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57A5" w14:textId="77777777" w:rsidR="00FA799F" w:rsidRPr="005F45A3" w:rsidRDefault="00FA799F" w:rsidP="00576CE3">
      <w:pPr>
        <w:pStyle w:val="Texto"/>
        <w:spacing w:after="0" w:line="360" w:lineRule="auto"/>
        <w:jc w:val="center"/>
        <w:rPr>
          <w:rFonts w:asciiTheme="minorHAnsi" w:hAnsiTheme="minorHAnsi" w:cstheme="minorHAnsi"/>
          <w:b/>
          <w:sz w:val="22"/>
          <w:szCs w:val="18"/>
        </w:rPr>
      </w:pPr>
      <w:r w:rsidRPr="005F45A3">
        <w:rPr>
          <w:rFonts w:asciiTheme="minorHAnsi" w:hAnsiTheme="minorHAnsi" w:cstheme="minorHAnsi"/>
          <w:b/>
          <w:sz w:val="22"/>
          <w:szCs w:val="18"/>
        </w:rPr>
        <w:t>NOTAS A LOS ESTADOS FINANCIEROS</w:t>
      </w:r>
    </w:p>
    <w:p w14:paraId="761C15C0" w14:textId="2D376FEB" w:rsidR="00FA799F" w:rsidRPr="004D690F" w:rsidRDefault="00FA799F" w:rsidP="009F7973">
      <w:pPr>
        <w:pStyle w:val="Texto"/>
        <w:spacing w:after="0" w:line="360" w:lineRule="auto"/>
        <w:jc w:val="center"/>
        <w:rPr>
          <w:rFonts w:asciiTheme="minorHAnsi" w:hAnsiTheme="minorHAnsi" w:cstheme="minorHAnsi"/>
          <w:b/>
          <w:sz w:val="22"/>
          <w:szCs w:val="18"/>
        </w:rPr>
      </w:pPr>
      <w:r w:rsidRPr="004D690F">
        <w:rPr>
          <w:rFonts w:asciiTheme="minorHAnsi" w:hAnsiTheme="minorHAnsi" w:cstheme="minorHAnsi"/>
          <w:b/>
          <w:sz w:val="22"/>
          <w:szCs w:val="18"/>
        </w:rPr>
        <w:t>A</w:t>
      </w:r>
      <w:r w:rsidR="00AC078C" w:rsidRPr="004D690F">
        <w:rPr>
          <w:rFonts w:asciiTheme="minorHAnsi" w:hAnsiTheme="minorHAnsi" w:cstheme="minorHAnsi"/>
          <w:b/>
          <w:sz w:val="22"/>
          <w:szCs w:val="18"/>
        </w:rPr>
        <w:t>l</w:t>
      </w:r>
      <w:r w:rsidRPr="004D690F">
        <w:rPr>
          <w:rFonts w:asciiTheme="minorHAnsi" w:hAnsiTheme="minorHAnsi" w:cstheme="minorHAnsi"/>
          <w:b/>
          <w:sz w:val="22"/>
          <w:szCs w:val="18"/>
        </w:rPr>
        <w:t xml:space="preserve"> </w:t>
      </w:r>
      <w:r w:rsidR="0056493E" w:rsidRPr="004D690F">
        <w:rPr>
          <w:rFonts w:asciiTheme="minorHAnsi" w:hAnsiTheme="minorHAnsi" w:cstheme="minorHAnsi"/>
          <w:b/>
          <w:sz w:val="22"/>
          <w:szCs w:val="18"/>
        </w:rPr>
        <w:t>3</w:t>
      </w:r>
      <w:r w:rsidR="00A75D48">
        <w:rPr>
          <w:rFonts w:asciiTheme="minorHAnsi" w:hAnsiTheme="minorHAnsi" w:cstheme="minorHAnsi"/>
          <w:b/>
          <w:sz w:val="22"/>
          <w:szCs w:val="18"/>
        </w:rPr>
        <w:t>1</w:t>
      </w:r>
      <w:r w:rsidR="0056493E" w:rsidRPr="004D690F">
        <w:rPr>
          <w:rFonts w:asciiTheme="minorHAnsi" w:hAnsiTheme="minorHAnsi" w:cstheme="minorHAnsi"/>
          <w:b/>
          <w:sz w:val="22"/>
          <w:szCs w:val="18"/>
        </w:rPr>
        <w:t xml:space="preserve"> de </w:t>
      </w:r>
      <w:r w:rsidR="00A75D48">
        <w:rPr>
          <w:rFonts w:asciiTheme="minorHAnsi" w:hAnsiTheme="minorHAnsi" w:cstheme="minorHAnsi"/>
          <w:b/>
          <w:sz w:val="22"/>
          <w:szCs w:val="18"/>
        </w:rPr>
        <w:t>Dic</w:t>
      </w:r>
      <w:r w:rsidR="00957395" w:rsidRPr="004D690F">
        <w:rPr>
          <w:rFonts w:asciiTheme="minorHAnsi" w:hAnsiTheme="minorHAnsi" w:cstheme="minorHAnsi"/>
          <w:b/>
          <w:sz w:val="22"/>
          <w:szCs w:val="18"/>
        </w:rPr>
        <w:t>iembre</w:t>
      </w:r>
      <w:r w:rsidR="003A5C06" w:rsidRPr="004D690F">
        <w:rPr>
          <w:rFonts w:asciiTheme="minorHAnsi" w:hAnsiTheme="minorHAnsi" w:cstheme="minorHAnsi"/>
          <w:b/>
          <w:sz w:val="22"/>
          <w:szCs w:val="18"/>
        </w:rPr>
        <w:t xml:space="preserve"> </w:t>
      </w:r>
      <w:r w:rsidR="00FA7471" w:rsidRPr="004D690F">
        <w:rPr>
          <w:rFonts w:asciiTheme="minorHAnsi" w:hAnsiTheme="minorHAnsi" w:cstheme="minorHAnsi"/>
          <w:b/>
          <w:sz w:val="22"/>
          <w:szCs w:val="18"/>
        </w:rPr>
        <w:t>de</w:t>
      </w:r>
      <w:r w:rsidR="00C95D2C" w:rsidRPr="004D690F">
        <w:rPr>
          <w:rFonts w:asciiTheme="minorHAnsi" w:hAnsiTheme="minorHAnsi" w:cstheme="minorHAnsi"/>
          <w:b/>
          <w:sz w:val="22"/>
          <w:szCs w:val="18"/>
        </w:rPr>
        <w:t xml:space="preserve"> 202</w:t>
      </w:r>
      <w:r w:rsidR="00FA7471" w:rsidRPr="004D690F">
        <w:rPr>
          <w:rFonts w:asciiTheme="minorHAnsi" w:hAnsiTheme="minorHAnsi" w:cstheme="minorHAnsi"/>
          <w:b/>
          <w:sz w:val="22"/>
          <w:szCs w:val="18"/>
        </w:rPr>
        <w:t>2</w:t>
      </w:r>
    </w:p>
    <w:p w14:paraId="2E7B6B86" w14:textId="77777777" w:rsidR="00FA799F" w:rsidRPr="00823B51" w:rsidRDefault="00FA799F" w:rsidP="009F7973">
      <w:pPr>
        <w:pStyle w:val="Texto"/>
        <w:numPr>
          <w:ilvl w:val="0"/>
          <w:numId w:val="20"/>
        </w:numPr>
        <w:spacing w:after="0" w:line="360" w:lineRule="auto"/>
        <w:jc w:val="center"/>
        <w:rPr>
          <w:rFonts w:asciiTheme="minorHAnsi" w:hAnsiTheme="minorHAnsi" w:cstheme="minorHAnsi"/>
          <w:b/>
          <w:sz w:val="22"/>
          <w:szCs w:val="18"/>
        </w:rPr>
      </w:pPr>
      <w:r w:rsidRPr="00823B51">
        <w:rPr>
          <w:rFonts w:asciiTheme="minorHAnsi" w:hAnsiTheme="minorHAnsi" w:cstheme="minorHAnsi"/>
          <w:b/>
          <w:sz w:val="22"/>
          <w:szCs w:val="18"/>
        </w:rPr>
        <w:t>Notas de Desglose</w:t>
      </w:r>
    </w:p>
    <w:p w14:paraId="4FD8C86C" w14:textId="77777777" w:rsidR="00FA799F" w:rsidRPr="005F45A3" w:rsidRDefault="00FA799F" w:rsidP="006B60D8">
      <w:pPr>
        <w:pStyle w:val="Texto"/>
        <w:spacing w:after="0" w:line="240" w:lineRule="exact"/>
        <w:ind w:firstLine="0"/>
        <w:rPr>
          <w:rFonts w:asciiTheme="minorHAnsi" w:hAnsiTheme="minorHAnsi" w:cstheme="minorHAnsi"/>
          <w:sz w:val="22"/>
          <w:szCs w:val="18"/>
        </w:rPr>
      </w:pPr>
    </w:p>
    <w:p w14:paraId="4A8DC1C8" w14:textId="77777777" w:rsidR="00FA799F" w:rsidRPr="007041A0" w:rsidRDefault="00FA799F" w:rsidP="006B60D8">
      <w:pPr>
        <w:pStyle w:val="Texto"/>
        <w:numPr>
          <w:ilvl w:val="0"/>
          <w:numId w:val="34"/>
        </w:numPr>
        <w:spacing w:after="0" w:line="240" w:lineRule="exact"/>
        <w:ind w:left="284" w:hanging="284"/>
        <w:rPr>
          <w:rFonts w:asciiTheme="minorHAnsi" w:hAnsiTheme="minorHAnsi" w:cstheme="minorHAnsi"/>
          <w:b/>
          <w:sz w:val="22"/>
          <w:szCs w:val="18"/>
        </w:rPr>
      </w:pPr>
      <w:r w:rsidRPr="007041A0">
        <w:rPr>
          <w:rFonts w:asciiTheme="minorHAnsi" w:hAnsiTheme="minorHAnsi" w:cstheme="minorHAnsi"/>
          <w:b/>
          <w:sz w:val="22"/>
          <w:szCs w:val="18"/>
        </w:rPr>
        <w:t>Notas al Estado de Situación Financiera</w:t>
      </w:r>
    </w:p>
    <w:p w14:paraId="3B4FFABC" w14:textId="77777777" w:rsidR="00FA799F" w:rsidRPr="005F45A3" w:rsidRDefault="00FA799F" w:rsidP="006B60D8">
      <w:pPr>
        <w:pStyle w:val="Texto"/>
        <w:spacing w:after="0" w:line="240" w:lineRule="exact"/>
        <w:ind w:left="288" w:firstLine="0"/>
        <w:rPr>
          <w:rFonts w:asciiTheme="minorHAnsi" w:hAnsiTheme="minorHAnsi" w:cstheme="minorHAnsi"/>
          <w:sz w:val="22"/>
          <w:szCs w:val="18"/>
        </w:rPr>
      </w:pPr>
    </w:p>
    <w:p w14:paraId="0652D96A" w14:textId="77777777" w:rsidR="00FA799F" w:rsidRPr="006B60D8" w:rsidRDefault="00FA799F" w:rsidP="006B60D8">
      <w:pPr>
        <w:pStyle w:val="Texto"/>
        <w:spacing w:after="0" w:line="240" w:lineRule="exact"/>
        <w:ind w:left="288" w:hanging="288"/>
        <w:rPr>
          <w:rFonts w:asciiTheme="minorHAnsi" w:hAnsiTheme="minorHAnsi" w:cstheme="minorHAnsi"/>
          <w:b/>
          <w:sz w:val="20"/>
          <w:szCs w:val="18"/>
        </w:rPr>
      </w:pPr>
      <w:r w:rsidRPr="006B60D8">
        <w:rPr>
          <w:rFonts w:asciiTheme="minorHAnsi" w:hAnsiTheme="minorHAnsi" w:cstheme="minorHAnsi"/>
          <w:b/>
          <w:sz w:val="20"/>
          <w:szCs w:val="18"/>
        </w:rPr>
        <w:t>Activo</w:t>
      </w:r>
    </w:p>
    <w:p w14:paraId="336B6630" w14:textId="77777777" w:rsidR="00FA799F" w:rsidRPr="005F45A3" w:rsidRDefault="00FA799F" w:rsidP="006B60D8">
      <w:pPr>
        <w:pStyle w:val="Texto"/>
        <w:spacing w:after="0" w:line="240" w:lineRule="exact"/>
        <w:ind w:left="288" w:firstLine="0"/>
        <w:rPr>
          <w:rFonts w:asciiTheme="minorHAnsi" w:hAnsiTheme="minorHAnsi" w:cstheme="minorHAnsi"/>
          <w:sz w:val="22"/>
          <w:szCs w:val="18"/>
        </w:rPr>
      </w:pPr>
    </w:p>
    <w:p w14:paraId="3A3C1F7F" w14:textId="77777777" w:rsidR="00FA799F" w:rsidRPr="006B60D8" w:rsidRDefault="00FA799F" w:rsidP="007A6147">
      <w:pPr>
        <w:pStyle w:val="Texto"/>
        <w:spacing w:after="0" w:line="240" w:lineRule="exact"/>
        <w:ind w:firstLine="0"/>
        <w:rPr>
          <w:rFonts w:asciiTheme="minorHAnsi" w:hAnsiTheme="minorHAnsi" w:cstheme="minorHAnsi"/>
          <w:b/>
          <w:i/>
          <w:sz w:val="20"/>
          <w:szCs w:val="18"/>
          <w:u w:val="single"/>
        </w:rPr>
      </w:pPr>
      <w:r w:rsidRPr="006B60D8">
        <w:rPr>
          <w:rFonts w:asciiTheme="minorHAnsi" w:hAnsiTheme="minorHAnsi" w:cstheme="minorHAnsi"/>
          <w:b/>
          <w:i/>
          <w:sz w:val="20"/>
          <w:szCs w:val="18"/>
          <w:u w:val="single"/>
        </w:rPr>
        <w:t>EFECTIVO Y EQUIVALENTE</w:t>
      </w:r>
    </w:p>
    <w:p w14:paraId="2F911FBB" w14:textId="77777777" w:rsidR="00296078" w:rsidRPr="005F45A3" w:rsidRDefault="00296078" w:rsidP="00296078">
      <w:pPr>
        <w:pStyle w:val="Texto"/>
        <w:spacing w:after="0" w:line="240" w:lineRule="exact"/>
        <w:ind w:firstLine="641"/>
        <w:rPr>
          <w:rFonts w:asciiTheme="minorHAnsi" w:hAnsiTheme="minorHAnsi" w:cstheme="minorHAnsi"/>
          <w:sz w:val="20"/>
          <w:szCs w:val="18"/>
        </w:rPr>
      </w:pPr>
    </w:p>
    <w:p w14:paraId="6D7B258B" w14:textId="315C07E9" w:rsidR="00FA799F" w:rsidRPr="005F45A3" w:rsidRDefault="00296078" w:rsidP="004077BF">
      <w:pPr>
        <w:pStyle w:val="Texto"/>
        <w:numPr>
          <w:ilvl w:val="0"/>
          <w:numId w:val="22"/>
        </w:numPr>
        <w:spacing w:after="0" w:line="276" w:lineRule="auto"/>
        <w:ind w:left="426" w:hanging="284"/>
        <w:rPr>
          <w:rFonts w:asciiTheme="minorHAnsi" w:hAnsiTheme="minorHAnsi" w:cstheme="minorHAnsi"/>
          <w:szCs w:val="18"/>
        </w:rPr>
      </w:pPr>
      <w:r w:rsidRPr="005F45A3">
        <w:rPr>
          <w:rFonts w:asciiTheme="minorHAnsi" w:hAnsiTheme="minorHAnsi" w:cstheme="minorHAnsi"/>
          <w:szCs w:val="18"/>
        </w:rPr>
        <w:t xml:space="preserve">Este rubro lo integran las partidas de corto plazo donde se incluye todas las cuentas de Bancos e inversiones registradas </w:t>
      </w:r>
      <w:r w:rsidR="00F94836" w:rsidRPr="005F45A3">
        <w:rPr>
          <w:rFonts w:asciiTheme="minorHAnsi" w:hAnsiTheme="minorHAnsi" w:cstheme="minorHAnsi"/>
          <w:szCs w:val="18"/>
        </w:rPr>
        <w:t>a</w:t>
      </w:r>
      <w:r w:rsidRPr="005F45A3">
        <w:rPr>
          <w:rFonts w:asciiTheme="minorHAnsi" w:hAnsiTheme="minorHAnsi" w:cstheme="minorHAnsi"/>
          <w:szCs w:val="18"/>
        </w:rPr>
        <w:t xml:space="preserve">l cierre del </w:t>
      </w:r>
      <w:r w:rsidR="00DF5A43">
        <w:rPr>
          <w:rFonts w:asciiTheme="minorHAnsi" w:hAnsiTheme="minorHAnsi" w:cstheme="minorHAnsi"/>
          <w:szCs w:val="18"/>
        </w:rPr>
        <w:t xml:space="preserve">cuarto </w:t>
      </w:r>
      <w:r w:rsidR="00F94836" w:rsidRPr="005F45A3">
        <w:rPr>
          <w:rFonts w:asciiTheme="minorHAnsi" w:hAnsiTheme="minorHAnsi" w:cstheme="minorHAnsi"/>
          <w:szCs w:val="18"/>
        </w:rPr>
        <w:t>trimestre</w:t>
      </w:r>
      <w:r w:rsidRPr="005F45A3">
        <w:rPr>
          <w:rFonts w:asciiTheme="minorHAnsi" w:hAnsiTheme="minorHAnsi" w:cstheme="minorHAnsi"/>
          <w:szCs w:val="18"/>
        </w:rPr>
        <w:t xml:space="preserve"> y sus montos por cuenta están desglosadas como sigue: </w:t>
      </w:r>
    </w:p>
    <w:tbl>
      <w:tblPr>
        <w:tblpPr w:leftFromText="141" w:rightFromText="141" w:vertAnchor="page" w:horzAnchor="page" w:tblpX="1851" w:tblpY="5511"/>
        <w:tblW w:w="5929" w:type="dxa"/>
        <w:tblCellMar>
          <w:left w:w="70" w:type="dxa"/>
          <w:right w:w="70" w:type="dxa"/>
        </w:tblCellMar>
        <w:tblLook w:val="04A0" w:firstRow="1" w:lastRow="0" w:firstColumn="1" w:lastColumn="0" w:noHBand="0" w:noVBand="1"/>
      </w:tblPr>
      <w:tblGrid>
        <w:gridCol w:w="4062"/>
        <w:gridCol w:w="1867"/>
      </w:tblGrid>
      <w:tr w:rsidR="0056467D" w:rsidRPr="0056467D" w14:paraId="759FCBA0" w14:textId="77777777" w:rsidTr="0056467D">
        <w:trPr>
          <w:trHeight w:val="607"/>
        </w:trPr>
        <w:tc>
          <w:tcPr>
            <w:tcW w:w="4062"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6F5C8D3" w14:textId="77777777" w:rsidR="0056467D" w:rsidRPr="0056467D" w:rsidRDefault="0056467D" w:rsidP="0056467D">
            <w:pPr>
              <w:spacing w:after="0" w:line="240" w:lineRule="auto"/>
              <w:jc w:val="center"/>
              <w:rPr>
                <w:rFonts w:eastAsia="Times New Roman" w:cs="Calibri"/>
                <w:b/>
                <w:bCs/>
                <w:color w:val="FFFFFF"/>
                <w:sz w:val="16"/>
                <w:szCs w:val="16"/>
                <w:lang w:eastAsia="es-MX"/>
              </w:rPr>
            </w:pPr>
            <w:r w:rsidRPr="0056467D">
              <w:rPr>
                <w:rFonts w:eastAsia="Times New Roman" w:cs="Calibri"/>
                <w:b/>
                <w:bCs/>
                <w:color w:val="FFFFFF"/>
                <w:sz w:val="16"/>
                <w:szCs w:val="16"/>
                <w:lang w:eastAsia="es-MX"/>
              </w:rPr>
              <w:t>Efectivo y Equivalente</w:t>
            </w:r>
          </w:p>
        </w:tc>
        <w:tc>
          <w:tcPr>
            <w:tcW w:w="1867" w:type="dxa"/>
            <w:tcBorders>
              <w:top w:val="single" w:sz="4" w:space="0" w:color="auto"/>
              <w:left w:val="nil"/>
              <w:bottom w:val="single" w:sz="4" w:space="0" w:color="auto"/>
              <w:right w:val="single" w:sz="4" w:space="0" w:color="auto"/>
            </w:tcBorders>
            <w:shd w:val="clear" w:color="000000" w:fill="AB0033"/>
            <w:vAlign w:val="center"/>
            <w:hideMark/>
          </w:tcPr>
          <w:p w14:paraId="5E26127A" w14:textId="77777777" w:rsidR="0056467D" w:rsidRPr="0056467D" w:rsidRDefault="0056467D" w:rsidP="0056467D">
            <w:pPr>
              <w:spacing w:after="0" w:line="240" w:lineRule="auto"/>
              <w:jc w:val="center"/>
              <w:rPr>
                <w:rFonts w:eastAsia="Times New Roman" w:cs="Calibri"/>
                <w:b/>
                <w:bCs/>
                <w:color w:val="FFFFFF"/>
                <w:sz w:val="16"/>
                <w:szCs w:val="16"/>
                <w:lang w:eastAsia="es-MX"/>
              </w:rPr>
            </w:pPr>
            <w:r w:rsidRPr="0056467D">
              <w:rPr>
                <w:rFonts w:eastAsia="Times New Roman" w:cs="Calibri"/>
                <w:b/>
                <w:bCs/>
                <w:color w:val="FFFFFF"/>
                <w:sz w:val="16"/>
                <w:szCs w:val="16"/>
                <w:lang w:eastAsia="es-MX"/>
              </w:rPr>
              <w:t>Importe</w:t>
            </w:r>
          </w:p>
        </w:tc>
      </w:tr>
      <w:tr w:rsidR="0056467D" w:rsidRPr="0056467D" w14:paraId="1BCFF54F" w14:textId="77777777" w:rsidTr="0056467D">
        <w:trPr>
          <w:trHeight w:val="352"/>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0E53BC41"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Bancos/Tesorería</w:t>
            </w:r>
          </w:p>
        </w:tc>
        <w:tc>
          <w:tcPr>
            <w:tcW w:w="1867" w:type="dxa"/>
            <w:tcBorders>
              <w:top w:val="nil"/>
              <w:left w:val="nil"/>
              <w:bottom w:val="single" w:sz="4" w:space="0" w:color="auto"/>
              <w:right w:val="single" w:sz="4" w:space="0" w:color="auto"/>
            </w:tcBorders>
            <w:shd w:val="clear" w:color="auto" w:fill="auto"/>
            <w:noWrap/>
            <w:vAlign w:val="bottom"/>
            <w:hideMark/>
          </w:tcPr>
          <w:p w14:paraId="3D69B84B" w14:textId="77777777" w:rsidR="0056467D" w:rsidRPr="0056467D" w:rsidRDefault="0056467D" w:rsidP="0056467D">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1,553,249,405</w:t>
            </w:r>
          </w:p>
        </w:tc>
      </w:tr>
      <w:tr w:rsidR="0056467D" w:rsidRPr="0056467D" w14:paraId="7CE617DB" w14:textId="77777777" w:rsidTr="0056467D">
        <w:trPr>
          <w:trHeight w:val="352"/>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140285EF"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Inversiones Temporales</w:t>
            </w:r>
          </w:p>
        </w:tc>
        <w:tc>
          <w:tcPr>
            <w:tcW w:w="1867" w:type="dxa"/>
            <w:tcBorders>
              <w:top w:val="nil"/>
              <w:left w:val="nil"/>
              <w:bottom w:val="single" w:sz="4" w:space="0" w:color="auto"/>
              <w:right w:val="single" w:sz="4" w:space="0" w:color="auto"/>
            </w:tcBorders>
            <w:shd w:val="clear" w:color="auto" w:fill="auto"/>
            <w:noWrap/>
            <w:vAlign w:val="bottom"/>
            <w:hideMark/>
          </w:tcPr>
          <w:p w14:paraId="3FD8D813" w14:textId="77777777" w:rsidR="0056467D" w:rsidRPr="0056467D" w:rsidRDefault="0056467D" w:rsidP="0056467D">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823,594,227</w:t>
            </w:r>
          </w:p>
        </w:tc>
      </w:tr>
      <w:tr w:rsidR="0056467D" w:rsidRPr="0056467D" w14:paraId="7B914DF4" w14:textId="77777777" w:rsidTr="0056467D">
        <w:trPr>
          <w:trHeight w:val="352"/>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222E2D4A"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Fondos de Afectación Específica</w:t>
            </w:r>
          </w:p>
        </w:tc>
        <w:tc>
          <w:tcPr>
            <w:tcW w:w="1867" w:type="dxa"/>
            <w:tcBorders>
              <w:top w:val="nil"/>
              <w:left w:val="nil"/>
              <w:bottom w:val="single" w:sz="4" w:space="0" w:color="auto"/>
              <w:right w:val="single" w:sz="4" w:space="0" w:color="auto"/>
            </w:tcBorders>
            <w:shd w:val="clear" w:color="auto" w:fill="auto"/>
            <w:noWrap/>
            <w:vAlign w:val="bottom"/>
            <w:hideMark/>
          </w:tcPr>
          <w:p w14:paraId="608C25C1" w14:textId="77777777" w:rsidR="0056467D" w:rsidRPr="0056467D" w:rsidRDefault="0056467D" w:rsidP="0056467D">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6,794,030</w:t>
            </w:r>
          </w:p>
        </w:tc>
      </w:tr>
      <w:tr w:rsidR="0056467D" w:rsidRPr="0056467D" w14:paraId="6294FC7C" w14:textId="77777777" w:rsidTr="0056467D">
        <w:trPr>
          <w:trHeight w:val="352"/>
        </w:trPr>
        <w:tc>
          <w:tcPr>
            <w:tcW w:w="4062" w:type="dxa"/>
            <w:tcBorders>
              <w:top w:val="nil"/>
              <w:left w:val="single" w:sz="4" w:space="0" w:color="auto"/>
              <w:bottom w:val="single" w:sz="4" w:space="0" w:color="auto"/>
              <w:right w:val="single" w:sz="4" w:space="0" w:color="auto"/>
            </w:tcBorders>
            <w:shd w:val="clear" w:color="000000" w:fill="DDC9A3"/>
            <w:vAlign w:val="center"/>
            <w:hideMark/>
          </w:tcPr>
          <w:p w14:paraId="1068789D" w14:textId="77777777" w:rsidR="0056467D" w:rsidRPr="0056467D" w:rsidRDefault="0056467D" w:rsidP="0056467D">
            <w:pPr>
              <w:spacing w:after="0" w:line="240" w:lineRule="auto"/>
              <w:jc w:val="center"/>
              <w:rPr>
                <w:rFonts w:eastAsia="Times New Roman" w:cs="Calibri"/>
                <w:b/>
                <w:bCs/>
                <w:color w:val="000000"/>
                <w:sz w:val="14"/>
                <w:szCs w:val="14"/>
                <w:lang w:eastAsia="es-MX"/>
              </w:rPr>
            </w:pPr>
            <w:r w:rsidRPr="0056467D">
              <w:rPr>
                <w:rFonts w:eastAsia="Times New Roman" w:cs="Calibri"/>
                <w:b/>
                <w:bCs/>
                <w:color w:val="000000"/>
                <w:sz w:val="14"/>
                <w:szCs w:val="14"/>
                <w:lang w:eastAsia="es-MX"/>
              </w:rPr>
              <w:t>TOTAL</w:t>
            </w:r>
          </w:p>
        </w:tc>
        <w:tc>
          <w:tcPr>
            <w:tcW w:w="1867" w:type="dxa"/>
            <w:tcBorders>
              <w:top w:val="nil"/>
              <w:left w:val="nil"/>
              <w:bottom w:val="single" w:sz="4" w:space="0" w:color="auto"/>
              <w:right w:val="single" w:sz="4" w:space="0" w:color="auto"/>
            </w:tcBorders>
            <w:shd w:val="clear" w:color="000000" w:fill="DDC9A3"/>
            <w:vAlign w:val="center"/>
            <w:hideMark/>
          </w:tcPr>
          <w:p w14:paraId="12E7D2F7" w14:textId="77777777" w:rsidR="0056467D" w:rsidRPr="0056467D" w:rsidRDefault="0056467D" w:rsidP="0056467D">
            <w:pPr>
              <w:spacing w:after="0" w:line="240" w:lineRule="auto"/>
              <w:jc w:val="right"/>
              <w:rPr>
                <w:rFonts w:eastAsia="Times New Roman" w:cs="Calibri"/>
                <w:b/>
                <w:bCs/>
                <w:color w:val="000000"/>
                <w:sz w:val="14"/>
                <w:szCs w:val="14"/>
                <w:lang w:eastAsia="es-MX"/>
              </w:rPr>
            </w:pPr>
            <w:r w:rsidRPr="0056467D">
              <w:rPr>
                <w:rFonts w:eastAsia="Times New Roman" w:cs="Calibri"/>
                <w:b/>
                <w:bCs/>
                <w:color w:val="000000"/>
                <w:sz w:val="14"/>
                <w:szCs w:val="14"/>
                <w:lang w:eastAsia="es-MX"/>
              </w:rPr>
              <w:t>2,383,637,662</w:t>
            </w:r>
          </w:p>
        </w:tc>
      </w:tr>
    </w:tbl>
    <w:p w14:paraId="285C32D1" w14:textId="77777777" w:rsidR="00642CB2" w:rsidRPr="005F45A3" w:rsidRDefault="00642CB2" w:rsidP="00642CB2">
      <w:pPr>
        <w:pStyle w:val="Texto"/>
        <w:spacing w:after="0" w:line="276" w:lineRule="auto"/>
        <w:ind w:left="1361" w:firstLine="0"/>
        <w:rPr>
          <w:rFonts w:asciiTheme="minorHAnsi" w:hAnsiTheme="minorHAnsi" w:cstheme="minorHAnsi"/>
          <w:szCs w:val="18"/>
        </w:rPr>
      </w:pPr>
    </w:p>
    <w:p w14:paraId="6B790C48" w14:textId="77777777" w:rsidR="00442C78" w:rsidRPr="005F45A3" w:rsidRDefault="00442C78" w:rsidP="00642CB2">
      <w:pPr>
        <w:pStyle w:val="Texto"/>
        <w:spacing w:after="0" w:line="276" w:lineRule="auto"/>
        <w:ind w:left="1361" w:firstLine="0"/>
        <w:rPr>
          <w:rFonts w:asciiTheme="minorHAnsi" w:hAnsiTheme="minorHAnsi" w:cstheme="minorHAnsi"/>
          <w:szCs w:val="18"/>
        </w:rPr>
      </w:pPr>
    </w:p>
    <w:p w14:paraId="1DD919C6" w14:textId="77777777" w:rsidR="00D550D0" w:rsidRDefault="00FA799F" w:rsidP="00FA799F">
      <w:pPr>
        <w:pStyle w:val="Texto"/>
        <w:spacing w:after="0" w:line="240" w:lineRule="exact"/>
        <w:rPr>
          <w:rFonts w:asciiTheme="minorHAnsi" w:hAnsiTheme="minorHAnsi" w:cstheme="minorHAnsi"/>
          <w:b/>
          <w:sz w:val="22"/>
          <w:szCs w:val="18"/>
        </w:rPr>
      </w:pPr>
      <w:r w:rsidRPr="005F45A3">
        <w:rPr>
          <w:rFonts w:asciiTheme="minorHAnsi" w:hAnsiTheme="minorHAnsi" w:cstheme="minorHAnsi"/>
          <w:b/>
          <w:sz w:val="22"/>
          <w:szCs w:val="18"/>
        </w:rPr>
        <w:t xml:space="preserve"> </w:t>
      </w:r>
    </w:p>
    <w:p w14:paraId="0B985875" w14:textId="77777777" w:rsidR="0056467D" w:rsidRDefault="0056467D" w:rsidP="00FA799F">
      <w:pPr>
        <w:pStyle w:val="Texto"/>
        <w:spacing w:after="0" w:line="240" w:lineRule="exact"/>
        <w:rPr>
          <w:rFonts w:asciiTheme="minorHAnsi" w:hAnsiTheme="minorHAnsi" w:cstheme="minorHAnsi"/>
          <w:b/>
          <w:sz w:val="22"/>
          <w:szCs w:val="18"/>
        </w:rPr>
      </w:pPr>
    </w:p>
    <w:p w14:paraId="6E86363A" w14:textId="77777777" w:rsidR="0056467D" w:rsidRDefault="0056467D" w:rsidP="00FA799F">
      <w:pPr>
        <w:pStyle w:val="Texto"/>
        <w:spacing w:after="0" w:line="240" w:lineRule="exact"/>
        <w:rPr>
          <w:rFonts w:asciiTheme="minorHAnsi" w:hAnsiTheme="minorHAnsi" w:cstheme="minorHAnsi"/>
          <w:b/>
          <w:sz w:val="22"/>
          <w:szCs w:val="18"/>
        </w:rPr>
      </w:pPr>
    </w:p>
    <w:p w14:paraId="2DDB31FA" w14:textId="77777777" w:rsidR="0056467D" w:rsidRDefault="0056467D" w:rsidP="00FA799F">
      <w:pPr>
        <w:pStyle w:val="Texto"/>
        <w:spacing w:after="0" w:line="240" w:lineRule="exact"/>
        <w:rPr>
          <w:rFonts w:asciiTheme="minorHAnsi" w:hAnsiTheme="minorHAnsi" w:cstheme="minorHAnsi"/>
          <w:b/>
          <w:sz w:val="22"/>
          <w:szCs w:val="18"/>
        </w:rPr>
      </w:pPr>
    </w:p>
    <w:p w14:paraId="4D1914AB" w14:textId="77777777" w:rsidR="0056467D" w:rsidRDefault="0056467D" w:rsidP="00FA799F">
      <w:pPr>
        <w:pStyle w:val="Texto"/>
        <w:spacing w:after="0" w:line="240" w:lineRule="exact"/>
        <w:rPr>
          <w:rFonts w:asciiTheme="minorHAnsi" w:hAnsiTheme="minorHAnsi" w:cstheme="minorHAnsi"/>
          <w:b/>
          <w:sz w:val="22"/>
          <w:szCs w:val="18"/>
        </w:rPr>
      </w:pPr>
    </w:p>
    <w:p w14:paraId="563ABD96" w14:textId="77777777" w:rsidR="0056467D" w:rsidRDefault="0056467D" w:rsidP="00FA799F">
      <w:pPr>
        <w:pStyle w:val="Texto"/>
        <w:spacing w:after="0" w:line="240" w:lineRule="exact"/>
        <w:rPr>
          <w:rFonts w:asciiTheme="minorHAnsi" w:hAnsiTheme="minorHAnsi" w:cstheme="minorHAnsi"/>
          <w:b/>
          <w:sz w:val="22"/>
          <w:szCs w:val="18"/>
        </w:rPr>
      </w:pPr>
    </w:p>
    <w:p w14:paraId="2687F8B0" w14:textId="77777777" w:rsidR="0056467D" w:rsidRPr="005F45A3" w:rsidRDefault="0056467D" w:rsidP="00FA799F">
      <w:pPr>
        <w:pStyle w:val="Texto"/>
        <w:spacing w:after="0" w:line="240" w:lineRule="exact"/>
        <w:rPr>
          <w:rFonts w:asciiTheme="minorHAnsi" w:hAnsiTheme="minorHAnsi" w:cstheme="minorHAnsi"/>
          <w:b/>
          <w:sz w:val="22"/>
          <w:szCs w:val="18"/>
        </w:rPr>
      </w:pPr>
    </w:p>
    <w:p w14:paraId="40FB13A8" w14:textId="77777777" w:rsidR="0056467D" w:rsidRDefault="0056467D" w:rsidP="006B60D8">
      <w:pPr>
        <w:pStyle w:val="Texto"/>
        <w:spacing w:after="0" w:line="240" w:lineRule="exact"/>
        <w:ind w:firstLine="0"/>
        <w:rPr>
          <w:rFonts w:asciiTheme="minorHAnsi" w:hAnsiTheme="minorHAnsi" w:cstheme="minorHAnsi"/>
          <w:b/>
          <w:i/>
          <w:sz w:val="20"/>
          <w:szCs w:val="18"/>
          <w:u w:val="single"/>
        </w:rPr>
      </w:pPr>
    </w:p>
    <w:p w14:paraId="2CBE7EE6" w14:textId="77777777" w:rsidR="00FA799F" w:rsidRPr="005F45A3" w:rsidRDefault="00A3438F" w:rsidP="006B60D8">
      <w:pPr>
        <w:pStyle w:val="Texto"/>
        <w:spacing w:after="0" w:line="240" w:lineRule="exact"/>
        <w:ind w:firstLine="0"/>
        <w:rPr>
          <w:rFonts w:asciiTheme="minorHAnsi" w:hAnsiTheme="minorHAnsi" w:cstheme="minorHAnsi"/>
          <w:b/>
          <w:i/>
          <w:sz w:val="20"/>
          <w:szCs w:val="18"/>
          <w:u w:val="single"/>
        </w:rPr>
      </w:pPr>
      <w:r w:rsidRPr="005F45A3">
        <w:rPr>
          <w:rFonts w:asciiTheme="minorHAnsi" w:hAnsiTheme="minorHAnsi" w:cstheme="minorHAnsi"/>
          <w:b/>
          <w:i/>
          <w:sz w:val="20"/>
          <w:szCs w:val="18"/>
          <w:u w:val="single"/>
        </w:rPr>
        <w:t>DERECHOS A RECIBIR EFECTIVO O EQUIVALENTES</w:t>
      </w:r>
      <w:r w:rsidR="00296078" w:rsidRPr="005F45A3">
        <w:rPr>
          <w:rFonts w:asciiTheme="minorHAnsi" w:hAnsiTheme="minorHAnsi" w:cstheme="minorHAnsi"/>
          <w:b/>
          <w:i/>
          <w:sz w:val="20"/>
          <w:szCs w:val="18"/>
          <w:u w:val="single"/>
        </w:rPr>
        <w:t xml:space="preserve"> </w:t>
      </w:r>
    </w:p>
    <w:p w14:paraId="2316F959" w14:textId="77777777" w:rsidR="00296078" w:rsidRPr="005F45A3" w:rsidRDefault="00296078" w:rsidP="00296078">
      <w:pPr>
        <w:pStyle w:val="Texto"/>
        <w:spacing w:after="0" w:line="240" w:lineRule="exact"/>
        <w:ind w:firstLine="646"/>
        <w:rPr>
          <w:rFonts w:asciiTheme="minorHAnsi" w:hAnsiTheme="minorHAnsi" w:cstheme="minorHAnsi"/>
          <w:sz w:val="20"/>
          <w:szCs w:val="18"/>
        </w:rPr>
      </w:pPr>
    </w:p>
    <w:p w14:paraId="4368A339" w14:textId="77777777" w:rsidR="00296078" w:rsidRDefault="00296078" w:rsidP="007A6147">
      <w:pPr>
        <w:pStyle w:val="Texto"/>
        <w:numPr>
          <w:ilvl w:val="0"/>
          <w:numId w:val="22"/>
        </w:numPr>
        <w:spacing w:after="0" w:line="240" w:lineRule="exact"/>
        <w:ind w:left="426" w:hanging="284"/>
        <w:rPr>
          <w:rFonts w:asciiTheme="minorHAnsi" w:hAnsiTheme="minorHAnsi" w:cstheme="minorHAnsi"/>
          <w:sz w:val="20"/>
          <w:szCs w:val="18"/>
        </w:rPr>
      </w:pPr>
      <w:r w:rsidRPr="005F45A3">
        <w:rPr>
          <w:rFonts w:asciiTheme="minorHAnsi" w:hAnsiTheme="minorHAnsi" w:cstheme="minorHAnsi"/>
          <w:sz w:val="20"/>
          <w:szCs w:val="18"/>
        </w:rPr>
        <w:t>Derechos a recibir Efectivo o Equivalente</w:t>
      </w:r>
    </w:p>
    <w:p w14:paraId="5AEB1AA6" w14:textId="77777777" w:rsidR="00E07EC7" w:rsidRPr="005F45A3" w:rsidRDefault="00E07EC7" w:rsidP="00E07EC7">
      <w:pPr>
        <w:pStyle w:val="Texto"/>
        <w:spacing w:after="0" w:line="240" w:lineRule="exact"/>
        <w:ind w:left="1068" w:firstLine="0"/>
        <w:rPr>
          <w:rFonts w:asciiTheme="minorHAnsi" w:hAnsiTheme="minorHAnsi" w:cstheme="minorHAnsi"/>
          <w:sz w:val="20"/>
          <w:szCs w:val="18"/>
        </w:rPr>
      </w:pPr>
    </w:p>
    <w:tbl>
      <w:tblPr>
        <w:tblW w:w="6039" w:type="dxa"/>
        <w:tblInd w:w="397" w:type="dxa"/>
        <w:tblCellMar>
          <w:left w:w="70" w:type="dxa"/>
          <w:right w:w="70" w:type="dxa"/>
        </w:tblCellMar>
        <w:tblLook w:val="04A0" w:firstRow="1" w:lastRow="0" w:firstColumn="1" w:lastColumn="0" w:noHBand="0" w:noVBand="1"/>
      </w:tblPr>
      <w:tblGrid>
        <w:gridCol w:w="4615"/>
        <w:gridCol w:w="1424"/>
      </w:tblGrid>
      <w:tr w:rsidR="0056467D" w:rsidRPr="0056467D" w14:paraId="70A2C6C9" w14:textId="77777777" w:rsidTr="0056467D">
        <w:trPr>
          <w:trHeight w:val="527"/>
        </w:trPr>
        <w:tc>
          <w:tcPr>
            <w:tcW w:w="4615"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57653D8" w14:textId="77777777" w:rsidR="0056467D" w:rsidRPr="0056467D" w:rsidRDefault="0056467D" w:rsidP="0056467D">
            <w:pPr>
              <w:spacing w:after="0" w:line="240" w:lineRule="auto"/>
              <w:jc w:val="center"/>
              <w:rPr>
                <w:rFonts w:eastAsia="Times New Roman" w:cs="Calibri"/>
                <w:b/>
                <w:bCs/>
                <w:color w:val="FFFFFF"/>
                <w:sz w:val="16"/>
                <w:szCs w:val="16"/>
                <w:lang w:eastAsia="es-MX"/>
              </w:rPr>
            </w:pPr>
            <w:r w:rsidRPr="0056467D">
              <w:rPr>
                <w:rFonts w:eastAsia="Times New Roman" w:cs="Calibri"/>
                <w:b/>
                <w:bCs/>
                <w:color w:val="FFFFFF"/>
                <w:sz w:val="16"/>
                <w:szCs w:val="16"/>
                <w:lang w:eastAsia="es-MX"/>
              </w:rPr>
              <w:t xml:space="preserve">Descripción de la Cuenta </w:t>
            </w:r>
          </w:p>
        </w:tc>
        <w:tc>
          <w:tcPr>
            <w:tcW w:w="1424" w:type="dxa"/>
            <w:tcBorders>
              <w:top w:val="single" w:sz="4" w:space="0" w:color="auto"/>
              <w:left w:val="nil"/>
              <w:bottom w:val="single" w:sz="4" w:space="0" w:color="auto"/>
              <w:right w:val="single" w:sz="4" w:space="0" w:color="auto"/>
            </w:tcBorders>
            <w:shd w:val="clear" w:color="000000" w:fill="AB0033"/>
            <w:vAlign w:val="center"/>
            <w:hideMark/>
          </w:tcPr>
          <w:p w14:paraId="177B4F6D" w14:textId="77777777" w:rsidR="0056467D" w:rsidRPr="0056467D" w:rsidRDefault="0056467D" w:rsidP="0056467D">
            <w:pPr>
              <w:spacing w:after="0" w:line="240" w:lineRule="auto"/>
              <w:jc w:val="center"/>
              <w:rPr>
                <w:rFonts w:eastAsia="Times New Roman" w:cs="Calibri"/>
                <w:b/>
                <w:bCs/>
                <w:color w:val="FFFFFF"/>
                <w:sz w:val="16"/>
                <w:szCs w:val="16"/>
                <w:lang w:eastAsia="es-MX"/>
              </w:rPr>
            </w:pPr>
            <w:r w:rsidRPr="0056467D">
              <w:rPr>
                <w:rFonts w:eastAsia="Times New Roman" w:cs="Calibri"/>
                <w:b/>
                <w:bCs/>
                <w:color w:val="FFFFFF"/>
                <w:sz w:val="16"/>
                <w:szCs w:val="16"/>
                <w:lang w:eastAsia="es-MX"/>
              </w:rPr>
              <w:t>Importe</w:t>
            </w:r>
          </w:p>
        </w:tc>
      </w:tr>
      <w:tr w:rsidR="0056467D" w:rsidRPr="0056467D" w14:paraId="6B966CD6" w14:textId="77777777" w:rsidTr="0056467D">
        <w:trPr>
          <w:trHeight w:val="298"/>
        </w:trPr>
        <w:tc>
          <w:tcPr>
            <w:tcW w:w="4615" w:type="dxa"/>
            <w:tcBorders>
              <w:top w:val="nil"/>
              <w:left w:val="single" w:sz="4" w:space="0" w:color="auto"/>
              <w:bottom w:val="single" w:sz="4" w:space="0" w:color="auto"/>
              <w:right w:val="single" w:sz="4" w:space="0" w:color="auto"/>
            </w:tcBorders>
            <w:shd w:val="clear" w:color="auto" w:fill="auto"/>
            <w:vAlign w:val="center"/>
            <w:hideMark/>
          </w:tcPr>
          <w:p w14:paraId="2FB10415"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Cuentas por Cobrar a Corto Plazo</w:t>
            </w:r>
          </w:p>
        </w:tc>
        <w:tc>
          <w:tcPr>
            <w:tcW w:w="1424" w:type="dxa"/>
            <w:tcBorders>
              <w:top w:val="nil"/>
              <w:left w:val="nil"/>
              <w:bottom w:val="single" w:sz="4" w:space="0" w:color="auto"/>
              <w:right w:val="single" w:sz="4" w:space="0" w:color="auto"/>
            </w:tcBorders>
            <w:shd w:val="clear" w:color="auto" w:fill="auto"/>
            <w:noWrap/>
            <w:vAlign w:val="bottom"/>
            <w:hideMark/>
          </w:tcPr>
          <w:p w14:paraId="34F6653C" w14:textId="77777777" w:rsidR="0056467D" w:rsidRPr="0056467D" w:rsidRDefault="0056467D" w:rsidP="0056467D">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754,270,917</w:t>
            </w:r>
          </w:p>
        </w:tc>
      </w:tr>
      <w:tr w:rsidR="0056467D" w:rsidRPr="0056467D" w14:paraId="05A0E36F" w14:textId="77777777" w:rsidTr="0056467D">
        <w:trPr>
          <w:trHeight w:val="298"/>
        </w:trPr>
        <w:tc>
          <w:tcPr>
            <w:tcW w:w="4615" w:type="dxa"/>
            <w:tcBorders>
              <w:top w:val="nil"/>
              <w:left w:val="single" w:sz="4" w:space="0" w:color="auto"/>
              <w:bottom w:val="single" w:sz="4" w:space="0" w:color="auto"/>
              <w:right w:val="single" w:sz="4" w:space="0" w:color="auto"/>
            </w:tcBorders>
            <w:shd w:val="clear" w:color="auto" w:fill="auto"/>
            <w:vAlign w:val="center"/>
            <w:hideMark/>
          </w:tcPr>
          <w:p w14:paraId="04DA36DF"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Deudores Diversos por Cobrar a Corto Plazo</w:t>
            </w:r>
          </w:p>
        </w:tc>
        <w:tc>
          <w:tcPr>
            <w:tcW w:w="1424" w:type="dxa"/>
            <w:tcBorders>
              <w:top w:val="nil"/>
              <w:left w:val="nil"/>
              <w:bottom w:val="single" w:sz="4" w:space="0" w:color="auto"/>
              <w:right w:val="single" w:sz="4" w:space="0" w:color="auto"/>
            </w:tcBorders>
            <w:shd w:val="clear" w:color="auto" w:fill="auto"/>
            <w:noWrap/>
            <w:vAlign w:val="bottom"/>
            <w:hideMark/>
          </w:tcPr>
          <w:p w14:paraId="4277B67E" w14:textId="77777777" w:rsidR="0056467D" w:rsidRPr="0056467D" w:rsidRDefault="0056467D" w:rsidP="0056467D">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88,741,233</w:t>
            </w:r>
          </w:p>
        </w:tc>
      </w:tr>
      <w:tr w:rsidR="0056467D" w:rsidRPr="0056467D" w14:paraId="04C82E3C" w14:textId="77777777" w:rsidTr="0056467D">
        <w:trPr>
          <w:trHeight w:val="298"/>
        </w:trPr>
        <w:tc>
          <w:tcPr>
            <w:tcW w:w="4615" w:type="dxa"/>
            <w:tcBorders>
              <w:top w:val="nil"/>
              <w:left w:val="single" w:sz="4" w:space="0" w:color="auto"/>
              <w:bottom w:val="single" w:sz="4" w:space="0" w:color="auto"/>
              <w:right w:val="single" w:sz="4" w:space="0" w:color="auto"/>
            </w:tcBorders>
            <w:shd w:val="clear" w:color="auto" w:fill="auto"/>
            <w:vAlign w:val="center"/>
            <w:hideMark/>
          </w:tcPr>
          <w:p w14:paraId="0841BCC5"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Ingresos por Recuperar a Corto Plazo</w:t>
            </w:r>
          </w:p>
        </w:tc>
        <w:tc>
          <w:tcPr>
            <w:tcW w:w="1424" w:type="dxa"/>
            <w:tcBorders>
              <w:top w:val="nil"/>
              <w:left w:val="nil"/>
              <w:bottom w:val="single" w:sz="4" w:space="0" w:color="auto"/>
              <w:right w:val="single" w:sz="4" w:space="0" w:color="auto"/>
            </w:tcBorders>
            <w:shd w:val="clear" w:color="auto" w:fill="auto"/>
            <w:noWrap/>
            <w:vAlign w:val="bottom"/>
            <w:hideMark/>
          </w:tcPr>
          <w:p w14:paraId="5CF381D2" w14:textId="77777777" w:rsidR="0056467D" w:rsidRPr="0056467D" w:rsidRDefault="0056467D" w:rsidP="0056467D">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7,885,360</w:t>
            </w:r>
          </w:p>
        </w:tc>
      </w:tr>
      <w:tr w:rsidR="0056467D" w:rsidRPr="0056467D" w14:paraId="0F872CD1" w14:textId="77777777" w:rsidTr="0056467D">
        <w:trPr>
          <w:trHeight w:val="298"/>
        </w:trPr>
        <w:tc>
          <w:tcPr>
            <w:tcW w:w="4615" w:type="dxa"/>
            <w:tcBorders>
              <w:top w:val="nil"/>
              <w:left w:val="single" w:sz="4" w:space="0" w:color="auto"/>
              <w:bottom w:val="single" w:sz="4" w:space="0" w:color="auto"/>
              <w:right w:val="single" w:sz="4" w:space="0" w:color="auto"/>
            </w:tcBorders>
            <w:shd w:val="clear" w:color="auto" w:fill="auto"/>
            <w:vAlign w:val="center"/>
            <w:hideMark/>
          </w:tcPr>
          <w:p w14:paraId="0EA25837"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Deudores por Anticipos Tesorería a Corto Plazo</w:t>
            </w:r>
          </w:p>
        </w:tc>
        <w:tc>
          <w:tcPr>
            <w:tcW w:w="1424" w:type="dxa"/>
            <w:tcBorders>
              <w:top w:val="nil"/>
              <w:left w:val="nil"/>
              <w:bottom w:val="single" w:sz="4" w:space="0" w:color="auto"/>
              <w:right w:val="single" w:sz="4" w:space="0" w:color="auto"/>
            </w:tcBorders>
            <w:shd w:val="clear" w:color="auto" w:fill="auto"/>
            <w:noWrap/>
            <w:vAlign w:val="bottom"/>
            <w:hideMark/>
          </w:tcPr>
          <w:p w14:paraId="051EF41A" w14:textId="77777777" w:rsidR="0056467D" w:rsidRPr="0056467D" w:rsidRDefault="0056467D" w:rsidP="0056467D">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6,101,857</w:t>
            </w:r>
          </w:p>
        </w:tc>
      </w:tr>
      <w:tr w:rsidR="0056467D" w:rsidRPr="0056467D" w14:paraId="4CD6709D" w14:textId="77777777" w:rsidTr="0056467D">
        <w:trPr>
          <w:trHeight w:val="298"/>
        </w:trPr>
        <w:tc>
          <w:tcPr>
            <w:tcW w:w="4615" w:type="dxa"/>
            <w:tcBorders>
              <w:top w:val="nil"/>
              <w:left w:val="single" w:sz="4" w:space="0" w:color="auto"/>
              <w:bottom w:val="single" w:sz="4" w:space="0" w:color="auto"/>
              <w:right w:val="single" w:sz="4" w:space="0" w:color="auto"/>
            </w:tcBorders>
            <w:shd w:val="clear" w:color="auto" w:fill="auto"/>
            <w:vAlign w:val="center"/>
            <w:hideMark/>
          </w:tcPr>
          <w:p w14:paraId="4FCEF736"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 xml:space="preserve">Préstamos Otorgados a Corto Plazo </w:t>
            </w:r>
          </w:p>
        </w:tc>
        <w:tc>
          <w:tcPr>
            <w:tcW w:w="1424" w:type="dxa"/>
            <w:tcBorders>
              <w:top w:val="nil"/>
              <w:left w:val="nil"/>
              <w:bottom w:val="single" w:sz="4" w:space="0" w:color="auto"/>
              <w:right w:val="single" w:sz="4" w:space="0" w:color="auto"/>
            </w:tcBorders>
            <w:shd w:val="clear" w:color="auto" w:fill="auto"/>
            <w:noWrap/>
            <w:vAlign w:val="bottom"/>
            <w:hideMark/>
          </w:tcPr>
          <w:p w14:paraId="51EEAFAD" w14:textId="77777777" w:rsidR="0056467D" w:rsidRPr="0056467D" w:rsidRDefault="0056467D" w:rsidP="0056467D">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0</w:t>
            </w:r>
          </w:p>
        </w:tc>
      </w:tr>
      <w:tr w:rsidR="0056467D" w:rsidRPr="0056467D" w14:paraId="69B65A15" w14:textId="77777777" w:rsidTr="0056467D">
        <w:trPr>
          <w:trHeight w:val="298"/>
        </w:trPr>
        <w:tc>
          <w:tcPr>
            <w:tcW w:w="4615" w:type="dxa"/>
            <w:tcBorders>
              <w:top w:val="nil"/>
              <w:left w:val="single" w:sz="4" w:space="0" w:color="auto"/>
              <w:bottom w:val="single" w:sz="4" w:space="0" w:color="auto"/>
              <w:right w:val="single" w:sz="4" w:space="0" w:color="auto"/>
            </w:tcBorders>
            <w:shd w:val="clear" w:color="auto" w:fill="auto"/>
            <w:vAlign w:val="center"/>
            <w:hideMark/>
          </w:tcPr>
          <w:p w14:paraId="59AB1F09" w14:textId="77777777" w:rsidR="0056467D" w:rsidRPr="0056467D" w:rsidRDefault="0056467D" w:rsidP="0056467D">
            <w:pPr>
              <w:spacing w:after="0" w:line="240" w:lineRule="auto"/>
              <w:jc w:val="both"/>
              <w:rPr>
                <w:rFonts w:eastAsia="Times New Roman" w:cs="Calibri"/>
                <w:color w:val="000000"/>
                <w:sz w:val="14"/>
                <w:szCs w:val="14"/>
                <w:lang w:eastAsia="es-MX"/>
              </w:rPr>
            </w:pPr>
            <w:r w:rsidRPr="0056467D">
              <w:rPr>
                <w:rFonts w:eastAsia="Times New Roman" w:cs="Calibri"/>
                <w:color w:val="000000"/>
                <w:sz w:val="14"/>
                <w:szCs w:val="14"/>
                <w:lang w:eastAsia="es-MX"/>
              </w:rPr>
              <w:t>Otros Derechos a Recibir Efectivo o Equivalentes a Corto Plazo</w:t>
            </w:r>
          </w:p>
        </w:tc>
        <w:tc>
          <w:tcPr>
            <w:tcW w:w="1424" w:type="dxa"/>
            <w:tcBorders>
              <w:top w:val="nil"/>
              <w:left w:val="nil"/>
              <w:bottom w:val="single" w:sz="4" w:space="0" w:color="auto"/>
              <w:right w:val="single" w:sz="4" w:space="0" w:color="auto"/>
            </w:tcBorders>
            <w:shd w:val="clear" w:color="auto" w:fill="auto"/>
            <w:noWrap/>
            <w:vAlign w:val="bottom"/>
            <w:hideMark/>
          </w:tcPr>
          <w:p w14:paraId="14D27A9B" w14:textId="5C775B78" w:rsidR="0056467D" w:rsidRPr="0056467D" w:rsidRDefault="0056467D" w:rsidP="00491D83">
            <w:pPr>
              <w:spacing w:after="0" w:line="240" w:lineRule="auto"/>
              <w:jc w:val="right"/>
              <w:rPr>
                <w:rFonts w:eastAsia="Times New Roman" w:cs="Calibri"/>
                <w:color w:val="000000"/>
                <w:sz w:val="14"/>
                <w:szCs w:val="14"/>
                <w:lang w:eastAsia="es-MX"/>
              </w:rPr>
            </w:pPr>
            <w:r w:rsidRPr="0056467D">
              <w:rPr>
                <w:rFonts w:eastAsia="Times New Roman" w:cs="Calibri"/>
                <w:color w:val="000000"/>
                <w:sz w:val="14"/>
                <w:szCs w:val="14"/>
                <w:lang w:eastAsia="es-MX"/>
              </w:rPr>
              <w:t>19,877,07</w:t>
            </w:r>
            <w:r w:rsidR="00491D83">
              <w:rPr>
                <w:rFonts w:eastAsia="Times New Roman" w:cs="Calibri"/>
                <w:color w:val="000000"/>
                <w:sz w:val="14"/>
                <w:szCs w:val="14"/>
                <w:lang w:eastAsia="es-MX"/>
              </w:rPr>
              <w:t>6</w:t>
            </w:r>
          </w:p>
        </w:tc>
      </w:tr>
      <w:tr w:rsidR="0056467D" w:rsidRPr="0056467D" w14:paraId="4CDE79B2" w14:textId="77777777" w:rsidTr="0056467D">
        <w:trPr>
          <w:trHeight w:val="298"/>
        </w:trPr>
        <w:tc>
          <w:tcPr>
            <w:tcW w:w="4615" w:type="dxa"/>
            <w:tcBorders>
              <w:top w:val="nil"/>
              <w:left w:val="single" w:sz="4" w:space="0" w:color="auto"/>
              <w:bottom w:val="single" w:sz="4" w:space="0" w:color="auto"/>
              <w:right w:val="single" w:sz="4" w:space="0" w:color="auto"/>
            </w:tcBorders>
            <w:shd w:val="clear" w:color="000000" w:fill="DDC9A3"/>
            <w:vAlign w:val="center"/>
            <w:hideMark/>
          </w:tcPr>
          <w:p w14:paraId="13AAC64D" w14:textId="77777777" w:rsidR="0056467D" w:rsidRPr="0056467D" w:rsidRDefault="0056467D" w:rsidP="0056467D">
            <w:pPr>
              <w:spacing w:after="0" w:line="240" w:lineRule="auto"/>
              <w:jc w:val="center"/>
              <w:rPr>
                <w:rFonts w:eastAsia="Times New Roman" w:cs="Calibri"/>
                <w:b/>
                <w:bCs/>
                <w:color w:val="000000"/>
                <w:sz w:val="14"/>
                <w:szCs w:val="14"/>
                <w:lang w:eastAsia="es-MX"/>
              </w:rPr>
            </w:pPr>
            <w:r w:rsidRPr="0056467D">
              <w:rPr>
                <w:rFonts w:eastAsia="Times New Roman" w:cs="Calibri"/>
                <w:b/>
                <w:bCs/>
                <w:color w:val="000000"/>
                <w:sz w:val="14"/>
                <w:szCs w:val="14"/>
                <w:lang w:eastAsia="es-MX"/>
              </w:rPr>
              <w:t>TOTAL</w:t>
            </w:r>
          </w:p>
        </w:tc>
        <w:tc>
          <w:tcPr>
            <w:tcW w:w="1424" w:type="dxa"/>
            <w:tcBorders>
              <w:top w:val="nil"/>
              <w:left w:val="nil"/>
              <w:bottom w:val="single" w:sz="4" w:space="0" w:color="auto"/>
              <w:right w:val="single" w:sz="4" w:space="0" w:color="auto"/>
            </w:tcBorders>
            <w:shd w:val="clear" w:color="000000" w:fill="DDC9A3"/>
            <w:vAlign w:val="center"/>
            <w:hideMark/>
          </w:tcPr>
          <w:p w14:paraId="19863651" w14:textId="29E4D92F" w:rsidR="0056467D" w:rsidRPr="0056467D" w:rsidRDefault="0056467D" w:rsidP="00491D83">
            <w:pPr>
              <w:spacing w:after="0" w:line="240" w:lineRule="auto"/>
              <w:jc w:val="right"/>
              <w:rPr>
                <w:rFonts w:eastAsia="Times New Roman" w:cs="Calibri"/>
                <w:b/>
                <w:bCs/>
                <w:color w:val="000000"/>
                <w:sz w:val="14"/>
                <w:szCs w:val="14"/>
                <w:lang w:eastAsia="es-MX"/>
              </w:rPr>
            </w:pPr>
            <w:r w:rsidRPr="0056467D">
              <w:rPr>
                <w:rFonts w:eastAsia="Times New Roman" w:cs="Calibri"/>
                <w:b/>
                <w:bCs/>
                <w:color w:val="000000"/>
                <w:sz w:val="14"/>
                <w:szCs w:val="14"/>
                <w:lang w:eastAsia="es-MX"/>
              </w:rPr>
              <w:t>876,876,44</w:t>
            </w:r>
            <w:r w:rsidR="00491D83">
              <w:rPr>
                <w:rFonts w:eastAsia="Times New Roman" w:cs="Calibri"/>
                <w:b/>
                <w:bCs/>
                <w:color w:val="000000"/>
                <w:sz w:val="14"/>
                <w:szCs w:val="14"/>
                <w:lang w:eastAsia="es-MX"/>
              </w:rPr>
              <w:t>3</w:t>
            </w:r>
          </w:p>
        </w:tc>
      </w:tr>
    </w:tbl>
    <w:p w14:paraId="204A9E05" w14:textId="77777777" w:rsidR="00442C78" w:rsidRDefault="00442C78" w:rsidP="00442C78">
      <w:pPr>
        <w:pStyle w:val="Texto"/>
        <w:spacing w:after="0" w:line="240" w:lineRule="exact"/>
        <w:rPr>
          <w:rFonts w:asciiTheme="minorHAnsi" w:hAnsiTheme="minorHAnsi" w:cstheme="minorHAnsi"/>
          <w:sz w:val="20"/>
          <w:szCs w:val="18"/>
        </w:rPr>
      </w:pPr>
    </w:p>
    <w:p w14:paraId="40AC896E" w14:textId="77777777" w:rsidR="0056467D" w:rsidRPr="005F45A3" w:rsidRDefault="0056467D" w:rsidP="00442C78">
      <w:pPr>
        <w:pStyle w:val="Texto"/>
        <w:spacing w:after="0" w:line="240" w:lineRule="exact"/>
        <w:rPr>
          <w:rFonts w:asciiTheme="minorHAnsi" w:hAnsiTheme="minorHAnsi" w:cstheme="minorHAnsi"/>
          <w:sz w:val="20"/>
          <w:szCs w:val="18"/>
        </w:rPr>
      </w:pPr>
    </w:p>
    <w:p w14:paraId="37A961FF" w14:textId="25CE9EDD" w:rsidR="00B10C8F" w:rsidRDefault="00A0739A" w:rsidP="005E298B">
      <w:pPr>
        <w:spacing w:after="0" w:line="240" w:lineRule="auto"/>
        <w:ind w:left="426"/>
        <w:jc w:val="both"/>
        <w:rPr>
          <w:rFonts w:asciiTheme="minorHAnsi" w:hAnsiTheme="minorHAnsi" w:cstheme="minorHAnsi"/>
          <w:sz w:val="18"/>
          <w:szCs w:val="18"/>
        </w:rPr>
      </w:pPr>
      <w:r w:rsidRPr="005F45A3">
        <w:rPr>
          <w:rFonts w:asciiTheme="minorHAnsi" w:eastAsia="Times New Roman" w:hAnsiTheme="minorHAnsi" w:cstheme="minorHAnsi"/>
          <w:sz w:val="18"/>
          <w:szCs w:val="18"/>
          <w:lang w:val="es-ES" w:eastAsia="es-ES"/>
        </w:rPr>
        <w:t xml:space="preserve">Como parte de la cuenta de Derechos a Recibir Efectivo o Equivalentes, </w:t>
      </w:r>
      <w:r w:rsidR="007466B5" w:rsidRPr="005F45A3">
        <w:rPr>
          <w:rFonts w:asciiTheme="minorHAnsi" w:eastAsia="Times New Roman" w:hAnsiTheme="minorHAnsi" w:cstheme="minorHAnsi"/>
          <w:sz w:val="18"/>
          <w:szCs w:val="18"/>
          <w:lang w:val="es-ES" w:eastAsia="es-ES"/>
        </w:rPr>
        <w:t>en cuentas por cobrar se tiene el registro más significativo</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realizado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por</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el</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Fideicomiso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del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Instituto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Tamaulipeco</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de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Becas,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Estímulos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y </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Créditos</w:t>
      </w:r>
      <w:r w:rsidR="00255C09" w:rsidRPr="005F45A3">
        <w:rPr>
          <w:rFonts w:asciiTheme="minorHAnsi" w:eastAsia="Times New Roman" w:hAnsiTheme="minorHAnsi" w:cstheme="minorHAnsi"/>
          <w:sz w:val="18"/>
          <w:szCs w:val="18"/>
          <w:lang w:val="es-ES" w:eastAsia="es-ES"/>
        </w:rPr>
        <w:t xml:space="preserve"> </w:t>
      </w:r>
      <w:r w:rsidR="007466B5" w:rsidRPr="005F45A3">
        <w:rPr>
          <w:rFonts w:asciiTheme="minorHAnsi" w:eastAsia="Times New Roman" w:hAnsiTheme="minorHAnsi" w:cstheme="minorHAnsi"/>
          <w:sz w:val="18"/>
          <w:szCs w:val="18"/>
          <w:lang w:val="es-ES" w:eastAsia="es-ES"/>
        </w:rPr>
        <w:t xml:space="preserve"> Educativos (</w:t>
      </w:r>
      <w:proofErr w:type="spellStart"/>
      <w:r w:rsidR="007466B5" w:rsidRPr="005F45A3">
        <w:rPr>
          <w:rFonts w:asciiTheme="minorHAnsi" w:eastAsia="Times New Roman" w:hAnsiTheme="minorHAnsi" w:cstheme="minorHAnsi"/>
          <w:sz w:val="18"/>
          <w:szCs w:val="18"/>
          <w:lang w:val="es-ES" w:eastAsia="es-ES"/>
        </w:rPr>
        <w:t>Fitabec</w:t>
      </w:r>
      <w:proofErr w:type="spellEnd"/>
      <w:r w:rsidR="007466B5" w:rsidRPr="005F45A3">
        <w:rPr>
          <w:rFonts w:asciiTheme="minorHAnsi" w:eastAsia="Times New Roman" w:hAnsiTheme="minorHAnsi" w:cstheme="minorHAnsi"/>
          <w:sz w:val="18"/>
          <w:szCs w:val="18"/>
          <w:lang w:val="es-ES" w:eastAsia="es-ES"/>
        </w:rPr>
        <w:t xml:space="preserve">) </w:t>
      </w:r>
      <w:r w:rsidR="0000377F" w:rsidRPr="005F45A3">
        <w:rPr>
          <w:rFonts w:asciiTheme="minorHAnsi" w:eastAsia="Times New Roman" w:hAnsiTheme="minorHAnsi" w:cstheme="minorHAnsi"/>
          <w:sz w:val="18"/>
          <w:szCs w:val="18"/>
          <w:lang w:val="es-ES" w:eastAsia="es-ES"/>
        </w:rPr>
        <w:t xml:space="preserve">  </w:t>
      </w:r>
      <w:r w:rsidR="00F07C70" w:rsidRPr="005F45A3">
        <w:rPr>
          <w:rFonts w:asciiTheme="minorHAnsi" w:eastAsia="Times New Roman" w:hAnsiTheme="minorHAnsi" w:cstheme="minorHAnsi"/>
          <w:sz w:val="18"/>
          <w:szCs w:val="18"/>
          <w:lang w:val="es-ES" w:eastAsia="es-ES"/>
        </w:rPr>
        <w:t>$</w:t>
      </w:r>
      <w:r w:rsidR="00A715D0">
        <w:rPr>
          <w:rFonts w:asciiTheme="minorHAnsi" w:eastAsia="Times New Roman" w:hAnsiTheme="minorHAnsi" w:cstheme="minorHAnsi"/>
          <w:sz w:val="18"/>
          <w:szCs w:val="18"/>
          <w:lang w:val="es-ES" w:eastAsia="es-ES"/>
        </w:rPr>
        <w:t xml:space="preserve">681,991,644., </w:t>
      </w:r>
      <w:r w:rsidR="00FA7471" w:rsidRPr="005F45A3">
        <w:rPr>
          <w:rFonts w:asciiTheme="minorHAnsi" w:eastAsia="Times New Roman" w:hAnsiTheme="minorHAnsi" w:cstheme="minorHAnsi"/>
          <w:sz w:val="18"/>
          <w:szCs w:val="18"/>
          <w:lang w:val="es-ES" w:eastAsia="es-ES"/>
        </w:rPr>
        <w:t xml:space="preserve"> el</w:t>
      </w:r>
      <w:r w:rsidR="007466B5" w:rsidRPr="005F45A3">
        <w:rPr>
          <w:rFonts w:asciiTheme="minorHAnsi" w:eastAsia="Times New Roman" w:hAnsiTheme="minorHAnsi" w:cstheme="minorHAnsi"/>
          <w:sz w:val="18"/>
          <w:szCs w:val="18"/>
          <w:lang w:val="es-ES" w:eastAsia="es-ES"/>
        </w:rPr>
        <w:t xml:space="preserve"> cual realiza préstamos educativos </w:t>
      </w:r>
      <w:r w:rsidR="002927F6" w:rsidRPr="005F45A3">
        <w:rPr>
          <w:rFonts w:asciiTheme="minorHAnsi" w:eastAsia="Times New Roman" w:hAnsiTheme="minorHAnsi" w:cstheme="minorHAnsi"/>
          <w:sz w:val="18"/>
          <w:szCs w:val="18"/>
          <w:lang w:val="es-ES" w:eastAsia="es-ES"/>
        </w:rPr>
        <w:t>a partir del nivel medio superior</w:t>
      </w:r>
      <w:r w:rsidR="007466B5" w:rsidRPr="005F45A3">
        <w:rPr>
          <w:rFonts w:asciiTheme="minorHAnsi" w:eastAsia="Times New Roman" w:hAnsiTheme="minorHAnsi" w:cstheme="minorHAnsi"/>
          <w:sz w:val="18"/>
          <w:szCs w:val="18"/>
          <w:lang w:val="es-ES" w:eastAsia="es-ES"/>
        </w:rPr>
        <w:t>,</w:t>
      </w:r>
      <w:r w:rsidR="002927F6" w:rsidRPr="005F45A3">
        <w:rPr>
          <w:rFonts w:asciiTheme="minorHAnsi" w:eastAsia="Times New Roman" w:hAnsiTheme="minorHAnsi" w:cstheme="minorHAnsi"/>
          <w:sz w:val="18"/>
          <w:szCs w:val="18"/>
          <w:lang w:val="es-ES" w:eastAsia="es-ES"/>
        </w:rPr>
        <w:t xml:space="preserve"> </w:t>
      </w:r>
      <w:r w:rsidR="00824880" w:rsidRPr="005F45A3">
        <w:rPr>
          <w:rFonts w:asciiTheme="minorHAnsi" w:eastAsia="Times New Roman" w:hAnsiTheme="minorHAnsi" w:cstheme="minorHAnsi"/>
          <w:sz w:val="18"/>
          <w:szCs w:val="18"/>
          <w:lang w:val="es-ES" w:eastAsia="es-ES"/>
        </w:rPr>
        <w:t xml:space="preserve">así como </w:t>
      </w:r>
      <w:r w:rsidR="00BD5FF6" w:rsidRPr="005F45A3">
        <w:rPr>
          <w:rFonts w:asciiTheme="minorHAnsi" w:eastAsia="Times New Roman" w:hAnsiTheme="minorHAnsi" w:cstheme="minorHAnsi"/>
          <w:sz w:val="18"/>
          <w:szCs w:val="18"/>
          <w:lang w:val="es-ES" w:eastAsia="es-ES"/>
        </w:rPr>
        <w:t xml:space="preserve">el adeudo de </w:t>
      </w:r>
      <w:r w:rsidR="00000001" w:rsidRPr="005F45A3">
        <w:rPr>
          <w:rFonts w:asciiTheme="minorHAnsi" w:eastAsia="Times New Roman" w:hAnsiTheme="minorHAnsi" w:cstheme="minorHAnsi"/>
          <w:sz w:val="18"/>
          <w:szCs w:val="18"/>
          <w:lang w:val="es-ES" w:eastAsia="es-ES"/>
        </w:rPr>
        <w:t>COMAPA</w:t>
      </w:r>
      <w:r w:rsidR="00BD5FF6" w:rsidRPr="005F45A3">
        <w:rPr>
          <w:rFonts w:asciiTheme="minorHAnsi" w:eastAsia="Times New Roman" w:hAnsiTheme="minorHAnsi" w:cstheme="minorHAnsi"/>
          <w:sz w:val="18"/>
          <w:szCs w:val="18"/>
          <w:lang w:val="es-ES" w:eastAsia="es-ES"/>
        </w:rPr>
        <w:t xml:space="preserve"> </w:t>
      </w:r>
      <w:r w:rsidR="00FA7471" w:rsidRPr="005F45A3">
        <w:rPr>
          <w:rFonts w:asciiTheme="minorHAnsi" w:eastAsia="Times New Roman" w:hAnsiTheme="minorHAnsi" w:cstheme="minorHAnsi"/>
          <w:sz w:val="18"/>
          <w:szCs w:val="18"/>
          <w:lang w:val="es-ES" w:eastAsia="es-ES"/>
        </w:rPr>
        <w:t xml:space="preserve">Río Bravo </w:t>
      </w:r>
      <w:r w:rsidR="00BD5FF6" w:rsidRPr="005F45A3">
        <w:rPr>
          <w:rFonts w:asciiTheme="minorHAnsi" w:eastAsia="Times New Roman" w:hAnsiTheme="minorHAnsi" w:cstheme="minorHAnsi"/>
          <w:sz w:val="18"/>
          <w:szCs w:val="18"/>
          <w:lang w:val="es-ES" w:eastAsia="es-ES"/>
        </w:rPr>
        <w:t xml:space="preserve"> por la cantidad de $</w:t>
      </w:r>
      <w:r w:rsidR="00A715D0">
        <w:rPr>
          <w:rFonts w:asciiTheme="minorHAnsi" w:eastAsia="Times New Roman" w:hAnsiTheme="minorHAnsi" w:cstheme="minorHAnsi"/>
          <w:sz w:val="18"/>
          <w:szCs w:val="18"/>
          <w:lang w:val="es-ES" w:eastAsia="es-ES"/>
        </w:rPr>
        <w:t>5,</w:t>
      </w:r>
      <w:r w:rsidR="00491D83">
        <w:rPr>
          <w:rFonts w:asciiTheme="minorHAnsi" w:eastAsia="Times New Roman" w:hAnsiTheme="minorHAnsi" w:cstheme="minorHAnsi"/>
          <w:sz w:val="18"/>
          <w:szCs w:val="18"/>
          <w:lang w:val="es-ES" w:eastAsia="es-ES"/>
        </w:rPr>
        <w:t>716,221</w:t>
      </w:r>
      <w:r w:rsidR="00FA3619">
        <w:rPr>
          <w:rFonts w:asciiTheme="minorHAnsi" w:eastAsia="Times New Roman" w:hAnsiTheme="minorHAnsi" w:cstheme="minorHAnsi"/>
          <w:sz w:val="18"/>
          <w:szCs w:val="18"/>
          <w:lang w:val="es-ES" w:eastAsia="es-ES"/>
        </w:rPr>
        <w:t xml:space="preserve">, y la </w:t>
      </w:r>
      <w:r w:rsidR="00000001">
        <w:rPr>
          <w:rFonts w:asciiTheme="minorHAnsi" w:eastAsia="Times New Roman" w:hAnsiTheme="minorHAnsi" w:cstheme="minorHAnsi"/>
          <w:sz w:val="18"/>
          <w:szCs w:val="18"/>
          <w:lang w:val="es-ES" w:eastAsia="es-ES"/>
        </w:rPr>
        <w:t>COMAPA</w:t>
      </w:r>
      <w:r w:rsidR="00E00968">
        <w:rPr>
          <w:rFonts w:asciiTheme="minorHAnsi" w:eastAsia="Times New Roman" w:hAnsiTheme="minorHAnsi" w:cstheme="minorHAnsi"/>
          <w:sz w:val="18"/>
          <w:szCs w:val="18"/>
          <w:lang w:val="es-ES" w:eastAsia="es-ES"/>
        </w:rPr>
        <w:t xml:space="preserve"> Municipal de Reynosa  por $62,162,979</w:t>
      </w:r>
      <w:r w:rsidR="00824880" w:rsidRPr="005F45A3">
        <w:rPr>
          <w:rFonts w:asciiTheme="minorHAnsi" w:eastAsia="Times New Roman" w:hAnsiTheme="minorHAnsi" w:cstheme="minorHAnsi"/>
          <w:sz w:val="18"/>
          <w:szCs w:val="18"/>
          <w:lang w:val="es-ES" w:eastAsia="es-ES"/>
        </w:rPr>
        <w:t>, entre otras</w:t>
      </w:r>
      <w:r w:rsidR="006F7341" w:rsidRPr="005F45A3">
        <w:rPr>
          <w:rFonts w:asciiTheme="minorHAnsi" w:eastAsia="Times New Roman" w:hAnsiTheme="minorHAnsi" w:cstheme="minorHAnsi"/>
          <w:sz w:val="18"/>
          <w:szCs w:val="18"/>
          <w:lang w:val="es-ES" w:eastAsia="es-ES"/>
        </w:rPr>
        <w:t xml:space="preserve">, </w:t>
      </w:r>
      <w:r w:rsidR="002927F6" w:rsidRPr="005F45A3">
        <w:rPr>
          <w:rFonts w:asciiTheme="minorHAnsi" w:eastAsia="Times New Roman" w:hAnsiTheme="minorHAnsi" w:cstheme="minorHAnsi"/>
          <w:sz w:val="18"/>
          <w:szCs w:val="18"/>
          <w:lang w:val="es-ES" w:eastAsia="es-ES"/>
        </w:rPr>
        <w:t>t</w:t>
      </w:r>
      <w:r w:rsidR="007466B5" w:rsidRPr="005F45A3">
        <w:rPr>
          <w:rFonts w:asciiTheme="minorHAnsi" w:eastAsia="Times New Roman" w:hAnsiTheme="minorHAnsi" w:cstheme="minorHAnsi"/>
          <w:sz w:val="18"/>
          <w:szCs w:val="18"/>
          <w:lang w:val="es-ES" w:eastAsia="es-ES"/>
        </w:rPr>
        <w:t xml:space="preserve">ambién </w:t>
      </w:r>
      <w:r w:rsidRPr="005F45A3">
        <w:rPr>
          <w:rFonts w:asciiTheme="minorHAnsi" w:hAnsiTheme="minorHAnsi" w:cstheme="minorHAnsi"/>
          <w:sz w:val="18"/>
          <w:szCs w:val="18"/>
        </w:rPr>
        <w:t>se integra la partida de De</w:t>
      </w:r>
      <w:r w:rsidR="00B10C8F" w:rsidRPr="005F45A3">
        <w:rPr>
          <w:rFonts w:asciiTheme="minorHAnsi" w:hAnsiTheme="minorHAnsi" w:cstheme="minorHAnsi"/>
          <w:sz w:val="18"/>
          <w:szCs w:val="18"/>
        </w:rPr>
        <w:t xml:space="preserve">udores Diversos que incluyen la cuenta de Cheques Devueltos, por la cantidad de </w:t>
      </w:r>
      <w:r w:rsidR="00022DD2" w:rsidRPr="005F45A3">
        <w:rPr>
          <w:rFonts w:asciiTheme="minorHAnsi" w:hAnsiTheme="minorHAnsi" w:cstheme="minorHAnsi"/>
          <w:sz w:val="18"/>
          <w:szCs w:val="18"/>
        </w:rPr>
        <w:t xml:space="preserve"> </w:t>
      </w:r>
      <w:r w:rsidR="00F07C70" w:rsidRPr="005F45A3">
        <w:rPr>
          <w:rFonts w:asciiTheme="minorHAnsi" w:hAnsiTheme="minorHAnsi" w:cstheme="minorHAnsi"/>
          <w:sz w:val="18"/>
          <w:szCs w:val="18"/>
        </w:rPr>
        <w:t>$</w:t>
      </w:r>
      <w:r w:rsidR="00E00968">
        <w:rPr>
          <w:rFonts w:asciiTheme="minorHAnsi" w:hAnsiTheme="minorHAnsi" w:cstheme="minorHAnsi"/>
          <w:sz w:val="18"/>
          <w:szCs w:val="18"/>
        </w:rPr>
        <w:t>17,</w:t>
      </w:r>
      <w:r w:rsidR="00A715D0">
        <w:rPr>
          <w:rFonts w:asciiTheme="minorHAnsi" w:hAnsiTheme="minorHAnsi" w:cstheme="minorHAnsi"/>
          <w:sz w:val="18"/>
          <w:szCs w:val="18"/>
        </w:rPr>
        <w:t>268,456</w:t>
      </w:r>
      <w:r w:rsidR="00FE6A08" w:rsidRPr="005F45A3">
        <w:rPr>
          <w:rFonts w:asciiTheme="minorHAnsi" w:hAnsiTheme="minorHAnsi" w:cstheme="minorHAnsi"/>
          <w:sz w:val="18"/>
          <w:szCs w:val="18"/>
        </w:rPr>
        <w:t>,</w:t>
      </w:r>
      <w:r w:rsidR="00B10C8F" w:rsidRPr="005F45A3">
        <w:rPr>
          <w:rFonts w:asciiTheme="minorHAnsi" w:hAnsiTheme="minorHAnsi" w:cstheme="minorHAnsi"/>
          <w:sz w:val="18"/>
          <w:szCs w:val="18"/>
        </w:rPr>
        <w:t xml:space="preserve"> que corresponden a los cheques de los contribuyentes que les fueron devueltos, y que se encuentran a la fecha regis</w:t>
      </w:r>
      <w:r w:rsidR="00B64720" w:rsidRPr="005F45A3">
        <w:rPr>
          <w:rFonts w:asciiTheme="minorHAnsi" w:hAnsiTheme="minorHAnsi" w:cstheme="minorHAnsi"/>
          <w:sz w:val="18"/>
          <w:szCs w:val="18"/>
        </w:rPr>
        <w:t>trados como pendientes de cobro</w:t>
      </w:r>
      <w:r w:rsidR="00B10C8F" w:rsidRPr="005F45A3">
        <w:rPr>
          <w:rFonts w:asciiTheme="minorHAnsi" w:hAnsiTheme="minorHAnsi" w:cstheme="minorHAnsi"/>
          <w:sz w:val="18"/>
          <w:szCs w:val="18"/>
        </w:rPr>
        <w:t>.</w:t>
      </w:r>
    </w:p>
    <w:p w14:paraId="56FFD15A" w14:textId="77777777" w:rsidR="00A27A92" w:rsidRPr="005F45A3" w:rsidRDefault="00A27A92" w:rsidP="005E298B">
      <w:pPr>
        <w:spacing w:after="0" w:line="240" w:lineRule="auto"/>
        <w:ind w:left="426"/>
        <w:jc w:val="both"/>
        <w:rPr>
          <w:rFonts w:asciiTheme="minorHAnsi" w:hAnsiTheme="minorHAnsi" w:cstheme="minorHAnsi"/>
          <w:sz w:val="18"/>
          <w:szCs w:val="18"/>
        </w:rPr>
      </w:pPr>
    </w:p>
    <w:p w14:paraId="5204D4D5" w14:textId="77777777" w:rsidR="001F180F" w:rsidRPr="005F45A3" w:rsidRDefault="001F180F" w:rsidP="007466B5">
      <w:pPr>
        <w:spacing w:after="0" w:line="240" w:lineRule="auto"/>
        <w:jc w:val="both"/>
        <w:rPr>
          <w:rFonts w:asciiTheme="minorHAnsi" w:hAnsiTheme="minorHAnsi" w:cstheme="minorHAnsi"/>
          <w:sz w:val="18"/>
          <w:szCs w:val="18"/>
        </w:rPr>
      </w:pPr>
    </w:p>
    <w:p w14:paraId="1E65CFD0" w14:textId="77777777" w:rsidR="001F180F" w:rsidRPr="005F45A3" w:rsidRDefault="001F180F" w:rsidP="007466B5">
      <w:pPr>
        <w:spacing w:after="0" w:line="240" w:lineRule="auto"/>
        <w:jc w:val="both"/>
        <w:rPr>
          <w:rFonts w:asciiTheme="minorHAnsi" w:hAnsiTheme="minorHAnsi" w:cstheme="minorHAnsi"/>
          <w:sz w:val="18"/>
          <w:szCs w:val="18"/>
        </w:rPr>
      </w:pPr>
    </w:p>
    <w:p w14:paraId="4FD97CE2" w14:textId="77777777" w:rsidR="0010398F" w:rsidRPr="005F45A3" w:rsidRDefault="0010398F" w:rsidP="007466B5">
      <w:pPr>
        <w:spacing w:after="0" w:line="240" w:lineRule="auto"/>
        <w:jc w:val="both"/>
        <w:rPr>
          <w:rFonts w:asciiTheme="minorHAnsi" w:hAnsiTheme="minorHAnsi" w:cstheme="minorHAnsi"/>
          <w:sz w:val="18"/>
          <w:szCs w:val="18"/>
        </w:rPr>
      </w:pPr>
    </w:p>
    <w:tbl>
      <w:tblPr>
        <w:tblW w:w="5811" w:type="dxa"/>
        <w:tblInd w:w="421" w:type="dxa"/>
        <w:tblCellMar>
          <w:left w:w="70" w:type="dxa"/>
          <w:right w:w="70" w:type="dxa"/>
        </w:tblCellMar>
        <w:tblLook w:val="04A0" w:firstRow="1" w:lastRow="0" w:firstColumn="1" w:lastColumn="0" w:noHBand="0" w:noVBand="1"/>
      </w:tblPr>
      <w:tblGrid>
        <w:gridCol w:w="1701"/>
        <w:gridCol w:w="1707"/>
        <w:gridCol w:w="2403"/>
      </w:tblGrid>
      <w:tr w:rsidR="00A24CED" w:rsidRPr="00097C29" w14:paraId="53CC716F" w14:textId="77777777" w:rsidTr="00097C29">
        <w:trPr>
          <w:trHeight w:val="528"/>
        </w:trPr>
        <w:tc>
          <w:tcPr>
            <w:tcW w:w="1701"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7D08AA4" w14:textId="77777777" w:rsidR="00A24CED" w:rsidRPr="00097C29" w:rsidRDefault="00A24CED" w:rsidP="00A24CED">
            <w:pPr>
              <w:spacing w:after="0" w:line="240" w:lineRule="auto"/>
              <w:jc w:val="center"/>
              <w:rPr>
                <w:rFonts w:eastAsia="Times New Roman" w:cs="Calibri"/>
                <w:b/>
                <w:bCs/>
                <w:color w:val="FFFFFF"/>
                <w:sz w:val="18"/>
                <w:szCs w:val="16"/>
                <w:lang w:eastAsia="es-MX"/>
              </w:rPr>
            </w:pPr>
            <w:r w:rsidRPr="00097C29">
              <w:rPr>
                <w:rFonts w:eastAsia="Times New Roman" w:cs="Calibri"/>
                <w:b/>
                <w:bCs/>
                <w:color w:val="FFFFFF"/>
                <w:sz w:val="18"/>
                <w:szCs w:val="16"/>
                <w:lang w:eastAsia="es-MX"/>
              </w:rPr>
              <w:t>Año</w:t>
            </w:r>
          </w:p>
        </w:tc>
        <w:tc>
          <w:tcPr>
            <w:tcW w:w="1707" w:type="dxa"/>
            <w:tcBorders>
              <w:top w:val="single" w:sz="4" w:space="0" w:color="auto"/>
              <w:left w:val="nil"/>
              <w:bottom w:val="single" w:sz="4" w:space="0" w:color="auto"/>
              <w:right w:val="single" w:sz="4" w:space="0" w:color="auto"/>
            </w:tcBorders>
            <w:shd w:val="clear" w:color="000000" w:fill="AB0033"/>
            <w:vAlign w:val="center"/>
            <w:hideMark/>
          </w:tcPr>
          <w:p w14:paraId="066377BE" w14:textId="77777777" w:rsidR="00A24CED" w:rsidRPr="00097C29" w:rsidRDefault="00A24CED" w:rsidP="00A24CED">
            <w:pPr>
              <w:spacing w:after="0" w:line="240" w:lineRule="auto"/>
              <w:jc w:val="center"/>
              <w:rPr>
                <w:rFonts w:eastAsia="Times New Roman" w:cs="Calibri"/>
                <w:b/>
                <w:bCs/>
                <w:color w:val="FFFFFF"/>
                <w:sz w:val="18"/>
                <w:szCs w:val="16"/>
                <w:lang w:eastAsia="es-MX"/>
              </w:rPr>
            </w:pPr>
            <w:r w:rsidRPr="00097C29">
              <w:rPr>
                <w:rFonts w:eastAsia="Times New Roman" w:cs="Calibri"/>
                <w:b/>
                <w:bCs/>
                <w:color w:val="FFFFFF"/>
                <w:sz w:val="18"/>
                <w:szCs w:val="16"/>
                <w:lang w:eastAsia="es-MX"/>
              </w:rPr>
              <w:t>No. De Cheques</w:t>
            </w:r>
          </w:p>
        </w:tc>
        <w:tc>
          <w:tcPr>
            <w:tcW w:w="2403" w:type="dxa"/>
            <w:tcBorders>
              <w:top w:val="nil"/>
              <w:left w:val="nil"/>
              <w:bottom w:val="nil"/>
              <w:right w:val="nil"/>
            </w:tcBorders>
            <w:shd w:val="clear" w:color="000000" w:fill="AB0033"/>
            <w:vAlign w:val="center"/>
            <w:hideMark/>
          </w:tcPr>
          <w:p w14:paraId="30F57669" w14:textId="77777777" w:rsidR="00A24CED" w:rsidRPr="00097C29" w:rsidRDefault="00A24CED" w:rsidP="00A24CED">
            <w:pPr>
              <w:spacing w:after="0" w:line="240" w:lineRule="auto"/>
              <w:jc w:val="center"/>
              <w:rPr>
                <w:rFonts w:eastAsia="Times New Roman" w:cs="Calibri"/>
                <w:b/>
                <w:bCs/>
                <w:color w:val="FFFFFF"/>
                <w:sz w:val="18"/>
                <w:szCs w:val="16"/>
                <w:lang w:eastAsia="es-MX"/>
              </w:rPr>
            </w:pPr>
            <w:r w:rsidRPr="00097C29">
              <w:rPr>
                <w:rFonts w:eastAsia="Times New Roman" w:cs="Calibri"/>
                <w:b/>
                <w:bCs/>
                <w:color w:val="FFFFFF"/>
                <w:sz w:val="18"/>
                <w:szCs w:val="16"/>
                <w:lang w:eastAsia="es-MX"/>
              </w:rPr>
              <w:t>Importe</w:t>
            </w:r>
          </w:p>
        </w:tc>
      </w:tr>
      <w:tr w:rsidR="00A24CED" w:rsidRPr="00097C29" w14:paraId="090CC8E4" w14:textId="77777777" w:rsidTr="00097C29">
        <w:trPr>
          <w:trHeight w:val="499"/>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528A09D" w14:textId="77777777" w:rsidR="00A24CED" w:rsidRPr="00097C29" w:rsidRDefault="00A24CED" w:rsidP="00A24CED">
            <w:pPr>
              <w:spacing w:after="0" w:line="240" w:lineRule="auto"/>
              <w:jc w:val="center"/>
              <w:rPr>
                <w:rFonts w:eastAsia="Times New Roman" w:cs="Calibri"/>
                <w:color w:val="000000"/>
                <w:sz w:val="16"/>
                <w:szCs w:val="14"/>
                <w:lang w:eastAsia="es-MX"/>
              </w:rPr>
            </w:pPr>
            <w:r w:rsidRPr="00097C29">
              <w:rPr>
                <w:rFonts w:eastAsia="Times New Roman" w:cs="Calibri"/>
                <w:color w:val="000000"/>
                <w:sz w:val="16"/>
                <w:szCs w:val="14"/>
                <w:lang w:eastAsia="es-MX"/>
              </w:rPr>
              <w:t>Hasta 2021</w:t>
            </w:r>
          </w:p>
        </w:tc>
        <w:tc>
          <w:tcPr>
            <w:tcW w:w="1707" w:type="dxa"/>
            <w:tcBorders>
              <w:top w:val="nil"/>
              <w:left w:val="nil"/>
              <w:bottom w:val="single" w:sz="4" w:space="0" w:color="auto"/>
              <w:right w:val="single" w:sz="4" w:space="0" w:color="auto"/>
            </w:tcBorders>
            <w:shd w:val="clear" w:color="auto" w:fill="auto"/>
            <w:vAlign w:val="center"/>
            <w:hideMark/>
          </w:tcPr>
          <w:p w14:paraId="62A69973" w14:textId="77777777" w:rsidR="00A24CED" w:rsidRPr="00097C29" w:rsidRDefault="00A24CED" w:rsidP="00A24CED">
            <w:pPr>
              <w:spacing w:after="0" w:line="240" w:lineRule="auto"/>
              <w:jc w:val="center"/>
              <w:rPr>
                <w:rFonts w:eastAsia="Times New Roman" w:cs="Calibri"/>
                <w:color w:val="000000"/>
                <w:sz w:val="16"/>
                <w:szCs w:val="14"/>
                <w:lang w:eastAsia="es-MX"/>
              </w:rPr>
            </w:pPr>
            <w:r w:rsidRPr="00097C29">
              <w:rPr>
                <w:rFonts w:eastAsia="Times New Roman" w:cs="Calibri"/>
                <w:color w:val="000000"/>
                <w:sz w:val="16"/>
                <w:szCs w:val="14"/>
                <w:lang w:eastAsia="es-MX"/>
              </w:rPr>
              <w:t>848</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14:paraId="2C59B8A1" w14:textId="77777777" w:rsidR="00A24CED" w:rsidRPr="00097C29" w:rsidRDefault="00A24CED" w:rsidP="00A24CED">
            <w:pPr>
              <w:spacing w:after="0" w:line="240" w:lineRule="auto"/>
              <w:jc w:val="right"/>
              <w:rPr>
                <w:rFonts w:eastAsia="Times New Roman" w:cs="Calibri"/>
                <w:color w:val="000000"/>
                <w:sz w:val="16"/>
                <w:szCs w:val="14"/>
                <w:lang w:eastAsia="es-MX"/>
              </w:rPr>
            </w:pPr>
            <w:r w:rsidRPr="00097C29">
              <w:rPr>
                <w:rFonts w:eastAsia="Times New Roman" w:cs="Calibri"/>
                <w:color w:val="000000"/>
                <w:sz w:val="16"/>
                <w:szCs w:val="14"/>
                <w:lang w:eastAsia="es-MX"/>
              </w:rPr>
              <w:t>16,947,828</w:t>
            </w:r>
          </w:p>
        </w:tc>
      </w:tr>
      <w:tr w:rsidR="00A24CED" w:rsidRPr="00097C29" w14:paraId="3DC1D0C8" w14:textId="77777777" w:rsidTr="00097C29">
        <w:trPr>
          <w:trHeight w:val="499"/>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A83827B" w14:textId="77777777" w:rsidR="00A24CED" w:rsidRPr="00097C29" w:rsidRDefault="00A24CED" w:rsidP="00A24CED">
            <w:pPr>
              <w:spacing w:after="0" w:line="240" w:lineRule="auto"/>
              <w:jc w:val="center"/>
              <w:rPr>
                <w:rFonts w:eastAsia="Times New Roman" w:cs="Calibri"/>
                <w:color w:val="000000"/>
                <w:sz w:val="16"/>
                <w:szCs w:val="14"/>
                <w:lang w:eastAsia="es-MX"/>
              </w:rPr>
            </w:pPr>
            <w:r w:rsidRPr="00097C29">
              <w:rPr>
                <w:rFonts w:eastAsia="Times New Roman" w:cs="Calibri"/>
                <w:color w:val="000000"/>
                <w:sz w:val="16"/>
                <w:szCs w:val="14"/>
                <w:lang w:eastAsia="es-MX"/>
              </w:rPr>
              <w:t>2022</w:t>
            </w:r>
          </w:p>
        </w:tc>
        <w:tc>
          <w:tcPr>
            <w:tcW w:w="1707" w:type="dxa"/>
            <w:tcBorders>
              <w:top w:val="nil"/>
              <w:left w:val="nil"/>
              <w:bottom w:val="single" w:sz="4" w:space="0" w:color="auto"/>
              <w:right w:val="single" w:sz="4" w:space="0" w:color="auto"/>
            </w:tcBorders>
            <w:shd w:val="clear" w:color="auto" w:fill="auto"/>
            <w:vAlign w:val="center"/>
            <w:hideMark/>
          </w:tcPr>
          <w:p w14:paraId="3231969B" w14:textId="77777777" w:rsidR="00A24CED" w:rsidRPr="00097C29" w:rsidRDefault="00A24CED" w:rsidP="00A24CED">
            <w:pPr>
              <w:spacing w:after="0" w:line="240" w:lineRule="auto"/>
              <w:jc w:val="center"/>
              <w:rPr>
                <w:rFonts w:eastAsia="Times New Roman" w:cs="Calibri"/>
                <w:color w:val="000000"/>
                <w:sz w:val="16"/>
                <w:szCs w:val="14"/>
                <w:lang w:eastAsia="es-MX"/>
              </w:rPr>
            </w:pPr>
            <w:r w:rsidRPr="00097C29">
              <w:rPr>
                <w:rFonts w:eastAsia="Times New Roman" w:cs="Calibri"/>
                <w:color w:val="000000"/>
                <w:sz w:val="16"/>
                <w:szCs w:val="14"/>
                <w:lang w:eastAsia="es-MX"/>
              </w:rPr>
              <w:t>23</w:t>
            </w:r>
          </w:p>
        </w:tc>
        <w:tc>
          <w:tcPr>
            <w:tcW w:w="2403" w:type="dxa"/>
            <w:tcBorders>
              <w:top w:val="nil"/>
              <w:left w:val="nil"/>
              <w:bottom w:val="single" w:sz="4" w:space="0" w:color="auto"/>
              <w:right w:val="single" w:sz="4" w:space="0" w:color="auto"/>
            </w:tcBorders>
            <w:shd w:val="clear" w:color="auto" w:fill="auto"/>
            <w:vAlign w:val="center"/>
            <w:hideMark/>
          </w:tcPr>
          <w:p w14:paraId="336B7DB1" w14:textId="77777777" w:rsidR="00A24CED" w:rsidRPr="00097C29" w:rsidRDefault="00A24CED" w:rsidP="00A24CED">
            <w:pPr>
              <w:spacing w:after="0" w:line="240" w:lineRule="auto"/>
              <w:jc w:val="right"/>
              <w:rPr>
                <w:rFonts w:eastAsia="Times New Roman" w:cs="Calibri"/>
                <w:color w:val="000000"/>
                <w:sz w:val="16"/>
                <w:szCs w:val="14"/>
                <w:lang w:eastAsia="es-MX"/>
              </w:rPr>
            </w:pPr>
            <w:r w:rsidRPr="00097C29">
              <w:rPr>
                <w:rFonts w:eastAsia="Times New Roman" w:cs="Calibri"/>
                <w:color w:val="000000"/>
                <w:sz w:val="16"/>
                <w:szCs w:val="14"/>
                <w:lang w:eastAsia="es-MX"/>
              </w:rPr>
              <w:t>320,628</w:t>
            </w:r>
          </w:p>
        </w:tc>
      </w:tr>
      <w:tr w:rsidR="00A24CED" w:rsidRPr="00097C29" w14:paraId="3E0CD0BA" w14:textId="77777777" w:rsidTr="00097C29">
        <w:trPr>
          <w:trHeight w:val="499"/>
        </w:trPr>
        <w:tc>
          <w:tcPr>
            <w:tcW w:w="1701" w:type="dxa"/>
            <w:tcBorders>
              <w:top w:val="nil"/>
              <w:left w:val="single" w:sz="4" w:space="0" w:color="auto"/>
              <w:bottom w:val="single" w:sz="4" w:space="0" w:color="auto"/>
              <w:right w:val="single" w:sz="4" w:space="0" w:color="auto"/>
            </w:tcBorders>
            <w:shd w:val="clear" w:color="000000" w:fill="DDC9A3"/>
            <w:vAlign w:val="center"/>
            <w:hideMark/>
          </w:tcPr>
          <w:p w14:paraId="4F736E8F" w14:textId="77777777" w:rsidR="00A24CED" w:rsidRPr="00097C29" w:rsidRDefault="00A24CED" w:rsidP="00A24CED">
            <w:pPr>
              <w:spacing w:after="0" w:line="240" w:lineRule="auto"/>
              <w:jc w:val="center"/>
              <w:rPr>
                <w:rFonts w:eastAsia="Times New Roman" w:cs="Calibri"/>
                <w:b/>
                <w:bCs/>
                <w:color w:val="000000"/>
                <w:sz w:val="16"/>
                <w:szCs w:val="14"/>
                <w:lang w:eastAsia="es-MX"/>
              </w:rPr>
            </w:pPr>
            <w:r w:rsidRPr="00097C29">
              <w:rPr>
                <w:rFonts w:eastAsia="Times New Roman" w:cs="Calibri"/>
                <w:b/>
                <w:bCs/>
                <w:color w:val="000000"/>
                <w:sz w:val="16"/>
                <w:szCs w:val="14"/>
                <w:lang w:eastAsia="es-MX"/>
              </w:rPr>
              <w:t xml:space="preserve">Total </w:t>
            </w:r>
          </w:p>
        </w:tc>
        <w:tc>
          <w:tcPr>
            <w:tcW w:w="1707" w:type="dxa"/>
            <w:tcBorders>
              <w:top w:val="nil"/>
              <w:left w:val="nil"/>
              <w:bottom w:val="single" w:sz="4" w:space="0" w:color="auto"/>
              <w:right w:val="single" w:sz="4" w:space="0" w:color="auto"/>
            </w:tcBorders>
            <w:shd w:val="clear" w:color="000000" w:fill="DDC9A3"/>
            <w:vAlign w:val="center"/>
            <w:hideMark/>
          </w:tcPr>
          <w:p w14:paraId="1A653EFD" w14:textId="77777777" w:rsidR="00A24CED" w:rsidRPr="00097C29" w:rsidRDefault="00A24CED" w:rsidP="00A24CED">
            <w:pPr>
              <w:spacing w:after="0" w:line="240" w:lineRule="auto"/>
              <w:jc w:val="center"/>
              <w:rPr>
                <w:rFonts w:eastAsia="Times New Roman" w:cs="Calibri"/>
                <w:b/>
                <w:bCs/>
                <w:color w:val="000000"/>
                <w:sz w:val="16"/>
                <w:szCs w:val="14"/>
                <w:lang w:eastAsia="es-MX"/>
              </w:rPr>
            </w:pPr>
            <w:r w:rsidRPr="00097C29">
              <w:rPr>
                <w:rFonts w:eastAsia="Times New Roman" w:cs="Calibri"/>
                <w:b/>
                <w:bCs/>
                <w:color w:val="000000"/>
                <w:sz w:val="16"/>
                <w:szCs w:val="14"/>
                <w:lang w:eastAsia="es-MX"/>
              </w:rPr>
              <w:t>871</w:t>
            </w:r>
          </w:p>
        </w:tc>
        <w:tc>
          <w:tcPr>
            <w:tcW w:w="2403" w:type="dxa"/>
            <w:tcBorders>
              <w:top w:val="nil"/>
              <w:left w:val="nil"/>
              <w:bottom w:val="single" w:sz="4" w:space="0" w:color="auto"/>
              <w:right w:val="single" w:sz="4" w:space="0" w:color="auto"/>
            </w:tcBorders>
            <w:shd w:val="clear" w:color="000000" w:fill="DDC9A3"/>
            <w:vAlign w:val="center"/>
            <w:hideMark/>
          </w:tcPr>
          <w:p w14:paraId="392E3DFC" w14:textId="77777777" w:rsidR="00A24CED" w:rsidRPr="00097C29" w:rsidRDefault="00A24CED" w:rsidP="00A24CED">
            <w:pPr>
              <w:spacing w:after="0" w:line="240" w:lineRule="auto"/>
              <w:jc w:val="right"/>
              <w:rPr>
                <w:rFonts w:eastAsia="Times New Roman" w:cs="Calibri"/>
                <w:b/>
                <w:bCs/>
                <w:color w:val="000000"/>
                <w:sz w:val="16"/>
                <w:szCs w:val="14"/>
                <w:lang w:eastAsia="es-MX"/>
              </w:rPr>
            </w:pPr>
            <w:r w:rsidRPr="00097C29">
              <w:rPr>
                <w:rFonts w:eastAsia="Times New Roman" w:cs="Calibri"/>
                <w:b/>
                <w:bCs/>
                <w:color w:val="000000"/>
                <w:sz w:val="16"/>
                <w:szCs w:val="14"/>
                <w:lang w:eastAsia="es-MX"/>
              </w:rPr>
              <w:t>17,268,456</w:t>
            </w:r>
          </w:p>
        </w:tc>
      </w:tr>
    </w:tbl>
    <w:p w14:paraId="6598D2C6" w14:textId="06BDFF09" w:rsidR="0010398F" w:rsidRPr="005F45A3" w:rsidRDefault="0010398F" w:rsidP="007466B5">
      <w:pPr>
        <w:spacing w:after="0" w:line="240" w:lineRule="auto"/>
        <w:jc w:val="both"/>
        <w:rPr>
          <w:rFonts w:asciiTheme="minorHAnsi" w:hAnsiTheme="minorHAnsi" w:cstheme="minorHAnsi"/>
          <w:sz w:val="18"/>
          <w:szCs w:val="18"/>
        </w:rPr>
      </w:pPr>
    </w:p>
    <w:p w14:paraId="3CC0464C" w14:textId="774B1371" w:rsidR="00684777" w:rsidRDefault="00684777" w:rsidP="00684777">
      <w:pPr>
        <w:spacing w:after="0" w:line="240" w:lineRule="auto"/>
        <w:jc w:val="both"/>
        <w:rPr>
          <w:rFonts w:asciiTheme="minorHAnsi" w:hAnsiTheme="minorHAnsi" w:cstheme="minorHAnsi"/>
          <w:szCs w:val="18"/>
        </w:rPr>
      </w:pPr>
    </w:p>
    <w:p w14:paraId="7AFE07A1" w14:textId="14E564A9" w:rsidR="00B10C8F" w:rsidRPr="00644149" w:rsidRDefault="0032703A" w:rsidP="00F36460">
      <w:pPr>
        <w:tabs>
          <w:tab w:val="left" w:pos="426"/>
        </w:tabs>
        <w:spacing w:after="0" w:line="240" w:lineRule="auto"/>
        <w:ind w:left="426"/>
        <w:jc w:val="both"/>
        <w:rPr>
          <w:rFonts w:asciiTheme="minorHAnsi" w:hAnsiTheme="minorHAnsi" w:cstheme="minorHAnsi"/>
          <w:sz w:val="18"/>
          <w:szCs w:val="18"/>
        </w:rPr>
      </w:pPr>
      <w:r w:rsidRPr="00644149">
        <w:rPr>
          <w:rFonts w:asciiTheme="minorHAnsi" w:hAnsiTheme="minorHAnsi" w:cstheme="minorHAnsi"/>
          <w:sz w:val="18"/>
          <w:szCs w:val="18"/>
        </w:rPr>
        <w:t xml:space="preserve">El renglón de Otros Derechos a Recibir Efectivo o Equivalentes se constituye </w:t>
      </w:r>
      <w:r w:rsidR="008A5AD9" w:rsidRPr="00644149">
        <w:rPr>
          <w:rFonts w:asciiTheme="minorHAnsi" w:hAnsiTheme="minorHAnsi" w:cstheme="minorHAnsi"/>
          <w:sz w:val="18"/>
          <w:szCs w:val="18"/>
        </w:rPr>
        <w:t>por</w:t>
      </w:r>
      <w:r w:rsidRPr="00644149">
        <w:rPr>
          <w:rFonts w:asciiTheme="minorHAnsi" w:hAnsiTheme="minorHAnsi" w:cstheme="minorHAnsi"/>
          <w:sz w:val="18"/>
          <w:szCs w:val="18"/>
        </w:rPr>
        <w:t xml:space="preserve"> $</w:t>
      </w:r>
      <w:r w:rsidR="00A715D0">
        <w:rPr>
          <w:rFonts w:asciiTheme="minorHAnsi" w:hAnsiTheme="minorHAnsi" w:cstheme="minorHAnsi"/>
          <w:sz w:val="18"/>
          <w:szCs w:val="18"/>
        </w:rPr>
        <w:t>17</w:t>
      </w:r>
      <w:proofErr w:type="gramStart"/>
      <w:r w:rsidR="00A715D0">
        <w:rPr>
          <w:rFonts w:asciiTheme="minorHAnsi" w:hAnsiTheme="minorHAnsi" w:cstheme="minorHAnsi"/>
          <w:sz w:val="18"/>
          <w:szCs w:val="18"/>
        </w:rPr>
        <w:t>,346,43</w:t>
      </w:r>
      <w:r w:rsidR="001E05D3">
        <w:rPr>
          <w:rFonts w:asciiTheme="minorHAnsi" w:hAnsiTheme="minorHAnsi" w:cstheme="minorHAnsi"/>
          <w:sz w:val="18"/>
          <w:szCs w:val="18"/>
        </w:rPr>
        <w:t>7</w:t>
      </w:r>
      <w:proofErr w:type="gramEnd"/>
      <w:r w:rsidR="00E00968" w:rsidRPr="00644149">
        <w:rPr>
          <w:rFonts w:asciiTheme="minorHAnsi" w:hAnsiTheme="minorHAnsi" w:cstheme="minorHAnsi"/>
          <w:sz w:val="18"/>
          <w:szCs w:val="18"/>
        </w:rPr>
        <w:t>, que corre</w:t>
      </w:r>
      <w:r w:rsidRPr="00644149">
        <w:rPr>
          <w:rFonts w:asciiTheme="minorHAnsi" w:hAnsiTheme="minorHAnsi" w:cstheme="minorHAnsi"/>
          <w:sz w:val="18"/>
          <w:szCs w:val="18"/>
        </w:rPr>
        <w:t>sponde</w:t>
      </w:r>
      <w:r w:rsidR="00B4473A" w:rsidRPr="00644149">
        <w:rPr>
          <w:rFonts w:asciiTheme="minorHAnsi" w:hAnsiTheme="minorHAnsi" w:cstheme="minorHAnsi"/>
          <w:sz w:val="18"/>
          <w:szCs w:val="18"/>
        </w:rPr>
        <w:t xml:space="preserve">n al ingreso del último día hábil de la recaudación en las Oficinas Fiscales del Estado y </w:t>
      </w:r>
      <w:r w:rsidR="008A5AD9" w:rsidRPr="00644149">
        <w:rPr>
          <w:rFonts w:asciiTheme="minorHAnsi" w:hAnsiTheme="minorHAnsi" w:cstheme="minorHAnsi"/>
          <w:sz w:val="18"/>
          <w:szCs w:val="18"/>
        </w:rPr>
        <w:t xml:space="preserve">por </w:t>
      </w:r>
      <w:r w:rsidR="00B4473A" w:rsidRPr="00644149">
        <w:rPr>
          <w:rFonts w:asciiTheme="minorHAnsi" w:hAnsiTheme="minorHAnsi" w:cstheme="minorHAnsi"/>
          <w:sz w:val="18"/>
          <w:szCs w:val="18"/>
        </w:rPr>
        <w:t xml:space="preserve">la cantidad de </w:t>
      </w:r>
      <w:r w:rsidRPr="00644149">
        <w:rPr>
          <w:rFonts w:asciiTheme="minorHAnsi" w:hAnsiTheme="minorHAnsi" w:cstheme="minorHAnsi"/>
          <w:sz w:val="18"/>
          <w:szCs w:val="18"/>
        </w:rPr>
        <w:t>$</w:t>
      </w:r>
      <w:r w:rsidR="00A715D0">
        <w:rPr>
          <w:rFonts w:asciiTheme="minorHAnsi" w:hAnsiTheme="minorHAnsi" w:cstheme="minorHAnsi"/>
          <w:sz w:val="18"/>
          <w:szCs w:val="18"/>
        </w:rPr>
        <w:t>2,530,638</w:t>
      </w:r>
      <w:r w:rsidRPr="00644149">
        <w:rPr>
          <w:rFonts w:asciiTheme="minorHAnsi" w:hAnsiTheme="minorHAnsi" w:cstheme="minorHAnsi"/>
          <w:sz w:val="18"/>
          <w:szCs w:val="18"/>
        </w:rPr>
        <w:t xml:space="preserve">, </w:t>
      </w:r>
      <w:r w:rsidR="00BD5FF6" w:rsidRPr="00644149">
        <w:rPr>
          <w:rFonts w:asciiTheme="minorHAnsi" w:hAnsiTheme="minorHAnsi" w:cstheme="minorHAnsi"/>
          <w:sz w:val="18"/>
          <w:szCs w:val="18"/>
        </w:rPr>
        <w:t xml:space="preserve">correspondiente al </w:t>
      </w:r>
      <w:r w:rsidRPr="00644149">
        <w:rPr>
          <w:rFonts w:asciiTheme="minorHAnsi" w:hAnsiTheme="minorHAnsi" w:cstheme="minorHAnsi"/>
          <w:sz w:val="18"/>
          <w:szCs w:val="18"/>
        </w:rPr>
        <w:t xml:space="preserve"> Fideicomiso del Puente</w:t>
      </w:r>
      <w:r w:rsidR="00BD5FF6" w:rsidRPr="00644149">
        <w:rPr>
          <w:rFonts w:asciiTheme="minorHAnsi" w:hAnsiTheme="minorHAnsi" w:cstheme="minorHAnsi"/>
          <w:sz w:val="18"/>
          <w:szCs w:val="18"/>
        </w:rPr>
        <w:t xml:space="preserve"> Internacional Nuevo Laredo III.</w:t>
      </w:r>
    </w:p>
    <w:p w14:paraId="7E77A219" w14:textId="77777777" w:rsidR="00642CB2" w:rsidRPr="005F45A3" w:rsidRDefault="00642CB2" w:rsidP="00A0739A">
      <w:pPr>
        <w:pStyle w:val="Texto"/>
        <w:spacing w:after="0" w:line="240" w:lineRule="exact"/>
        <w:ind w:firstLine="0"/>
        <w:rPr>
          <w:rFonts w:asciiTheme="minorHAnsi" w:hAnsiTheme="minorHAnsi" w:cstheme="minorHAnsi"/>
          <w:szCs w:val="18"/>
        </w:rPr>
      </w:pPr>
    </w:p>
    <w:p w14:paraId="6ACD8166" w14:textId="77777777" w:rsidR="00684777" w:rsidRDefault="00684777" w:rsidP="00CE51A6">
      <w:pPr>
        <w:pStyle w:val="Texto"/>
        <w:spacing w:after="0" w:line="240" w:lineRule="exact"/>
        <w:ind w:firstLine="646"/>
        <w:rPr>
          <w:rFonts w:asciiTheme="minorHAnsi" w:hAnsiTheme="minorHAnsi" w:cstheme="minorHAnsi"/>
          <w:b/>
          <w:i/>
          <w:sz w:val="20"/>
          <w:szCs w:val="18"/>
        </w:rPr>
      </w:pPr>
    </w:p>
    <w:p w14:paraId="4E92879A" w14:textId="37559F50" w:rsidR="00CE51A6" w:rsidRPr="005F45A3" w:rsidRDefault="00CE51A6" w:rsidP="00596F28">
      <w:pPr>
        <w:pStyle w:val="Texto"/>
        <w:spacing w:after="0" w:line="240" w:lineRule="exact"/>
        <w:ind w:firstLine="0"/>
        <w:rPr>
          <w:rFonts w:asciiTheme="minorHAnsi" w:hAnsiTheme="minorHAnsi" w:cstheme="minorHAnsi"/>
          <w:b/>
          <w:i/>
          <w:sz w:val="20"/>
          <w:szCs w:val="18"/>
        </w:rPr>
      </w:pPr>
      <w:r w:rsidRPr="005F45A3">
        <w:rPr>
          <w:rFonts w:asciiTheme="minorHAnsi" w:hAnsiTheme="minorHAnsi" w:cstheme="minorHAnsi"/>
          <w:b/>
          <w:i/>
          <w:sz w:val="20"/>
          <w:szCs w:val="18"/>
        </w:rPr>
        <w:t xml:space="preserve">DERECHOS A RECIBIR BIENES O SERVICIOS  </w:t>
      </w:r>
    </w:p>
    <w:p w14:paraId="6668F5C9" w14:textId="77777777" w:rsidR="00CE51A6" w:rsidRPr="005F45A3" w:rsidRDefault="00CE51A6" w:rsidP="00A0739A">
      <w:pPr>
        <w:pStyle w:val="Texto"/>
        <w:spacing w:after="0" w:line="240" w:lineRule="exact"/>
        <w:ind w:firstLine="0"/>
        <w:rPr>
          <w:rFonts w:asciiTheme="minorHAnsi" w:hAnsiTheme="minorHAnsi" w:cstheme="minorHAnsi"/>
          <w:szCs w:val="18"/>
        </w:rPr>
      </w:pPr>
    </w:p>
    <w:p w14:paraId="63AA0DDD" w14:textId="77777777" w:rsidR="005F788C" w:rsidRPr="005F45A3" w:rsidRDefault="005F788C" w:rsidP="00C250D2">
      <w:pPr>
        <w:pStyle w:val="Texto"/>
        <w:numPr>
          <w:ilvl w:val="0"/>
          <w:numId w:val="22"/>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 xml:space="preserve">Derechos a Recibir Bienes o Servicios </w:t>
      </w:r>
    </w:p>
    <w:p w14:paraId="0DE2BC11" w14:textId="77777777" w:rsidR="00017B64" w:rsidRPr="005F45A3" w:rsidRDefault="00017B64" w:rsidP="00A0739A">
      <w:pPr>
        <w:pStyle w:val="Texto"/>
        <w:spacing w:after="0" w:line="240" w:lineRule="exact"/>
        <w:ind w:firstLine="0"/>
        <w:rPr>
          <w:rFonts w:asciiTheme="minorHAnsi" w:hAnsiTheme="minorHAnsi" w:cstheme="minorHAnsi"/>
          <w:szCs w:val="18"/>
        </w:rPr>
      </w:pPr>
      <w:r w:rsidRPr="005F45A3">
        <w:rPr>
          <w:rFonts w:asciiTheme="minorHAnsi" w:hAnsiTheme="minorHAnsi" w:cstheme="minorHAnsi"/>
          <w:szCs w:val="18"/>
        </w:rPr>
        <w:t xml:space="preserve">                </w:t>
      </w:r>
    </w:p>
    <w:tbl>
      <w:tblPr>
        <w:tblW w:w="7538" w:type="dxa"/>
        <w:tblInd w:w="537" w:type="dxa"/>
        <w:tblCellMar>
          <w:left w:w="70" w:type="dxa"/>
          <w:right w:w="70" w:type="dxa"/>
        </w:tblCellMar>
        <w:tblLook w:val="04A0" w:firstRow="1" w:lastRow="0" w:firstColumn="1" w:lastColumn="0" w:noHBand="0" w:noVBand="1"/>
      </w:tblPr>
      <w:tblGrid>
        <w:gridCol w:w="5554"/>
        <w:gridCol w:w="1984"/>
      </w:tblGrid>
      <w:tr w:rsidR="00C94957" w:rsidRPr="00097C29" w14:paraId="07E2233F" w14:textId="77777777" w:rsidTr="00097C29">
        <w:trPr>
          <w:trHeight w:val="496"/>
        </w:trPr>
        <w:tc>
          <w:tcPr>
            <w:tcW w:w="5554"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7F97A98" w14:textId="77777777" w:rsidR="00C94957" w:rsidRPr="00097C29" w:rsidRDefault="00C94957" w:rsidP="00C94957">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 xml:space="preserve">Descripción de la Cuenta </w:t>
            </w:r>
          </w:p>
        </w:tc>
        <w:tc>
          <w:tcPr>
            <w:tcW w:w="1984" w:type="dxa"/>
            <w:tcBorders>
              <w:top w:val="single" w:sz="4" w:space="0" w:color="auto"/>
              <w:left w:val="nil"/>
              <w:bottom w:val="single" w:sz="4" w:space="0" w:color="auto"/>
              <w:right w:val="single" w:sz="4" w:space="0" w:color="auto"/>
            </w:tcBorders>
            <w:shd w:val="clear" w:color="000000" w:fill="AB0033"/>
            <w:vAlign w:val="center"/>
            <w:hideMark/>
          </w:tcPr>
          <w:p w14:paraId="18E0EC9E" w14:textId="77777777" w:rsidR="00C94957" w:rsidRPr="00097C29" w:rsidRDefault="00C94957" w:rsidP="00C94957">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 xml:space="preserve">Importe </w:t>
            </w:r>
          </w:p>
        </w:tc>
      </w:tr>
      <w:tr w:rsidR="00C94957" w:rsidRPr="00097C29" w14:paraId="091D6D37" w14:textId="77777777" w:rsidTr="00097C29">
        <w:trPr>
          <w:trHeight w:val="489"/>
        </w:trPr>
        <w:tc>
          <w:tcPr>
            <w:tcW w:w="5554" w:type="dxa"/>
            <w:tcBorders>
              <w:top w:val="nil"/>
              <w:left w:val="single" w:sz="4" w:space="0" w:color="auto"/>
              <w:bottom w:val="single" w:sz="4" w:space="0" w:color="auto"/>
              <w:right w:val="single" w:sz="4" w:space="0" w:color="auto"/>
            </w:tcBorders>
            <w:shd w:val="clear" w:color="auto" w:fill="auto"/>
            <w:vAlign w:val="center"/>
            <w:hideMark/>
          </w:tcPr>
          <w:p w14:paraId="096EE40F" w14:textId="77777777" w:rsidR="00C94957" w:rsidRPr="00097C29" w:rsidRDefault="00C94957" w:rsidP="00C94957">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Anticipos a Proveedores por Adquisición de Bienes y Prestación de Servicios  a Corto Plazo</w:t>
            </w:r>
          </w:p>
        </w:tc>
        <w:tc>
          <w:tcPr>
            <w:tcW w:w="1984" w:type="dxa"/>
            <w:tcBorders>
              <w:top w:val="nil"/>
              <w:left w:val="nil"/>
              <w:bottom w:val="single" w:sz="4" w:space="0" w:color="auto"/>
              <w:right w:val="single" w:sz="4" w:space="0" w:color="auto"/>
            </w:tcBorders>
            <w:shd w:val="clear" w:color="auto" w:fill="auto"/>
            <w:noWrap/>
            <w:vAlign w:val="center"/>
            <w:hideMark/>
          </w:tcPr>
          <w:p w14:paraId="7E2FC174" w14:textId="77777777" w:rsidR="00C94957" w:rsidRPr="00097C29" w:rsidRDefault="00C94957" w:rsidP="00C94957">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42,319,800</w:t>
            </w:r>
          </w:p>
        </w:tc>
      </w:tr>
      <w:tr w:rsidR="00C94957" w:rsidRPr="00097C29" w14:paraId="74E81123" w14:textId="77777777" w:rsidTr="00097C29">
        <w:trPr>
          <w:trHeight w:val="489"/>
        </w:trPr>
        <w:tc>
          <w:tcPr>
            <w:tcW w:w="5554" w:type="dxa"/>
            <w:tcBorders>
              <w:top w:val="nil"/>
              <w:left w:val="single" w:sz="4" w:space="0" w:color="auto"/>
              <w:bottom w:val="single" w:sz="4" w:space="0" w:color="auto"/>
              <w:right w:val="single" w:sz="4" w:space="0" w:color="auto"/>
            </w:tcBorders>
            <w:shd w:val="clear" w:color="auto" w:fill="auto"/>
            <w:vAlign w:val="center"/>
            <w:hideMark/>
          </w:tcPr>
          <w:p w14:paraId="48F38403" w14:textId="77777777" w:rsidR="00C94957" w:rsidRPr="00097C29" w:rsidRDefault="00C94957" w:rsidP="00C94957">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Anticipos a Proveedores por Adquisición de Bienes Muebles e Inmuebles a Corto Plazo</w:t>
            </w:r>
          </w:p>
        </w:tc>
        <w:tc>
          <w:tcPr>
            <w:tcW w:w="1984" w:type="dxa"/>
            <w:tcBorders>
              <w:top w:val="nil"/>
              <w:left w:val="nil"/>
              <w:bottom w:val="single" w:sz="4" w:space="0" w:color="auto"/>
              <w:right w:val="single" w:sz="4" w:space="0" w:color="auto"/>
            </w:tcBorders>
            <w:shd w:val="clear" w:color="auto" w:fill="auto"/>
            <w:noWrap/>
            <w:vAlign w:val="center"/>
            <w:hideMark/>
          </w:tcPr>
          <w:p w14:paraId="411C474C" w14:textId="77777777" w:rsidR="00C94957" w:rsidRPr="00097C29" w:rsidRDefault="00C94957" w:rsidP="00C94957">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0</w:t>
            </w:r>
          </w:p>
        </w:tc>
      </w:tr>
      <w:tr w:rsidR="00C94957" w:rsidRPr="00097C29" w14:paraId="3EB2551C" w14:textId="77777777" w:rsidTr="00097C29">
        <w:trPr>
          <w:trHeight w:val="489"/>
        </w:trPr>
        <w:tc>
          <w:tcPr>
            <w:tcW w:w="5554" w:type="dxa"/>
            <w:tcBorders>
              <w:top w:val="nil"/>
              <w:left w:val="single" w:sz="4" w:space="0" w:color="auto"/>
              <w:bottom w:val="single" w:sz="4" w:space="0" w:color="auto"/>
              <w:right w:val="single" w:sz="4" w:space="0" w:color="auto"/>
            </w:tcBorders>
            <w:shd w:val="clear" w:color="auto" w:fill="auto"/>
            <w:vAlign w:val="center"/>
            <w:hideMark/>
          </w:tcPr>
          <w:p w14:paraId="05E66674" w14:textId="77777777" w:rsidR="00C94957" w:rsidRPr="00097C29" w:rsidRDefault="00C94957" w:rsidP="00C94957">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Anticipo a Contratistas por Obras Publicas a Corto Plazo</w:t>
            </w:r>
          </w:p>
        </w:tc>
        <w:tc>
          <w:tcPr>
            <w:tcW w:w="1984" w:type="dxa"/>
            <w:tcBorders>
              <w:top w:val="nil"/>
              <w:left w:val="nil"/>
              <w:bottom w:val="single" w:sz="4" w:space="0" w:color="auto"/>
              <w:right w:val="single" w:sz="4" w:space="0" w:color="auto"/>
            </w:tcBorders>
            <w:shd w:val="clear" w:color="auto" w:fill="auto"/>
            <w:noWrap/>
            <w:vAlign w:val="center"/>
            <w:hideMark/>
          </w:tcPr>
          <w:p w14:paraId="72F511A1" w14:textId="77777777" w:rsidR="00C94957" w:rsidRPr="00097C29" w:rsidRDefault="00C94957" w:rsidP="00C94957">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216,187,022</w:t>
            </w:r>
          </w:p>
        </w:tc>
      </w:tr>
      <w:tr w:rsidR="00C94957" w:rsidRPr="00097C29" w14:paraId="544DDFE9" w14:textId="77777777" w:rsidTr="00097C29">
        <w:trPr>
          <w:trHeight w:val="489"/>
        </w:trPr>
        <w:tc>
          <w:tcPr>
            <w:tcW w:w="5554" w:type="dxa"/>
            <w:tcBorders>
              <w:top w:val="nil"/>
              <w:left w:val="single" w:sz="4" w:space="0" w:color="auto"/>
              <w:bottom w:val="single" w:sz="4" w:space="0" w:color="auto"/>
              <w:right w:val="single" w:sz="4" w:space="0" w:color="auto"/>
            </w:tcBorders>
            <w:shd w:val="clear" w:color="auto" w:fill="auto"/>
            <w:vAlign w:val="center"/>
            <w:hideMark/>
          </w:tcPr>
          <w:p w14:paraId="5A77E451" w14:textId="77777777" w:rsidR="00C94957" w:rsidRPr="00097C29" w:rsidRDefault="00C94957" w:rsidP="00C94957">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Otros Derechos a recibir Bienes o Servicios a Corto Plazo</w:t>
            </w:r>
          </w:p>
        </w:tc>
        <w:tc>
          <w:tcPr>
            <w:tcW w:w="1984" w:type="dxa"/>
            <w:tcBorders>
              <w:top w:val="nil"/>
              <w:left w:val="nil"/>
              <w:bottom w:val="single" w:sz="4" w:space="0" w:color="auto"/>
              <w:right w:val="single" w:sz="4" w:space="0" w:color="auto"/>
            </w:tcBorders>
            <w:shd w:val="clear" w:color="auto" w:fill="auto"/>
            <w:noWrap/>
            <w:vAlign w:val="center"/>
            <w:hideMark/>
          </w:tcPr>
          <w:p w14:paraId="447EECC3" w14:textId="77777777" w:rsidR="00C94957" w:rsidRPr="00097C29" w:rsidRDefault="00C94957" w:rsidP="00C94957">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422,310,213</w:t>
            </w:r>
          </w:p>
        </w:tc>
      </w:tr>
      <w:tr w:rsidR="00C94957" w:rsidRPr="00097C29" w14:paraId="3D2443A3" w14:textId="77777777" w:rsidTr="00097C29">
        <w:trPr>
          <w:trHeight w:val="389"/>
        </w:trPr>
        <w:tc>
          <w:tcPr>
            <w:tcW w:w="5554" w:type="dxa"/>
            <w:tcBorders>
              <w:top w:val="nil"/>
              <w:left w:val="single" w:sz="4" w:space="0" w:color="auto"/>
              <w:bottom w:val="single" w:sz="4" w:space="0" w:color="auto"/>
              <w:right w:val="single" w:sz="4" w:space="0" w:color="auto"/>
            </w:tcBorders>
            <w:shd w:val="clear" w:color="000000" w:fill="DDC9A3"/>
            <w:vAlign w:val="center"/>
            <w:hideMark/>
          </w:tcPr>
          <w:p w14:paraId="4A93DD23" w14:textId="77777777" w:rsidR="00C94957" w:rsidRPr="00097C29" w:rsidRDefault="00C94957" w:rsidP="00C94957">
            <w:pPr>
              <w:spacing w:after="0" w:line="240" w:lineRule="auto"/>
              <w:jc w:val="center"/>
              <w:rPr>
                <w:rFonts w:eastAsia="Times New Roman" w:cs="Calibri"/>
                <w:b/>
                <w:bCs/>
                <w:color w:val="000000"/>
                <w:sz w:val="16"/>
                <w:szCs w:val="16"/>
                <w:lang w:eastAsia="es-MX"/>
              </w:rPr>
            </w:pPr>
            <w:r w:rsidRPr="00097C29">
              <w:rPr>
                <w:rFonts w:eastAsia="Times New Roman" w:cs="Calibri"/>
                <w:b/>
                <w:bCs/>
                <w:color w:val="000000"/>
                <w:sz w:val="16"/>
                <w:szCs w:val="16"/>
                <w:lang w:eastAsia="es-MX"/>
              </w:rPr>
              <w:t>TOTAL</w:t>
            </w:r>
          </w:p>
        </w:tc>
        <w:tc>
          <w:tcPr>
            <w:tcW w:w="1984" w:type="dxa"/>
            <w:tcBorders>
              <w:top w:val="nil"/>
              <w:left w:val="nil"/>
              <w:bottom w:val="single" w:sz="4" w:space="0" w:color="auto"/>
              <w:right w:val="single" w:sz="4" w:space="0" w:color="auto"/>
            </w:tcBorders>
            <w:shd w:val="clear" w:color="000000" w:fill="DDC9A3"/>
            <w:vAlign w:val="center"/>
            <w:hideMark/>
          </w:tcPr>
          <w:p w14:paraId="25976C58" w14:textId="77777777" w:rsidR="00C94957" w:rsidRPr="00097C29" w:rsidRDefault="00C94957" w:rsidP="00C94957">
            <w:pPr>
              <w:spacing w:after="0" w:line="240" w:lineRule="auto"/>
              <w:jc w:val="right"/>
              <w:rPr>
                <w:rFonts w:eastAsia="Times New Roman" w:cs="Calibri"/>
                <w:b/>
                <w:bCs/>
                <w:color w:val="000000"/>
                <w:sz w:val="16"/>
                <w:szCs w:val="16"/>
                <w:lang w:eastAsia="es-MX"/>
              </w:rPr>
            </w:pPr>
            <w:r w:rsidRPr="00097C29">
              <w:rPr>
                <w:rFonts w:eastAsia="Times New Roman" w:cs="Calibri"/>
                <w:b/>
                <w:bCs/>
                <w:color w:val="000000"/>
                <w:sz w:val="16"/>
                <w:szCs w:val="16"/>
                <w:lang w:eastAsia="es-MX"/>
              </w:rPr>
              <w:t>680,817,034</w:t>
            </w:r>
          </w:p>
        </w:tc>
      </w:tr>
    </w:tbl>
    <w:p w14:paraId="7DF853D8" w14:textId="77777777" w:rsidR="00942D6E" w:rsidRPr="005F45A3" w:rsidRDefault="00942D6E" w:rsidP="00A0739A">
      <w:pPr>
        <w:pStyle w:val="Texto"/>
        <w:spacing w:after="0" w:line="240" w:lineRule="exact"/>
        <w:ind w:firstLine="0"/>
        <w:rPr>
          <w:rFonts w:asciiTheme="minorHAnsi" w:eastAsia="Calibri" w:hAnsiTheme="minorHAnsi" w:cstheme="minorHAnsi"/>
          <w:sz w:val="20"/>
          <w:lang w:val="es-MX" w:eastAsia="en-US"/>
        </w:rPr>
      </w:pPr>
    </w:p>
    <w:p w14:paraId="3AB58DB1" w14:textId="77777777" w:rsidR="005F788C" w:rsidRPr="005F45A3" w:rsidRDefault="00294102" w:rsidP="00642EF9">
      <w:pPr>
        <w:pStyle w:val="Texto"/>
        <w:spacing w:after="0" w:line="240" w:lineRule="exact"/>
        <w:ind w:left="426" w:firstLine="0"/>
        <w:rPr>
          <w:rFonts w:asciiTheme="minorHAnsi" w:eastAsia="Calibri" w:hAnsiTheme="minorHAnsi" w:cstheme="minorHAnsi"/>
          <w:szCs w:val="18"/>
          <w:lang w:val="es-MX" w:eastAsia="en-US"/>
        </w:rPr>
      </w:pPr>
      <w:r w:rsidRPr="005F45A3">
        <w:rPr>
          <w:rFonts w:asciiTheme="minorHAnsi" w:eastAsia="Calibri" w:hAnsiTheme="minorHAnsi" w:cstheme="minorHAnsi"/>
          <w:szCs w:val="18"/>
          <w:lang w:val="es-MX" w:eastAsia="en-US"/>
        </w:rPr>
        <w:t xml:space="preserve">El saldo más importante corresponde al Fideicomiso Río Bravo </w:t>
      </w:r>
      <w:proofErr w:type="spellStart"/>
      <w:r w:rsidRPr="005F45A3">
        <w:rPr>
          <w:rFonts w:asciiTheme="minorHAnsi" w:eastAsia="Calibri" w:hAnsiTheme="minorHAnsi" w:cstheme="minorHAnsi"/>
          <w:szCs w:val="18"/>
          <w:lang w:val="es-MX" w:eastAsia="en-US"/>
        </w:rPr>
        <w:t>Donna</w:t>
      </w:r>
      <w:proofErr w:type="spellEnd"/>
      <w:r w:rsidRPr="005F45A3">
        <w:rPr>
          <w:rFonts w:asciiTheme="minorHAnsi" w:eastAsia="Calibri" w:hAnsiTheme="minorHAnsi" w:cstheme="minorHAnsi"/>
          <w:szCs w:val="18"/>
          <w:lang w:val="es-MX" w:eastAsia="en-US"/>
        </w:rPr>
        <w:t xml:space="preserve"> </w:t>
      </w:r>
      <w:r w:rsidR="00891351" w:rsidRPr="005F45A3">
        <w:rPr>
          <w:rFonts w:asciiTheme="minorHAnsi" w:eastAsia="Calibri" w:hAnsiTheme="minorHAnsi" w:cstheme="minorHAnsi"/>
          <w:szCs w:val="18"/>
          <w:lang w:val="es-MX" w:eastAsia="en-US"/>
        </w:rPr>
        <w:t>por el importe de $422</w:t>
      </w:r>
      <w:proofErr w:type="gramStart"/>
      <w:r w:rsidR="00891351" w:rsidRPr="005F45A3">
        <w:rPr>
          <w:rFonts w:asciiTheme="minorHAnsi" w:eastAsia="Calibri" w:hAnsiTheme="minorHAnsi" w:cstheme="minorHAnsi"/>
          <w:szCs w:val="18"/>
          <w:lang w:val="es-MX" w:eastAsia="en-US"/>
        </w:rPr>
        <w:t>,310,213</w:t>
      </w:r>
      <w:proofErr w:type="gramEnd"/>
      <w:r w:rsidR="00891351" w:rsidRPr="005F45A3">
        <w:rPr>
          <w:rFonts w:asciiTheme="minorHAnsi" w:eastAsia="Calibri" w:hAnsiTheme="minorHAnsi" w:cstheme="minorHAnsi"/>
          <w:szCs w:val="18"/>
          <w:lang w:val="es-MX" w:eastAsia="en-US"/>
        </w:rPr>
        <w:t xml:space="preserve"> </w:t>
      </w:r>
      <w:r w:rsidRPr="005F45A3">
        <w:rPr>
          <w:rFonts w:asciiTheme="minorHAnsi" w:eastAsia="Calibri" w:hAnsiTheme="minorHAnsi" w:cstheme="minorHAnsi"/>
          <w:szCs w:val="18"/>
          <w:lang w:val="es-MX" w:eastAsia="en-US"/>
        </w:rPr>
        <w:t xml:space="preserve">y este se integra por las acciones </w:t>
      </w:r>
      <w:proofErr w:type="spellStart"/>
      <w:r w:rsidRPr="005F45A3">
        <w:rPr>
          <w:rFonts w:asciiTheme="minorHAnsi" w:eastAsia="Calibri" w:hAnsiTheme="minorHAnsi" w:cstheme="minorHAnsi"/>
          <w:szCs w:val="18"/>
          <w:lang w:val="es-MX" w:eastAsia="en-US"/>
        </w:rPr>
        <w:t>fideicomitadas</w:t>
      </w:r>
      <w:proofErr w:type="spellEnd"/>
      <w:r w:rsidRPr="005F45A3">
        <w:rPr>
          <w:rFonts w:asciiTheme="minorHAnsi" w:eastAsia="Calibri" w:hAnsiTheme="minorHAnsi" w:cstheme="minorHAnsi"/>
          <w:szCs w:val="18"/>
          <w:lang w:val="es-MX" w:eastAsia="en-US"/>
        </w:rPr>
        <w:t xml:space="preserve"> representativas del </w:t>
      </w:r>
      <w:r w:rsidR="00AA6972" w:rsidRPr="005F45A3">
        <w:rPr>
          <w:rFonts w:asciiTheme="minorHAnsi" w:eastAsia="Calibri" w:hAnsiTheme="minorHAnsi" w:cstheme="minorHAnsi"/>
          <w:szCs w:val="18"/>
          <w:lang w:val="es-MX" w:eastAsia="en-US"/>
        </w:rPr>
        <w:t xml:space="preserve">capital social de COPA, </w:t>
      </w:r>
      <w:r w:rsidRPr="005F45A3">
        <w:rPr>
          <w:rFonts w:asciiTheme="minorHAnsi" w:eastAsia="Calibri" w:hAnsiTheme="minorHAnsi" w:cstheme="minorHAnsi"/>
          <w:szCs w:val="18"/>
          <w:lang w:val="es-MX" w:eastAsia="en-US"/>
        </w:rPr>
        <w:t>S.A., que fueron Incorporadas al patrimonio del Fideicomiso y como lo establece el contrato de fideicomiso los recursos propios fueron reconocidos como aportación de COPA, S.A</w:t>
      </w:r>
      <w:r w:rsidR="003475FD" w:rsidRPr="005F45A3">
        <w:rPr>
          <w:rFonts w:asciiTheme="minorHAnsi" w:eastAsia="Calibri" w:hAnsiTheme="minorHAnsi" w:cstheme="minorHAnsi"/>
          <w:szCs w:val="18"/>
          <w:lang w:val="es-MX" w:eastAsia="en-US"/>
        </w:rPr>
        <w:t>.</w:t>
      </w:r>
    </w:p>
    <w:p w14:paraId="620986DB" w14:textId="77777777" w:rsidR="008C216A" w:rsidRPr="005F45A3" w:rsidRDefault="008C216A" w:rsidP="00A0739A">
      <w:pPr>
        <w:pStyle w:val="Texto"/>
        <w:spacing w:after="0" w:line="240" w:lineRule="exact"/>
        <w:ind w:firstLine="0"/>
        <w:rPr>
          <w:rFonts w:asciiTheme="minorHAnsi" w:eastAsia="Calibri" w:hAnsiTheme="minorHAnsi" w:cstheme="minorHAnsi"/>
          <w:szCs w:val="18"/>
          <w:lang w:val="es-MX" w:eastAsia="en-US"/>
        </w:rPr>
      </w:pPr>
    </w:p>
    <w:p w14:paraId="22876B4F" w14:textId="77777777" w:rsidR="00F52172" w:rsidRPr="00C250D2" w:rsidRDefault="00F52172" w:rsidP="00C250D2">
      <w:pPr>
        <w:pStyle w:val="Texto"/>
        <w:spacing w:after="0" w:line="240" w:lineRule="exact"/>
        <w:ind w:firstLine="0"/>
        <w:rPr>
          <w:rFonts w:asciiTheme="minorHAnsi" w:hAnsiTheme="minorHAnsi" w:cstheme="minorHAnsi"/>
          <w:b/>
          <w:i/>
          <w:sz w:val="20"/>
          <w:szCs w:val="18"/>
        </w:rPr>
      </w:pPr>
      <w:r w:rsidRPr="00C250D2">
        <w:rPr>
          <w:rFonts w:asciiTheme="minorHAnsi" w:hAnsiTheme="minorHAnsi" w:cstheme="minorHAnsi"/>
          <w:b/>
          <w:i/>
          <w:sz w:val="20"/>
          <w:szCs w:val="18"/>
        </w:rPr>
        <w:t xml:space="preserve">BIENES DISPONIBLES PARA SU </w:t>
      </w:r>
      <w:r w:rsidR="007D099F" w:rsidRPr="00C250D2">
        <w:rPr>
          <w:rFonts w:asciiTheme="minorHAnsi" w:hAnsiTheme="minorHAnsi" w:cstheme="minorHAnsi"/>
          <w:b/>
          <w:i/>
          <w:sz w:val="20"/>
          <w:szCs w:val="18"/>
        </w:rPr>
        <w:t>TRANSFORMACIÓN</w:t>
      </w:r>
      <w:r w:rsidRPr="00C250D2">
        <w:rPr>
          <w:rFonts w:asciiTheme="minorHAnsi" w:hAnsiTheme="minorHAnsi" w:cstheme="minorHAnsi"/>
          <w:b/>
          <w:i/>
          <w:sz w:val="20"/>
          <w:szCs w:val="18"/>
        </w:rPr>
        <w:t xml:space="preserve"> O CONSUMO (Inventarios)   </w:t>
      </w:r>
    </w:p>
    <w:p w14:paraId="402C70D1" w14:textId="77777777" w:rsidR="005F788C" w:rsidRPr="005F45A3" w:rsidRDefault="005F788C" w:rsidP="00A0739A">
      <w:pPr>
        <w:pStyle w:val="Texto"/>
        <w:spacing w:after="0" w:line="240" w:lineRule="exact"/>
        <w:ind w:firstLine="0"/>
        <w:rPr>
          <w:rFonts w:asciiTheme="minorHAnsi" w:hAnsiTheme="minorHAnsi" w:cstheme="minorHAnsi"/>
          <w:szCs w:val="18"/>
        </w:rPr>
      </w:pPr>
    </w:p>
    <w:p w14:paraId="03F0E7D5" w14:textId="77777777" w:rsidR="005F788C" w:rsidRPr="005F45A3" w:rsidRDefault="00866442" w:rsidP="00C250D2">
      <w:pPr>
        <w:pStyle w:val="Texto"/>
        <w:numPr>
          <w:ilvl w:val="0"/>
          <w:numId w:val="22"/>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Inventarios:  No Aplica</w:t>
      </w:r>
    </w:p>
    <w:p w14:paraId="4BFA8B0E" w14:textId="77777777" w:rsidR="005F788C" w:rsidRPr="005F45A3" w:rsidRDefault="005F788C" w:rsidP="00DB3A9A">
      <w:pPr>
        <w:pStyle w:val="Texto"/>
        <w:spacing w:after="0" w:line="240" w:lineRule="exact"/>
        <w:ind w:firstLine="0"/>
        <w:rPr>
          <w:rFonts w:asciiTheme="minorHAnsi" w:hAnsiTheme="minorHAnsi" w:cstheme="minorHAnsi"/>
          <w:szCs w:val="18"/>
        </w:rPr>
      </w:pPr>
    </w:p>
    <w:p w14:paraId="65B56629" w14:textId="77777777" w:rsidR="001B5AEB" w:rsidRPr="005F45A3" w:rsidRDefault="001B5AEB" w:rsidP="00C250D2">
      <w:pPr>
        <w:pStyle w:val="Texto"/>
        <w:numPr>
          <w:ilvl w:val="0"/>
          <w:numId w:val="22"/>
        </w:numPr>
        <w:spacing w:after="0" w:line="240" w:lineRule="exact"/>
        <w:ind w:left="567" w:hanging="283"/>
        <w:rPr>
          <w:rFonts w:asciiTheme="minorHAnsi" w:hAnsiTheme="minorHAnsi" w:cstheme="minorHAnsi"/>
          <w:sz w:val="20"/>
          <w:szCs w:val="18"/>
        </w:rPr>
      </w:pPr>
      <w:r w:rsidRPr="005F45A3">
        <w:rPr>
          <w:rFonts w:asciiTheme="minorHAnsi" w:hAnsiTheme="minorHAnsi" w:cstheme="minorHAnsi"/>
          <w:sz w:val="20"/>
          <w:szCs w:val="18"/>
        </w:rPr>
        <w:t>Almacén:  No Aplica</w:t>
      </w:r>
    </w:p>
    <w:p w14:paraId="7B1D1712" w14:textId="77777777" w:rsidR="005F788C" w:rsidRPr="005F45A3" w:rsidRDefault="005F788C" w:rsidP="00A0739A">
      <w:pPr>
        <w:pStyle w:val="Texto"/>
        <w:spacing w:after="0" w:line="240" w:lineRule="exact"/>
        <w:ind w:firstLine="0"/>
        <w:rPr>
          <w:rFonts w:asciiTheme="minorHAnsi" w:hAnsiTheme="minorHAnsi" w:cstheme="minorHAnsi"/>
          <w:szCs w:val="18"/>
        </w:rPr>
      </w:pPr>
    </w:p>
    <w:p w14:paraId="10436D66" w14:textId="77777777" w:rsidR="0050250A" w:rsidRPr="005F45A3" w:rsidRDefault="0050250A" w:rsidP="00A0739A">
      <w:pPr>
        <w:pStyle w:val="Texto"/>
        <w:spacing w:after="0" w:line="240" w:lineRule="exact"/>
        <w:ind w:firstLine="0"/>
        <w:rPr>
          <w:rFonts w:asciiTheme="minorHAnsi" w:hAnsiTheme="minorHAnsi" w:cstheme="minorHAnsi"/>
          <w:szCs w:val="18"/>
        </w:rPr>
      </w:pPr>
    </w:p>
    <w:p w14:paraId="05C89742" w14:textId="77777777" w:rsidR="0011306D" w:rsidRPr="00064EDC" w:rsidRDefault="0011306D" w:rsidP="003D7ABC">
      <w:pPr>
        <w:pStyle w:val="Texto"/>
        <w:spacing w:after="0" w:line="240" w:lineRule="exact"/>
        <w:ind w:firstLine="0"/>
        <w:rPr>
          <w:rFonts w:asciiTheme="minorHAnsi" w:hAnsiTheme="minorHAnsi" w:cstheme="minorHAnsi"/>
          <w:b/>
          <w:i/>
          <w:sz w:val="20"/>
          <w:szCs w:val="18"/>
        </w:rPr>
      </w:pPr>
      <w:r w:rsidRPr="00064EDC">
        <w:rPr>
          <w:rFonts w:asciiTheme="minorHAnsi" w:hAnsiTheme="minorHAnsi" w:cstheme="minorHAnsi"/>
          <w:b/>
          <w:i/>
          <w:sz w:val="20"/>
          <w:szCs w:val="18"/>
        </w:rPr>
        <w:t xml:space="preserve">INVERSIONES FINANCIERAS A LARGO PLAZO </w:t>
      </w:r>
    </w:p>
    <w:p w14:paraId="7B5F711A" w14:textId="77777777" w:rsidR="00CE51A6" w:rsidRPr="005F45A3" w:rsidRDefault="00CE51A6" w:rsidP="00A0739A">
      <w:pPr>
        <w:pStyle w:val="Texto"/>
        <w:spacing w:after="0" w:line="240" w:lineRule="exact"/>
        <w:ind w:firstLine="0"/>
        <w:rPr>
          <w:rFonts w:asciiTheme="minorHAnsi" w:hAnsiTheme="minorHAnsi" w:cstheme="minorHAnsi"/>
          <w:szCs w:val="18"/>
        </w:rPr>
      </w:pPr>
    </w:p>
    <w:p w14:paraId="1782E025" w14:textId="5C93E9AB" w:rsidR="0072609E" w:rsidRDefault="00AF13BC" w:rsidP="00C250D2">
      <w:pPr>
        <w:pStyle w:val="Texto"/>
        <w:numPr>
          <w:ilvl w:val="0"/>
          <w:numId w:val="25"/>
        </w:numPr>
        <w:spacing w:after="0" w:line="276" w:lineRule="auto"/>
        <w:ind w:left="567" w:hanging="283"/>
        <w:rPr>
          <w:rFonts w:asciiTheme="minorHAnsi" w:hAnsiTheme="minorHAnsi" w:cstheme="minorHAnsi"/>
          <w:szCs w:val="18"/>
          <w:lang w:val="es-MX"/>
        </w:rPr>
      </w:pPr>
      <w:r w:rsidRPr="005F45A3">
        <w:rPr>
          <w:rFonts w:asciiTheme="minorHAnsi" w:hAnsiTheme="minorHAnsi" w:cstheme="minorHAnsi"/>
          <w:szCs w:val="18"/>
        </w:rPr>
        <w:t xml:space="preserve">La cuenta Inversiones Financieras </w:t>
      </w:r>
      <w:r w:rsidRPr="005F45A3">
        <w:rPr>
          <w:rFonts w:asciiTheme="minorHAnsi" w:hAnsiTheme="minorHAnsi" w:cstheme="minorHAnsi"/>
          <w:szCs w:val="18"/>
          <w:lang w:val="es-MX"/>
        </w:rPr>
        <w:t xml:space="preserve">está integrada en el rubro de Títulos y Valores a Largo Plazo </w:t>
      </w:r>
      <w:r w:rsidR="0000377F" w:rsidRPr="005F45A3">
        <w:rPr>
          <w:rFonts w:asciiTheme="minorHAnsi" w:hAnsiTheme="minorHAnsi" w:cstheme="minorHAnsi"/>
          <w:szCs w:val="18"/>
          <w:lang w:val="es-MX"/>
        </w:rPr>
        <w:t>por la cantidad de $72,829,</w:t>
      </w:r>
      <w:r w:rsidR="0056467D">
        <w:rPr>
          <w:rFonts w:asciiTheme="minorHAnsi" w:hAnsiTheme="minorHAnsi" w:cstheme="minorHAnsi"/>
          <w:szCs w:val="18"/>
          <w:lang w:val="es-MX"/>
        </w:rPr>
        <w:t xml:space="preserve">060, los Fideicomisos de Deuda $474,208,344 </w:t>
      </w:r>
      <w:r w:rsidR="0000377F" w:rsidRPr="005F45A3">
        <w:rPr>
          <w:rFonts w:asciiTheme="minorHAnsi" w:hAnsiTheme="minorHAnsi" w:cstheme="minorHAnsi"/>
          <w:szCs w:val="18"/>
          <w:lang w:val="es-MX"/>
        </w:rPr>
        <w:t xml:space="preserve"> </w:t>
      </w:r>
      <w:r w:rsidRPr="005F45A3">
        <w:rPr>
          <w:rFonts w:asciiTheme="minorHAnsi" w:hAnsiTheme="minorHAnsi" w:cstheme="minorHAnsi"/>
          <w:szCs w:val="18"/>
          <w:lang w:val="es-MX"/>
        </w:rPr>
        <w:t>y</w:t>
      </w:r>
      <w:r w:rsidR="0000377F" w:rsidRPr="005F45A3">
        <w:rPr>
          <w:rFonts w:asciiTheme="minorHAnsi" w:hAnsiTheme="minorHAnsi" w:cstheme="minorHAnsi"/>
          <w:szCs w:val="18"/>
          <w:lang w:val="es-MX"/>
        </w:rPr>
        <w:t xml:space="preserve"> los fideicomisos</w:t>
      </w:r>
      <w:r w:rsidRPr="005F45A3">
        <w:rPr>
          <w:rFonts w:asciiTheme="minorHAnsi" w:hAnsiTheme="minorHAnsi" w:cstheme="minorHAnsi"/>
          <w:szCs w:val="18"/>
          <w:lang w:val="es-MX"/>
        </w:rPr>
        <w:t xml:space="preserve"> sin estructura</w:t>
      </w:r>
      <w:r w:rsidR="0000377F" w:rsidRPr="005F45A3">
        <w:rPr>
          <w:rFonts w:asciiTheme="minorHAnsi" w:hAnsiTheme="minorHAnsi" w:cstheme="minorHAnsi"/>
          <w:szCs w:val="18"/>
          <w:lang w:val="es-MX"/>
        </w:rPr>
        <w:t xml:space="preserve"> $</w:t>
      </w:r>
      <w:r w:rsidR="0056467D">
        <w:rPr>
          <w:rFonts w:asciiTheme="minorHAnsi" w:hAnsiTheme="minorHAnsi" w:cstheme="minorHAnsi"/>
          <w:szCs w:val="18"/>
          <w:lang w:val="es-MX"/>
        </w:rPr>
        <w:t>1,003,927,343</w:t>
      </w:r>
      <w:r w:rsidR="00E00968">
        <w:rPr>
          <w:rFonts w:asciiTheme="minorHAnsi" w:hAnsiTheme="minorHAnsi" w:cstheme="minorHAnsi"/>
          <w:szCs w:val="18"/>
          <w:lang w:val="es-MX"/>
        </w:rPr>
        <w:t>,</w:t>
      </w:r>
      <w:r w:rsidR="00684777">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que </w:t>
      </w:r>
      <w:r w:rsidR="00824880" w:rsidRPr="005F45A3">
        <w:rPr>
          <w:rFonts w:asciiTheme="minorHAnsi" w:hAnsiTheme="minorHAnsi" w:cstheme="minorHAnsi"/>
          <w:szCs w:val="18"/>
          <w:lang w:val="es-MX"/>
        </w:rPr>
        <w:t xml:space="preserve">en total </w:t>
      </w:r>
      <w:r w:rsidRPr="005F45A3">
        <w:rPr>
          <w:rFonts w:asciiTheme="minorHAnsi" w:hAnsiTheme="minorHAnsi" w:cstheme="minorHAnsi"/>
          <w:szCs w:val="18"/>
          <w:lang w:val="es-MX"/>
        </w:rPr>
        <w:t>ascienden a $1</w:t>
      </w:r>
      <w:r w:rsidR="00661547" w:rsidRPr="005F45A3">
        <w:rPr>
          <w:rFonts w:asciiTheme="minorHAnsi" w:hAnsiTheme="minorHAnsi" w:cstheme="minorHAnsi"/>
          <w:szCs w:val="18"/>
          <w:lang w:val="es-MX"/>
        </w:rPr>
        <w:t>,</w:t>
      </w:r>
      <w:r w:rsidR="0056467D">
        <w:rPr>
          <w:rFonts w:asciiTheme="minorHAnsi" w:hAnsiTheme="minorHAnsi" w:cstheme="minorHAnsi"/>
          <w:szCs w:val="18"/>
          <w:lang w:val="es-MX"/>
        </w:rPr>
        <w:t>478,135,687</w:t>
      </w:r>
      <w:r w:rsidR="00E00968">
        <w:rPr>
          <w:rFonts w:asciiTheme="minorHAnsi" w:hAnsiTheme="minorHAnsi" w:cstheme="minorHAnsi"/>
          <w:szCs w:val="18"/>
          <w:lang w:val="es-MX"/>
        </w:rPr>
        <w:t>,</w:t>
      </w:r>
      <w:r w:rsidRPr="005F45A3">
        <w:rPr>
          <w:rFonts w:asciiTheme="minorHAnsi" w:hAnsiTheme="minorHAnsi" w:cstheme="minorHAnsi"/>
          <w:szCs w:val="18"/>
          <w:lang w:val="es-MX"/>
        </w:rPr>
        <w:t xml:space="preserve"> y que a continuación se detallan:</w:t>
      </w:r>
      <w:r w:rsidR="0072609E" w:rsidRPr="005F45A3">
        <w:rPr>
          <w:rFonts w:asciiTheme="minorHAnsi" w:hAnsiTheme="minorHAnsi" w:cstheme="minorHAnsi"/>
          <w:szCs w:val="18"/>
          <w:lang w:val="es-MX"/>
        </w:rPr>
        <w:t xml:space="preserve">    </w:t>
      </w:r>
    </w:p>
    <w:p w14:paraId="546D0CCA" w14:textId="77777777" w:rsidR="000E4BF4" w:rsidRDefault="000E4BF4" w:rsidP="000E4BF4">
      <w:pPr>
        <w:pStyle w:val="Texto"/>
        <w:spacing w:after="0" w:line="276" w:lineRule="auto"/>
        <w:rPr>
          <w:rFonts w:asciiTheme="minorHAnsi" w:hAnsiTheme="minorHAnsi" w:cstheme="minorHAnsi"/>
          <w:szCs w:val="18"/>
          <w:lang w:val="es-MX"/>
        </w:rPr>
      </w:pPr>
    </w:p>
    <w:tbl>
      <w:tblPr>
        <w:tblW w:w="6919" w:type="dxa"/>
        <w:tblInd w:w="447" w:type="dxa"/>
        <w:tblCellMar>
          <w:left w:w="70" w:type="dxa"/>
          <w:right w:w="70" w:type="dxa"/>
        </w:tblCellMar>
        <w:tblLook w:val="04A0" w:firstRow="1" w:lastRow="0" w:firstColumn="1" w:lastColumn="0" w:noHBand="0" w:noVBand="1"/>
      </w:tblPr>
      <w:tblGrid>
        <w:gridCol w:w="5077"/>
        <w:gridCol w:w="1842"/>
      </w:tblGrid>
      <w:tr w:rsidR="000E4BF4" w:rsidRPr="000E4BF4" w14:paraId="61375EDF" w14:textId="77777777" w:rsidTr="00097C29">
        <w:trPr>
          <w:trHeight w:val="300"/>
        </w:trPr>
        <w:tc>
          <w:tcPr>
            <w:tcW w:w="507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4B113E5" w14:textId="77777777" w:rsidR="000E4BF4" w:rsidRPr="000E4BF4" w:rsidRDefault="000E4BF4" w:rsidP="000E4BF4">
            <w:pPr>
              <w:spacing w:after="0" w:line="240" w:lineRule="auto"/>
              <w:jc w:val="center"/>
              <w:rPr>
                <w:rFonts w:eastAsia="Times New Roman" w:cs="Calibri"/>
                <w:b/>
                <w:bCs/>
                <w:color w:val="FFFFFF"/>
                <w:sz w:val="16"/>
                <w:szCs w:val="16"/>
                <w:lang w:eastAsia="es-MX"/>
              </w:rPr>
            </w:pPr>
            <w:r w:rsidRPr="000E4BF4">
              <w:rPr>
                <w:rFonts w:eastAsia="Times New Roman" w:cs="Calibri"/>
                <w:b/>
                <w:bCs/>
                <w:color w:val="FFFFFF"/>
                <w:sz w:val="16"/>
                <w:szCs w:val="16"/>
                <w:lang w:eastAsia="es-MX"/>
              </w:rPr>
              <w:t>Títulos y Valores a Largo Plazo</w:t>
            </w:r>
          </w:p>
        </w:tc>
        <w:tc>
          <w:tcPr>
            <w:tcW w:w="1842" w:type="dxa"/>
            <w:tcBorders>
              <w:top w:val="single" w:sz="4" w:space="0" w:color="auto"/>
              <w:left w:val="nil"/>
              <w:bottom w:val="single" w:sz="4" w:space="0" w:color="auto"/>
              <w:right w:val="single" w:sz="4" w:space="0" w:color="auto"/>
            </w:tcBorders>
            <w:shd w:val="clear" w:color="000000" w:fill="AB0033"/>
            <w:vAlign w:val="center"/>
            <w:hideMark/>
          </w:tcPr>
          <w:p w14:paraId="28550897" w14:textId="77777777" w:rsidR="000E4BF4" w:rsidRPr="000E4BF4" w:rsidRDefault="000E4BF4" w:rsidP="000E4BF4">
            <w:pPr>
              <w:spacing w:after="0" w:line="240" w:lineRule="auto"/>
              <w:jc w:val="center"/>
              <w:rPr>
                <w:rFonts w:eastAsia="Times New Roman" w:cs="Calibri"/>
                <w:b/>
                <w:bCs/>
                <w:color w:val="FFFFFF"/>
                <w:sz w:val="16"/>
                <w:szCs w:val="16"/>
                <w:lang w:eastAsia="es-MX"/>
              </w:rPr>
            </w:pPr>
            <w:r w:rsidRPr="000E4BF4">
              <w:rPr>
                <w:rFonts w:eastAsia="Times New Roman" w:cs="Calibri"/>
                <w:b/>
                <w:bCs/>
                <w:color w:val="FFFFFF"/>
                <w:sz w:val="16"/>
                <w:szCs w:val="16"/>
                <w:lang w:eastAsia="es-MX"/>
              </w:rPr>
              <w:t>Importe</w:t>
            </w:r>
          </w:p>
        </w:tc>
      </w:tr>
      <w:tr w:rsidR="000E4BF4" w:rsidRPr="000E4BF4" w14:paraId="09DF3EBD"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243F7EEF" w14:textId="77777777" w:rsidR="000E4BF4" w:rsidRPr="000E4BF4" w:rsidRDefault="000E4BF4" w:rsidP="000E4BF4">
            <w:pPr>
              <w:spacing w:after="0" w:line="240" w:lineRule="auto"/>
              <w:jc w:val="both"/>
              <w:rPr>
                <w:rFonts w:eastAsia="Times New Roman" w:cs="Calibri"/>
                <w:color w:val="000000"/>
                <w:sz w:val="14"/>
                <w:szCs w:val="14"/>
                <w:lang w:eastAsia="es-MX"/>
              </w:rPr>
            </w:pPr>
            <w:r w:rsidRPr="000E4BF4">
              <w:rPr>
                <w:rFonts w:eastAsia="Times New Roman" w:cs="Calibri"/>
                <w:color w:val="000000"/>
                <w:sz w:val="14"/>
                <w:szCs w:val="14"/>
                <w:lang w:eastAsia="es-MX"/>
              </w:rPr>
              <w:t xml:space="preserve">Canal </w:t>
            </w:r>
            <w:proofErr w:type="spellStart"/>
            <w:r w:rsidRPr="000E4BF4">
              <w:rPr>
                <w:rFonts w:eastAsia="Times New Roman" w:cs="Calibri"/>
                <w:color w:val="000000"/>
                <w:sz w:val="14"/>
                <w:szCs w:val="14"/>
                <w:lang w:eastAsia="es-MX"/>
              </w:rPr>
              <w:t>Intracostero</w:t>
            </w:r>
            <w:proofErr w:type="spellEnd"/>
            <w:r w:rsidRPr="000E4BF4">
              <w:rPr>
                <w:rFonts w:eastAsia="Times New Roman" w:cs="Calibri"/>
                <w:color w:val="000000"/>
                <w:sz w:val="14"/>
                <w:szCs w:val="14"/>
                <w:lang w:eastAsia="es-MX"/>
              </w:rPr>
              <w:t xml:space="preserve"> Tamaulipeco S.A de C.V.</w:t>
            </w:r>
          </w:p>
        </w:tc>
        <w:tc>
          <w:tcPr>
            <w:tcW w:w="1842" w:type="dxa"/>
            <w:tcBorders>
              <w:top w:val="nil"/>
              <w:left w:val="nil"/>
              <w:bottom w:val="single" w:sz="4" w:space="0" w:color="auto"/>
              <w:right w:val="single" w:sz="4" w:space="0" w:color="auto"/>
            </w:tcBorders>
            <w:shd w:val="clear" w:color="auto" w:fill="auto"/>
            <w:vAlign w:val="center"/>
            <w:hideMark/>
          </w:tcPr>
          <w:p w14:paraId="32F55C35"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8,415,000</w:t>
            </w:r>
          </w:p>
        </w:tc>
      </w:tr>
      <w:tr w:rsidR="000E4BF4" w:rsidRPr="000E4BF4" w14:paraId="43C403C0"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54769833" w14:textId="77777777" w:rsidR="000E4BF4" w:rsidRPr="000E4BF4" w:rsidRDefault="000E4BF4" w:rsidP="000E4BF4">
            <w:pPr>
              <w:spacing w:after="0" w:line="240" w:lineRule="auto"/>
              <w:jc w:val="both"/>
              <w:rPr>
                <w:rFonts w:eastAsia="Times New Roman" w:cs="Calibri"/>
                <w:color w:val="000000"/>
                <w:sz w:val="14"/>
                <w:szCs w:val="14"/>
                <w:lang w:eastAsia="es-MX"/>
              </w:rPr>
            </w:pPr>
            <w:r w:rsidRPr="000E4BF4">
              <w:rPr>
                <w:rFonts w:eastAsia="Times New Roman" w:cs="Calibri"/>
                <w:color w:val="000000"/>
                <w:sz w:val="14"/>
                <w:szCs w:val="14"/>
                <w:lang w:eastAsia="es-MX"/>
              </w:rPr>
              <w:t>Desarrollo Turístico de la Playa Miramar S.A. de C.V.</w:t>
            </w:r>
          </w:p>
        </w:tc>
        <w:tc>
          <w:tcPr>
            <w:tcW w:w="1842" w:type="dxa"/>
            <w:tcBorders>
              <w:top w:val="nil"/>
              <w:left w:val="nil"/>
              <w:bottom w:val="single" w:sz="4" w:space="0" w:color="auto"/>
              <w:right w:val="single" w:sz="4" w:space="0" w:color="auto"/>
            </w:tcBorders>
            <w:shd w:val="clear" w:color="auto" w:fill="auto"/>
            <w:vAlign w:val="center"/>
            <w:hideMark/>
          </w:tcPr>
          <w:p w14:paraId="64B9B790"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3,824,260</w:t>
            </w:r>
          </w:p>
        </w:tc>
      </w:tr>
      <w:tr w:rsidR="000E4BF4" w:rsidRPr="000E4BF4" w14:paraId="491F7958"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51D0C0EE" w14:textId="77777777" w:rsidR="000E4BF4" w:rsidRPr="000E4BF4" w:rsidRDefault="000E4BF4" w:rsidP="000E4BF4">
            <w:pPr>
              <w:spacing w:after="0" w:line="240" w:lineRule="auto"/>
              <w:jc w:val="both"/>
              <w:rPr>
                <w:rFonts w:eastAsia="Times New Roman" w:cs="Calibri"/>
                <w:color w:val="000000"/>
                <w:sz w:val="14"/>
                <w:szCs w:val="14"/>
                <w:lang w:eastAsia="es-MX"/>
              </w:rPr>
            </w:pPr>
            <w:r w:rsidRPr="000E4BF4">
              <w:rPr>
                <w:rFonts w:eastAsia="Times New Roman" w:cs="Calibri"/>
                <w:color w:val="000000"/>
                <w:sz w:val="14"/>
                <w:szCs w:val="14"/>
                <w:lang w:eastAsia="es-MX"/>
              </w:rPr>
              <w:t xml:space="preserve">Club de </w:t>
            </w:r>
            <w:proofErr w:type="spellStart"/>
            <w:r w:rsidRPr="000E4BF4">
              <w:rPr>
                <w:rFonts w:eastAsia="Times New Roman" w:cs="Calibri"/>
                <w:color w:val="000000"/>
                <w:sz w:val="14"/>
                <w:szCs w:val="14"/>
                <w:lang w:eastAsia="es-MX"/>
              </w:rPr>
              <w:t>Foot</w:t>
            </w:r>
            <w:proofErr w:type="spellEnd"/>
            <w:r w:rsidRPr="000E4BF4">
              <w:rPr>
                <w:rFonts w:eastAsia="Times New Roman" w:cs="Calibri"/>
                <w:color w:val="000000"/>
                <w:sz w:val="14"/>
                <w:szCs w:val="14"/>
                <w:lang w:eastAsia="es-MX"/>
              </w:rPr>
              <w:t xml:space="preserve"> </w:t>
            </w:r>
            <w:proofErr w:type="spellStart"/>
            <w:r w:rsidRPr="000E4BF4">
              <w:rPr>
                <w:rFonts w:eastAsia="Times New Roman" w:cs="Calibri"/>
                <w:color w:val="000000"/>
                <w:sz w:val="14"/>
                <w:szCs w:val="14"/>
                <w:lang w:eastAsia="es-MX"/>
              </w:rPr>
              <w:t>Ball</w:t>
            </w:r>
            <w:proofErr w:type="spellEnd"/>
            <w:r w:rsidRPr="000E4BF4">
              <w:rPr>
                <w:rFonts w:eastAsia="Times New Roman" w:cs="Calibri"/>
                <w:color w:val="000000"/>
                <w:sz w:val="14"/>
                <w:szCs w:val="14"/>
                <w:lang w:eastAsia="es-MX"/>
              </w:rPr>
              <w:t xml:space="preserve"> Correcaminos UAT S.A. de C.V.</w:t>
            </w:r>
          </w:p>
        </w:tc>
        <w:tc>
          <w:tcPr>
            <w:tcW w:w="1842" w:type="dxa"/>
            <w:tcBorders>
              <w:top w:val="nil"/>
              <w:left w:val="nil"/>
              <w:bottom w:val="single" w:sz="4" w:space="0" w:color="auto"/>
              <w:right w:val="single" w:sz="4" w:space="0" w:color="auto"/>
            </w:tcBorders>
            <w:shd w:val="clear" w:color="auto" w:fill="auto"/>
            <w:vAlign w:val="center"/>
            <w:hideMark/>
          </w:tcPr>
          <w:p w14:paraId="50863EAE"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3,616,750</w:t>
            </w:r>
          </w:p>
        </w:tc>
      </w:tr>
      <w:tr w:rsidR="000E4BF4" w:rsidRPr="000E4BF4" w14:paraId="5A6DF3E3"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577F0088" w14:textId="77777777" w:rsidR="000E4BF4" w:rsidRPr="000E4BF4" w:rsidRDefault="000E4BF4" w:rsidP="000E4BF4">
            <w:pPr>
              <w:spacing w:after="0" w:line="240" w:lineRule="auto"/>
              <w:jc w:val="both"/>
              <w:rPr>
                <w:rFonts w:eastAsia="Times New Roman" w:cs="Calibri"/>
                <w:color w:val="000000"/>
                <w:sz w:val="14"/>
                <w:szCs w:val="14"/>
                <w:lang w:eastAsia="es-MX"/>
              </w:rPr>
            </w:pPr>
            <w:r w:rsidRPr="000E4BF4">
              <w:rPr>
                <w:rFonts w:eastAsia="Times New Roman" w:cs="Calibri"/>
                <w:color w:val="000000"/>
                <w:sz w:val="14"/>
                <w:szCs w:val="14"/>
                <w:lang w:eastAsia="es-MX"/>
              </w:rPr>
              <w:t>Administración Portuaria Integral de Tamaulipas  S,A, de C.V.</w:t>
            </w:r>
          </w:p>
        </w:tc>
        <w:tc>
          <w:tcPr>
            <w:tcW w:w="1842" w:type="dxa"/>
            <w:tcBorders>
              <w:top w:val="nil"/>
              <w:left w:val="nil"/>
              <w:bottom w:val="single" w:sz="4" w:space="0" w:color="auto"/>
              <w:right w:val="single" w:sz="4" w:space="0" w:color="auto"/>
            </w:tcBorders>
            <w:shd w:val="clear" w:color="auto" w:fill="auto"/>
            <w:vAlign w:val="center"/>
            <w:hideMark/>
          </w:tcPr>
          <w:p w14:paraId="3E4439E6"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3,647,500</w:t>
            </w:r>
          </w:p>
        </w:tc>
      </w:tr>
      <w:tr w:rsidR="000E4BF4" w:rsidRPr="000E4BF4" w14:paraId="61EFE17D"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4732224E"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Desarrollo Urbano del Puerto Industrial de Altamira S.A. de C.V.</w:t>
            </w:r>
          </w:p>
        </w:tc>
        <w:tc>
          <w:tcPr>
            <w:tcW w:w="1842" w:type="dxa"/>
            <w:tcBorders>
              <w:top w:val="nil"/>
              <w:left w:val="nil"/>
              <w:bottom w:val="single" w:sz="4" w:space="0" w:color="auto"/>
              <w:right w:val="single" w:sz="4" w:space="0" w:color="auto"/>
            </w:tcBorders>
            <w:shd w:val="clear" w:color="auto" w:fill="auto"/>
            <w:vAlign w:val="center"/>
            <w:hideMark/>
          </w:tcPr>
          <w:p w14:paraId="695AF82E"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187,412</w:t>
            </w:r>
          </w:p>
        </w:tc>
      </w:tr>
      <w:tr w:rsidR="000E4BF4" w:rsidRPr="000E4BF4" w14:paraId="733751F5"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4AAA5E03"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Servicios Aeroportuarios de Tamaulipas, S.A. de C.V.</w:t>
            </w:r>
          </w:p>
        </w:tc>
        <w:tc>
          <w:tcPr>
            <w:tcW w:w="1842" w:type="dxa"/>
            <w:tcBorders>
              <w:top w:val="nil"/>
              <w:left w:val="nil"/>
              <w:bottom w:val="single" w:sz="4" w:space="0" w:color="auto"/>
              <w:right w:val="single" w:sz="4" w:space="0" w:color="auto"/>
            </w:tcBorders>
            <w:shd w:val="clear" w:color="auto" w:fill="auto"/>
            <w:vAlign w:val="center"/>
            <w:hideMark/>
          </w:tcPr>
          <w:p w14:paraId="04E57E9F"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49,500</w:t>
            </w:r>
          </w:p>
        </w:tc>
      </w:tr>
      <w:tr w:rsidR="000E4BF4" w:rsidRPr="000E4BF4" w14:paraId="1FAB0270"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2C5006B0" w14:textId="77777777" w:rsidR="000E4BF4" w:rsidRPr="000E4BF4" w:rsidRDefault="000E4BF4" w:rsidP="000E4BF4">
            <w:pPr>
              <w:spacing w:after="0" w:line="240" w:lineRule="auto"/>
              <w:jc w:val="both"/>
              <w:rPr>
                <w:rFonts w:eastAsia="Times New Roman" w:cs="Calibri"/>
                <w:color w:val="000000"/>
                <w:sz w:val="14"/>
                <w:szCs w:val="14"/>
                <w:lang w:eastAsia="es-MX"/>
              </w:rPr>
            </w:pPr>
            <w:r w:rsidRPr="000E4BF4">
              <w:rPr>
                <w:rFonts w:eastAsia="Times New Roman" w:cs="Calibri"/>
                <w:color w:val="000000"/>
                <w:sz w:val="14"/>
                <w:szCs w:val="14"/>
                <w:lang w:eastAsia="es-MX"/>
              </w:rPr>
              <w:t>Textil Altamira</w:t>
            </w:r>
          </w:p>
        </w:tc>
        <w:tc>
          <w:tcPr>
            <w:tcW w:w="1842" w:type="dxa"/>
            <w:tcBorders>
              <w:top w:val="nil"/>
              <w:left w:val="nil"/>
              <w:bottom w:val="single" w:sz="4" w:space="0" w:color="auto"/>
              <w:right w:val="single" w:sz="4" w:space="0" w:color="auto"/>
            </w:tcBorders>
            <w:shd w:val="clear" w:color="auto" w:fill="auto"/>
            <w:vAlign w:val="center"/>
            <w:hideMark/>
          </w:tcPr>
          <w:p w14:paraId="151D49F5"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53,088,638</w:t>
            </w:r>
          </w:p>
        </w:tc>
      </w:tr>
      <w:tr w:rsidR="000E4BF4" w:rsidRPr="000E4BF4" w14:paraId="68684473" w14:textId="77777777" w:rsidTr="00097C29">
        <w:trPr>
          <w:trHeight w:val="230"/>
        </w:trPr>
        <w:tc>
          <w:tcPr>
            <w:tcW w:w="5077" w:type="dxa"/>
            <w:tcBorders>
              <w:top w:val="nil"/>
              <w:left w:val="single" w:sz="4" w:space="0" w:color="auto"/>
              <w:bottom w:val="single" w:sz="4" w:space="0" w:color="auto"/>
              <w:right w:val="single" w:sz="4" w:space="0" w:color="auto"/>
            </w:tcBorders>
            <w:shd w:val="clear" w:color="000000" w:fill="DDC9A3"/>
            <w:vAlign w:val="center"/>
            <w:hideMark/>
          </w:tcPr>
          <w:p w14:paraId="7E8952A2" w14:textId="77777777" w:rsidR="000E4BF4" w:rsidRPr="000E4BF4" w:rsidRDefault="000E4BF4" w:rsidP="000E4BF4">
            <w:pPr>
              <w:spacing w:after="0" w:line="240" w:lineRule="auto"/>
              <w:jc w:val="center"/>
              <w:rPr>
                <w:rFonts w:eastAsia="Times New Roman" w:cs="Calibri"/>
                <w:b/>
                <w:bCs/>
                <w:color w:val="000000"/>
                <w:sz w:val="14"/>
                <w:szCs w:val="14"/>
                <w:lang w:eastAsia="es-MX"/>
              </w:rPr>
            </w:pPr>
            <w:r w:rsidRPr="000E4BF4">
              <w:rPr>
                <w:rFonts w:eastAsia="Times New Roman" w:cs="Calibri"/>
                <w:b/>
                <w:bCs/>
                <w:color w:val="000000"/>
                <w:sz w:val="14"/>
                <w:szCs w:val="14"/>
                <w:lang w:eastAsia="es-MX"/>
              </w:rPr>
              <w:t>TOTAL</w:t>
            </w:r>
          </w:p>
        </w:tc>
        <w:tc>
          <w:tcPr>
            <w:tcW w:w="1842" w:type="dxa"/>
            <w:tcBorders>
              <w:top w:val="nil"/>
              <w:left w:val="nil"/>
              <w:bottom w:val="single" w:sz="4" w:space="0" w:color="auto"/>
              <w:right w:val="single" w:sz="4" w:space="0" w:color="auto"/>
            </w:tcBorders>
            <w:shd w:val="clear" w:color="000000" w:fill="DDC9A3"/>
            <w:vAlign w:val="center"/>
            <w:hideMark/>
          </w:tcPr>
          <w:p w14:paraId="753409C8" w14:textId="77777777" w:rsidR="000E4BF4" w:rsidRPr="000E4BF4" w:rsidRDefault="000E4BF4" w:rsidP="000E4BF4">
            <w:pPr>
              <w:spacing w:after="0" w:line="240" w:lineRule="auto"/>
              <w:jc w:val="right"/>
              <w:rPr>
                <w:rFonts w:eastAsia="Times New Roman" w:cs="Calibri"/>
                <w:b/>
                <w:bCs/>
                <w:color w:val="000000"/>
                <w:sz w:val="14"/>
                <w:szCs w:val="14"/>
                <w:lang w:eastAsia="es-MX"/>
              </w:rPr>
            </w:pPr>
            <w:r w:rsidRPr="000E4BF4">
              <w:rPr>
                <w:rFonts w:eastAsia="Times New Roman" w:cs="Calibri"/>
                <w:b/>
                <w:bCs/>
                <w:color w:val="000000"/>
                <w:sz w:val="14"/>
                <w:szCs w:val="14"/>
                <w:lang w:eastAsia="es-MX"/>
              </w:rPr>
              <w:t>72,829,060</w:t>
            </w:r>
          </w:p>
        </w:tc>
      </w:tr>
      <w:tr w:rsidR="000E4BF4" w:rsidRPr="000E4BF4" w14:paraId="2D604CA3" w14:textId="77777777" w:rsidTr="00097C29">
        <w:trPr>
          <w:trHeight w:val="230"/>
        </w:trPr>
        <w:tc>
          <w:tcPr>
            <w:tcW w:w="5077" w:type="dxa"/>
            <w:tcBorders>
              <w:top w:val="nil"/>
              <w:left w:val="nil"/>
              <w:bottom w:val="nil"/>
              <w:right w:val="nil"/>
            </w:tcBorders>
            <w:shd w:val="clear" w:color="auto" w:fill="auto"/>
            <w:noWrap/>
            <w:vAlign w:val="bottom"/>
            <w:hideMark/>
          </w:tcPr>
          <w:p w14:paraId="0316E74B" w14:textId="77777777" w:rsidR="000E4BF4" w:rsidRPr="000E4BF4" w:rsidRDefault="000E4BF4" w:rsidP="000E4BF4">
            <w:pPr>
              <w:spacing w:after="0" w:line="240" w:lineRule="auto"/>
              <w:jc w:val="right"/>
              <w:rPr>
                <w:rFonts w:eastAsia="Times New Roman" w:cs="Calibri"/>
                <w:b/>
                <w:bCs/>
                <w:color w:val="000000"/>
                <w:sz w:val="14"/>
                <w:szCs w:val="14"/>
                <w:lang w:eastAsia="es-MX"/>
              </w:rPr>
            </w:pPr>
          </w:p>
        </w:tc>
        <w:tc>
          <w:tcPr>
            <w:tcW w:w="1842" w:type="dxa"/>
            <w:tcBorders>
              <w:top w:val="nil"/>
              <w:left w:val="nil"/>
              <w:bottom w:val="nil"/>
              <w:right w:val="nil"/>
            </w:tcBorders>
            <w:shd w:val="clear" w:color="auto" w:fill="auto"/>
            <w:noWrap/>
            <w:vAlign w:val="bottom"/>
            <w:hideMark/>
          </w:tcPr>
          <w:p w14:paraId="20B3D0DC" w14:textId="77777777" w:rsidR="000E4BF4" w:rsidRPr="000E4BF4" w:rsidRDefault="000E4BF4" w:rsidP="000E4BF4">
            <w:pPr>
              <w:spacing w:after="0" w:line="240" w:lineRule="auto"/>
              <w:rPr>
                <w:rFonts w:ascii="Times New Roman" w:eastAsia="Times New Roman" w:hAnsi="Times New Roman"/>
                <w:sz w:val="20"/>
                <w:szCs w:val="20"/>
                <w:lang w:eastAsia="es-MX"/>
              </w:rPr>
            </w:pPr>
          </w:p>
        </w:tc>
      </w:tr>
      <w:tr w:rsidR="000E4BF4" w:rsidRPr="000E4BF4" w14:paraId="59891FA9" w14:textId="77777777" w:rsidTr="00097C29">
        <w:trPr>
          <w:trHeight w:val="300"/>
        </w:trPr>
        <w:tc>
          <w:tcPr>
            <w:tcW w:w="507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268C2FC" w14:textId="77777777" w:rsidR="000E4BF4" w:rsidRPr="000E4BF4" w:rsidRDefault="000E4BF4" w:rsidP="000E4BF4">
            <w:pPr>
              <w:spacing w:after="0" w:line="240" w:lineRule="auto"/>
              <w:jc w:val="center"/>
              <w:rPr>
                <w:rFonts w:eastAsia="Times New Roman" w:cs="Calibri"/>
                <w:b/>
                <w:bCs/>
                <w:color w:val="FFFFFF"/>
                <w:sz w:val="16"/>
                <w:szCs w:val="16"/>
                <w:lang w:eastAsia="es-MX"/>
              </w:rPr>
            </w:pPr>
            <w:r w:rsidRPr="000E4BF4">
              <w:rPr>
                <w:rFonts w:eastAsia="Times New Roman" w:cs="Calibri"/>
                <w:b/>
                <w:bCs/>
                <w:color w:val="FFFFFF"/>
                <w:sz w:val="16"/>
                <w:szCs w:val="16"/>
                <w:lang w:eastAsia="es-MX"/>
              </w:rPr>
              <w:t>Fideicomisos</w:t>
            </w:r>
          </w:p>
        </w:tc>
        <w:tc>
          <w:tcPr>
            <w:tcW w:w="1842" w:type="dxa"/>
            <w:tcBorders>
              <w:top w:val="single" w:sz="4" w:space="0" w:color="auto"/>
              <w:left w:val="nil"/>
              <w:bottom w:val="single" w:sz="4" w:space="0" w:color="auto"/>
              <w:right w:val="single" w:sz="4" w:space="0" w:color="auto"/>
            </w:tcBorders>
            <w:shd w:val="clear" w:color="000000" w:fill="AB0033"/>
            <w:vAlign w:val="center"/>
            <w:hideMark/>
          </w:tcPr>
          <w:p w14:paraId="680D191B" w14:textId="77777777" w:rsidR="000E4BF4" w:rsidRPr="000E4BF4" w:rsidRDefault="000E4BF4" w:rsidP="000E4BF4">
            <w:pPr>
              <w:spacing w:after="0" w:line="240" w:lineRule="auto"/>
              <w:jc w:val="center"/>
              <w:rPr>
                <w:rFonts w:eastAsia="Times New Roman" w:cs="Calibri"/>
                <w:b/>
                <w:bCs/>
                <w:color w:val="FFFFFF"/>
                <w:sz w:val="16"/>
                <w:szCs w:val="16"/>
                <w:lang w:eastAsia="es-MX"/>
              </w:rPr>
            </w:pPr>
            <w:r w:rsidRPr="000E4BF4">
              <w:rPr>
                <w:rFonts w:eastAsia="Times New Roman" w:cs="Calibri"/>
                <w:b/>
                <w:bCs/>
                <w:color w:val="FFFFFF"/>
                <w:sz w:val="16"/>
                <w:szCs w:val="16"/>
                <w:lang w:eastAsia="es-MX"/>
              </w:rPr>
              <w:t>Importe</w:t>
            </w:r>
          </w:p>
        </w:tc>
      </w:tr>
      <w:tr w:rsidR="000E4BF4" w:rsidRPr="000E4BF4" w14:paraId="55C09515"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7C908416"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Puente Internacional Nuevo Laredo III</w:t>
            </w:r>
          </w:p>
        </w:tc>
        <w:tc>
          <w:tcPr>
            <w:tcW w:w="1842" w:type="dxa"/>
            <w:tcBorders>
              <w:top w:val="nil"/>
              <w:left w:val="nil"/>
              <w:bottom w:val="single" w:sz="4" w:space="0" w:color="auto"/>
              <w:right w:val="single" w:sz="4" w:space="0" w:color="auto"/>
            </w:tcBorders>
            <w:shd w:val="clear" w:color="auto" w:fill="auto"/>
            <w:noWrap/>
            <w:vAlign w:val="bottom"/>
            <w:hideMark/>
          </w:tcPr>
          <w:p w14:paraId="4F283D32"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512,924,813</w:t>
            </w:r>
          </w:p>
        </w:tc>
      </w:tr>
      <w:tr w:rsidR="000E4BF4" w:rsidRPr="000E4BF4" w14:paraId="3B6F7EF6"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58243260"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Santander 200-3885 (CREDITOS)</w:t>
            </w:r>
          </w:p>
        </w:tc>
        <w:tc>
          <w:tcPr>
            <w:tcW w:w="1842" w:type="dxa"/>
            <w:tcBorders>
              <w:top w:val="nil"/>
              <w:left w:val="nil"/>
              <w:bottom w:val="single" w:sz="4" w:space="0" w:color="auto"/>
              <w:right w:val="single" w:sz="4" w:space="0" w:color="auto"/>
            </w:tcBorders>
            <w:shd w:val="clear" w:color="auto" w:fill="auto"/>
            <w:noWrap/>
            <w:vAlign w:val="bottom"/>
            <w:hideMark/>
          </w:tcPr>
          <w:p w14:paraId="7FAD6E5A"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398,558,446</w:t>
            </w:r>
          </w:p>
        </w:tc>
      </w:tr>
      <w:tr w:rsidR="000E4BF4" w:rsidRPr="000E4BF4" w14:paraId="1FAE9ABD"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3F667E68"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 xml:space="preserve">Fideicomiso de </w:t>
            </w:r>
            <w:proofErr w:type="spellStart"/>
            <w:r w:rsidRPr="000E4BF4">
              <w:rPr>
                <w:rFonts w:eastAsia="Times New Roman" w:cs="Calibri"/>
                <w:color w:val="000000"/>
                <w:sz w:val="14"/>
                <w:szCs w:val="14"/>
                <w:lang w:eastAsia="es-MX"/>
              </w:rPr>
              <w:t>Admon</w:t>
            </w:r>
            <w:proofErr w:type="spellEnd"/>
            <w:r w:rsidRPr="000E4BF4">
              <w:rPr>
                <w:rFonts w:eastAsia="Times New Roman" w:cs="Calibri"/>
                <w:color w:val="000000"/>
                <w:sz w:val="14"/>
                <w:szCs w:val="14"/>
                <w:lang w:eastAsia="es-MX"/>
              </w:rPr>
              <w:t>. Y Fuente de Pago APP</w:t>
            </w:r>
          </w:p>
        </w:tc>
        <w:tc>
          <w:tcPr>
            <w:tcW w:w="1842" w:type="dxa"/>
            <w:tcBorders>
              <w:top w:val="nil"/>
              <w:left w:val="nil"/>
              <w:bottom w:val="single" w:sz="4" w:space="0" w:color="auto"/>
              <w:right w:val="single" w:sz="4" w:space="0" w:color="auto"/>
            </w:tcBorders>
            <w:shd w:val="clear" w:color="auto" w:fill="auto"/>
            <w:noWrap/>
            <w:vAlign w:val="bottom"/>
            <w:hideMark/>
          </w:tcPr>
          <w:p w14:paraId="5A0C29DB"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236,105,088</w:t>
            </w:r>
          </w:p>
        </w:tc>
      </w:tr>
      <w:tr w:rsidR="000E4BF4" w:rsidRPr="000E4BF4" w14:paraId="689AF992"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087318E2"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FOFAET</w:t>
            </w:r>
          </w:p>
        </w:tc>
        <w:tc>
          <w:tcPr>
            <w:tcW w:w="1842" w:type="dxa"/>
            <w:tcBorders>
              <w:top w:val="nil"/>
              <w:left w:val="nil"/>
              <w:bottom w:val="single" w:sz="4" w:space="0" w:color="auto"/>
              <w:right w:val="single" w:sz="4" w:space="0" w:color="auto"/>
            </w:tcBorders>
            <w:shd w:val="clear" w:color="auto" w:fill="auto"/>
            <w:noWrap/>
            <w:vAlign w:val="bottom"/>
            <w:hideMark/>
          </w:tcPr>
          <w:p w14:paraId="428E4FDF"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83,375,310</w:t>
            </w:r>
          </w:p>
        </w:tc>
      </w:tr>
      <w:tr w:rsidR="000E4BF4" w:rsidRPr="000E4BF4" w14:paraId="3F5F9786"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1C6554E5"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para Pago de Créditos (FIPAC)</w:t>
            </w:r>
          </w:p>
        </w:tc>
        <w:tc>
          <w:tcPr>
            <w:tcW w:w="1842" w:type="dxa"/>
            <w:tcBorders>
              <w:top w:val="nil"/>
              <w:left w:val="nil"/>
              <w:bottom w:val="single" w:sz="4" w:space="0" w:color="auto"/>
              <w:right w:val="single" w:sz="4" w:space="0" w:color="auto"/>
            </w:tcBorders>
            <w:shd w:val="clear" w:color="auto" w:fill="auto"/>
            <w:noWrap/>
            <w:vAlign w:val="bottom"/>
            <w:hideMark/>
          </w:tcPr>
          <w:p w14:paraId="76769C85"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73,106,374</w:t>
            </w:r>
          </w:p>
        </w:tc>
      </w:tr>
      <w:tr w:rsidR="000E4BF4" w:rsidRPr="000E4BF4" w14:paraId="45BC09FA"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5144B73C"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FITABEC</w:t>
            </w:r>
          </w:p>
        </w:tc>
        <w:tc>
          <w:tcPr>
            <w:tcW w:w="1842" w:type="dxa"/>
            <w:tcBorders>
              <w:top w:val="nil"/>
              <w:left w:val="nil"/>
              <w:bottom w:val="single" w:sz="4" w:space="0" w:color="auto"/>
              <w:right w:val="single" w:sz="4" w:space="0" w:color="auto"/>
            </w:tcBorders>
            <w:shd w:val="clear" w:color="auto" w:fill="auto"/>
            <w:noWrap/>
            <w:vAlign w:val="bottom"/>
            <w:hideMark/>
          </w:tcPr>
          <w:p w14:paraId="5436648B"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43,525,510</w:t>
            </w:r>
          </w:p>
        </w:tc>
      </w:tr>
      <w:tr w:rsidR="000E4BF4" w:rsidRPr="000E4BF4" w14:paraId="59F66BF6"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59D7A1B9"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Nuevo Santander</w:t>
            </w:r>
          </w:p>
        </w:tc>
        <w:tc>
          <w:tcPr>
            <w:tcW w:w="1842" w:type="dxa"/>
            <w:tcBorders>
              <w:top w:val="nil"/>
              <w:left w:val="nil"/>
              <w:bottom w:val="single" w:sz="4" w:space="0" w:color="auto"/>
              <w:right w:val="single" w:sz="4" w:space="0" w:color="auto"/>
            </w:tcBorders>
            <w:shd w:val="clear" w:color="auto" w:fill="auto"/>
            <w:noWrap/>
            <w:vAlign w:val="bottom"/>
            <w:hideMark/>
          </w:tcPr>
          <w:p w14:paraId="4064113F"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30,580,465</w:t>
            </w:r>
          </w:p>
        </w:tc>
      </w:tr>
      <w:tr w:rsidR="000E4BF4" w:rsidRPr="000E4BF4" w14:paraId="0607B267"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5D98A08B"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Rio Bravo-DONNA</w:t>
            </w:r>
          </w:p>
        </w:tc>
        <w:tc>
          <w:tcPr>
            <w:tcW w:w="1842" w:type="dxa"/>
            <w:tcBorders>
              <w:top w:val="nil"/>
              <w:left w:val="nil"/>
              <w:bottom w:val="single" w:sz="4" w:space="0" w:color="auto"/>
              <w:right w:val="single" w:sz="4" w:space="0" w:color="auto"/>
            </w:tcBorders>
            <w:shd w:val="clear" w:color="auto" w:fill="auto"/>
            <w:noWrap/>
            <w:vAlign w:val="bottom"/>
            <w:hideMark/>
          </w:tcPr>
          <w:p w14:paraId="4353EF14"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26,228,967</w:t>
            </w:r>
          </w:p>
        </w:tc>
      </w:tr>
      <w:tr w:rsidR="000E4BF4" w:rsidRPr="000E4BF4" w14:paraId="2614013D"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7053CE9D"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 xml:space="preserve">Fideicomiso  FOVIMAT </w:t>
            </w:r>
          </w:p>
        </w:tc>
        <w:tc>
          <w:tcPr>
            <w:tcW w:w="1842" w:type="dxa"/>
            <w:tcBorders>
              <w:top w:val="nil"/>
              <w:left w:val="nil"/>
              <w:bottom w:val="single" w:sz="4" w:space="0" w:color="auto"/>
              <w:right w:val="single" w:sz="4" w:space="0" w:color="auto"/>
            </w:tcBorders>
            <w:shd w:val="clear" w:color="auto" w:fill="auto"/>
            <w:noWrap/>
            <w:vAlign w:val="bottom"/>
            <w:hideMark/>
          </w:tcPr>
          <w:p w14:paraId="5A2A5BE3"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23,780,798</w:t>
            </w:r>
          </w:p>
        </w:tc>
      </w:tr>
      <w:tr w:rsidR="000E4BF4" w:rsidRPr="000E4BF4" w14:paraId="528B240F"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6880389B"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Fondo de Desastres Naturales del Estado de Tamaulipas</w:t>
            </w:r>
          </w:p>
        </w:tc>
        <w:tc>
          <w:tcPr>
            <w:tcW w:w="1842" w:type="dxa"/>
            <w:tcBorders>
              <w:top w:val="nil"/>
              <w:left w:val="nil"/>
              <w:bottom w:val="single" w:sz="4" w:space="0" w:color="auto"/>
              <w:right w:val="single" w:sz="4" w:space="0" w:color="auto"/>
            </w:tcBorders>
            <w:shd w:val="clear" w:color="auto" w:fill="auto"/>
            <w:noWrap/>
            <w:vAlign w:val="bottom"/>
            <w:hideMark/>
          </w:tcPr>
          <w:p w14:paraId="1A087C09"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21,268,059</w:t>
            </w:r>
          </w:p>
        </w:tc>
      </w:tr>
      <w:tr w:rsidR="000E4BF4" w:rsidRPr="000E4BF4" w14:paraId="69AA3DF2"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3EF33588"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Tecnologías Educativas</w:t>
            </w:r>
          </w:p>
        </w:tc>
        <w:tc>
          <w:tcPr>
            <w:tcW w:w="1842" w:type="dxa"/>
            <w:tcBorders>
              <w:top w:val="nil"/>
              <w:left w:val="nil"/>
              <w:bottom w:val="single" w:sz="4" w:space="0" w:color="auto"/>
              <w:right w:val="single" w:sz="4" w:space="0" w:color="auto"/>
            </w:tcBorders>
            <w:shd w:val="clear" w:color="auto" w:fill="auto"/>
            <w:noWrap/>
            <w:vAlign w:val="bottom"/>
            <w:hideMark/>
          </w:tcPr>
          <w:p w14:paraId="13597355"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9,202,751</w:t>
            </w:r>
          </w:p>
        </w:tc>
      </w:tr>
      <w:tr w:rsidR="000E4BF4" w:rsidRPr="000E4BF4" w14:paraId="67FBFA38"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4317645A"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Tamaulipas para Cobertura de Precios y Agricultura</w:t>
            </w:r>
          </w:p>
        </w:tc>
        <w:tc>
          <w:tcPr>
            <w:tcW w:w="1842" w:type="dxa"/>
            <w:tcBorders>
              <w:top w:val="nil"/>
              <w:left w:val="nil"/>
              <w:bottom w:val="single" w:sz="4" w:space="0" w:color="auto"/>
              <w:right w:val="single" w:sz="4" w:space="0" w:color="auto"/>
            </w:tcBorders>
            <w:shd w:val="clear" w:color="auto" w:fill="auto"/>
            <w:noWrap/>
            <w:vAlign w:val="bottom"/>
            <w:hideMark/>
          </w:tcPr>
          <w:p w14:paraId="737198B3"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4,680,999</w:t>
            </w:r>
          </w:p>
        </w:tc>
      </w:tr>
      <w:tr w:rsidR="000E4BF4" w:rsidRPr="000E4BF4" w14:paraId="5FD56DB9"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48BB2576"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de Garantía Agropecuaria</w:t>
            </w:r>
          </w:p>
        </w:tc>
        <w:tc>
          <w:tcPr>
            <w:tcW w:w="1842" w:type="dxa"/>
            <w:tcBorders>
              <w:top w:val="nil"/>
              <w:left w:val="nil"/>
              <w:bottom w:val="single" w:sz="4" w:space="0" w:color="auto"/>
              <w:right w:val="single" w:sz="4" w:space="0" w:color="auto"/>
            </w:tcBorders>
            <w:shd w:val="clear" w:color="auto" w:fill="auto"/>
            <w:noWrap/>
            <w:vAlign w:val="bottom"/>
            <w:hideMark/>
          </w:tcPr>
          <w:p w14:paraId="4E990804"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3,824,569</w:t>
            </w:r>
          </w:p>
        </w:tc>
      </w:tr>
      <w:tr w:rsidR="000E4BF4" w:rsidRPr="000E4BF4" w14:paraId="52D0ADF2"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19DF3E1B"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sobre Hospedaje</w:t>
            </w:r>
          </w:p>
        </w:tc>
        <w:tc>
          <w:tcPr>
            <w:tcW w:w="1842" w:type="dxa"/>
            <w:tcBorders>
              <w:top w:val="nil"/>
              <w:left w:val="nil"/>
              <w:bottom w:val="single" w:sz="4" w:space="0" w:color="auto"/>
              <w:right w:val="single" w:sz="4" w:space="0" w:color="auto"/>
            </w:tcBorders>
            <w:shd w:val="clear" w:color="auto" w:fill="auto"/>
            <w:noWrap/>
            <w:vAlign w:val="bottom"/>
            <w:hideMark/>
          </w:tcPr>
          <w:p w14:paraId="245E5ADE"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3,340,035</w:t>
            </w:r>
          </w:p>
        </w:tc>
      </w:tr>
      <w:tr w:rsidR="000E4BF4" w:rsidRPr="000E4BF4" w14:paraId="59BD8891"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2AADF8B4"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 xml:space="preserve">Fideicomiso </w:t>
            </w:r>
            <w:proofErr w:type="spellStart"/>
            <w:r w:rsidRPr="000E4BF4">
              <w:rPr>
                <w:rFonts w:eastAsia="Times New Roman" w:cs="Calibri"/>
                <w:color w:val="000000"/>
                <w:sz w:val="14"/>
                <w:szCs w:val="14"/>
                <w:lang w:eastAsia="es-MX"/>
              </w:rPr>
              <w:t>Banregio</w:t>
            </w:r>
            <w:proofErr w:type="spellEnd"/>
            <w:r w:rsidRPr="000E4BF4">
              <w:rPr>
                <w:rFonts w:eastAsia="Times New Roman" w:cs="Calibri"/>
                <w:color w:val="000000"/>
                <w:sz w:val="14"/>
                <w:szCs w:val="14"/>
                <w:lang w:eastAsia="es-MX"/>
              </w:rPr>
              <w:t xml:space="preserve"> 851-00901 (CREDITOS)</w:t>
            </w:r>
          </w:p>
        </w:tc>
        <w:tc>
          <w:tcPr>
            <w:tcW w:w="1842" w:type="dxa"/>
            <w:tcBorders>
              <w:top w:val="nil"/>
              <w:left w:val="nil"/>
              <w:bottom w:val="single" w:sz="4" w:space="0" w:color="auto"/>
              <w:right w:val="single" w:sz="4" w:space="0" w:color="auto"/>
            </w:tcBorders>
            <w:shd w:val="clear" w:color="auto" w:fill="auto"/>
            <w:noWrap/>
            <w:vAlign w:val="bottom"/>
            <w:hideMark/>
          </w:tcPr>
          <w:p w14:paraId="6F2AD86C"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2,543,524</w:t>
            </w:r>
          </w:p>
        </w:tc>
      </w:tr>
      <w:tr w:rsidR="000E4BF4" w:rsidRPr="000E4BF4" w14:paraId="22765724"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572CFAB7"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para el Desarrollo Forestal Sustentable</w:t>
            </w:r>
          </w:p>
        </w:tc>
        <w:tc>
          <w:tcPr>
            <w:tcW w:w="1842" w:type="dxa"/>
            <w:tcBorders>
              <w:top w:val="nil"/>
              <w:left w:val="nil"/>
              <w:bottom w:val="single" w:sz="4" w:space="0" w:color="auto"/>
              <w:right w:val="single" w:sz="4" w:space="0" w:color="auto"/>
            </w:tcBorders>
            <w:shd w:val="clear" w:color="auto" w:fill="auto"/>
            <w:noWrap/>
            <w:vAlign w:val="bottom"/>
            <w:hideMark/>
          </w:tcPr>
          <w:p w14:paraId="739B28BA"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2,202,625</w:t>
            </w:r>
          </w:p>
        </w:tc>
      </w:tr>
      <w:tr w:rsidR="000E4BF4" w:rsidRPr="000E4BF4" w14:paraId="65DACF58"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30F9C563"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Garantía Liquida Solidaria</w:t>
            </w:r>
          </w:p>
        </w:tc>
        <w:tc>
          <w:tcPr>
            <w:tcW w:w="1842" w:type="dxa"/>
            <w:tcBorders>
              <w:top w:val="nil"/>
              <w:left w:val="nil"/>
              <w:bottom w:val="single" w:sz="4" w:space="0" w:color="auto"/>
              <w:right w:val="single" w:sz="4" w:space="0" w:color="auto"/>
            </w:tcBorders>
            <w:shd w:val="clear" w:color="auto" w:fill="auto"/>
            <w:noWrap/>
            <w:vAlign w:val="bottom"/>
            <w:hideMark/>
          </w:tcPr>
          <w:p w14:paraId="7916417A"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1,706,404</w:t>
            </w:r>
          </w:p>
        </w:tc>
      </w:tr>
      <w:tr w:rsidR="000E4BF4" w:rsidRPr="000E4BF4" w14:paraId="6A401516"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16513DB6"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Fondo Metropolitano de Matamoros</w:t>
            </w:r>
          </w:p>
        </w:tc>
        <w:tc>
          <w:tcPr>
            <w:tcW w:w="1842" w:type="dxa"/>
            <w:tcBorders>
              <w:top w:val="nil"/>
              <w:left w:val="nil"/>
              <w:bottom w:val="single" w:sz="4" w:space="0" w:color="auto"/>
              <w:right w:val="single" w:sz="4" w:space="0" w:color="auto"/>
            </w:tcBorders>
            <w:shd w:val="clear" w:color="auto" w:fill="auto"/>
            <w:noWrap/>
            <w:vAlign w:val="bottom"/>
            <w:hideMark/>
          </w:tcPr>
          <w:p w14:paraId="45B92152"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646,867</w:t>
            </w:r>
          </w:p>
        </w:tc>
      </w:tr>
      <w:tr w:rsidR="000E4BF4" w:rsidRPr="000E4BF4" w14:paraId="77B66784"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3775E614"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 xml:space="preserve">Fideicomiso Maestro Irrevocable de </w:t>
            </w:r>
            <w:proofErr w:type="spellStart"/>
            <w:r w:rsidRPr="000E4BF4">
              <w:rPr>
                <w:rFonts w:eastAsia="Times New Roman" w:cs="Calibri"/>
                <w:color w:val="000000"/>
                <w:sz w:val="14"/>
                <w:szCs w:val="14"/>
                <w:lang w:eastAsia="es-MX"/>
              </w:rPr>
              <w:t>Admon</w:t>
            </w:r>
            <w:proofErr w:type="spellEnd"/>
            <w:r w:rsidRPr="000E4BF4">
              <w:rPr>
                <w:rFonts w:eastAsia="Times New Roman" w:cs="Calibri"/>
                <w:color w:val="000000"/>
                <w:sz w:val="14"/>
                <w:szCs w:val="14"/>
                <w:lang w:eastAsia="es-MX"/>
              </w:rPr>
              <w:t xml:space="preserve"> y Fuente de Pago</w:t>
            </w:r>
          </w:p>
        </w:tc>
        <w:tc>
          <w:tcPr>
            <w:tcW w:w="1842" w:type="dxa"/>
            <w:tcBorders>
              <w:top w:val="nil"/>
              <w:left w:val="nil"/>
              <w:bottom w:val="single" w:sz="4" w:space="0" w:color="auto"/>
              <w:right w:val="single" w:sz="4" w:space="0" w:color="auto"/>
            </w:tcBorders>
            <w:shd w:val="clear" w:color="auto" w:fill="auto"/>
            <w:noWrap/>
            <w:vAlign w:val="bottom"/>
            <w:hideMark/>
          </w:tcPr>
          <w:p w14:paraId="4108551F"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268,105</w:t>
            </w:r>
          </w:p>
        </w:tc>
      </w:tr>
      <w:tr w:rsidR="000E4BF4" w:rsidRPr="000E4BF4" w14:paraId="5BC5500D" w14:textId="77777777" w:rsidTr="00097C29">
        <w:trPr>
          <w:trHeight w:val="230"/>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14:paraId="2BAE2A51"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del Corredor Económico del Norte</w:t>
            </w:r>
          </w:p>
        </w:tc>
        <w:tc>
          <w:tcPr>
            <w:tcW w:w="1842" w:type="dxa"/>
            <w:tcBorders>
              <w:top w:val="nil"/>
              <w:left w:val="nil"/>
              <w:bottom w:val="single" w:sz="4" w:space="0" w:color="auto"/>
              <w:right w:val="single" w:sz="4" w:space="0" w:color="auto"/>
            </w:tcBorders>
            <w:shd w:val="clear" w:color="auto" w:fill="auto"/>
            <w:noWrap/>
            <w:vAlign w:val="bottom"/>
            <w:hideMark/>
          </w:tcPr>
          <w:p w14:paraId="539A268A"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206,652</w:t>
            </w:r>
          </w:p>
        </w:tc>
      </w:tr>
      <w:tr w:rsidR="000E4BF4" w:rsidRPr="000E4BF4" w14:paraId="4FE0B172" w14:textId="77777777" w:rsidTr="00097C29">
        <w:trPr>
          <w:trHeight w:val="230"/>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ED59"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Centro Histórico De Tampico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E4A3505"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17,763</w:t>
            </w:r>
          </w:p>
        </w:tc>
      </w:tr>
      <w:tr w:rsidR="000E4BF4" w:rsidRPr="000E4BF4" w14:paraId="12E87170" w14:textId="77777777" w:rsidTr="00097C29">
        <w:trPr>
          <w:trHeight w:val="230"/>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437D4"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 Mante-Ocampo-Tula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EDEC2EB"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16,027</w:t>
            </w:r>
          </w:p>
        </w:tc>
      </w:tr>
      <w:tr w:rsidR="000E4BF4" w:rsidRPr="000E4BF4" w14:paraId="38705DFB" w14:textId="77777777" w:rsidTr="00097C29">
        <w:trPr>
          <w:trHeight w:val="230"/>
        </w:trPr>
        <w:tc>
          <w:tcPr>
            <w:tcW w:w="5077" w:type="dxa"/>
            <w:tcBorders>
              <w:top w:val="single" w:sz="4" w:space="0" w:color="auto"/>
              <w:left w:val="single" w:sz="4" w:space="0" w:color="auto"/>
              <w:bottom w:val="single" w:sz="4" w:space="0" w:color="auto"/>
              <w:right w:val="nil"/>
            </w:tcBorders>
            <w:shd w:val="clear" w:color="auto" w:fill="auto"/>
            <w:noWrap/>
            <w:vAlign w:val="bottom"/>
            <w:hideMark/>
          </w:tcPr>
          <w:p w14:paraId="7A5494C6"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Fideicomisos Nuestros Niños Nuestro Futuro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6DE3"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14,940</w:t>
            </w:r>
          </w:p>
        </w:tc>
      </w:tr>
      <w:tr w:rsidR="000E4BF4" w:rsidRPr="000E4BF4" w14:paraId="701C9B96" w14:textId="77777777" w:rsidTr="00097C29">
        <w:trPr>
          <w:trHeight w:val="230"/>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28B8"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 xml:space="preserve">Fideicomiso Para el Desarrollo Comercial Ignacio Zaragoza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E710013"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6,672</w:t>
            </w:r>
          </w:p>
        </w:tc>
      </w:tr>
      <w:tr w:rsidR="000E4BF4" w:rsidRPr="000E4BF4" w14:paraId="31E13A87" w14:textId="77777777" w:rsidTr="00097C29">
        <w:trPr>
          <w:trHeight w:val="230"/>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BCA9" w14:textId="77777777" w:rsidR="000E4BF4" w:rsidRPr="000E4BF4" w:rsidRDefault="000E4BF4" w:rsidP="000E4BF4">
            <w:pPr>
              <w:spacing w:after="0" w:line="240" w:lineRule="auto"/>
              <w:rPr>
                <w:rFonts w:eastAsia="Times New Roman" w:cs="Calibri"/>
                <w:color w:val="000000"/>
                <w:sz w:val="14"/>
                <w:szCs w:val="14"/>
                <w:lang w:eastAsia="es-MX"/>
              </w:rPr>
            </w:pPr>
            <w:r w:rsidRPr="000E4BF4">
              <w:rPr>
                <w:rFonts w:eastAsia="Times New Roman" w:cs="Calibri"/>
                <w:color w:val="000000"/>
                <w:sz w:val="14"/>
                <w:szCs w:val="14"/>
                <w:lang w:eastAsia="es-MX"/>
              </w:rPr>
              <w:t xml:space="preserve">Fideicomiso Centro Histórico De Matamoros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31759EB" w14:textId="77777777" w:rsidR="000E4BF4" w:rsidRPr="000E4BF4" w:rsidRDefault="000E4BF4" w:rsidP="000E4BF4">
            <w:pPr>
              <w:spacing w:after="0" w:line="240" w:lineRule="auto"/>
              <w:jc w:val="right"/>
              <w:rPr>
                <w:rFonts w:eastAsia="Times New Roman" w:cs="Calibri"/>
                <w:color w:val="000000"/>
                <w:sz w:val="14"/>
                <w:szCs w:val="14"/>
                <w:lang w:eastAsia="es-MX"/>
              </w:rPr>
            </w:pPr>
            <w:r w:rsidRPr="000E4BF4">
              <w:rPr>
                <w:rFonts w:eastAsia="Times New Roman" w:cs="Calibri"/>
                <w:color w:val="000000"/>
                <w:sz w:val="14"/>
                <w:szCs w:val="14"/>
                <w:lang w:eastAsia="es-MX"/>
              </w:rPr>
              <w:t>3,922</w:t>
            </w:r>
          </w:p>
        </w:tc>
      </w:tr>
      <w:tr w:rsidR="000E4BF4" w:rsidRPr="00097C29" w14:paraId="2E983CBE" w14:textId="77777777" w:rsidTr="00097C29">
        <w:trPr>
          <w:trHeight w:val="313"/>
        </w:trPr>
        <w:tc>
          <w:tcPr>
            <w:tcW w:w="5077" w:type="dxa"/>
            <w:tcBorders>
              <w:top w:val="nil"/>
              <w:left w:val="single" w:sz="4" w:space="0" w:color="auto"/>
              <w:bottom w:val="single" w:sz="4" w:space="0" w:color="auto"/>
              <w:right w:val="single" w:sz="4" w:space="0" w:color="auto"/>
            </w:tcBorders>
            <w:shd w:val="clear" w:color="000000" w:fill="DDC9A3"/>
            <w:vAlign w:val="center"/>
            <w:hideMark/>
          </w:tcPr>
          <w:p w14:paraId="288F22B1" w14:textId="77777777" w:rsidR="000E4BF4" w:rsidRPr="00097C29" w:rsidRDefault="000E4BF4" w:rsidP="000E4BF4">
            <w:pPr>
              <w:spacing w:after="0" w:line="240" w:lineRule="auto"/>
              <w:jc w:val="center"/>
              <w:rPr>
                <w:rFonts w:eastAsia="Times New Roman" w:cs="Calibri"/>
                <w:b/>
                <w:bCs/>
                <w:color w:val="000000"/>
                <w:sz w:val="16"/>
                <w:szCs w:val="14"/>
                <w:lang w:eastAsia="es-MX"/>
              </w:rPr>
            </w:pPr>
            <w:r w:rsidRPr="00097C29">
              <w:rPr>
                <w:rFonts w:eastAsia="Times New Roman" w:cs="Calibri"/>
                <w:b/>
                <w:bCs/>
                <w:color w:val="000000"/>
                <w:sz w:val="16"/>
                <w:szCs w:val="14"/>
                <w:lang w:eastAsia="es-MX"/>
              </w:rPr>
              <w:t>TOTAL</w:t>
            </w:r>
          </w:p>
        </w:tc>
        <w:tc>
          <w:tcPr>
            <w:tcW w:w="1842" w:type="dxa"/>
            <w:tcBorders>
              <w:top w:val="nil"/>
              <w:left w:val="nil"/>
              <w:bottom w:val="single" w:sz="4" w:space="0" w:color="auto"/>
              <w:right w:val="single" w:sz="4" w:space="0" w:color="auto"/>
            </w:tcBorders>
            <w:shd w:val="clear" w:color="000000" w:fill="DDC9A3"/>
            <w:vAlign w:val="center"/>
            <w:hideMark/>
          </w:tcPr>
          <w:p w14:paraId="16329C06" w14:textId="77777777" w:rsidR="000E4BF4" w:rsidRPr="00097C29" w:rsidRDefault="000E4BF4" w:rsidP="000E4BF4">
            <w:pPr>
              <w:spacing w:after="0" w:line="240" w:lineRule="auto"/>
              <w:jc w:val="right"/>
              <w:rPr>
                <w:rFonts w:eastAsia="Times New Roman" w:cs="Calibri"/>
                <w:b/>
                <w:bCs/>
                <w:color w:val="000000"/>
                <w:sz w:val="16"/>
                <w:szCs w:val="14"/>
                <w:lang w:eastAsia="es-MX"/>
              </w:rPr>
            </w:pPr>
            <w:r w:rsidRPr="00097C29">
              <w:rPr>
                <w:rFonts w:eastAsia="Times New Roman" w:cs="Calibri"/>
                <w:b/>
                <w:bCs/>
                <w:color w:val="000000"/>
                <w:sz w:val="16"/>
                <w:szCs w:val="14"/>
                <w:lang w:eastAsia="es-MX"/>
              </w:rPr>
              <w:t>1,478,135,687</w:t>
            </w:r>
          </w:p>
        </w:tc>
      </w:tr>
    </w:tbl>
    <w:p w14:paraId="6DA505E7" w14:textId="46F334FC" w:rsidR="00D15B97" w:rsidRPr="000E4BF4" w:rsidRDefault="00D15B97" w:rsidP="000E4BF4">
      <w:pPr>
        <w:pStyle w:val="Texto"/>
        <w:spacing w:after="0" w:line="276" w:lineRule="auto"/>
        <w:ind w:firstLine="0"/>
        <w:rPr>
          <w:rFonts w:asciiTheme="minorHAnsi" w:hAnsiTheme="minorHAnsi" w:cstheme="minorHAnsi"/>
          <w:szCs w:val="18"/>
          <w:lang w:val="es-MX"/>
        </w:rPr>
      </w:pPr>
    </w:p>
    <w:p w14:paraId="65956AD7" w14:textId="77777777" w:rsidR="00E07EC7" w:rsidRDefault="00E07EC7" w:rsidP="00D15B97">
      <w:pPr>
        <w:pStyle w:val="Texto"/>
        <w:spacing w:after="0" w:line="240" w:lineRule="exact"/>
        <w:ind w:firstLine="0"/>
        <w:rPr>
          <w:rFonts w:asciiTheme="minorHAnsi" w:hAnsiTheme="minorHAnsi" w:cstheme="minorHAnsi"/>
          <w:sz w:val="14"/>
          <w:szCs w:val="14"/>
          <w:lang w:val="es-MX"/>
        </w:rPr>
      </w:pPr>
    </w:p>
    <w:p w14:paraId="6EE0599D" w14:textId="67B17799" w:rsidR="007161E1" w:rsidRPr="006A7927" w:rsidRDefault="007161E1" w:rsidP="006A7927">
      <w:pPr>
        <w:pStyle w:val="Texto"/>
        <w:numPr>
          <w:ilvl w:val="0"/>
          <w:numId w:val="33"/>
        </w:numPr>
        <w:spacing w:after="0" w:line="240" w:lineRule="exact"/>
        <w:ind w:left="567" w:hanging="283"/>
        <w:rPr>
          <w:rFonts w:asciiTheme="minorHAnsi" w:hAnsiTheme="minorHAnsi" w:cstheme="minorHAnsi"/>
          <w:szCs w:val="18"/>
          <w:lang w:val="es-MX"/>
        </w:rPr>
      </w:pPr>
      <w:r w:rsidRPr="006A7927">
        <w:rPr>
          <w:rFonts w:asciiTheme="minorHAnsi" w:hAnsiTheme="minorHAnsi" w:cstheme="minorHAnsi"/>
          <w:szCs w:val="18"/>
          <w:lang w:val="es-MX"/>
        </w:rPr>
        <w:t>También se refleja un incremento</w:t>
      </w:r>
      <w:r w:rsidR="00D57E69" w:rsidRPr="006A7927">
        <w:rPr>
          <w:rFonts w:asciiTheme="minorHAnsi" w:hAnsiTheme="minorHAnsi" w:cstheme="minorHAnsi"/>
          <w:szCs w:val="18"/>
          <w:lang w:val="es-MX"/>
        </w:rPr>
        <w:t xml:space="preserve"> en las Participaciones y Aportaciones de Capital por $</w:t>
      </w:r>
      <w:r w:rsidR="007E4F6D" w:rsidRPr="006A7927">
        <w:rPr>
          <w:rFonts w:asciiTheme="minorHAnsi" w:hAnsiTheme="minorHAnsi" w:cstheme="minorHAnsi"/>
          <w:szCs w:val="18"/>
          <w:lang w:val="es-MX"/>
        </w:rPr>
        <w:t>48,060,79</w:t>
      </w:r>
      <w:r w:rsidR="00000001">
        <w:rPr>
          <w:rFonts w:asciiTheme="minorHAnsi" w:hAnsiTheme="minorHAnsi" w:cstheme="minorHAnsi"/>
          <w:szCs w:val="18"/>
          <w:lang w:val="es-MX"/>
        </w:rPr>
        <w:t>5</w:t>
      </w:r>
      <w:r w:rsidR="00D57E69" w:rsidRPr="006A7927">
        <w:rPr>
          <w:rFonts w:asciiTheme="minorHAnsi" w:hAnsiTheme="minorHAnsi" w:cstheme="minorHAnsi"/>
          <w:szCs w:val="18"/>
          <w:lang w:val="es-MX"/>
        </w:rPr>
        <w:t xml:space="preserve"> cantidad que corresponde a las aportaciones entregadas a la empresa </w:t>
      </w:r>
      <w:r w:rsidR="00AF4193" w:rsidRPr="006A7927">
        <w:rPr>
          <w:rFonts w:asciiTheme="minorHAnsi" w:hAnsiTheme="minorHAnsi" w:cstheme="minorHAnsi"/>
          <w:szCs w:val="18"/>
          <w:lang w:val="es-MX"/>
        </w:rPr>
        <w:t xml:space="preserve">Promotora para el Desarrollo de Tamaulipas S.A. de C.V. </w:t>
      </w:r>
      <w:r w:rsidR="00D57E69" w:rsidRPr="006A7927">
        <w:rPr>
          <w:rFonts w:asciiTheme="minorHAnsi" w:hAnsiTheme="minorHAnsi" w:cstheme="minorHAnsi"/>
          <w:szCs w:val="18"/>
          <w:lang w:val="es-MX"/>
        </w:rPr>
        <w:t>por $</w:t>
      </w:r>
      <w:r w:rsidR="00E00968" w:rsidRPr="006A7927">
        <w:rPr>
          <w:rFonts w:asciiTheme="minorHAnsi" w:hAnsiTheme="minorHAnsi" w:cstheme="minorHAnsi"/>
          <w:szCs w:val="18"/>
          <w:lang w:val="es-MX"/>
        </w:rPr>
        <w:t>12,</w:t>
      </w:r>
      <w:r w:rsidR="007E4F6D" w:rsidRPr="006A7927">
        <w:rPr>
          <w:rFonts w:asciiTheme="minorHAnsi" w:hAnsiTheme="minorHAnsi" w:cstheme="minorHAnsi"/>
          <w:szCs w:val="18"/>
          <w:lang w:val="es-MX"/>
        </w:rPr>
        <w:t>901,835</w:t>
      </w:r>
      <w:r w:rsidR="00D57E69" w:rsidRPr="006A7927">
        <w:rPr>
          <w:rFonts w:asciiTheme="minorHAnsi" w:hAnsiTheme="minorHAnsi" w:cstheme="minorHAnsi"/>
          <w:szCs w:val="18"/>
          <w:lang w:val="es-MX"/>
        </w:rPr>
        <w:t>, la</w:t>
      </w:r>
      <w:r w:rsidR="00AF4193" w:rsidRPr="006A7927">
        <w:rPr>
          <w:rFonts w:asciiTheme="minorHAnsi" w:hAnsiTheme="minorHAnsi" w:cstheme="minorHAnsi"/>
          <w:szCs w:val="18"/>
          <w:lang w:val="es-MX"/>
        </w:rPr>
        <w:t xml:space="preserve"> Paraestatal Administración Portuaria Integral de Tamaulipas S.A. de C.V. por </w:t>
      </w:r>
      <w:r w:rsidR="00D57E69" w:rsidRPr="006A7927">
        <w:rPr>
          <w:rFonts w:asciiTheme="minorHAnsi" w:hAnsiTheme="minorHAnsi" w:cstheme="minorHAnsi"/>
          <w:szCs w:val="18"/>
          <w:lang w:val="es-MX"/>
        </w:rPr>
        <w:t>$</w:t>
      </w:r>
      <w:r w:rsidR="007E4F6D" w:rsidRPr="006A7927">
        <w:rPr>
          <w:rFonts w:asciiTheme="minorHAnsi" w:hAnsiTheme="minorHAnsi" w:cstheme="minorHAnsi"/>
          <w:szCs w:val="18"/>
          <w:lang w:val="es-MX"/>
        </w:rPr>
        <w:t>19,944,131</w:t>
      </w:r>
      <w:r w:rsidR="00AF4193" w:rsidRPr="006A7927">
        <w:rPr>
          <w:rFonts w:asciiTheme="minorHAnsi" w:hAnsiTheme="minorHAnsi" w:cstheme="minorHAnsi"/>
          <w:szCs w:val="18"/>
          <w:lang w:val="es-MX"/>
        </w:rPr>
        <w:t xml:space="preserve"> y a la empresa </w:t>
      </w:r>
      <w:proofErr w:type="spellStart"/>
      <w:r w:rsidR="00AF4193" w:rsidRPr="006A7927">
        <w:rPr>
          <w:rFonts w:asciiTheme="minorHAnsi" w:hAnsiTheme="minorHAnsi" w:cstheme="minorHAnsi"/>
          <w:szCs w:val="18"/>
          <w:lang w:val="es-MX"/>
        </w:rPr>
        <w:t>Tam</w:t>
      </w:r>
      <w:proofErr w:type="spellEnd"/>
      <w:r w:rsidR="00AF4193" w:rsidRPr="006A7927">
        <w:rPr>
          <w:rFonts w:asciiTheme="minorHAnsi" w:hAnsiTheme="minorHAnsi" w:cstheme="minorHAnsi"/>
          <w:szCs w:val="18"/>
          <w:lang w:val="es-MX"/>
        </w:rPr>
        <w:t>. Energía Alianza S.A. de C.V.  por el importe de $</w:t>
      </w:r>
      <w:r w:rsidR="007E4F6D" w:rsidRPr="006A7927">
        <w:rPr>
          <w:rFonts w:asciiTheme="minorHAnsi" w:hAnsiTheme="minorHAnsi" w:cstheme="minorHAnsi"/>
          <w:szCs w:val="18"/>
          <w:lang w:val="es-MX"/>
        </w:rPr>
        <w:t>15,214,829</w:t>
      </w:r>
      <w:r w:rsidR="00D57E69" w:rsidRPr="006A7927">
        <w:rPr>
          <w:rFonts w:asciiTheme="minorHAnsi" w:hAnsiTheme="minorHAnsi" w:cstheme="minorHAnsi"/>
          <w:szCs w:val="18"/>
          <w:lang w:val="es-MX"/>
        </w:rPr>
        <w:t>, dichas aportaciones serán consideradas para</w:t>
      </w:r>
      <w:r w:rsidR="00022DD2" w:rsidRPr="006A7927">
        <w:rPr>
          <w:rFonts w:asciiTheme="minorHAnsi" w:hAnsiTheme="minorHAnsi" w:cstheme="minorHAnsi"/>
          <w:szCs w:val="18"/>
          <w:lang w:val="es-MX"/>
        </w:rPr>
        <w:t xml:space="preserve"> futuros incrementos de capital, a la fecha reflejan los saldos siguientes:</w:t>
      </w:r>
    </w:p>
    <w:p w14:paraId="369A94B1" w14:textId="63472D6E" w:rsidR="007732BE" w:rsidRDefault="007732BE" w:rsidP="007732BE">
      <w:pPr>
        <w:pStyle w:val="Texto"/>
        <w:spacing w:after="0" w:line="240" w:lineRule="exact"/>
        <w:rPr>
          <w:rFonts w:asciiTheme="minorHAnsi" w:hAnsiTheme="minorHAnsi" w:cstheme="minorHAnsi"/>
          <w:szCs w:val="18"/>
          <w:lang w:val="es-MX"/>
        </w:rPr>
      </w:pPr>
    </w:p>
    <w:p w14:paraId="3CA6BAB7" w14:textId="6355CB94" w:rsidR="007732BE" w:rsidRDefault="007732BE" w:rsidP="007732BE">
      <w:pPr>
        <w:pStyle w:val="Texto"/>
        <w:spacing w:after="0" w:line="240" w:lineRule="exact"/>
        <w:rPr>
          <w:rFonts w:asciiTheme="minorHAnsi" w:hAnsiTheme="minorHAnsi" w:cstheme="minorHAnsi"/>
          <w:szCs w:val="18"/>
          <w:lang w:val="es-MX"/>
        </w:rPr>
      </w:pPr>
    </w:p>
    <w:p w14:paraId="3A6C6743" w14:textId="77777777" w:rsidR="007E4F6D" w:rsidRDefault="007E4F6D" w:rsidP="007732BE">
      <w:pPr>
        <w:pStyle w:val="Texto"/>
        <w:spacing w:after="0" w:line="240" w:lineRule="exact"/>
        <w:rPr>
          <w:rFonts w:asciiTheme="minorHAnsi" w:hAnsiTheme="minorHAnsi" w:cstheme="minorHAnsi"/>
          <w:szCs w:val="18"/>
          <w:lang w:val="es-MX"/>
        </w:rPr>
      </w:pPr>
    </w:p>
    <w:p w14:paraId="6BC2540C" w14:textId="77777777" w:rsidR="007E4F6D" w:rsidRDefault="007E4F6D" w:rsidP="007732BE">
      <w:pPr>
        <w:pStyle w:val="Texto"/>
        <w:spacing w:after="0" w:line="240" w:lineRule="exact"/>
        <w:rPr>
          <w:rFonts w:asciiTheme="minorHAnsi" w:hAnsiTheme="minorHAnsi" w:cstheme="minorHAnsi"/>
          <w:szCs w:val="18"/>
          <w:lang w:val="es-MX"/>
        </w:rPr>
      </w:pPr>
    </w:p>
    <w:p w14:paraId="191F40FB" w14:textId="77777777" w:rsidR="007E4F6D" w:rsidRDefault="007E4F6D" w:rsidP="007732BE">
      <w:pPr>
        <w:pStyle w:val="Texto"/>
        <w:spacing w:after="0" w:line="240" w:lineRule="exact"/>
        <w:rPr>
          <w:rFonts w:asciiTheme="minorHAnsi" w:hAnsiTheme="minorHAnsi" w:cstheme="minorHAnsi"/>
          <w:szCs w:val="18"/>
          <w:lang w:val="es-MX"/>
        </w:rPr>
      </w:pPr>
    </w:p>
    <w:p w14:paraId="354AC3D6" w14:textId="77777777" w:rsidR="007E4F6D" w:rsidRDefault="007E4F6D" w:rsidP="007732BE">
      <w:pPr>
        <w:pStyle w:val="Texto"/>
        <w:spacing w:after="0" w:line="240" w:lineRule="exact"/>
        <w:rPr>
          <w:rFonts w:asciiTheme="minorHAnsi" w:hAnsiTheme="minorHAnsi" w:cstheme="minorHAnsi"/>
          <w:szCs w:val="18"/>
          <w:lang w:val="es-MX"/>
        </w:rPr>
      </w:pPr>
    </w:p>
    <w:p w14:paraId="2BD581BE" w14:textId="77777777" w:rsidR="007E4F6D" w:rsidRDefault="007E4F6D" w:rsidP="007732BE">
      <w:pPr>
        <w:pStyle w:val="Texto"/>
        <w:spacing w:after="0" w:line="240" w:lineRule="exact"/>
        <w:rPr>
          <w:rFonts w:asciiTheme="minorHAnsi" w:hAnsiTheme="minorHAnsi" w:cstheme="minorHAnsi"/>
          <w:szCs w:val="18"/>
          <w:lang w:val="es-MX"/>
        </w:rPr>
      </w:pPr>
    </w:p>
    <w:p w14:paraId="38DF2081" w14:textId="77777777" w:rsidR="007E4F6D" w:rsidRDefault="007E4F6D" w:rsidP="007732BE">
      <w:pPr>
        <w:pStyle w:val="Texto"/>
        <w:spacing w:after="0" w:line="240" w:lineRule="exact"/>
        <w:rPr>
          <w:rFonts w:asciiTheme="minorHAnsi" w:hAnsiTheme="minorHAnsi" w:cstheme="minorHAnsi"/>
          <w:szCs w:val="18"/>
          <w:lang w:val="es-MX"/>
        </w:rPr>
      </w:pPr>
    </w:p>
    <w:p w14:paraId="1047C176" w14:textId="77777777" w:rsidR="007E4F6D" w:rsidRDefault="007E4F6D" w:rsidP="007732BE">
      <w:pPr>
        <w:pStyle w:val="Texto"/>
        <w:spacing w:after="0" w:line="240" w:lineRule="exact"/>
        <w:rPr>
          <w:rFonts w:asciiTheme="minorHAnsi" w:hAnsiTheme="minorHAnsi" w:cstheme="minorHAnsi"/>
          <w:szCs w:val="18"/>
          <w:lang w:val="es-MX"/>
        </w:rPr>
      </w:pPr>
    </w:p>
    <w:p w14:paraId="6D6FE972" w14:textId="7E1F373D" w:rsidR="007732BE" w:rsidRDefault="007732BE" w:rsidP="007732BE">
      <w:pPr>
        <w:pStyle w:val="Texto"/>
        <w:spacing w:after="0" w:line="240" w:lineRule="exact"/>
        <w:rPr>
          <w:rFonts w:asciiTheme="minorHAnsi" w:hAnsiTheme="minorHAnsi" w:cstheme="minorHAnsi"/>
          <w:szCs w:val="18"/>
          <w:lang w:val="es-MX"/>
        </w:rPr>
      </w:pPr>
    </w:p>
    <w:tbl>
      <w:tblPr>
        <w:tblpPr w:leftFromText="141" w:rightFromText="141" w:vertAnchor="page" w:horzAnchor="page" w:tblpX="2021" w:tblpY="2421"/>
        <w:tblW w:w="6498" w:type="dxa"/>
        <w:tblCellMar>
          <w:left w:w="70" w:type="dxa"/>
          <w:right w:w="70" w:type="dxa"/>
        </w:tblCellMar>
        <w:tblLook w:val="04A0" w:firstRow="1" w:lastRow="0" w:firstColumn="1" w:lastColumn="0" w:noHBand="0" w:noVBand="1"/>
      </w:tblPr>
      <w:tblGrid>
        <w:gridCol w:w="4673"/>
        <w:gridCol w:w="1825"/>
      </w:tblGrid>
      <w:tr w:rsidR="007E4F6D" w:rsidRPr="007E4F6D" w14:paraId="06AB99B3" w14:textId="77777777" w:rsidTr="00097C29">
        <w:trPr>
          <w:trHeight w:val="361"/>
        </w:trPr>
        <w:tc>
          <w:tcPr>
            <w:tcW w:w="467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6E129BD9" w14:textId="77777777" w:rsidR="007E4F6D" w:rsidRPr="007E4F6D" w:rsidRDefault="007E4F6D" w:rsidP="007E4F6D">
            <w:pPr>
              <w:spacing w:after="0" w:line="240" w:lineRule="auto"/>
              <w:jc w:val="center"/>
              <w:rPr>
                <w:rFonts w:eastAsia="Times New Roman" w:cs="Calibri"/>
                <w:b/>
                <w:bCs/>
                <w:color w:val="FFFFFF"/>
                <w:sz w:val="16"/>
                <w:szCs w:val="16"/>
                <w:lang w:eastAsia="es-MX"/>
              </w:rPr>
            </w:pPr>
            <w:r w:rsidRPr="007E4F6D">
              <w:rPr>
                <w:rFonts w:eastAsia="Times New Roman" w:cs="Calibri"/>
                <w:b/>
                <w:bCs/>
                <w:color w:val="FFFFFF"/>
                <w:sz w:val="16"/>
                <w:szCs w:val="16"/>
                <w:lang w:eastAsia="es-MX"/>
              </w:rPr>
              <w:t>Participaciones y Aportaciones</w:t>
            </w:r>
          </w:p>
        </w:tc>
        <w:tc>
          <w:tcPr>
            <w:tcW w:w="1825" w:type="dxa"/>
            <w:tcBorders>
              <w:top w:val="single" w:sz="4" w:space="0" w:color="auto"/>
              <w:left w:val="nil"/>
              <w:bottom w:val="single" w:sz="4" w:space="0" w:color="auto"/>
              <w:right w:val="single" w:sz="4" w:space="0" w:color="auto"/>
            </w:tcBorders>
            <w:shd w:val="clear" w:color="000000" w:fill="AB0033"/>
            <w:vAlign w:val="center"/>
            <w:hideMark/>
          </w:tcPr>
          <w:p w14:paraId="5AF1BB4F" w14:textId="77777777" w:rsidR="007E4F6D" w:rsidRPr="007E4F6D" w:rsidRDefault="007E4F6D" w:rsidP="007E4F6D">
            <w:pPr>
              <w:spacing w:after="0" w:line="240" w:lineRule="auto"/>
              <w:jc w:val="center"/>
              <w:rPr>
                <w:rFonts w:eastAsia="Times New Roman" w:cs="Calibri"/>
                <w:b/>
                <w:bCs/>
                <w:color w:val="FFFFFF"/>
                <w:sz w:val="16"/>
                <w:szCs w:val="16"/>
                <w:lang w:eastAsia="es-MX"/>
              </w:rPr>
            </w:pPr>
            <w:r w:rsidRPr="007E4F6D">
              <w:rPr>
                <w:rFonts w:eastAsia="Times New Roman" w:cs="Calibri"/>
                <w:b/>
                <w:bCs/>
                <w:color w:val="FFFFFF"/>
                <w:sz w:val="16"/>
                <w:szCs w:val="16"/>
                <w:lang w:eastAsia="es-MX"/>
              </w:rPr>
              <w:t>Importe</w:t>
            </w:r>
          </w:p>
        </w:tc>
      </w:tr>
      <w:tr w:rsidR="007E4F6D" w:rsidRPr="007E4F6D" w14:paraId="01A8B97C" w14:textId="77777777" w:rsidTr="00097C29">
        <w:trPr>
          <w:trHeight w:val="34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0340CE5" w14:textId="77777777" w:rsidR="007E4F6D" w:rsidRPr="00097C29" w:rsidRDefault="007E4F6D" w:rsidP="007E4F6D">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Promotora para el Desarrollo de Tamaulipas S.A de C.V.</w:t>
            </w:r>
          </w:p>
        </w:tc>
        <w:tc>
          <w:tcPr>
            <w:tcW w:w="1825" w:type="dxa"/>
            <w:tcBorders>
              <w:top w:val="nil"/>
              <w:left w:val="nil"/>
              <w:bottom w:val="single" w:sz="4" w:space="0" w:color="auto"/>
              <w:right w:val="single" w:sz="4" w:space="0" w:color="auto"/>
            </w:tcBorders>
            <w:shd w:val="clear" w:color="auto" w:fill="auto"/>
            <w:vAlign w:val="center"/>
            <w:hideMark/>
          </w:tcPr>
          <w:p w14:paraId="67DF6EC0" w14:textId="77777777" w:rsidR="007E4F6D" w:rsidRPr="00097C29" w:rsidRDefault="007E4F6D" w:rsidP="007E4F6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262,153,528</w:t>
            </w:r>
          </w:p>
        </w:tc>
      </w:tr>
      <w:tr w:rsidR="007E4F6D" w:rsidRPr="007E4F6D" w14:paraId="5364A725" w14:textId="77777777" w:rsidTr="00097C29">
        <w:trPr>
          <w:trHeight w:val="34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0E083F7" w14:textId="77777777" w:rsidR="007E4F6D" w:rsidRPr="00097C29" w:rsidRDefault="007E4F6D" w:rsidP="007E4F6D">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 xml:space="preserve">Administración Portuaria Integral de Tamaulipas S.A. de C.V. </w:t>
            </w:r>
          </w:p>
        </w:tc>
        <w:tc>
          <w:tcPr>
            <w:tcW w:w="1825" w:type="dxa"/>
            <w:tcBorders>
              <w:top w:val="nil"/>
              <w:left w:val="nil"/>
              <w:bottom w:val="single" w:sz="4" w:space="0" w:color="auto"/>
              <w:right w:val="single" w:sz="4" w:space="0" w:color="auto"/>
            </w:tcBorders>
            <w:shd w:val="clear" w:color="auto" w:fill="auto"/>
            <w:vAlign w:val="center"/>
            <w:hideMark/>
          </w:tcPr>
          <w:p w14:paraId="0033843C" w14:textId="77777777" w:rsidR="007E4F6D" w:rsidRPr="00097C29" w:rsidRDefault="007E4F6D" w:rsidP="007E4F6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179,304,249</w:t>
            </w:r>
          </w:p>
        </w:tc>
      </w:tr>
      <w:tr w:rsidR="007E4F6D" w:rsidRPr="007E4F6D" w14:paraId="6D90E234" w14:textId="77777777" w:rsidTr="00097C29">
        <w:trPr>
          <w:trHeight w:val="34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76D1CDE" w14:textId="77777777" w:rsidR="007E4F6D" w:rsidRPr="00097C29" w:rsidRDefault="007E4F6D" w:rsidP="007E4F6D">
            <w:pPr>
              <w:spacing w:after="0" w:line="240" w:lineRule="auto"/>
              <w:jc w:val="both"/>
              <w:rPr>
                <w:rFonts w:eastAsia="Times New Roman" w:cs="Calibri"/>
                <w:color w:val="000000"/>
                <w:sz w:val="15"/>
                <w:szCs w:val="15"/>
                <w:lang w:eastAsia="es-MX"/>
              </w:rPr>
            </w:pPr>
            <w:proofErr w:type="spellStart"/>
            <w:r w:rsidRPr="00097C29">
              <w:rPr>
                <w:rFonts w:eastAsia="Times New Roman" w:cs="Calibri"/>
                <w:color w:val="000000"/>
                <w:sz w:val="15"/>
                <w:szCs w:val="15"/>
                <w:lang w:eastAsia="es-MX"/>
              </w:rPr>
              <w:t>Tam</w:t>
            </w:r>
            <w:proofErr w:type="spellEnd"/>
            <w:r w:rsidRPr="00097C29">
              <w:rPr>
                <w:rFonts w:eastAsia="Times New Roman" w:cs="Calibri"/>
                <w:color w:val="000000"/>
                <w:sz w:val="15"/>
                <w:szCs w:val="15"/>
                <w:lang w:eastAsia="es-MX"/>
              </w:rPr>
              <w:t xml:space="preserve">. Energía Alianza S.A. de C.V.  </w:t>
            </w:r>
          </w:p>
        </w:tc>
        <w:tc>
          <w:tcPr>
            <w:tcW w:w="1825" w:type="dxa"/>
            <w:tcBorders>
              <w:top w:val="nil"/>
              <w:left w:val="nil"/>
              <w:bottom w:val="single" w:sz="4" w:space="0" w:color="auto"/>
              <w:right w:val="single" w:sz="4" w:space="0" w:color="auto"/>
            </w:tcBorders>
            <w:shd w:val="clear" w:color="auto" w:fill="auto"/>
            <w:vAlign w:val="center"/>
            <w:hideMark/>
          </w:tcPr>
          <w:p w14:paraId="0FF9647E" w14:textId="77777777" w:rsidR="007E4F6D" w:rsidRPr="00097C29" w:rsidRDefault="007E4F6D" w:rsidP="007E4F6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81,966,342</w:t>
            </w:r>
          </w:p>
        </w:tc>
      </w:tr>
      <w:tr w:rsidR="007E4F6D" w:rsidRPr="007E4F6D" w14:paraId="39F656CA" w14:textId="77777777" w:rsidTr="00097C29">
        <w:trPr>
          <w:trHeight w:val="340"/>
        </w:trPr>
        <w:tc>
          <w:tcPr>
            <w:tcW w:w="4673" w:type="dxa"/>
            <w:tcBorders>
              <w:top w:val="nil"/>
              <w:left w:val="single" w:sz="4" w:space="0" w:color="auto"/>
              <w:bottom w:val="single" w:sz="4" w:space="0" w:color="auto"/>
              <w:right w:val="single" w:sz="4" w:space="0" w:color="auto"/>
            </w:tcBorders>
            <w:shd w:val="clear" w:color="000000" w:fill="DDC9A3"/>
            <w:vAlign w:val="center"/>
            <w:hideMark/>
          </w:tcPr>
          <w:p w14:paraId="6A42DA14" w14:textId="77777777" w:rsidR="007E4F6D" w:rsidRPr="007E4F6D" w:rsidRDefault="007E4F6D" w:rsidP="007E4F6D">
            <w:pPr>
              <w:spacing w:after="0" w:line="240" w:lineRule="auto"/>
              <w:jc w:val="center"/>
              <w:rPr>
                <w:rFonts w:eastAsia="Times New Roman" w:cs="Calibri"/>
                <w:b/>
                <w:bCs/>
                <w:color w:val="000000"/>
                <w:sz w:val="14"/>
                <w:szCs w:val="14"/>
                <w:lang w:eastAsia="es-MX"/>
              </w:rPr>
            </w:pPr>
            <w:r w:rsidRPr="007E4F6D">
              <w:rPr>
                <w:rFonts w:eastAsia="Times New Roman" w:cs="Calibri"/>
                <w:b/>
                <w:bCs/>
                <w:color w:val="000000"/>
                <w:sz w:val="14"/>
                <w:szCs w:val="14"/>
                <w:lang w:eastAsia="es-MX"/>
              </w:rPr>
              <w:t>TOTAL</w:t>
            </w:r>
          </w:p>
        </w:tc>
        <w:tc>
          <w:tcPr>
            <w:tcW w:w="1825" w:type="dxa"/>
            <w:tcBorders>
              <w:top w:val="nil"/>
              <w:left w:val="nil"/>
              <w:bottom w:val="single" w:sz="4" w:space="0" w:color="auto"/>
              <w:right w:val="single" w:sz="4" w:space="0" w:color="auto"/>
            </w:tcBorders>
            <w:shd w:val="clear" w:color="000000" w:fill="DDC9A3"/>
            <w:vAlign w:val="center"/>
            <w:hideMark/>
          </w:tcPr>
          <w:p w14:paraId="21B50E67" w14:textId="77777777" w:rsidR="007E4F6D" w:rsidRPr="007E4F6D" w:rsidRDefault="007E4F6D" w:rsidP="007E4F6D">
            <w:pPr>
              <w:spacing w:after="0" w:line="240" w:lineRule="auto"/>
              <w:jc w:val="right"/>
              <w:rPr>
                <w:rFonts w:eastAsia="Times New Roman" w:cs="Calibri"/>
                <w:b/>
                <w:bCs/>
                <w:color w:val="000000"/>
                <w:sz w:val="14"/>
                <w:szCs w:val="14"/>
                <w:lang w:eastAsia="es-MX"/>
              </w:rPr>
            </w:pPr>
            <w:r w:rsidRPr="007E4F6D">
              <w:rPr>
                <w:rFonts w:eastAsia="Times New Roman" w:cs="Calibri"/>
                <w:b/>
                <w:bCs/>
                <w:color w:val="000000"/>
                <w:sz w:val="14"/>
                <w:szCs w:val="14"/>
                <w:lang w:eastAsia="es-MX"/>
              </w:rPr>
              <w:t>523,424,119</w:t>
            </w:r>
          </w:p>
        </w:tc>
      </w:tr>
    </w:tbl>
    <w:p w14:paraId="0E972177" w14:textId="56EB80E9" w:rsidR="00A27A92" w:rsidRDefault="00A27A92" w:rsidP="007732BE">
      <w:pPr>
        <w:pStyle w:val="Texto"/>
        <w:spacing w:after="0" w:line="240" w:lineRule="exact"/>
        <w:rPr>
          <w:rFonts w:asciiTheme="minorHAnsi" w:hAnsiTheme="minorHAnsi" w:cstheme="minorHAnsi"/>
          <w:szCs w:val="18"/>
          <w:lang w:val="es-MX"/>
        </w:rPr>
      </w:pPr>
    </w:p>
    <w:p w14:paraId="37F98588" w14:textId="0D898E65" w:rsidR="009A0E94" w:rsidRPr="005F45A3" w:rsidRDefault="009A0E94" w:rsidP="007E4F6D">
      <w:pPr>
        <w:pStyle w:val="Texto"/>
        <w:spacing w:after="0" w:line="240" w:lineRule="exact"/>
        <w:ind w:firstLine="0"/>
        <w:rPr>
          <w:rFonts w:asciiTheme="minorHAnsi" w:hAnsiTheme="minorHAnsi" w:cstheme="minorHAnsi"/>
          <w:szCs w:val="18"/>
          <w:lang w:val="es-MX"/>
        </w:rPr>
      </w:pPr>
    </w:p>
    <w:p w14:paraId="3ECF13DB" w14:textId="77777777" w:rsidR="00E8142C" w:rsidRDefault="00E8142C" w:rsidP="003D7ABC">
      <w:pPr>
        <w:pStyle w:val="Texto"/>
        <w:spacing w:after="0" w:line="240" w:lineRule="exact"/>
        <w:ind w:firstLine="0"/>
        <w:rPr>
          <w:rFonts w:asciiTheme="minorHAnsi" w:hAnsiTheme="minorHAnsi" w:cstheme="minorHAnsi"/>
          <w:b/>
          <w:sz w:val="20"/>
          <w:szCs w:val="18"/>
          <w:lang w:val="es-MX"/>
        </w:rPr>
      </w:pPr>
    </w:p>
    <w:p w14:paraId="29397C4C" w14:textId="77777777" w:rsidR="00E8142C" w:rsidRPr="004602DF" w:rsidRDefault="00E8142C" w:rsidP="003D7ABC">
      <w:pPr>
        <w:pStyle w:val="Texto"/>
        <w:spacing w:after="0" w:line="240" w:lineRule="exact"/>
        <w:ind w:firstLine="0"/>
        <w:rPr>
          <w:rFonts w:asciiTheme="minorHAnsi" w:hAnsiTheme="minorHAnsi" w:cstheme="minorHAnsi"/>
          <w:b/>
          <w:sz w:val="16"/>
          <w:szCs w:val="18"/>
          <w:lang w:val="es-MX"/>
        </w:rPr>
      </w:pPr>
    </w:p>
    <w:p w14:paraId="1D622AE1" w14:textId="77777777" w:rsidR="00E8142C" w:rsidRPr="004602DF" w:rsidRDefault="00E8142C" w:rsidP="003D7ABC">
      <w:pPr>
        <w:pStyle w:val="Texto"/>
        <w:spacing w:after="0" w:line="240" w:lineRule="exact"/>
        <w:ind w:firstLine="0"/>
        <w:rPr>
          <w:rFonts w:asciiTheme="minorHAnsi" w:hAnsiTheme="minorHAnsi" w:cstheme="minorHAnsi"/>
          <w:b/>
          <w:sz w:val="10"/>
          <w:szCs w:val="18"/>
          <w:lang w:val="es-MX"/>
        </w:rPr>
      </w:pPr>
    </w:p>
    <w:p w14:paraId="5A93E3E2" w14:textId="77777777" w:rsidR="00E44252" w:rsidRPr="00684777" w:rsidRDefault="00E44252" w:rsidP="003D7ABC">
      <w:pPr>
        <w:pStyle w:val="Texto"/>
        <w:spacing w:after="0" w:line="240" w:lineRule="exact"/>
        <w:ind w:firstLine="0"/>
        <w:rPr>
          <w:rFonts w:asciiTheme="minorHAnsi" w:hAnsiTheme="minorHAnsi" w:cstheme="minorHAnsi"/>
          <w:b/>
          <w:sz w:val="20"/>
          <w:szCs w:val="18"/>
          <w:lang w:val="es-MX"/>
        </w:rPr>
      </w:pPr>
      <w:r w:rsidRPr="00684777">
        <w:rPr>
          <w:rFonts w:asciiTheme="minorHAnsi" w:hAnsiTheme="minorHAnsi" w:cstheme="minorHAnsi"/>
          <w:b/>
          <w:sz w:val="20"/>
          <w:szCs w:val="18"/>
          <w:lang w:val="es-MX"/>
        </w:rPr>
        <w:t>DERECHOS A RECIBIR EFECTIVO O EQUIVALENTES A LARGO PLAZO</w:t>
      </w:r>
    </w:p>
    <w:p w14:paraId="769A354E" w14:textId="77777777" w:rsidR="000C4919" w:rsidRPr="004602DF" w:rsidRDefault="000C4919" w:rsidP="00E44252">
      <w:pPr>
        <w:pStyle w:val="Texto"/>
        <w:spacing w:after="0" w:line="240" w:lineRule="exact"/>
        <w:ind w:firstLine="646"/>
        <w:rPr>
          <w:rFonts w:asciiTheme="minorHAnsi" w:hAnsiTheme="minorHAnsi" w:cstheme="minorHAnsi"/>
          <w:sz w:val="16"/>
          <w:szCs w:val="18"/>
          <w:lang w:val="es-MX"/>
        </w:rPr>
      </w:pPr>
    </w:p>
    <w:p w14:paraId="14FBFA3C" w14:textId="77777777" w:rsidR="000C4919" w:rsidRPr="005F45A3" w:rsidRDefault="000C4919" w:rsidP="00E44252">
      <w:pPr>
        <w:pStyle w:val="Texto"/>
        <w:spacing w:after="0" w:line="240" w:lineRule="exact"/>
        <w:ind w:firstLine="646"/>
        <w:rPr>
          <w:rFonts w:asciiTheme="minorHAnsi" w:hAnsiTheme="minorHAnsi" w:cstheme="minorHAnsi"/>
          <w:szCs w:val="18"/>
          <w:lang w:val="es-MX"/>
        </w:rPr>
      </w:pPr>
    </w:p>
    <w:tbl>
      <w:tblPr>
        <w:tblW w:w="6628" w:type="dxa"/>
        <w:tblInd w:w="607" w:type="dxa"/>
        <w:tblCellMar>
          <w:left w:w="70" w:type="dxa"/>
          <w:right w:w="70" w:type="dxa"/>
        </w:tblCellMar>
        <w:tblLook w:val="04A0" w:firstRow="1" w:lastRow="0" w:firstColumn="1" w:lastColumn="0" w:noHBand="0" w:noVBand="1"/>
      </w:tblPr>
      <w:tblGrid>
        <w:gridCol w:w="4633"/>
        <w:gridCol w:w="1995"/>
      </w:tblGrid>
      <w:tr w:rsidR="00C94957" w:rsidRPr="00C94957" w14:paraId="3D2CEE7C" w14:textId="77777777" w:rsidTr="00097C29">
        <w:trPr>
          <w:trHeight w:val="340"/>
        </w:trPr>
        <w:tc>
          <w:tcPr>
            <w:tcW w:w="463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4C4C42E" w14:textId="77777777" w:rsidR="00C94957" w:rsidRPr="00C94957" w:rsidRDefault="00C94957" w:rsidP="00C94957">
            <w:pPr>
              <w:spacing w:after="0" w:line="240" w:lineRule="auto"/>
              <w:jc w:val="center"/>
              <w:rPr>
                <w:rFonts w:eastAsia="Times New Roman" w:cs="Calibri"/>
                <w:b/>
                <w:bCs/>
                <w:color w:val="FFFFFF"/>
                <w:sz w:val="16"/>
                <w:szCs w:val="16"/>
                <w:lang w:eastAsia="es-MX"/>
              </w:rPr>
            </w:pPr>
            <w:r w:rsidRPr="00C94957">
              <w:rPr>
                <w:rFonts w:eastAsia="Times New Roman" w:cs="Calibri"/>
                <w:b/>
                <w:bCs/>
                <w:color w:val="FFFFFF"/>
                <w:sz w:val="16"/>
                <w:szCs w:val="16"/>
                <w:lang w:eastAsia="es-MX"/>
              </w:rPr>
              <w:t xml:space="preserve">Descripción de la Cuenta </w:t>
            </w:r>
          </w:p>
        </w:tc>
        <w:tc>
          <w:tcPr>
            <w:tcW w:w="1995" w:type="dxa"/>
            <w:tcBorders>
              <w:top w:val="single" w:sz="4" w:space="0" w:color="auto"/>
              <w:left w:val="nil"/>
              <w:bottom w:val="single" w:sz="4" w:space="0" w:color="auto"/>
              <w:right w:val="single" w:sz="4" w:space="0" w:color="auto"/>
            </w:tcBorders>
            <w:shd w:val="clear" w:color="000000" w:fill="AB0033"/>
            <w:vAlign w:val="center"/>
            <w:hideMark/>
          </w:tcPr>
          <w:p w14:paraId="2BA6E85C" w14:textId="77777777" w:rsidR="00C94957" w:rsidRPr="00C94957" w:rsidRDefault="00C94957" w:rsidP="00C94957">
            <w:pPr>
              <w:spacing w:after="0" w:line="240" w:lineRule="auto"/>
              <w:jc w:val="center"/>
              <w:rPr>
                <w:rFonts w:eastAsia="Times New Roman" w:cs="Calibri"/>
                <w:b/>
                <w:bCs/>
                <w:color w:val="FFFFFF"/>
                <w:sz w:val="16"/>
                <w:szCs w:val="16"/>
                <w:lang w:eastAsia="es-MX"/>
              </w:rPr>
            </w:pPr>
            <w:r w:rsidRPr="00C94957">
              <w:rPr>
                <w:rFonts w:eastAsia="Times New Roman" w:cs="Calibri"/>
                <w:b/>
                <w:bCs/>
                <w:color w:val="FFFFFF"/>
                <w:sz w:val="16"/>
                <w:szCs w:val="16"/>
                <w:lang w:eastAsia="es-MX"/>
              </w:rPr>
              <w:t>Importe</w:t>
            </w:r>
          </w:p>
        </w:tc>
      </w:tr>
      <w:tr w:rsidR="00C94957" w:rsidRPr="00097C29" w14:paraId="39E4A4A1" w14:textId="77777777" w:rsidTr="00097C29">
        <w:trPr>
          <w:trHeight w:val="340"/>
        </w:trPr>
        <w:tc>
          <w:tcPr>
            <w:tcW w:w="4633" w:type="dxa"/>
            <w:tcBorders>
              <w:top w:val="nil"/>
              <w:left w:val="single" w:sz="4" w:space="0" w:color="auto"/>
              <w:bottom w:val="single" w:sz="4" w:space="0" w:color="auto"/>
              <w:right w:val="single" w:sz="4" w:space="0" w:color="auto"/>
            </w:tcBorders>
            <w:shd w:val="clear" w:color="auto" w:fill="auto"/>
            <w:vAlign w:val="center"/>
            <w:hideMark/>
          </w:tcPr>
          <w:p w14:paraId="7FC5D572" w14:textId="77777777" w:rsidR="00C94957" w:rsidRPr="00097C29" w:rsidRDefault="00C94957" w:rsidP="00C94957">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Deudores Diversos a Largo Plazo</w:t>
            </w:r>
          </w:p>
        </w:tc>
        <w:tc>
          <w:tcPr>
            <w:tcW w:w="1995" w:type="dxa"/>
            <w:tcBorders>
              <w:top w:val="nil"/>
              <w:left w:val="nil"/>
              <w:bottom w:val="single" w:sz="4" w:space="0" w:color="auto"/>
              <w:right w:val="single" w:sz="4" w:space="0" w:color="auto"/>
            </w:tcBorders>
            <w:shd w:val="clear" w:color="auto" w:fill="auto"/>
            <w:vAlign w:val="center"/>
            <w:hideMark/>
          </w:tcPr>
          <w:p w14:paraId="639A84C7" w14:textId="77777777" w:rsidR="00C94957" w:rsidRPr="00097C29" w:rsidRDefault="00C94957" w:rsidP="00C94957">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46,200,741</w:t>
            </w:r>
          </w:p>
        </w:tc>
      </w:tr>
      <w:tr w:rsidR="00C94957" w:rsidRPr="00097C29" w14:paraId="6EA7B86D" w14:textId="77777777" w:rsidTr="00097C29">
        <w:trPr>
          <w:trHeight w:val="340"/>
        </w:trPr>
        <w:tc>
          <w:tcPr>
            <w:tcW w:w="4633" w:type="dxa"/>
            <w:tcBorders>
              <w:top w:val="nil"/>
              <w:left w:val="single" w:sz="4" w:space="0" w:color="auto"/>
              <w:bottom w:val="single" w:sz="4" w:space="0" w:color="auto"/>
              <w:right w:val="single" w:sz="4" w:space="0" w:color="auto"/>
            </w:tcBorders>
            <w:shd w:val="clear" w:color="auto" w:fill="auto"/>
            <w:vAlign w:val="center"/>
            <w:hideMark/>
          </w:tcPr>
          <w:p w14:paraId="138C8244" w14:textId="77777777" w:rsidR="00C94957" w:rsidRPr="00097C29" w:rsidRDefault="00C94957" w:rsidP="00C94957">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Préstamos Otorgados a Largo Plazo</w:t>
            </w:r>
          </w:p>
        </w:tc>
        <w:tc>
          <w:tcPr>
            <w:tcW w:w="1995" w:type="dxa"/>
            <w:tcBorders>
              <w:top w:val="nil"/>
              <w:left w:val="nil"/>
              <w:bottom w:val="single" w:sz="4" w:space="0" w:color="auto"/>
              <w:right w:val="single" w:sz="4" w:space="0" w:color="auto"/>
            </w:tcBorders>
            <w:shd w:val="clear" w:color="auto" w:fill="auto"/>
            <w:vAlign w:val="center"/>
            <w:hideMark/>
          </w:tcPr>
          <w:p w14:paraId="106E3303" w14:textId="77777777" w:rsidR="00C94957" w:rsidRPr="00097C29" w:rsidRDefault="00C94957" w:rsidP="00C94957">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0</w:t>
            </w:r>
          </w:p>
        </w:tc>
      </w:tr>
      <w:tr w:rsidR="00C94957" w:rsidRPr="00097C29" w14:paraId="37CC34B4" w14:textId="77777777" w:rsidTr="00097C29">
        <w:trPr>
          <w:trHeight w:val="340"/>
        </w:trPr>
        <w:tc>
          <w:tcPr>
            <w:tcW w:w="4633" w:type="dxa"/>
            <w:tcBorders>
              <w:top w:val="nil"/>
              <w:left w:val="single" w:sz="4" w:space="0" w:color="auto"/>
              <w:bottom w:val="single" w:sz="4" w:space="0" w:color="auto"/>
              <w:right w:val="single" w:sz="4" w:space="0" w:color="auto"/>
            </w:tcBorders>
            <w:shd w:val="clear" w:color="auto" w:fill="auto"/>
            <w:vAlign w:val="center"/>
            <w:hideMark/>
          </w:tcPr>
          <w:p w14:paraId="335B3299" w14:textId="77777777" w:rsidR="00C94957" w:rsidRPr="00097C29" w:rsidRDefault="00C94957" w:rsidP="00C94957">
            <w:pPr>
              <w:spacing w:after="0" w:line="240" w:lineRule="auto"/>
              <w:jc w:val="both"/>
              <w:rPr>
                <w:rFonts w:eastAsia="Times New Roman" w:cs="Calibri"/>
                <w:color w:val="000000"/>
                <w:sz w:val="15"/>
                <w:szCs w:val="15"/>
                <w:lang w:eastAsia="es-MX"/>
              </w:rPr>
            </w:pPr>
            <w:r w:rsidRPr="00097C29">
              <w:rPr>
                <w:rFonts w:eastAsia="Times New Roman" w:cs="Calibri"/>
                <w:color w:val="000000"/>
                <w:sz w:val="15"/>
                <w:szCs w:val="15"/>
                <w:lang w:eastAsia="es-MX"/>
              </w:rPr>
              <w:t>Otros Derechos a recibir Efectivo o Equivalentes a Largo Plazo</w:t>
            </w:r>
          </w:p>
        </w:tc>
        <w:tc>
          <w:tcPr>
            <w:tcW w:w="1995" w:type="dxa"/>
            <w:tcBorders>
              <w:top w:val="nil"/>
              <w:left w:val="nil"/>
              <w:bottom w:val="single" w:sz="4" w:space="0" w:color="auto"/>
              <w:right w:val="single" w:sz="4" w:space="0" w:color="auto"/>
            </w:tcBorders>
            <w:shd w:val="clear" w:color="auto" w:fill="auto"/>
            <w:vAlign w:val="center"/>
            <w:hideMark/>
          </w:tcPr>
          <w:p w14:paraId="4CB0DAF1" w14:textId="77777777" w:rsidR="00C94957" w:rsidRPr="00097C29" w:rsidRDefault="00C94957" w:rsidP="00C94957">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295,265,694</w:t>
            </w:r>
          </w:p>
        </w:tc>
      </w:tr>
      <w:tr w:rsidR="00C94957" w:rsidRPr="00C94957" w14:paraId="2CEF792C" w14:textId="77777777" w:rsidTr="00097C29">
        <w:trPr>
          <w:trHeight w:val="390"/>
        </w:trPr>
        <w:tc>
          <w:tcPr>
            <w:tcW w:w="4633" w:type="dxa"/>
            <w:tcBorders>
              <w:top w:val="nil"/>
              <w:left w:val="single" w:sz="4" w:space="0" w:color="auto"/>
              <w:bottom w:val="single" w:sz="4" w:space="0" w:color="auto"/>
              <w:right w:val="single" w:sz="4" w:space="0" w:color="auto"/>
            </w:tcBorders>
            <w:shd w:val="clear" w:color="000000" w:fill="DDC9A3"/>
            <w:vAlign w:val="center"/>
            <w:hideMark/>
          </w:tcPr>
          <w:p w14:paraId="300EBF79" w14:textId="77777777" w:rsidR="00C94957" w:rsidRPr="00C94957" w:rsidRDefault="00C94957" w:rsidP="00C94957">
            <w:pPr>
              <w:spacing w:after="0" w:line="240" w:lineRule="auto"/>
              <w:jc w:val="center"/>
              <w:rPr>
                <w:rFonts w:eastAsia="Times New Roman" w:cs="Calibri"/>
                <w:b/>
                <w:bCs/>
                <w:color w:val="000000"/>
                <w:sz w:val="14"/>
                <w:szCs w:val="14"/>
                <w:lang w:eastAsia="es-MX"/>
              </w:rPr>
            </w:pPr>
            <w:r w:rsidRPr="00C94957">
              <w:rPr>
                <w:rFonts w:eastAsia="Times New Roman" w:cs="Calibri"/>
                <w:b/>
                <w:bCs/>
                <w:color w:val="000000"/>
                <w:sz w:val="14"/>
                <w:szCs w:val="14"/>
                <w:lang w:eastAsia="es-MX"/>
              </w:rPr>
              <w:t>TOTAL</w:t>
            </w:r>
          </w:p>
        </w:tc>
        <w:tc>
          <w:tcPr>
            <w:tcW w:w="1995" w:type="dxa"/>
            <w:tcBorders>
              <w:top w:val="nil"/>
              <w:left w:val="nil"/>
              <w:bottom w:val="single" w:sz="4" w:space="0" w:color="auto"/>
              <w:right w:val="single" w:sz="4" w:space="0" w:color="auto"/>
            </w:tcBorders>
            <w:shd w:val="clear" w:color="000000" w:fill="DDC9A3"/>
            <w:vAlign w:val="center"/>
            <w:hideMark/>
          </w:tcPr>
          <w:p w14:paraId="40D455E1" w14:textId="77777777" w:rsidR="00C94957" w:rsidRPr="00C94957" w:rsidRDefault="00C94957" w:rsidP="00C94957">
            <w:pPr>
              <w:spacing w:after="0" w:line="240" w:lineRule="auto"/>
              <w:jc w:val="right"/>
              <w:rPr>
                <w:rFonts w:eastAsia="Times New Roman" w:cs="Calibri"/>
                <w:b/>
                <w:bCs/>
                <w:color w:val="000000"/>
                <w:sz w:val="14"/>
                <w:szCs w:val="14"/>
                <w:lang w:eastAsia="es-MX"/>
              </w:rPr>
            </w:pPr>
            <w:r w:rsidRPr="00C94957">
              <w:rPr>
                <w:rFonts w:eastAsia="Times New Roman" w:cs="Calibri"/>
                <w:b/>
                <w:bCs/>
                <w:color w:val="000000"/>
                <w:sz w:val="14"/>
                <w:szCs w:val="14"/>
                <w:lang w:eastAsia="es-MX"/>
              </w:rPr>
              <w:t>341,466,435</w:t>
            </w:r>
          </w:p>
        </w:tc>
      </w:tr>
    </w:tbl>
    <w:p w14:paraId="081F7561" w14:textId="77777777" w:rsidR="000C4919" w:rsidRPr="005F45A3" w:rsidRDefault="000C4919" w:rsidP="00E44252">
      <w:pPr>
        <w:pStyle w:val="Texto"/>
        <w:spacing w:after="0" w:line="240" w:lineRule="exact"/>
        <w:ind w:firstLine="646"/>
        <w:rPr>
          <w:rFonts w:asciiTheme="minorHAnsi" w:hAnsiTheme="minorHAnsi" w:cstheme="minorHAnsi"/>
          <w:szCs w:val="18"/>
          <w:lang w:val="es-MX"/>
        </w:rPr>
      </w:pPr>
    </w:p>
    <w:p w14:paraId="63ACEB4A" w14:textId="77777777" w:rsidR="008F31D6" w:rsidRPr="005F45A3" w:rsidRDefault="008F31D6" w:rsidP="00E44252">
      <w:pPr>
        <w:pStyle w:val="Texto"/>
        <w:spacing w:after="0" w:line="240" w:lineRule="exact"/>
        <w:ind w:firstLine="646"/>
        <w:rPr>
          <w:rFonts w:asciiTheme="minorHAnsi" w:hAnsiTheme="minorHAnsi" w:cstheme="minorHAnsi"/>
          <w:szCs w:val="18"/>
          <w:lang w:val="es-MX"/>
        </w:rPr>
      </w:pPr>
    </w:p>
    <w:p w14:paraId="50B67890" w14:textId="7555E9A4" w:rsidR="000B5805" w:rsidRDefault="000B5805" w:rsidP="002261FB">
      <w:pPr>
        <w:spacing w:after="0" w:line="240" w:lineRule="auto"/>
        <w:ind w:left="567"/>
        <w:jc w:val="both"/>
        <w:rPr>
          <w:rFonts w:asciiTheme="minorHAnsi" w:eastAsia="Times New Roman" w:hAnsiTheme="minorHAnsi" w:cstheme="minorHAnsi"/>
          <w:sz w:val="18"/>
          <w:szCs w:val="18"/>
          <w:lang w:val="es-ES" w:eastAsia="es-ES"/>
        </w:rPr>
      </w:pPr>
      <w:r w:rsidRPr="000B5805">
        <w:rPr>
          <w:rFonts w:asciiTheme="minorHAnsi" w:eastAsia="Times New Roman" w:hAnsiTheme="minorHAnsi" w:cstheme="minorHAnsi"/>
          <w:sz w:val="18"/>
          <w:szCs w:val="18"/>
          <w:lang w:val="es-ES" w:eastAsia="es-ES"/>
        </w:rPr>
        <w:t>Dentro de este rubro se contemplan entre otros conceptos las fianzas en garantía con la Afianzadora Insurgentes lo cuales son: Desarrollo la Pesca por $6, 796,326, Corredor Urbano Reynosa-Río Bravo por $7</w:t>
      </w:r>
      <w:proofErr w:type="gramStart"/>
      <w:r w:rsidRPr="000B5805">
        <w:rPr>
          <w:rFonts w:asciiTheme="minorHAnsi" w:eastAsia="Times New Roman" w:hAnsiTheme="minorHAnsi" w:cstheme="minorHAnsi"/>
          <w:sz w:val="18"/>
          <w:szCs w:val="18"/>
          <w:lang w:val="es-ES" w:eastAsia="es-ES"/>
        </w:rPr>
        <w:t>,094,400</w:t>
      </w:r>
      <w:proofErr w:type="gramEnd"/>
      <w:r w:rsidRPr="000B5805">
        <w:rPr>
          <w:rFonts w:asciiTheme="minorHAnsi" w:eastAsia="Times New Roman" w:hAnsiTheme="minorHAnsi" w:cstheme="minorHAnsi"/>
          <w:sz w:val="18"/>
          <w:szCs w:val="18"/>
          <w:lang w:val="es-ES" w:eastAsia="es-ES"/>
        </w:rPr>
        <w:t>, y el Proyecto Laguna</w:t>
      </w:r>
      <w:r>
        <w:rPr>
          <w:rFonts w:asciiTheme="minorHAnsi" w:eastAsia="Times New Roman" w:hAnsiTheme="minorHAnsi" w:cstheme="minorHAnsi"/>
          <w:sz w:val="18"/>
          <w:szCs w:val="18"/>
          <w:lang w:val="es-ES" w:eastAsia="es-ES"/>
        </w:rPr>
        <w:t xml:space="preserve"> del Carpintero por $16,707,990.</w:t>
      </w:r>
    </w:p>
    <w:p w14:paraId="1EDBE7BC" w14:textId="77777777" w:rsidR="000B5805" w:rsidRDefault="000B5805" w:rsidP="002261FB">
      <w:pPr>
        <w:spacing w:after="0" w:line="240" w:lineRule="auto"/>
        <w:ind w:left="567"/>
        <w:jc w:val="both"/>
        <w:rPr>
          <w:rFonts w:asciiTheme="minorHAnsi" w:eastAsia="Times New Roman" w:hAnsiTheme="minorHAnsi" w:cstheme="minorHAnsi"/>
          <w:sz w:val="18"/>
          <w:szCs w:val="18"/>
          <w:lang w:val="es-ES" w:eastAsia="es-ES"/>
        </w:rPr>
      </w:pPr>
    </w:p>
    <w:p w14:paraId="7BCB600E" w14:textId="0CC6F45D" w:rsidR="006C3B11" w:rsidRPr="005F45A3" w:rsidRDefault="00565E65" w:rsidP="002261FB">
      <w:pPr>
        <w:spacing w:after="0" w:line="240" w:lineRule="auto"/>
        <w:ind w:left="567"/>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 xml:space="preserve">Derivado de los depósitos en la cuenta bancaria del Banco </w:t>
      </w:r>
      <w:proofErr w:type="spellStart"/>
      <w:r w:rsidRPr="005F45A3">
        <w:rPr>
          <w:rFonts w:asciiTheme="minorHAnsi" w:eastAsia="Times New Roman" w:hAnsiTheme="minorHAnsi" w:cstheme="minorHAnsi"/>
          <w:sz w:val="18"/>
          <w:szCs w:val="18"/>
          <w:lang w:val="es-ES" w:eastAsia="es-ES"/>
        </w:rPr>
        <w:t>Accendo</w:t>
      </w:r>
      <w:proofErr w:type="spellEnd"/>
      <w:r w:rsidRPr="005F45A3">
        <w:rPr>
          <w:rFonts w:asciiTheme="minorHAnsi" w:eastAsia="Times New Roman" w:hAnsiTheme="minorHAnsi" w:cstheme="minorHAnsi"/>
          <w:sz w:val="18"/>
          <w:szCs w:val="18"/>
          <w:lang w:val="es-ES" w:eastAsia="es-ES"/>
        </w:rPr>
        <w:t xml:space="preserve"> el 6 de agosto de 2021 por la cantidad de $139,328,239.47 y el 6 de septiembre del mismo año por la cantidad de </w:t>
      </w:r>
      <w:r w:rsidR="00547AA9" w:rsidRPr="005F45A3">
        <w:rPr>
          <w:rFonts w:asciiTheme="minorHAnsi" w:eastAsia="Times New Roman" w:hAnsiTheme="minorHAnsi" w:cstheme="minorHAnsi"/>
          <w:sz w:val="18"/>
          <w:szCs w:val="18"/>
          <w:lang w:val="es-ES" w:eastAsia="es-ES"/>
        </w:rPr>
        <w:t>$</w:t>
      </w:r>
      <w:r w:rsidRPr="005F45A3">
        <w:rPr>
          <w:rFonts w:asciiTheme="minorHAnsi" w:eastAsia="Times New Roman" w:hAnsiTheme="minorHAnsi" w:cstheme="minorHAnsi"/>
          <w:sz w:val="18"/>
          <w:szCs w:val="18"/>
          <w:lang w:val="es-ES" w:eastAsia="es-ES"/>
        </w:rPr>
        <w:t>42,126,376.44  actualmente se refleja en Otros Derechos a Recibir Efectivo y Equivalentes la cantidad de $</w:t>
      </w:r>
      <w:r w:rsidR="00F4255E" w:rsidRPr="005F45A3">
        <w:rPr>
          <w:rFonts w:asciiTheme="minorHAnsi" w:eastAsia="Times New Roman" w:hAnsiTheme="minorHAnsi" w:cstheme="minorHAnsi"/>
          <w:sz w:val="18"/>
          <w:szCs w:val="18"/>
          <w:lang w:val="es-ES" w:eastAsia="es-ES"/>
        </w:rPr>
        <w:t>181,813,1</w:t>
      </w:r>
      <w:r w:rsidR="00122A92" w:rsidRPr="005F45A3">
        <w:rPr>
          <w:rFonts w:asciiTheme="minorHAnsi" w:eastAsia="Times New Roman" w:hAnsiTheme="minorHAnsi" w:cstheme="minorHAnsi"/>
          <w:sz w:val="18"/>
          <w:szCs w:val="18"/>
          <w:lang w:val="es-ES" w:eastAsia="es-ES"/>
        </w:rPr>
        <w:t>0</w:t>
      </w:r>
      <w:r w:rsidR="00A30242" w:rsidRPr="005F45A3">
        <w:rPr>
          <w:rFonts w:asciiTheme="minorHAnsi" w:eastAsia="Times New Roman" w:hAnsiTheme="minorHAnsi" w:cstheme="minorHAnsi"/>
          <w:sz w:val="18"/>
          <w:szCs w:val="18"/>
          <w:lang w:val="es-ES" w:eastAsia="es-ES"/>
        </w:rPr>
        <w:t>2</w:t>
      </w:r>
      <w:r w:rsidR="00122A92" w:rsidRPr="005F45A3">
        <w:rPr>
          <w:rFonts w:asciiTheme="minorHAnsi" w:eastAsia="Times New Roman" w:hAnsiTheme="minorHAnsi" w:cstheme="minorHAnsi"/>
          <w:sz w:val="18"/>
          <w:szCs w:val="18"/>
          <w:lang w:val="es-ES" w:eastAsia="es-ES"/>
        </w:rPr>
        <w:t>.</w:t>
      </w:r>
      <w:r w:rsidR="00A30242" w:rsidRPr="005F45A3">
        <w:rPr>
          <w:rFonts w:asciiTheme="minorHAnsi" w:eastAsia="Times New Roman" w:hAnsiTheme="minorHAnsi" w:cstheme="minorHAnsi"/>
          <w:sz w:val="18"/>
          <w:szCs w:val="18"/>
          <w:lang w:val="es-ES" w:eastAsia="es-ES"/>
        </w:rPr>
        <w:t>0</w:t>
      </w:r>
      <w:r w:rsidR="00F4255E" w:rsidRPr="005F45A3">
        <w:rPr>
          <w:rFonts w:asciiTheme="minorHAnsi" w:eastAsia="Times New Roman" w:hAnsiTheme="minorHAnsi" w:cstheme="minorHAnsi"/>
          <w:sz w:val="18"/>
          <w:szCs w:val="18"/>
          <w:lang w:val="es-ES" w:eastAsia="es-ES"/>
        </w:rPr>
        <w:t xml:space="preserve">0 incluyendo rendimientos financieros </w:t>
      </w:r>
      <w:r w:rsidR="00C05381" w:rsidRPr="005F45A3">
        <w:rPr>
          <w:rFonts w:asciiTheme="minorHAnsi" w:eastAsia="Times New Roman" w:hAnsiTheme="minorHAnsi" w:cstheme="minorHAnsi"/>
          <w:sz w:val="18"/>
          <w:szCs w:val="18"/>
          <w:lang w:val="es-ES" w:eastAsia="es-ES"/>
        </w:rPr>
        <w:t xml:space="preserve">de </w:t>
      </w:r>
      <w:r w:rsidR="00547AA9" w:rsidRPr="005F45A3">
        <w:rPr>
          <w:rFonts w:asciiTheme="minorHAnsi" w:eastAsia="Times New Roman" w:hAnsiTheme="minorHAnsi" w:cstheme="minorHAnsi"/>
          <w:sz w:val="18"/>
          <w:szCs w:val="18"/>
          <w:lang w:val="es-ES" w:eastAsia="es-ES"/>
        </w:rPr>
        <w:t xml:space="preserve">$ </w:t>
      </w:r>
      <w:r w:rsidR="00F4255E" w:rsidRPr="005F45A3">
        <w:rPr>
          <w:rFonts w:asciiTheme="minorHAnsi" w:eastAsia="Times New Roman" w:hAnsiTheme="minorHAnsi" w:cstheme="minorHAnsi"/>
          <w:sz w:val="18"/>
          <w:szCs w:val="18"/>
          <w:lang w:val="es-ES" w:eastAsia="es-ES"/>
        </w:rPr>
        <w:t>358,485.99</w:t>
      </w:r>
      <w:r w:rsidR="00C05381" w:rsidRPr="005F45A3">
        <w:rPr>
          <w:rFonts w:asciiTheme="minorHAnsi" w:eastAsia="Times New Roman" w:hAnsiTheme="minorHAnsi" w:cstheme="minorHAnsi"/>
          <w:sz w:val="18"/>
          <w:szCs w:val="18"/>
          <w:lang w:val="es-ES" w:eastAsia="es-ES"/>
        </w:rPr>
        <w:t xml:space="preserve"> debido a la publicación en el Diario Oficial de la Federación de los “ACUERDOS de la Junta de Gobierno de la Comisión </w:t>
      </w:r>
      <w:r w:rsidR="0004437B" w:rsidRPr="005F45A3">
        <w:rPr>
          <w:rFonts w:asciiTheme="minorHAnsi" w:eastAsia="Times New Roman" w:hAnsiTheme="minorHAnsi" w:cstheme="minorHAnsi"/>
          <w:sz w:val="18"/>
          <w:szCs w:val="18"/>
          <w:lang w:val="es-ES" w:eastAsia="es-ES"/>
        </w:rPr>
        <w:t>Nacional Bancaria y de Valores, a través de los cuales se resuelve  la revocación que le fue otorgada</w:t>
      </w:r>
      <w:r w:rsidR="006C3B11" w:rsidRPr="005F45A3">
        <w:rPr>
          <w:rFonts w:asciiTheme="minorHAnsi" w:eastAsia="Times New Roman" w:hAnsiTheme="minorHAnsi" w:cstheme="minorHAnsi"/>
          <w:sz w:val="18"/>
          <w:szCs w:val="18"/>
          <w:lang w:val="es-ES" w:eastAsia="es-ES"/>
        </w:rPr>
        <w:t xml:space="preserve"> a </w:t>
      </w:r>
      <w:proofErr w:type="spellStart"/>
      <w:r w:rsidR="006C3B11" w:rsidRPr="005F45A3">
        <w:rPr>
          <w:rFonts w:asciiTheme="minorHAnsi" w:eastAsia="Times New Roman" w:hAnsiTheme="minorHAnsi" w:cstheme="minorHAnsi"/>
          <w:sz w:val="18"/>
          <w:szCs w:val="18"/>
          <w:lang w:val="es-ES" w:eastAsia="es-ES"/>
        </w:rPr>
        <w:t>Accendo</w:t>
      </w:r>
      <w:proofErr w:type="spellEnd"/>
      <w:r w:rsidR="006C3B11" w:rsidRPr="005F45A3">
        <w:rPr>
          <w:rFonts w:asciiTheme="minorHAnsi" w:eastAsia="Times New Roman" w:hAnsiTheme="minorHAnsi" w:cstheme="minorHAnsi"/>
          <w:sz w:val="18"/>
          <w:szCs w:val="18"/>
          <w:lang w:val="es-ES" w:eastAsia="es-ES"/>
        </w:rPr>
        <w:t xml:space="preserve"> Banco, S.A. Institución de Banca Múltiple para organizarse y operar como institución de banca múltiple”.</w:t>
      </w:r>
    </w:p>
    <w:p w14:paraId="4430E1B0" w14:textId="77777777" w:rsidR="007D099F" w:rsidRPr="005F45A3" w:rsidRDefault="007D099F" w:rsidP="002261FB">
      <w:pPr>
        <w:spacing w:after="0" w:line="240" w:lineRule="auto"/>
        <w:ind w:left="567"/>
        <w:jc w:val="both"/>
        <w:rPr>
          <w:rFonts w:asciiTheme="minorHAnsi" w:eastAsia="Times New Roman" w:hAnsiTheme="minorHAnsi" w:cstheme="minorHAnsi"/>
          <w:sz w:val="18"/>
          <w:szCs w:val="18"/>
          <w:lang w:val="es-ES" w:eastAsia="es-ES"/>
        </w:rPr>
      </w:pPr>
    </w:p>
    <w:p w14:paraId="603F3002" w14:textId="48E3A309" w:rsidR="009A23D3" w:rsidRPr="005F45A3" w:rsidRDefault="006C3B11" w:rsidP="002261FB">
      <w:pPr>
        <w:spacing w:after="0" w:line="240" w:lineRule="auto"/>
        <w:ind w:left="567"/>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 xml:space="preserve">Con motivo de los acuerdos de revocación y según se desprende de los mismos en relación con lo dispuesto en los artículos 28, párrafos antepenúltimo, penúltimo y último, y 170 de la ley de Instituciones de Crédito, el Banco </w:t>
      </w:r>
      <w:proofErr w:type="spellStart"/>
      <w:r w:rsidRPr="005F45A3">
        <w:rPr>
          <w:rFonts w:asciiTheme="minorHAnsi" w:eastAsia="Times New Roman" w:hAnsiTheme="minorHAnsi" w:cstheme="minorHAnsi"/>
          <w:sz w:val="18"/>
          <w:szCs w:val="18"/>
          <w:lang w:val="es-ES" w:eastAsia="es-ES"/>
        </w:rPr>
        <w:t>Accendo</w:t>
      </w:r>
      <w:proofErr w:type="spellEnd"/>
      <w:r w:rsidRPr="005F45A3">
        <w:rPr>
          <w:rFonts w:asciiTheme="minorHAnsi" w:eastAsia="Times New Roman" w:hAnsiTheme="minorHAnsi" w:cstheme="minorHAnsi"/>
          <w:sz w:val="18"/>
          <w:szCs w:val="18"/>
          <w:lang w:val="es-ES" w:eastAsia="es-ES"/>
        </w:rPr>
        <w:t xml:space="preserve"> entro en estado de liquidación el 29 de septiembre de 2021, en virtud de lo anterior las obligaciones a plazo a cargo del Banco </w:t>
      </w:r>
      <w:proofErr w:type="spellStart"/>
      <w:r w:rsidRPr="005F45A3">
        <w:rPr>
          <w:rFonts w:asciiTheme="minorHAnsi" w:eastAsia="Times New Roman" w:hAnsiTheme="minorHAnsi" w:cstheme="minorHAnsi"/>
          <w:sz w:val="18"/>
          <w:szCs w:val="18"/>
          <w:lang w:val="es-ES" w:eastAsia="es-ES"/>
        </w:rPr>
        <w:t>Accendo</w:t>
      </w:r>
      <w:proofErr w:type="spellEnd"/>
      <w:r w:rsidRPr="005F45A3">
        <w:rPr>
          <w:rFonts w:asciiTheme="minorHAnsi" w:eastAsia="Times New Roman" w:hAnsiTheme="minorHAnsi" w:cstheme="minorHAnsi"/>
          <w:sz w:val="18"/>
          <w:szCs w:val="18"/>
          <w:lang w:val="es-ES" w:eastAsia="es-ES"/>
        </w:rPr>
        <w:t xml:space="preserve"> y a favor del Estado de Tamaulipas derivadas de su relación contractual y de las transferencias bancarias </w:t>
      </w:r>
      <w:r w:rsidR="00BF6973" w:rsidRPr="005F45A3">
        <w:rPr>
          <w:rFonts w:asciiTheme="minorHAnsi" w:eastAsia="Times New Roman" w:hAnsiTheme="minorHAnsi" w:cstheme="minorHAnsi"/>
          <w:sz w:val="18"/>
          <w:szCs w:val="18"/>
          <w:lang w:val="es-ES" w:eastAsia="es-ES"/>
        </w:rPr>
        <w:t>realizadas, se dieron por vencidas cuando se revocó la autorización del Banco y se puso en estado de liquidación, de tal manera que desde ese momento nació la obligación legal de ACCENDO de devolver al Estado de Tamaulipas la totalidad del saldo que se mantenía en la cuenta bancaria, así como sus conceptos accesorios tales</w:t>
      </w:r>
      <w:r w:rsidR="009A23D3" w:rsidRPr="005F45A3">
        <w:rPr>
          <w:rFonts w:asciiTheme="minorHAnsi" w:eastAsia="Times New Roman" w:hAnsiTheme="minorHAnsi" w:cstheme="minorHAnsi"/>
          <w:sz w:val="18"/>
          <w:szCs w:val="18"/>
          <w:lang w:val="es-ES" w:eastAsia="es-ES"/>
        </w:rPr>
        <w:t xml:space="preserve"> como rendimientos e intereses.</w:t>
      </w:r>
    </w:p>
    <w:p w14:paraId="03B32292" w14:textId="77777777" w:rsidR="009A23D3" w:rsidRPr="005F45A3" w:rsidRDefault="009A23D3" w:rsidP="002261FB">
      <w:pPr>
        <w:spacing w:after="0" w:line="240" w:lineRule="auto"/>
        <w:ind w:left="567"/>
        <w:jc w:val="both"/>
        <w:rPr>
          <w:rFonts w:asciiTheme="minorHAnsi" w:eastAsia="Times New Roman" w:hAnsiTheme="minorHAnsi" w:cstheme="minorHAnsi"/>
          <w:sz w:val="18"/>
          <w:szCs w:val="18"/>
          <w:lang w:val="es-ES" w:eastAsia="es-ES"/>
        </w:rPr>
      </w:pPr>
    </w:p>
    <w:p w14:paraId="224EE64B" w14:textId="58029A40" w:rsidR="00565E65" w:rsidRPr="005F45A3" w:rsidRDefault="009A23D3" w:rsidP="002261FB">
      <w:pPr>
        <w:spacing w:after="0" w:line="240" w:lineRule="auto"/>
        <w:ind w:left="567"/>
        <w:jc w:val="both"/>
        <w:rPr>
          <w:rFonts w:asciiTheme="minorHAnsi" w:eastAsia="Times New Roman" w:hAnsiTheme="minorHAnsi" w:cstheme="minorHAnsi"/>
          <w:sz w:val="18"/>
          <w:szCs w:val="18"/>
          <w:lang w:val="es-ES" w:eastAsia="es-ES"/>
        </w:rPr>
      </w:pPr>
      <w:r w:rsidRPr="005F45A3">
        <w:rPr>
          <w:rFonts w:asciiTheme="minorHAnsi" w:eastAsia="Times New Roman" w:hAnsiTheme="minorHAnsi" w:cstheme="minorHAnsi"/>
          <w:sz w:val="18"/>
          <w:szCs w:val="18"/>
          <w:lang w:val="es-ES" w:eastAsia="es-ES"/>
        </w:rPr>
        <w:t>C</w:t>
      </w:r>
      <w:r w:rsidR="00BB08C8" w:rsidRPr="005F45A3">
        <w:rPr>
          <w:rFonts w:asciiTheme="minorHAnsi" w:eastAsia="Times New Roman" w:hAnsiTheme="minorHAnsi" w:cstheme="minorHAnsi"/>
          <w:sz w:val="18"/>
          <w:szCs w:val="18"/>
          <w:lang w:val="es-ES" w:eastAsia="es-ES"/>
        </w:rPr>
        <w:t xml:space="preserve">on fecha 16 de Junio del presente se </w:t>
      </w:r>
      <w:r w:rsidRPr="005F45A3">
        <w:rPr>
          <w:rFonts w:asciiTheme="minorHAnsi" w:eastAsia="Times New Roman" w:hAnsiTheme="minorHAnsi" w:cstheme="minorHAnsi"/>
          <w:sz w:val="18"/>
          <w:szCs w:val="18"/>
          <w:lang w:val="es-ES" w:eastAsia="es-ES"/>
        </w:rPr>
        <w:t xml:space="preserve">realizó un </w:t>
      </w:r>
      <w:r w:rsidR="0077348F">
        <w:rPr>
          <w:rFonts w:asciiTheme="minorHAnsi" w:eastAsia="Times New Roman" w:hAnsiTheme="minorHAnsi" w:cstheme="minorHAnsi"/>
          <w:sz w:val="18"/>
          <w:szCs w:val="18"/>
          <w:lang w:val="es-ES" w:eastAsia="es-ES"/>
        </w:rPr>
        <w:t>depósito</w:t>
      </w:r>
      <w:r w:rsidR="00BB08C8" w:rsidRPr="005F45A3">
        <w:rPr>
          <w:rFonts w:asciiTheme="minorHAnsi" w:eastAsia="Times New Roman" w:hAnsiTheme="minorHAnsi" w:cstheme="minorHAnsi"/>
          <w:sz w:val="18"/>
          <w:szCs w:val="18"/>
          <w:lang w:val="es-ES" w:eastAsia="es-ES"/>
        </w:rPr>
        <w:t xml:space="preserve"> </w:t>
      </w:r>
      <w:r w:rsidRPr="005F45A3">
        <w:rPr>
          <w:rFonts w:asciiTheme="minorHAnsi" w:eastAsia="Times New Roman" w:hAnsiTheme="minorHAnsi" w:cstheme="minorHAnsi"/>
          <w:sz w:val="18"/>
          <w:szCs w:val="18"/>
          <w:lang w:val="es-ES" w:eastAsia="es-ES"/>
        </w:rPr>
        <w:t xml:space="preserve">por </w:t>
      </w:r>
      <w:r w:rsidR="00BB08C8" w:rsidRPr="005F45A3">
        <w:rPr>
          <w:rFonts w:asciiTheme="minorHAnsi" w:eastAsia="Times New Roman" w:hAnsiTheme="minorHAnsi" w:cstheme="minorHAnsi"/>
          <w:sz w:val="18"/>
          <w:szCs w:val="18"/>
          <w:lang w:val="es-ES" w:eastAsia="es-ES"/>
        </w:rPr>
        <w:t>la cantidad de $2,768,169.20</w:t>
      </w:r>
      <w:r w:rsidRPr="005F45A3">
        <w:rPr>
          <w:rFonts w:asciiTheme="minorHAnsi" w:eastAsia="Times New Roman" w:hAnsiTheme="minorHAnsi" w:cstheme="minorHAnsi"/>
          <w:sz w:val="18"/>
          <w:szCs w:val="18"/>
          <w:lang w:val="es-ES" w:eastAsia="es-ES"/>
        </w:rPr>
        <w:t xml:space="preserve"> ( Dos Millones Setecientos Sesenta y Ocho Mil Cientos sesenta y Nueve Pesos 20/100 M.N.), derivado de la aprobación de la Junta de Gobierno del Instituto para la Protección al Ahorro (IPAB), mediante el cual se procedió al Pago de las Obligaciones Garantizadas, es decir pagar a las personas ahorradores de BANCO ACCENDO, en virtud del proceso de liquidación de este último, esta misma cantidad  fue abonada a dicho deudor.</w:t>
      </w:r>
    </w:p>
    <w:p w14:paraId="47E59E6B" w14:textId="77777777" w:rsidR="00136F28" w:rsidRPr="005F45A3" w:rsidRDefault="00136F28" w:rsidP="002261FB">
      <w:pPr>
        <w:pStyle w:val="Texto"/>
        <w:spacing w:after="0" w:line="240" w:lineRule="exact"/>
        <w:ind w:left="567" w:firstLine="0"/>
        <w:rPr>
          <w:rFonts w:asciiTheme="minorHAnsi" w:eastAsia="Calibri" w:hAnsiTheme="minorHAnsi" w:cstheme="minorHAnsi"/>
          <w:szCs w:val="18"/>
        </w:rPr>
      </w:pPr>
    </w:p>
    <w:p w14:paraId="4EFB3A2C" w14:textId="6C96E32B" w:rsidR="00422B74" w:rsidRPr="005F45A3" w:rsidRDefault="000B5805" w:rsidP="002261FB">
      <w:pPr>
        <w:pStyle w:val="Texto"/>
        <w:spacing w:after="0" w:line="240" w:lineRule="exact"/>
        <w:ind w:left="567" w:firstLine="0"/>
        <w:rPr>
          <w:rFonts w:asciiTheme="minorHAnsi" w:hAnsiTheme="minorHAnsi" w:cstheme="minorHAnsi"/>
          <w:szCs w:val="18"/>
          <w:lang w:val="es-MX"/>
        </w:rPr>
      </w:pPr>
      <w:r>
        <w:rPr>
          <w:rFonts w:asciiTheme="minorHAnsi" w:hAnsiTheme="minorHAnsi" w:cstheme="minorHAnsi"/>
          <w:szCs w:val="18"/>
          <w:lang w:val="es-MX"/>
        </w:rPr>
        <w:t xml:space="preserve">Además de contemplarse en esta cuenta </w:t>
      </w:r>
      <w:r w:rsidR="00422B74" w:rsidRPr="005F45A3">
        <w:rPr>
          <w:rFonts w:asciiTheme="minorHAnsi" w:hAnsiTheme="minorHAnsi" w:cstheme="minorHAnsi"/>
          <w:szCs w:val="18"/>
          <w:lang w:val="es-MX"/>
        </w:rPr>
        <w:t xml:space="preserve">préstamos a largo plazo otorgados a empresas con </w:t>
      </w:r>
      <w:r w:rsidR="005472BC" w:rsidRPr="005F45A3">
        <w:rPr>
          <w:rFonts w:asciiTheme="minorHAnsi" w:hAnsiTheme="minorHAnsi" w:cstheme="minorHAnsi"/>
          <w:szCs w:val="18"/>
          <w:lang w:val="es-MX"/>
        </w:rPr>
        <w:t xml:space="preserve">recurso del programa </w:t>
      </w:r>
      <w:proofErr w:type="spellStart"/>
      <w:r w:rsidR="005472BC" w:rsidRPr="005F45A3">
        <w:rPr>
          <w:rFonts w:asciiTheme="minorHAnsi" w:hAnsiTheme="minorHAnsi" w:cstheme="minorHAnsi"/>
          <w:szCs w:val="18"/>
          <w:lang w:val="es-MX"/>
        </w:rPr>
        <w:t>Foprode</w:t>
      </w:r>
      <w:r w:rsidR="00C849E9" w:rsidRPr="005F45A3">
        <w:rPr>
          <w:rFonts w:asciiTheme="minorHAnsi" w:hAnsiTheme="minorHAnsi" w:cstheme="minorHAnsi"/>
          <w:szCs w:val="18"/>
          <w:lang w:val="es-MX"/>
        </w:rPr>
        <w:t>s</w:t>
      </w:r>
      <w:proofErr w:type="spellEnd"/>
      <w:r w:rsidR="00C849E9" w:rsidRPr="005F45A3">
        <w:rPr>
          <w:rFonts w:asciiTheme="minorHAnsi" w:hAnsiTheme="minorHAnsi" w:cstheme="minorHAnsi"/>
          <w:szCs w:val="18"/>
          <w:lang w:val="es-MX"/>
        </w:rPr>
        <w:t xml:space="preserve"> Pymes del Fideicomiso de Garantía Solidaria del Estado de Tamaulipas (FIDEGAT), por $</w:t>
      </w:r>
      <w:r w:rsidR="00E179E3">
        <w:rPr>
          <w:rFonts w:asciiTheme="minorHAnsi" w:hAnsiTheme="minorHAnsi" w:cstheme="minorHAnsi"/>
          <w:szCs w:val="18"/>
          <w:lang w:val="es-MX"/>
        </w:rPr>
        <w:t>14,730,895, y el registro del pago de la Deuda a Largo Plazo de la</w:t>
      </w:r>
      <w:r w:rsidR="00000001">
        <w:rPr>
          <w:rFonts w:asciiTheme="minorHAnsi" w:hAnsiTheme="minorHAnsi" w:cstheme="minorHAnsi"/>
          <w:szCs w:val="18"/>
          <w:lang w:val="es-MX"/>
        </w:rPr>
        <w:t xml:space="preserve"> COMAPA </w:t>
      </w:r>
      <w:r w:rsidR="00E179E3">
        <w:rPr>
          <w:rFonts w:asciiTheme="minorHAnsi" w:hAnsiTheme="minorHAnsi" w:cstheme="minorHAnsi"/>
          <w:szCs w:val="18"/>
          <w:lang w:val="es-MX"/>
        </w:rPr>
        <w:t>Río Bravo por $ 58,314,362.</w:t>
      </w:r>
    </w:p>
    <w:p w14:paraId="16F398E2" w14:textId="77777777" w:rsidR="005472BC" w:rsidRPr="005F45A3" w:rsidRDefault="005472BC" w:rsidP="005472BC">
      <w:pPr>
        <w:pStyle w:val="Texto"/>
        <w:spacing w:after="0" w:line="240" w:lineRule="exact"/>
        <w:ind w:firstLine="0"/>
        <w:rPr>
          <w:rFonts w:asciiTheme="minorHAnsi" w:hAnsiTheme="minorHAnsi" w:cstheme="minorHAnsi"/>
          <w:szCs w:val="18"/>
          <w:lang w:val="es-MX"/>
        </w:rPr>
      </w:pPr>
    </w:p>
    <w:p w14:paraId="28110FD2" w14:textId="7DA0004E" w:rsidR="00040F0F" w:rsidRPr="0077348F" w:rsidRDefault="00040F0F" w:rsidP="003D7ABC">
      <w:pPr>
        <w:pStyle w:val="Texto"/>
        <w:spacing w:after="0" w:line="240" w:lineRule="exact"/>
        <w:ind w:firstLine="0"/>
        <w:rPr>
          <w:rFonts w:asciiTheme="minorHAnsi" w:hAnsiTheme="minorHAnsi" w:cstheme="minorHAnsi"/>
          <w:b/>
          <w:sz w:val="20"/>
          <w:szCs w:val="18"/>
          <w:lang w:val="es-MX"/>
        </w:rPr>
      </w:pPr>
      <w:r w:rsidRPr="0077348F">
        <w:rPr>
          <w:rFonts w:asciiTheme="minorHAnsi" w:hAnsiTheme="minorHAnsi" w:cstheme="minorHAnsi"/>
          <w:b/>
          <w:sz w:val="20"/>
          <w:szCs w:val="18"/>
          <w:lang w:val="es-MX"/>
        </w:rPr>
        <w:t xml:space="preserve">BIENES </w:t>
      </w:r>
      <w:r w:rsidR="00F30568" w:rsidRPr="0077348F">
        <w:rPr>
          <w:rFonts w:asciiTheme="minorHAnsi" w:hAnsiTheme="minorHAnsi" w:cstheme="minorHAnsi"/>
          <w:b/>
          <w:sz w:val="20"/>
          <w:szCs w:val="18"/>
          <w:lang w:val="es-MX"/>
        </w:rPr>
        <w:t xml:space="preserve">MUEBLES, INMUEBLES E INTANGIBLES </w:t>
      </w:r>
      <w:r w:rsidRPr="0077348F">
        <w:rPr>
          <w:rFonts w:asciiTheme="minorHAnsi" w:hAnsiTheme="minorHAnsi" w:cstheme="minorHAnsi"/>
          <w:b/>
          <w:sz w:val="20"/>
          <w:szCs w:val="18"/>
          <w:lang w:val="es-MX"/>
        </w:rPr>
        <w:t xml:space="preserve">   </w:t>
      </w:r>
    </w:p>
    <w:p w14:paraId="3198AFB3" w14:textId="77777777" w:rsidR="00642CB2" w:rsidRPr="005F45A3" w:rsidRDefault="00642CB2" w:rsidP="00040F0F">
      <w:pPr>
        <w:pStyle w:val="Texto"/>
        <w:spacing w:after="0" w:line="240" w:lineRule="exact"/>
        <w:ind w:firstLine="646"/>
        <w:rPr>
          <w:rFonts w:asciiTheme="minorHAnsi" w:hAnsiTheme="minorHAnsi" w:cstheme="minorHAnsi"/>
          <w:szCs w:val="18"/>
          <w:lang w:val="es-MX"/>
        </w:rPr>
      </w:pPr>
    </w:p>
    <w:p w14:paraId="499939A6" w14:textId="77777777" w:rsidR="00730775" w:rsidRPr="005F45A3" w:rsidRDefault="00F30568" w:rsidP="004602DF">
      <w:pPr>
        <w:pStyle w:val="Prrafodelista"/>
        <w:numPr>
          <w:ilvl w:val="0"/>
          <w:numId w:val="31"/>
        </w:numPr>
        <w:ind w:left="567"/>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El método de depreciación</w:t>
      </w:r>
      <w:r w:rsidR="00BE2761" w:rsidRPr="005F45A3">
        <w:rPr>
          <w:rFonts w:asciiTheme="minorHAnsi" w:eastAsia="Times New Roman" w:hAnsiTheme="minorHAnsi" w:cstheme="minorHAnsi"/>
          <w:sz w:val="18"/>
          <w:szCs w:val="18"/>
          <w:lang w:eastAsia="es-ES"/>
        </w:rPr>
        <w:t xml:space="preserve"> para los Bienes Muebles, Inmuebles e Intangibles es el de línea recta, método que se aplica en forma consistente en cada clase de activo, y de acuerdo a la tabla establecida por el Consejo de Armonización Contable del Estado de Tamaulipas (CACET).</w:t>
      </w:r>
    </w:p>
    <w:p w14:paraId="1645640F" w14:textId="77777777" w:rsidR="00E41106" w:rsidRPr="005F45A3" w:rsidRDefault="00C477B9" w:rsidP="00040F0F">
      <w:pPr>
        <w:rPr>
          <w:rFonts w:asciiTheme="minorHAnsi" w:hAnsiTheme="minorHAnsi" w:cstheme="minorHAnsi"/>
          <w:b/>
          <w:sz w:val="20"/>
          <w:lang w:val="es-ES" w:eastAsia="es-ES"/>
        </w:rPr>
      </w:pPr>
      <w:r w:rsidRPr="005F45A3">
        <w:rPr>
          <w:rFonts w:asciiTheme="minorHAnsi" w:eastAsia="Times New Roman" w:hAnsiTheme="minorHAnsi" w:cstheme="minorHAnsi"/>
          <w:b/>
          <w:sz w:val="18"/>
          <w:szCs w:val="18"/>
          <w:lang w:eastAsia="es-ES"/>
        </w:rPr>
        <w:t>Bienes Inmuebles</w:t>
      </w:r>
      <w:r w:rsidR="00DC7906" w:rsidRPr="005F45A3">
        <w:rPr>
          <w:rFonts w:asciiTheme="minorHAnsi" w:hAnsiTheme="minorHAnsi" w:cstheme="minorHAnsi"/>
          <w:b/>
          <w:sz w:val="20"/>
          <w:lang w:val="es-ES" w:eastAsia="es-ES"/>
        </w:rPr>
        <w:t xml:space="preserve"> </w:t>
      </w:r>
      <w:r w:rsidR="00E41106" w:rsidRPr="005F45A3">
        <w:rPr>
          <w:rFonts w:asciiTheme="minorHAnsi" w:hAnsiTheme="minorHAnsi" w:cstheme="minorHAnsi"/>
          <w:b/>
          <w:sz w:val="20"/>
          <w:lang w:val="es-ES" w:eastAsia="es-ES"/>
        </w:rPr>
        <w:t xml:space="preserve">  </w:t>
      </w:r>
    </w:p>
    <w:tbl>
      <w:tblPr>
        <w:tblW w:w="6849" w:type="dxa"/>
        <w:tblInd w:w="517" w:type="dxa"/>
        <w:tblCellMar>
          <w:left w:w="70" w:type="dxa"/>
          <w:right w:w="70" w:type="dxa"/>
        </w:tblCellMar>
        <w:tblLook w:val="04A0" w:firstRow="1" w:lastRow="0" w:firstColumn="1" w:lastColumn="0" w:noHBand="0" w:noVBand="1"/>
      </w:tblPr>
      <w:tblGrid>
        <w:gridCol w:w="4298"/>
        <w:gridCol w:w="2551"/>
      </w:tblGrid>
      <w:tr w:rsidR="00A24CED" w:rsidRPr="00A24CED" w14:paraId="6252DA29" w14:textId="77777777" w:rsidTr="00097C29">
        <w:trPr>
          <w:trHeight w:val="292"/>
        </w:trPr>
        <w:tc>
          <w:tcPr>
            <w:tcW w:w="429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BF66703" w14:textId="38D7B1AD" w:rsidR="00A24CED" w:rsidRPr="00A24CED" w:rsidRDefault="00A24CED" w:rsidP="00491D83">
            <w:pPr>
              <w:spacing w:after="0" w:line="240" w:lineRule="auto"/>
              <w:jc w:val="center"/>
              <w:rPr>
                <w:rFonts w:eastAsia="Times New Roman" w:cs="Calibri"/>
                <w:b/>
                <w:bCs/>
                <w:color w:val="FFFFFF"/>
                <w:sz w:val="16"/>
                <w:szCs w:val="16"/>
                <w:lang w:eastAsia="es-MX"/>
              </w:rPr>
            </w:pPr>
            <w:r w:rsidRPr="00A24CED">
              <w:rPr>
                <w:rFonts w:eastAsia="Times New Roman" w:cs="Calibri"/>
                <w:b/>
                <w:bCs/>
                <w:color w:val="FFFFFF"/>
                <w:sz w:val="16"/>
                <w:szCs w:val="16"/>
                <w:lang w:eastAsia="es-MX"/>
              </w:rPr>
              <w:t xml:space="preserve">Bienes </w:t>
            </w:r>
            <w:r w:rsidR="00491D83">
              <w:rPr>
                <w:rFonts w:eastAsia="Times New Roman" w:cs="Calibri"/>
                <w:b/>
                <w:bCs/>
                <w:color w:val="FFFFFF"/>
                <w:sz w:val="16"/>
                <w:szCs w:val="16"/>
                <w:lang w:eastAsia="es-MX"/>
              </w:rPr>
              <w:t>Inmuebles</w:t>
            </w:r>
            <w:r w:rsidRPr="00A24CED">
              <w:rPr>
                <w:rFonts w:eastAsia="Times New Roman" w:cs="Calibri"/>
                <w:b/>
                <w:bCs/>
                <w:color w:val="FFFFFF"/>
                <w:sz w:val="16"/>
                <w:szCs w:val="16"/>
                <w:lang w:eastAsia="es-MX"/>
              </w:rPr>
              <w:t xml:space="preserve"> </w:t>
            </w:r>
          </w:p>
        </w:tc>
        <w:tc>
          <w:tcPr>
            <w:tcW w:w="2551" w:type="dxa"/>
            <w:tcBorders>
              <w:top w:val="single" w:sz="4" w:space="0" w:color="auto"/>
              <w:left w:val="nil"/>
              <w:bottom w:val="single" w:sz="4" w:space="0" w:color="auto"/>
              <w:right w:val="single" w:sz="4" w:space="0" w:color="auto"/>
            </w:tcBorders>
            <w:shd w:val="clear" w:color="000000" w:fill="AB0033"/>
            <w:vAlign w:val="center"/>
            <w:hideMark/>
          </w:tcPr>
          <w:p w14:paraId="16DAC8B7" w14:textId="77777777" w:rsidR="00A24CED" w:rsidRPr="00A24CED" w:rsidRDefault="00A24CED" w:rsidP="00A24CED">
            <w:pPr>
              <w:spacing w:after="0" w:line="240" w:lineRule="auto"/>
              <w:jc w:val="center"/>
              <w:rPr>
                <w:rFonts w:eastAsia="Times New Roman" w:cs="Calibri"/>
                <w:b/>
                <w:bCs/>
                <w:color w:val="FFFFFF"/>
                <w:sz w:val="16"/>
                <w:szCs w:val="16"/>
                <w:lang w:eastAsia="es-MX"/>
              </w:rPr>
            </w:pPr>
            <w:r w:rsidRPr="00A24CED">
              <w:rPr>
                <w:rFonts w:eastAsia="Times New Roman" w:cs="Calibri"/>
                <w:b/>
                <w:bCs/>
                <w:color w:val="FFFFFF"/>
                <w:sz w:val="16"/>
                <w:szCs w:val="16"/>
                <w:lang w:eastAsia="es-MX"/>
              </w:rPr>
              <w:t>Importe</w:t>
            </w:r>
          </w:p>
        </w:tc>
      </w:tr>
      <w:tr w:rsidR="00A24CED" w:rsidRPr="00097C29" w14:paraId="5A61ACA8"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1F885440" w14:textId="311D7C0E" w:rsidR="00A24CED" w:rsidRPr="00097C29" w:rsidRDefault="00C96306"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Terrenos</w:t>
            </w:r>
          </w:p>
        </w:tc>
        <w:tc>
          <w:tcPr>
            <w:tcW w:w="2551" w:type="dxa"/>
            <w:tcBorders>
              <w:top w:val="nil"/>
              <w:left w:val="nil"/>
              <w:bottom w:val="single" w:sz="4" w:space="0" w:color="auto"/>
              <w:right w:val="single" w:sz="4" w:space="0" w:color="auto"/>
            </w:tcBorders>
            <w:shd w:val="clear" w:color="auto" w:fill="auto"/>
            <w:noWrap/>
            <w:vAlign w:val="center"/>
            <w:hideMark/>
          </w:tcPr>
          <w:p w14:paraId="4C14F0AB"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2,674,518,416</w:t>
            </w:r>
          </w:p>
        </w:tc>
      </w:tr>
      <w:tr w:rsidR="00A24CED" w:rsidRPr="00097C29" w14:paraId="7B5B04C7"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70298F61" w14:textId="77777777"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Viviendas</w:t>
            </w:r>
          </w:p>
        </w:tc>
        <w:tc>
          <w:tcPr>
            <w:tcW w:w="2551" w:type="dxa"/>
            <w:tcBorders>
              <w:top w:val="nil"/>
              <w:left w:val="nil"/>
              <w:bottom w:val="single" w:sz="4" w:space="0" w:color="auto"/>
              <w:right w:val="single" w:sz="4" w:space="0" w:color="auto"/>
            </w:tcBorders>
            <w:shd w:val="clear" w:color="auto" w:fill="auto"/>
            <w:noWrap/>
            <w:vAlign w:val="center"/>
            <w:hideMark/>
          </w:tcPr>
          <w:p w14:paraId="056E8117"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11,839,770</w:t>
            </w:r>
          </w:p>
        </w:tc>
      </w:tr>
      <w:tr w:rsidR="00A24CED" w:rsidRPr="00097C29" w14:paraId="0079D71D"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6DD333B0" w14:textId="3E658CA3"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Edificios No habitacionales</w:t>
            </w:r>
          </w:p>
        </w:tc>
        <w:tc>
          <w:tcPr>
            <w:tcW w:w="2551" w:type="dxa"/>
            <w:tcBorders>
              <w:top w:val="nil"/>
              <w:left w:val="nil"/>
              <w:bottom w:val="single" w:sz="4" w:space="0" w:color="auto"/>
              <w:right w:val="single" w:sz="4" w:space="0" w:color="auto"/>
            </w:tcBorders>
            <w:shd w:val="clear" w:color="auto" w:fill="auto"/>
            <w:noWrap/>
            <w:vAlign w:val="center"/>
            <w:hideMark/>
          </w:tcPr>
          <w:p w14:paraId="5A72C845"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3,996,004,391</w:t>
            </w:r>
          </w:p>
        </w:tc>
      </w:tr>
      <w:tr w:rsidR="00A24CED" w:rsidRPr="00097C29" w14:paraId="62143EBA"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5D3E110E" w14:textId="77777777"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Infraestructura</w:t>
            </w:r>
          </w:p>
        </w:tc>
        <w:tc>
          <w:tcPr>
            <w:tcW w:w="2551" w:type="dxa"/>
            <w:tcBorders>
              <w:top w:val="nil"/>
              <w:left w:val="nil"/>
              <w:bottom w:val="single" w:sz="4" w:space="0" w:color="auto"/>
              <w:right w:val="single" w:sz="4" w:space="0" w:color="auto"/>
            </w:tcBorders>
            <w:shd w:val="clear" w:color="auto" w:fill="auto"/>
            <w:noWrap/>
            <w:vAlign w:val="center"/>
            <w:hideMark/>
          </w:tcPr>
          <w:p w14:paraId="312135A8"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57,722,288</w:t>
            </w:r>
          </w:p>
        </w:tc>
      </w:tr>
      <w:tr w:rsidR="00A24CED" w:rsidRPr="00097C29" w14:paraId="3727A238"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3DB75776" w14:textId="77777777"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Construcciones en Proceso en Bienes de Dominio Público</w:t>
            </w:r>
          </w:p>
        </w:tc>
        <w:tc>
          <w:tcPr>
            <w:tcW w:w="2551" w:type="dxa"/>
            <w:tcBorders>
              <w:top w:val="nil"/>
              <w:left w:val="nil"/>
              <w:bottom w:val="single" w:sz="4" w:space="0" w:color="auto"/>
              <w:right w:val="single" w:sz="4" w:space="0" w:color="auto"/>
            </w:tcBorders>
            <w:shd w:val="clear" w:color="auto" w:fill="auto"/>
            <w:noWrap/>
            <w:vAlign w:val="center"/>
            <w:hideMark/>
          </w:tcPr>
          <w:p w14:paraId="3DA3274E"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3,553,699,966</w:t>
            </w:r>
          </w:p>
        </w:tc>
      </w:tr>
      <w:tr w:rsidR="00A24CED" w:rsidRPr="00097C29" w14:paraId="1D2AAA2E"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068711BE" w14:textId="77777777"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Construcciones en Proceso en Bienes Propios</w:t>
            </w:r>
          </w:p>
        </w:tc>
        <w:tc>
          <w:tcPr>
            <w:tcW w:w="2551" w:type="dxa"/>
            <w:tcBorders>
              <w:top w:val="nil"/>
              <w:left w:val="nil"/>
              <w:bottom w:val="single" w:sz="4" w:space="0" w:color="auto"/>
              <w:right w:val="single" w:sz="4" w:space="0" w:color="auto"/>
            </w:tcBorders>
            <w:shd w:val="clear" w:color="auto" w:fill="auto"/>
            <w:noWrap/>
            <w:vAlign w:val="center"/>
            <w:hideMark/>
          </w:tcPr>
          <w:p w14:paraId="06C05FDF"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6,570,367,281</w:t>
            </w:r>
          </w:p>
        </w:tc>
      </w:tr>
      <w:tr w:rsidR="00A24CED" w:rsidRPr="00A24CED" w14:paraId="2AC76290" w14:textId="77777777" w:rsidTr="00097C29">
        <w:trPr>
          <w:trHeight w:val="292"/>
        </w:trPr>
        <w:tc>
          <w:tcPr>
            <w:tcW w:w="4298" w:type="dxa"/>
            <w:tcBorders>
              <w:top w:val="nil"/>
              <w:left w:val="single" w:sz="4" w:space="0" w:color="auto"/>
              <w:bottom w:val="single" w:sz="4" w:space="0" w:color="auto"/>
              <w:right w:val="single" w:sz="4" w:space="0" w:color="auto"/>
            </w:tcBorders>
            <w:shd w:val="clear" w:color="000000" w:fill="AB0033"/>
            <w:vAlign w:val="center"/>
            <w:hideMark/>
          </w:tcPr>
          <w:p w14:paraId="08CF7B15" w14:textId="45907152" w:rsidR="00A24CED" w:rsidRPr="00A24CED" w:rsidRDefault="00A24CED" w:rsidP="00A24CED">
            <w:pPr>
              <w:spacing w:after="0" w:line="240" w:lineRule="auto"/>
              <w:jc w:val="center"/>
              <w:rPr>
                <w:rFonts w:eastAsia="Times New Roman" w:cs="Calibri"/>
                <w:b/>
                <w:bCs/>
                <w:color w:val="FFFFFF"/>
                <w:sz w:val="16"/>
                <w:szCs w:val="16"/>
                <w:lang w:eastAsia="es-MX"/>
              </w:rPr>
            </w:pPr>
            <w:r w:rsidRPr="00A24CED">
              <w:rPr>
                <w:rFonts w:eastAsia="Times New Roman" w:cs="Calibri"/>
                <w:b/>
                <w:bCs/>
                <w:color w:val="FFFFFF"/>
                <w:sz w:val="16"/>
                <w:szCs w:val="16"/>
                <w:lang w:eastAsia="es-MX"/>
              </w:rPr>
              <w:t>Fideicomisos</w:t>
            </w:r>
            <w:r>
              <w:rPr>
                <w:rFonts w:eastAsia="Times New Roman" w:cs="Calibri"/>
                <w:b/>
                <w:bCs/>
                <w:color w:val="FFFFFF"/>
                <w:sz w:val="16"/>
                <w:szCs w:val="16"/>
                <w:lang w:eastAsia="es-MX"/>
              </w:rPr>
              <w:t>*</w:t>
            </w:r>
          </w:p>
        </w:tc>
        <w:tc>
          <w:tcPr>
            <w:tcW w:w="2551" w:type="dxa"/>
            <w:tcBorders>
              <w:top w:val="nil"/>
              <w:left w:val="nil"/>
              <w:bottom w:val="single" w:sz="4" w:space="0" w:color="auto"/>
              <w:right w:val="single" w:sz="4" w:space="0" w:color="auto"/>
            </w:tcBorders>
            <w:shd w:val="clear" w:color="000000" w:fill="AB0033"/>
            <w:vAlign w:val="center"/>
            <w:hideMark/>
          </w:tcPr>
          <w:p w14:paraId="1AB19C56" w14:textId="77777777" w:rsidR="00A24CED" w:rsidRPr="00A24CED" w:rsidRDefault="00A24CED" w:rsidP="00A24CED">
            <w:pPr>
              <w:spacing w:after="0" w:line="240" w:lineRule="auto"/>
              <w:jc w:val="center"/>
              <w:rPr>
                <w:rFonts w:eastAsia="Times New Roman" w:cs="Calibri"/>
                <w:b/>
                <w:bCs/>
                <w:color w:val="FFFFFF"/>
                <w:sz w:val="16"/>
                <w:szCs w:val="16"/>
                <w:lang w:eastAsia="es-MX"/>
              </w:rPr>
            </w:pPr>
            <w:r w:rsidRPr="00A24CED">
              <w:rPr>
                <w:rFonts w:eastAsia="Times New Roman" w:cs="Calibri"/>
                <w:b/>
                <w:bCs/>
                <w:color w:val="FFFFFF"/>
                <w:sz w:val="16"/>
                <w:szCs w:val="16"/>
                <w:lang w:eastAsia="es-MX"/>
              </w:rPr>
              <w:t> </w:t>
            </w:r>
          </w:p>
        </w:tc>
      </w:tr>
      <w:tr w:rsidR="00A24CED" w:rsidRPr="00097C29" w14:paraId="6F8A6F5E"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3E1D078D" w14:textId="77777777"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Terrenos</w:t>
            </w:r>
          </w:p>
        </w:tc>
        <w:tc>
          <w:tcPr>
            <w:tcW w:w="2551" w:type="dxa"/>
            <w:tcBorders>
              <w:top w:val="nil"/>
              <w:left w:val="nil"/>
              <w:bottom w:val="single" w:sz="4" w:space="0" w:color="auto"/>
              <w:right w:val="single" w:sz="4" w:space="0" w:color="auto"/>
            </w:tcBorders>
            <w:shd w:val="clear" w:color="auto" w:fill="auto"/>
            <w:noWrap/>
            <w:vAlign w:val="center"/>
            <w:hideMark/>
          </w:tcPr>
          <w:p w14:paraId="7AB792DF"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141,627,993</w:t>
            </w:r>
          </w:p>
        </w:tc>
      </w:tr>
      <w:tr w:rsidR="00A24CED" w:rsidRPr="00097C29" w14:paraId="4CD2579F"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2CDF5AD1" w14:textId="68A0A440"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Edificios No habitacionales</w:t>
            </w:r>
          </w:p>
        </w:tc>
        <w:tc>
          <w:tcPr>
            <w:tcW w:w="2551" w:type="dxa"/>
            <w:tcBorders>
              <w:top w:val="nil"/>
              <w:left w:val="nil"/>
              <w:bottom w:val="single" w:sz="4" w:space="0" w:color="auto"/>
              <w:right w:val="single" w:sz="4" w:space="0" w:color="auto"/>
            </w:tcBorders>
            <w:shd w:val="clear" w:color="auto" w:fill="auto"/>
            <w:noWrap/>
            <w:vAlign w:val="center"/>
            <w:hideMark/>
          </w:tcPr>
          <w:p w14:paraId="0FABCC89"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3,253,500</w:t>
            </w:r>
          </w:p>
        </w:tc>
      </w:tr>
      <w:tr w:rsidR="00A24CED" w:rsidRPr="00097C29" w14:paraId="17DCB8D9"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3C783CEA" w14:textId="77777777"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Infraestructura</w:t>
            </w:r>
          </w:p>
        </w:tc>
        <w:tc>
          <w:tcPr>
            <w:tcW w:w="2551" w:type="dxa"/>
            <w:tcBorders>
              <w:top w:val="nil"/>
              <w:left w:val="nil"/>
              <w:bottom w:val="single" w:sz="4" w:space="0" w:color="auto"/>
              <w:right w:val="single" w:sz="4" w:space="0" w:color="auto"/>
            </w:tcBorders>
            <w:shd w:val="clear" w:color="auto" w:fill="auto"/>
            <w:noWrap/>
            <w:vAlign w:val="center"/>
            <w:hideMark/>
          </w:tcPr>
          <w:p w14:paraId="6BC5A1CA"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632,806,238</w:t>
            </w:r>
          </w:p>
        </w:tc>
      </w:tr>
      <w:tr w:rsidR="00A24CED" w:rsidRPr="00097C29" w14:paraId="70A9E80F"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09AC170E" w14:textId="77777777"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Construcciones en Proceso en Bienes de Dominio Público</w:t>
            </w:r>
          </w:p>
        </w:tc>
        <w:tc>
          <w:tcPr>
            <w:tcW w:w="2551" w:type="dxa"/>
            <w:tcBorders>
              <w:top w:val="nil"/>
              <w:left w:val="nil"/>
              <w:bottom w:val="single" w:sz="4" w:space="0" w:color="auto"/>
              <w:right w:val="single" w:sz="4" w:space="0" w:color="auto"/>
            </w:tcBorders>
            <w:shd w:val="clear" w:color="auto" w:fill="auto"/>
            <w:noWrap/>
            <w:vAlign w:val="center"/>
            <w:hideMark/>
          </w:tcPr>
          <w:p w14:paraId="29FD2CBC"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248,756,950</w:t>
            </w:r>
          </w:p>
        </w:tc>
      </w:tr>
      <w:tr w:rsidR="00A24CED" w:rsidRPr="00097C29" w14:paraId="464C5776" w14:textId="77777777" w:rsidTr="00097C29">
        <w:trPr>
          <w:trHeight w:val="392"/>
        </w:trPr>
        <w:tc>
          <w:tcPr>
            <w:tcW w:w="4298" w:type="dxa"/>
            <w:tcBorders>
              <w:top w:val="nil"/>
              <w:left w:val="single" w:sz="4" w:space="0" w:color="auto"/>
              <w:bottom w:val="single" w:sz="4" w:space="0" w:color="auto"/>
              <w:right w:val="single" w:sz="4" w:space="0" w:color="auto"/>
            </w:tcBorders>
            <w:shd w:val="clear" w:color="auto" w:fill="auto"/>
            <w:vAlign w:val="center"/>
            <w:hideMark/>
          </w:tcPr>
          <w:p w14:paraId="41387764" w14:textId="77777777" w:rsidR="00A24CED" w:rsidRPr="00097C29" w:rsidRDefault="00A24CED" w:rsidP="00A24CED">
            <w:pPr>
              <w:spacing w:after="0" w:line="240" w:lineRule="auto"/>
              <w:rPr>
                <w:rFonts w:eastAsia="Times New Roman" w:cs="Calibri"/>
                <w:color w:val="000000"/>
                <w:sz w:val="15"/>
                <w:szCs w:val="15"/>
                <w:lang w:eastAsia="es-MX"/>
              </w:rPr>
            </w:pPr>
            <w:r w:rsidRPr="00097C29">
              <w:rPr>
                <w:rFonts w:eastAsia="Times New Roman" w:cs="Calibri"/>
                <w:color w:val="000000"/>
                <w:sz w:val="15"/>
                <w:szCs w:val="15"/>
                <w:lang w:eastAsia="es-MX"/>
              </w:rPr>
              <w:t>Otros Bienes Inmuebles</w:t>
            </w:r>
          </w:p>
        </w:tc>
        <w:tc>
          <w:tcPr>
            <w:tcW w:w="2551" w:type="dxa"/>
            <w:tcBorders>
              <w:top w:val="nil"/>
              <w:left w:val="nil"/>
              <w:bottom w:val="single" w:sz="4" w:space="0" w:color="auto"/>
              <w:right w:val="single" w:sz="4" w:space="0" w:color="auto"/>
            </w:tcBorders>
            <w:shd w:val="clear" w:color="auto" w:fill="auto"/>
            <w:noWrap/>
            <w:vAlign w:val="center"/>
            <w:hideMark/>
          </w:tcPr>
          <w:p w14:paraId="2E491F8E" w14:textId="77777777" w:rsidR="00A24CED" w:rsidRPr="00097C29" w:rsidRDefault="00A24CED" w:rsidP="00A24CED">
            <w:pPr>
              <w:spacing w:after="0" w:line="240" w:lineRule="auto"/>
              <w:jc w:val="right"/>
              <w:rPr>
                <w:rFonts w:eastAsia="Times New Roman" w:cs="Calibri"/>
                <w:color w:val="000000"/>
                <w:sz w:val="15"/>
                <w:szCs w:val="15"/>
                <w:lang w:eastAsia="es-MX"/>
              </w:rPr>
            </w:pPr>
            <w:r w:rsidRPr="00097C29">
              <w:rPr>
                <w:rFonts w:eastAsia="Times New Roman" w:cs="Calibri"/>
                <w:color w:val="000000"/>
                <w:sz w:val="15"/>
                <w:szCs w:val="15"/>
                <w:lang w:eastAsia="es-MX"/>
              </w:rPr>
              <w:t>534,987</w:t>
            </w:r>
          </w:p>
        </w:tc>
      </w:tr>
      <w:tr w:rsidR="00A24CED" w:rsidRPr="00097C29" w14:paraId="0B6526A7" w14:textId="77777777" w:rsidTr="00097C29">
        <w:trPr>
          <w:trHeight w:val="292"/>
        </w:trPr>
        <w:tc>
          <w:tcPr>
            <w:tcW w:w="4298" w:type="dxa"/>
            <w:tcBorders>
              <w:top w:val="nil"/>
              <w:left w:val="single" w:sz="4" w:space="0" w:color="auto"/>
              <w:bottom w:val="single" w:sz="4" w:space="0" w:color="auto"/>
              <w:right w:val="single" w:sz="4" w:space="0" w:color="auto"/>
            </w:tcBorders>
            <w:shd w:val="clear" w:color="000000" w:fill="DDC9A3"/>
            <w:vAlign w:val="center"/>
            <w:hideMark/>
          </w:tcPr>
          <w:p w14:paraId="79C431A4" w14:textId="77777777" w:rsidR="00A24CED" w:rsidRPr="00097C29" w:rsidRDefault="00A24CED" w:rsidP="00A24CED">
            <w:pPr>
              <w:spacing w:after="0" w:line="240" w:lineRule="auto"/>
              <w:jc w:val="center"/>
              <w:rPr>
                <w:rFonts w:eastAsia="Times New Roman" w:cs="Calibri"/>
                <w:b/>
                <w:bCs/>
                <w:color w:val="000000"/>
                <w:sz w:val="16"/>
                <w:szCs w:val="14"/>
                <w:lang w:eastAsia="es-MX"/>
              </w:rPr>
            </w:pPr>
            <w:r w:rsidRPr="00097C29">
              <w:rPr>
                <w:rFonts w:eastAsia="Times New Roman" w:cs="Calibri"/>
                <w:b/>
                <w:bCs/>
                <w:color w:val="000000"/>
                <w:sz w:val="16"/>
                <w:szCs w:val="14"/>
                <w:lang w:eastAsia="es-MX"/>
              </w:rPr>
              <w:t>TOTAL</w:t>
            </w:r>
          </w:p>
        </w:tc>
        <w:tc>
          <w:tcPr>
            <w:tcW w:w="2551" w:type="dxa"/>
            <w:tcBorders>
              <w:top w:val="nil"/>
              <w:left w:val="nil"/>
              <w:bottom w:val="single" w:sz="4" w:space="0" w:color="auto"/>
              <w:right w:val="single" w:sz="4" w:space="0" w:color="auto"/>
            </w:tcBorders>
            <w:shd w:val="clear" w:color="000000" w:fill="DDC9A3"/>
            <w:vAlign w:val="center"/>
            <w:hideMark/>
          </w:tcPr>
          <w:p w14:paraId="76B1505E" w14:textId="77777777" w:rsidR="00A24CED" w:rsidRPr="00097C29" w:rsidRDefault="00A24CED" w:rsidP="00A24CED">
            <w:pPr>
              <w:spacing w:after="0" w:line="240" w:lineRule="auto"/>
              <w:jc w:val="right"/>
              <w:rPr>
                <w:rFonts w:eastAsia="Times New Roman" w:cs="Calibri"/>
                <w:b/>
                <w:bCs/>
                <w:color w:val="000000"/>
                <w:sz w:val="16"/>
                <w:szCs w:val="14"/>
                <w:lang w:eastAsia="es-MX"/>
              </w:rPr>
            </w:pPr>
            <w:r w:rsidRPr="00097C29">
              <w:rPr>
                <w:rFonts w:eastAsia="Times New Roman" w:cs="Calibri"/>
                <w:b/>
                <w:bCs/>
                <w:color w:val="000000"/>
                <w:sz w:val="16"/>
                <w:szCs w:val="14"/>
                <w:lang w:eastAsia="es-MX"/>
              </w:rPr>
              <w:t>17,891,131,780</w:t>
            </w:r>
          </w:p>
        </w:tc>
      </w:tr>
    </w:tbl>
    <w:p w14:paraId="6D52F27C" w14:textId="77777777" w:rsidR="0077348F" w:rsidRDefault="0077348F" w:rsidP="0077348F">
      <w:pPr>
        <w:spacing w:after="0"/>
        <w:rPr>
          <w:rFonts w:asciiTheme="minorHAnsi" w:hAnsiTheme="minorHAnsi" w:cstheme="minorHAnsi"/>
          <w:b/>
          <w:sz w:val="20"/>
          <w:lang w:val="es-ES" w:eastAsia="es-ES"/>
        </w:rPr>
      </w:pPr>
    </w:p>
    <w:p w14:paraId="73DCDE53" w14:textId="5111CF00" w:rsidR="00843B81" w:rsidRDefault="008708D2" w:rsidP="0077348F">
      <w:pPr>
        <w:spacing w:after="0"/>
        <w:rPr>
          <w:rFonts w:asciiTheme="minorHAnsi" w:hAnsiTheme="minorHAnsi" w:cstheme="minorHAnsi"/>
          <w:sz w:val="14"/>
          <w:szCs w:val="14"/>
        </w:rPr>
      </w:pPr>
      <w:r w:rsidRPr="005F45A3">
        <w:rPr>
          <w:rFonts w:asciiTheme="minorHAnsi" w:hAnsiTheme="minorHAnsi" w:cstheme="minorHAnsi"/>
          <w:b/>
          <w:sz w:val="20"/>
          <w:lang w:val="es-ES" w:eastAsia="es-ES"/>
        </w:rPr>
        <w:t xml:space="preserve">           </w:t>
      </w:r>
      <w:r w:rsidR="001A00F8" w:rsidRPr="005F45A3">
        <w:rPr>
          <w:rFonts w:asciiTheme="minorHAnsi" w:hAnsiTheme="minorHAnsi" w:cstheme="minorHAnsi"/>
          <w:sz w:val="14"/>
          <w:szCs w:val="14"/>
        </w:rPr>
        <w:t>*** Los porcentajes de depreciación son aplicados directamente por cada uno de los Fideicomisos incorporándose posteriormente a los registros del Gobierno del Estado.</w:t>
      </w:r>
    </w:p>
    <w:p w14:paraId="333F215F" w14:textId="77777777" w:rsidR="0077348F" w:rsidRPr="005F45A3" w:rsidRDefault="0077348F" w:rsidP="0077348F">
      <w:pPr>
        <w:spacing w:after="0"/>
        <w:rPr>
          <w:rFonts w:asciiTheme="minorHAnsi" w:hAnsiTheme="minorHAnsi" w:cstheme="minorHAnsi"/>
          <w:sz w:val="14"/>
          <w:szCs w:val="14"/>
        </w:rPr>
      </w:pPr>
    </w:p>
    <w:p w14:paraId="678C20D3" w14:textId="2311A1BC" w:rsidR="00170F2A" w:rsidRDefault="00B261AA" w:rsidP="008F37A0">
      <w:pPr>
        <w:spacing w:after="0"/>
        <w:jc w:val="both"/>
        <w:rPr>
          <w:rFonts w:asciiTheme="minorHAnsi" w:hAnsiTheme="minorHAnsi" w:cstheme="minorHAnsi"/>
          <w:sz w:val="18"/>
          <w:szCs w:val="18"/>
        </w:rPr>
      </w:pPr>
      <w:r w:rsidRPr="005F45A3">
        <w:rPr>
          <w:rFonts w:asciiTheme="minorHAnsi" w:hAnsiTheme="minorHAnsi" w:cstheme="minorHAnsi"/>
          <w:sz w:val="18"/>
          <w:szCs w:val="18"/>
        </w:rPr>
        <w:t xml:space="preserve">Al inicio del año </w:t>
      </w:r>
      <w:r w:rsidR="00BD16CD" w:rsidRPr="005F45A3">
        <w:rPr>
          <w:rFonts w:asciiTheme="minorHAnsi" w:hAnsiTheme="minorHAnsi" w:cstheme="minorHAnsi"/>
          <w:sz w:val="18"/>
          <w:szCs w:val="18"/>
        </w:rPr>
        <w:t xml:space="preserve">la Dirección de Patrimonio </w:t>
      </w:r>
      <w:r w:rsidR="0081677E" w:rsidRPr="005F45A3">
        <w:rPr>
          <w:rFonts w:asciiTheme="minorHAnsi" w:hAnsiTheme="minorHAnsi" w:cstheme="minorHAnsi"/>
          <w:sz w:val="18"/>
          <w:szCs w:val="18"/>
        </w:rPr>
        <w:t>realizó</w:t>
      </w:r>
      <w:r w:rsidRPr="005F45A3">
        <w:rPr>
          <w:rFonts w:asciiTheme="minorHAnsi" w:hAnsiTheme="minorHAnsi" w:cstheme="minorHAnsi"/>
          <w:sz w:val="18"/>
          <w:szCs w:val="18"/>
        </w:rPr>
        <w:t xml:space="preserve"> e</w:t>
      </w:r>
      <w:r w:rsidR="0081677E" w:rsidRPr="005F45A3">
        <w:rPr>
          <w:rFonts w:asciiTheme="minorHAnsi" w:hAnsiTheme="minorHAnsi" w:cstheme="minorHAnsi"/>
          <w:sz w:val="18"/>
          <w:szCs w:val="18"/>
        </w:rPr>
        <w:t xml:space="preserve">l traspaso de </w:t>
      </w:r>
      <w:r w:rsidR="00272FF2">
        <w:rPr>
          <w:rFonts w:asciiTheme="minorHAnsi" w:hAnsiTheme="minorHAnsi" w:cstheme="minorHAnsi"/>
          <w:sz w:val="18"/>
          <w:szCs w:val="18"/>
        </w:rPr>
        <w:t>18</w:t>
      </w:r>
      <w:r w:rsidR="0081677E" w:rsidRPr="005F45A3">
        <w:rPr>
          <w:rFonts w:asciiTheme="minorHAnsi" w:hAnsiTheme="minorHAnsi" w:cstheme="minorHAnsi"/>
          <w:sz w:val="18"/>
          <w:szCs w:val="18"/>
        </w:rPr>
        <w:t xml:space="preserve"> terrenos de la Ex HACIENDA EL</w:t>
      </w:r>
      <w:r w:rsidRPr="005F45A3">
        <w:rPr>
          <w:rFonts w:asciiTheme="minorHAnsi" w:hAnsiTheme="minorHAnsi" w:cstheme="minorHAnsi"/>
          <w:sz w:val="18"/>
          <w:szCs w:val="18"/>
        </w:rPr>
        <w:t xml:space="preserve"> </w:t>
      </w:r>
      <w:r w:rsidR="00A06D3D" w:rsidRPr="005F45A3">
        <w:rPr>
          <w:rFonts w:asciiTheme="minorHAnsi" w:hAnsiTheme="minorHAnsi" w:cstheme="minorHAnsi"/>
          <w:sz w:val="18"/>
          <w:szCs w:val="18"/>
        </w:rPr>
        <w:t>BARCODON ubicados</w:t>
      </w:r>
      <w:r w:rsidR="00366396" w:rsidRPr="005F45A3">
        <w:rPr>
          <w:rFonts w:asciiTheme="minorHAnsi" w:hAnsiTheme="minorHAnsi" w:cstheme="minorHAnsi"/>
          <w:sz w:val="18"/>
          <w:szCs w:val="18"/>
        </w:rPr>
        <w:t xml:space="preserve"> en el Municipio de Altamira, </w:t>
      </w:r>
      <w:r w:rsidR="0081677E" w:rsidRPr="005F45A3">
        <w:rPr>
          <w:rFonts w:asciiTheme="minorHAnsi" w:hAnsiTheme="minorHAnsi" w:cstheme="minorHAnsi"/>
          <w:sz w:val="18"/>
          <w:szCs w:val="18"/>
        </w:rPr>
        <w:t xml:space="preserve">a las </w:t>
      </w:r>
      <w:r w:rsidR="00366396" w:rsidRPr="005F45A3">
        <w:rPr>
          <w:rFonts w:asciiTheme="minorHAnsi" w:hAnsiTheme="minorHAnsi" w:cstheme="minorHAnsi"/>
          <w:sz w:val="18"/>
          <w:szCs w:val="18"/>
        </w:rPr>
        <w:t>cuentas del Fideicomiso Maestro Irrevocable de A</w:t>
      </w:r>
      <w:r w:rsidR="00A06D3D" w:rsidRPr="005F45A3">
        <w:rPr>
          <w:rFonts w:asciiTheme="minorHAnsi" w:hAnsiTheme="minorHAnsi" w:cstheme="minorHAnsi"/>
          <w:sz w:val="18"/>
          <w:szCs w:val="18"/>
        </w:rPr>
        <w:t xml:space="preserve">dministración y Fuente de Pago con un valor de </w:t>
      </w:r>
      <w:r w:rsidR="0077348F">
        <w:rPr>
          <w:rFonts w:asciiTheme="minorHAnsi" w:hAnsiTheme="minorHAnsi" w:cstheme="minorHAnsi"/>
          <w:sz w:val="18"/>
          <w:szCs w:val="18"/>
        </w:rPr>
        <w:t xml:space="preserve">      </w:t>
      </w:r>
      <w:r w:rsidR="00A06D3D" w:rsidRPr="005F45A3">
        <w:rPr>
          <w:rFonts w:asciiTheme="minorHAnsi" w:hAnsiTheme="minorHAnsi" w:cstheme="minorHAnsi"/>
          <w:sz w:val="18"/>
          <w:szCs w:val="18"/>
        </w:rPr>
        <w:t>$</w:t>
      </w:r>
      <w:r w:rsidR="00BD16CD" w:rsidRPr="005F45A3">
        <w:rPr>
          <w:rFonts w:asciiTheme="minorHAnsi" w:hAnsiTheme="minorHAnsi" w:cstheme="minorHAnsi"/>
          <w:sz w:val="18"/>
          <w:szCs w:val="18"/>
        </w:rPr>
        <w:t>66</w:t>
      </w:r>
      <w:proofErr w:type="gramStart"/>
      <w:r w:rsidR="004F6B1B" w:rsidRPr="005F45A3">
        <w:rPr>
          <w:rFonts w:asciiTheme="minorHAnsi" w:hAnsiTheme="minorHAnsi" w:cstheme="minorHAnsi"/>
          <w:sz w:val="18"/>
          <w:szCs w:val="18"/>
        </w:rPr>
        <w:t>,175,000</w:t>
      </w:r>
      <w:proofErr w:type="gramEnd"/>
      <w:r w:rsidR="00BD16CD" w:rsidRPr="005F45A3">
        <w:rPr>
          <w:rFonts w:asciiTheme="minorHAnsi" w:hAnsiTheme="minorHAnsi" w:cstheme="minorHAnsi"/>
          <w:sz w:val="18"/>
          <w:szCs w:val="18"/>
        </w:rPr>
        <w:t>, la baja de la Estación Naval ubicada en la Presa Vicente Guerrero del Municipio de Padilla por traspaso a Dependencias Federales por la Cant</w:t>
      </w:r>
      <w:r w:rsidR="00170F2A">
        <w:rPr>
          <w:rFonts w:asciiTheme="minorHAnsi" w:hAnsiTheme="minorHAnsi" w:cstheme="minorHAnsi"/>
          <w:sz w:val="18"/>
          <w:szCs w:val="18"/>
        </w:rPr>
        <w:t>idad de $90</w:t>
      </w:r>
      <w:r w:rsidR="004F6B1B">
        <w:rPr>
          <w:rFonts w:asciiTheme="minorHAnsi" w:hAnsiTheme="minorHAnsi" w:cstheme="minorHAnsi"/>
          <w:sz w:val="18"/>
          <w:szCs w:val="18"/>
        </w:rPr>
        <w:t>, 001,997</w:t>
      </w:r>
      <w:r w:rsidR="00170F2A">
        <w:rPr>
          <w:rFonts w:asciiTheme="minorHAnsi" w:hAnsiTheme="minorHAnsi" w:cstheme="minorHAnsi"/>
          <w:sz w:val="18"/>
          <w:szCs w:val="18"/>
        </w:rPr>
        <w:t>.</w:t>
      </w:r>
    </w:p>
    <w:p w14:paraId="3147C622" w14:textId="76766829" w:rsidR="00B261AA" w:rsidRPr="000B5805" w:rsidRDefault="00170F2A" w:rsidP="008F37A0">
      <w:pPr>
        <w:spacing w:after="0"/>
        <w:jc w:val="both"/>
        <w:rPr>
          <w:rFonts w:asciiTheme="minorHAnsi" w:hAnsiTheme="minorHAnsi" w:cstheme="minorHAnsi"/>
          <w:sz w:val="18"/>
          <w:szCs w:val="18"/>
        </w:rPr>
      </w:pPr>
      <w:r>
        <w:rPr>
          <w:rFonts w:asciiTheme="minorHAnsi" w:hAnsiTheme="minorHAnsi" w:cstheme="minorHAnsi"/>
          <w:sz w:val="18"/>
          <w:szCs w:val="18"/>
        </w:rPr>
        <w:t xml:space="preserve">En total se registraron altas </w:t>
      </w:r>
      <w:r w:rsidR="004F6B1B">
        <w:rPr>
          <w:rFonts w:asciiTheme="minorHAnsi" w:hAnsiTheme="minorHAnsi" w:cstheme="minorHAnsi"/>
          <w:sz w:val="18"/>
          <w:szCs w:val="18"/>
        </w:rPr>
        <w:t>de 620</w:t>
      </w:r>
      <w:r>
        <w:rPr>
          <w:rFonts w:asciiTheme="minorHAnsi" w:hAnsiTheme="minorHAnsi" w:cstheme="minorHAnsi"/>
          <w:sz w:val="18"/>
          <w:szCs w:val="18"/>
        </w:rPr>
        <w:t xml:space="preserve"> terrenos por la cantidad de $1</w:t>
      </w:r>
      <w:proofErr w:type="gramStart"/>
      <w:r>
        <w:rPr>
          <w:rFonts w:asciiTheme="minorHAnsi" w:hAnsiTheme="minorHAnsi" w:cstheme="minorHAnsi"/>
          <w:sz w:val="18"/>
          <w:szCs w:val="18"/>
        </w:rPr>
        <w:t>,312,152,588</w:t>
      </w:r>
      <w:proofErr w:type="gramEnd"/>
      <w:r>
        <w:rPr>
          <w:rFonts w:asciiTheme="minorHAnsi" w:hAnsiTheme="minorHAnsi" w:cstheme="minorHAnsi"/>
          <w:sz w:val="18"/>
          <w:szCs w:val="18"/>
        </w:rPr>
        <w:t xml:space="preserve"> y 255 bienes inmuebles por la cantidad de $1,094,532,208.</w:t>
      </w:r>
      <w:r w:rsidRPr="000B5805">
        <w:rPr>
          <w:rFonts w:asciiTheme="minorHAnsi" w:hAnsiTheme="minorHAnsi" w:cstheme="minorHAnsi"/>
          <w:sz w:val="18"/>
          <w:szCs w:val="18"/>
        </w:rPr>
        <w:t xml:space="preserve"> </w:t>
      </w:r>
    </w:p>
    <w:p w14:paraId="27D328E7" w14:textId="77777777" w:rsidR="008F37A0" w:rsidRPr="005F45A3" w:rsidRDefault="008F37A0" w:rsidP="008F37A0">
      <w:pPr>
        <w:spacing w:after="0"/>
        <w:jc w:val="both"/>
        <w:rPr>
          <w:rFonts w:asciiTheme="minorHAnsi" w:hAnsiTheme="minorHAnsi" w:cstheme="minorHAnsi"/>
          <w:sz w:val="18"/>
          <w:szCs w:val="18"/>
        </w:rPr>
      </w:pPr>
      <w:r w:rsidRPr="005F45A3">
        <w:rPr>
          <w:rFonts w:asciiTheme="minorHAnsi" w:hAnsiTheme="minorHAnsi" w:cstheme="minorHAnsi"/>
          <w:sz w:val="18"/>
          <w:szCs w:val="18"/>
        </w:rPr>
        <w:t>Dentro del renglón de Otros Bienes inmuebles se identifica la cantidad de $534,987, importe correspondiente al Fideicomiso del Desarrollo Urbano Lucio Blanco.</w:t>
      </w:r>
    </w:p>
    <w:p w14:paraId="7B4A020C" w14:textId="77777777" w:rsidR="00624C7D" w:rsidRPr="000B5805" w:rsidRDefault="00624C7D" w:rsidP="003107D9">
      <w:pPr>
        <w:spacing w:after="0"/>
        <w:jc w:val="both"/>
        <w:rPr>
          <w:rFonts w:asciiTheme="minorHAnsi" w:hAnsiTheme="minorHAnsi" w:cstheme="minorHAnsi"/>
          <w:sz w:val="18"/>
          <w:szCs w:val="18"/>
        </w:rPr>
      </w:pPr>
    </w:p>
    <w:p w14:paraId="613D75C7" w14:textId="537F1A07" w:rsidR="001A00F8" w:rsidRPr="000B5805" w:rsidRDefault="00A06D3D" w:rsidP="0099643A">
      <w:pPr>
        <w:pStyle w:val="ROMANOS"/>
        <w:tabs>
          <w:tab w:val="clear" w:pos="720"/>
          <w:tab w:val="left" w:pos="426"/>
        </w:tabs>
        <w:spacing w:after="0" w:line="276" w:lineRule="auto"/>
        <w:ind w:left="1" w:firstLine="0"/>
        <w:rPr>
          <w:rFonts w:asciiTheme="minorHAnsi" w:eastAsia="Calibri" w:hAnsiTheme="minorHAnsi" w:cstheme="minorHAnsi"/>
          <w:lang w:val="es-MX" w:eastAsia="en-US"/>
        </w:rPr>
      </w:pPr>
      <w:r w:rsidRPr="000B5805">
        <w:rPr>
          <w:rFonts w:asciiTheme="minorHAnsi" w:eastAsia="Calibri" w:hAnsiTheme="minorHAnsi" w:cstheme="minorHAnsi"/>
          <w:lang w:val="es-MX" w:eastAsia="en-US"/>
        </w:rPr>
        <w:t>S</w:t>
      </w:r>
      <w:r w:rsidR="000A4F7B" w:rsidRPr="000B5805">
        <w:rPr>
          <w:rFonts w:asciiTheme="minorHAnsi" w:eastAsia="Calibri" w:hAnsiTheme="minorHAnsi" w:cstheme="minorHAnsi"/>
          <w:lang w:val="es-MX" w:eastAsia="en-US"/>
        </w:rPr>
        <w:t xml:space="preserve">e </w:t>
      </w:r>
      <w:r w:rsidRPr="000B5805">
        <w:rPr>
          <w:rFonts w:asciiTheme="minorHAnsi" w:eastAsia="Calibri" w:hAnsiTheme="minorHAnsi" w:cstheme="minorHAnsi"/>
          <w:lang w:val="es-MX" w:eastAsia="en-US"/>
        </w:rPr>
        <w:t xml:space="preserve">siguió </w:t>
      </w:r>
      <w:r w:rsidR="000A4F7B" w:rsidRPr="000B5805">
        <w:rPr>
          <w:rFonts w:asciiTheme="minorHAnsi" w:eastAsia="Calibri" w:hAnsiTheme="minorHAnsi" w:cstheme="minorHAnsi"/>
          <w:lang w:val="es-MX" w:eastAsia="en-US"/>
        </w:rPr>
        <w:t>realiz</w:t>
      </w:r>
      <w:r w:rsidRPr="000B5805">
        <w:rPr>
          <w:rFonts w:asciiTheme="minorHAnsi" w:eastAsia="Calibri" w:hAnsiTheme="minorHAnsi" w:cstheme="minorHAnsi"/>
          <w:lang w:val="es-MX" w:eastAsia="en-US"/>
        </w:rPr>
        <w:t>ando</w:t>
      </w:r>
      <w:r w:rsidR="000A4F7B" w:rsidRPr="000B5805">
        <w:rPr>
          <w:rFonts w:asciiTheme="minorHAnsi" w:eastAsia="Calibri" w:hAnsiTheme="minorHAnsi" w:cstheme="minorHAnsi"/>
          <w:lang w:val="es-MX" w:eastAsia="en-US"/>
        </w:rPr>
        <w:t xml:space="preserve"> conjuntamente con la Secretaria de Obras Públicas el proceso completo en la cuenta de OBRA EN PROCESO mediante la </w:t>
      </w:r>
      <w:r w:rsidR="00207C9C" w:rsidRPr="000B5805">
        <w:rPr>
          <w:rFonts w:asciiTheme="minorHAnsi" w:eastAsia="Calibri" w:hAnsiTheme="minorHAnsi" w:cstheme="minorHAnsi"/>
          <w:lang w:val="es-MX" w:eastAsia="en-US"/>
        </w:rPr>
        <w:t xml:space="preserve">revisión </w:t>
      </w:r>
      <w:r w:rsidR="000A4F7B" w:rsidRPr="000B5805">
        <w:rPr>
          <w:rFonts w:asciiTheme="minorHAnsi" w:eastAsia="Calibri" w:hAnsiTheme="minorHAnsi" w:cstheme="minorHAnsi"/>
          <w:lang w:val="es-MX" w:eastAsia="en-US"/>
        </w:rPr>
        <w:t>de cada una de las obras</w:t>
      </w:r>
      <w:r w:rsidR="00B23BA0" w:rsidRPr="000B5805">
        <w:rPr>
          <w:rFonts w:asciiTheme="minorHAnsi" w:eastAsia="Calibri" w:hAnsiTheme="minorHAnsi" w:cstheme="minorHAnsi"/>
          <w:lang w:val="es-MX" w:eastAsia="en-US"/>
        </w:rPr>
        <w:t xml:space="preserve"> se</w:t>
      </w:r>
      <w:r w:rsidR="0067173C" w:rsidRPr="000B5805">
        <w:rPr>
          <w:rFonts w:asciiTheme="minorHAnsi" w:eastAsia="Calibri" w:hAnsiTheme="minorHAnsi" w:cstheme="minorHAnsi"/>
          <w:lang w:val="es-MX" w:eastAsia="en-US"/>
        </w:rPr>
        <w:t xml:space="preserve"> </w:t>
      </w:r>
      <w:r w:rsidR="00207C9C" w:rsidRPr="000B5805">
        <w:rPr>
          <w:rFonts w:asciiTheme="minorHAnsi" w:eastAsia="Calibri" w:hAnsiTheme="minorHAnsi" w:cstheme="minorHAnsi"/>
          <w:lang w:val="es-MX" w:eastAsia="en-US"/>
        </w:rPr>
        <w:t>identificó</w:t>
      </w:r>
      <w:r w:rsidR="0067173C" w:rsidRPr="000B5805">
        <w:rPr>
          <w:rFonts w:asciiTheme="minorHAnsi" w:eastAsia="Calibri" w:hAnsiTheme="minorHAnsi" w:cstheme="minorHAnsi"/>
          <w:lang w:val="es-MX" w:eastAsia="en-US"/>
        </w:rPr>
        <w:t xml:space="preserve"> </w:t>
      </w:r>
      <w:r w:rsidR="00207C9C" w:rsidRPr="000B5805">
        <w:rPr>
          <w:rFonts w:asciiTheme="minorHAnsi" w:eastAsia="Calibri" w:hAnsiTheme="minorHAnsi" w:cstheme="minorHAnsi"/>
          <w:lang w:val="es-MX" w:eastAsia="en-US"/>
        </w:rPr>
        <w:t>Obra- Gasto por su</w:t>
      </w:r>
      <w:r w:rsidR="000A4F7B" w:rsidRPr="000B5805">
        <w:rPr>
          <w:rFonts w:asciiTheme="minorHAnsi" w:eastAsia="Calibri" w:hAnsiTheme="minorHAnsi" w:cstheme="minorHAnsi"/>
          <w:lang w:val="es-MX" w:eastAsia="en-US"/>
        </w:rPr>
        <w:t xml:space="preserve"> naturaleza</w:t>
      </w:r>
      <w:r w:rsidR="00BD16CD" w:rsidRPr="000B5805">
        <w:rPr>
          <w:rFonts w:asciiTheme="minorHAnsi" w:eastAsia="Calibri" w:hAnsiTheme="minorHAnsi" w:cstheme="minorHAnsi"/>
          <w:lang w:val="es-MX" w:eastAsia="en-US"/>
        </w:rPr>
        <w:t>, co</w:t>
      </w:r>
      <w:r w:rsidR="00207C9C" w:rsidRPr="000B5805">
        <w:rPr>
          <w:rFonts w:asciiTheme="minorHAnsi" w:eastAsia="Calibri" w:hAnsiTheme="minorHAnsi" w:cstheme="minorHAnsi"/>
          <w:lang w:val="es-MX" w:eastAsia="en-US"/>
        </w:rPr>
        <w:t>n</w:t>
      </w:r>
      <w:r w:rsidR="00BD16CD" w:rsidRPr="000B5805">
        <w:rPr>
          <w:rFonts w:asciiTheme="minorHAnsi" w:eastAsia="Calibri" w:hAnsiTheme="minorHAnsi" w:cstheme="minorHAnsi"/>
          <w:lang w:val="es-MX" w:eastAsia="en-US"/>
        </w:rPr>
        <w:t xml:space="preserve"> un </w:t>
      </w:r>
      <w:r w:rsidR="000A4F7B" w:rsidRPr="000B5805">
        <w:rPr>
          <w:rFonts w:asciiTheme="minorHAnsi" w:eastAsia="Calibri" w:hAnsiTheme="minorHAnsi" w:cstheme="minorHAnsi"/>
          <w:lang w:val="es-MX" w:eastAsia="en-US"/>
        </w:rPr>
        <w:t xml:space="preserve"> importe de </w:t>
      </w:r>
      <w:r w:rsidRPr="000B5805">
        <w:rPr>
          <w:rFonts w:asciiTheme="minorHAnsi" w:eastAsia="Calibri" w:hAnsiTheme="minorHAnsi" w:cstheme="minorHAnsi"/>
          <w:lang w:val="es-MX" w:eastAsia="en-US"/>
        </w:rPr>
        <w:t>$</w:t>
      </w:r>
      <w:r w:rsidR="00207C9C" w:rsidRPr="000B5805">
        <w:rPr>
          <w:rFonts w:asciiTheme="minorHAnsi" w:eastAsia="Calibri" w:hAnsiTheme="minorHAnsi" w:cstheme="minorHAnsi"/>
          <w:lang w:val="es-MX" w:eastAsia="en-US"/>
        </w:rPr>
        <w:t xml:space="preserve">585,754,526, cantidad que fue reclasificada </w:t>
      </w:r>
      <w:r w:rsidR="000A4F7B" w:rsidRPr="000B5805">
        <w:rPr>
          <w:rFonts w:asciiTheme="minorHAnsi" w:eastAsia="Calibri" w:hAnsiTheme="minorHAnsi" w:cstheme="minorHAnsi"/>
          <w:lang w:val="es-MX" w:eastAsia="en-US"/>
        </w:rPr>
        <w:t>a la cuenta de Res</w:t>
      </w:r>
      <w:r w:rsidR="0067173C" w:rsidRPr="000B5805">
        <w:rPr>
          <w:rFonts w:asciiTheme="minorHAnsi" w:eastAsia="Calibri" w:hAnsiTheme="minorHAnsi" w:cstheme="minorHAnsi"/>
          <w:lang w:val="es-MX" w:eastAsia="en-US"/>
        </w:rPr>
        <w:t xml:space="preserve">ultado de </w:t>
      </w:r>
      <w:r w:rsidR="001A00F8" w:rsidRPr="000B5805">
        <w:rPr>
          <w:rFonts w:asciiTheme="minorHAnsi" w:eastAsia="Calibri" w:hAnsiTheme="minorHAnsi" w:cstheme="minorHAnsi"/>
          <w:lang w:val="es-MX" w:eastAsia="en-US"/>
        </w:rPr>
        <w:t>Ejercicios Anteriores, continuando así el proceso de depuración de la Obra en Proceso la cual trae un saldo acumulado desde el mes de Agosto de 2012, a continuación, se detalla la situación de acuerdo al número de obras pendientes de trabajar en el sistema y dependencia responsable de ello.</w:t>
      </w:r>
    </w:p>
    <w:p w14:paraId="0DDC3108" w14:textId="77777777" w:rsidR="009210C1" w:rsidRPr="000B5805" w:rsidRDefault="009210C1" w:rsidP="001A00F8">
      <w:pPr>
        <w:spacing w:after="0"/>
        <w:jc w:val="both"/>
        <w:rPr>
          <w:rFonts w:asciiTheme="minorHAnsi" w:hAnsiTheme="minorHAnsi" w:cstheme="minorHAnsi"/>
          <w:sz w:val="18"/>
          <w:szCs w:val="18"/>
        </w:rPr>
      </w:pPr>
    </w:p>
    <w:p w14:paraId="65483E80" w14:textId="1F9291A3" w:rsidR="000C5510" w:rsidRDefault="000C5510" w:rsidP="001A00F8">
      <w:pPr>
        <w:spacing w:after="0"/>
        <w:jc w:val="both"/>
        <w:rPr>
          <w:rFonts w:asciiTheme="minorHAnsi" w:hAnsiTheme="minorHAnsi" w:cstheme="minorHAnsi"/>
          <w:sz w:val="14"/>
          <w:szCs w:val="20"/>
        </w:rPr>
      </w:pPr>
    </w:p>
    <w:p w14:paraId="452994A5" w14:textId="30CFA753" w:rsidR="00BE6B88" w:rsidRDefault="00BE6B88" w:rsidP="00040F0F">
      <w:pPr>
        <w:rPr>
          <w:rFonts w:asciiTheme="minorHAnsi" w:eastAsia="Times New Roman" w:hAnsiTheme="minorHAnsi" w:cstheme="minorHAnsi"/>
          <w:b/>
          <w:sz w:val="20"/>
          <w:szCs w:val="18"/>
          <w:lang w:eastAsia="es-ES"/>
        </w:rPr>
      </w:pPr>
      <w:r w:rsidRPr="005F45A3">
        <w:rPr>
          <w:rFonts w:asciiTheme="minorHAnsi" w:eastAsia="Times New Roman" w:hAnsiTheme="minorHAnsi" w:cstheme="minorHAnsi"/>
          <w:b/>
          <w:sz w:val="20"/>
          <w:szCs w:val="18"/>
          <w:lang w:eastAsia="es-ES"/>
        </w:rPr>
        <w:t>Construcciones en proceso en Bienes de Dominio Público.</w:t>
      </w:r>
    </w:p>
    <w:tbl>
      <w:tblPr>
        <w:tblW w:w="8990" w:type="dxa"/>
        <w:tblInd w:w="-5" w:type="dxa"/>
        <w:tblCellMar>
          <w:left w:w="70" w:type="dxa"/>
          <w:right w:w="70" w:type="dxa"/>
        </w:tblCellMar>
        <w:tblLook w:val="04A0" w:firstRow="1" w:lastRow="0" w:firstColumn="1" w:lastColumn="0" w:noHBand="0" w:noVBand="1"/>
      </w:tblPr>
      <w:tblGrid>
        <w:gridCol w:w="1400"/>
        <w:gridCol w:w="1460"/>
        <w:gridCol w:w="2810"/>
        <w:gridCol w:w="1780"/>
        <w:gridCol w:w="1540"/>
      </w:tblGrid>
      <w:tr w:rsidR="00097C29" w:rsidRPr="00097C29" w14:paraId="068EC7E9" w14:textId="77777777" w:rsidTr="00250D2A">
        <w:trPr>
          <w:trHeight w:val="465"/>
        </w:trPr>
        <w:tc>
          <w:tcPr>
            <w:tcW w:w="14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600B0FC"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 </w:t>
            </w:r>
          </w:p>
        </w:tc>
        <w:tc>
          <w:tcPr>
            <w:tcW w:w="1460" w:type="dxa"/>
            <w:tcBorders>
              <w:top w:val="single" w:sz="4" w:space="0" w:color="auto"/>
              <w:left w:val="nil"/>
              <w:bottom w:val="single" w:sz="4" w:space="0" w:color="auto"/>
              <w:right w:val="single" w:sz="4" w:space="0" w:color="auto"/>
            </w:tcBorders>
            <w:shd w:val="clear" w:color="000000" w:fill="AB0033"/>
            <w:vAlign w:val="center"/>
            <w:hideMark/>
          </w:tcPr>
          <w:p w14:paraId="13929CC0"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No. DE OBRAS</w:t>
            </w:r>
          </w:p>
        </w:tc>
        <w:tc>
          <w:tcPr>
            <w:tcW w:w="2810" w:type="dxa"/>
            <w:tcBorders>
              <w:top w:val="single" w:sz="4" w:space="0" w:color="auto"/>
              <w:left w:val="nil"/>
              <w:bottom w:val="single" w:sz="4" w:space="0" w:color="auto"/>
              <w:right w:val="single" w:sz="4" w:space="0" w:color="auto"/>
            </w:tcBorders>
            <w:shd w:val="clear" w:color="000000" w:fill="AB0033"/>
            <w:vAlign w:val="center"/>
            <w:hideMark/>
          </w:tcPr>
          <w:p w14:paraId="7A94261F"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DEPENDENCIAS</w:t>
            </w:r>
          </w:p>
        </w:tc>
        <w:tc>
          <w:tcPr>
            <w:tcW w:w="1780" w:type="dxa"/>
            <w:tcBorders>
              <w:top w:val="single" w:sz="4" w:space="0" w:color="auto"/>
              <w:left w:val="nil"/>
              <w:bottom w:val="single" w:sz="4" w:space="0" w:color="auto"/>
              <w:right w:val="single" w:sz="4" w:space="0" w:color="auto"/>
            </w:tcBorders>
            <w:shd w:val="clear" w:color="000000" w:fill="AB0033"/>
            <w:vAlign w:val="center"/>
            <w:hideMark/>
          </w:tcPr>
          <w:p w14:paraId="20877231"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 xml:space="preserve">IMPORTE </w:t>
            </w:r>
          </w:p>
        </w:tc>
        <w:tc>
          <w:tcPr>
            <w:tcW w:w="1540" w:type="dxa"/>
            <w:tcBorders>
              <w:top w:val="single" w:sz="4" w:space="0" w:color="auto"/>
              <w:left w:val="nil"/>
              <w:bottom w:val="single" w:sz="4" w:space="0" w:color="auto"/>
              <w:right w:val="single" w:sz="4" w:space="0" w:color="auto"/>
            </w:tcBorders>
            <w:shd w:val="clear" w:color="000000" w:fill="AB0033"/>
            <w:vAlign w:val="center"/>
            <w:hideMark/>
          </w:tcPr>
          <w:p w14:paraId="07349041"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TOTAL</w:t>
            </w:r>
          </w:p>
        </w:tc>
      </w:tr>
      <w:tr w:rsidR="00097C29" w:rsidRPr="00097C29" w14:paraId="31F9E18C" w14:textId="77777777" w:rsidTr="00250D2A">
        <w:trPr>
          <w:trHeight w:val="540"/>
        </w:trPr>
        <w:tc>
          <w:tcPr>
            <w:tcW w:w="1400" w:type="dxa"/>
            <w:tcBorders>
              <w:top w:val="nil"/>
              <w:left w:val="single" w:sz="4" w:space="0" w:color="auto"/>
              <w:bottom w:val="nil"/>
              <w:right w:val="single" w:sz="4" w:space="0" w:color="auto"/>
            </w:tcBorders>
            <w:shd w:val="clear" w:color="auto" w:fill="auto"/>
            <w:vAlign w:val="center"/>
            <w:hideMark/>
          </w:tcPr>
          <w:p w14:paraId="2E97F543" w14:textId="77777777" w:rsidR="00097C29" w:rsidRPr="00097C29" w:rsidRDefault="00097C29" w:rsidP="00097C29">
            <w:pPr>
              <w:spacing w:after="0" w:line="240" w:lineRule="auto"/>
              <w:jc w:val="center"/>
              <w:rPr>
                <w:rFonts w:eastAsia="Times New Roman" w:cs="Calibri"/>
                <w:color w:val="000000"/>
                <w:sz w:val="14"/>
                <w:szCs w:val="14"/>
                <w:lang w:eastAsia="es-MX"/>
              </w:rPr>
            </w:pPr>
            <w:r w:rsidRPr="00097C29">
              <w:rPr>
                <w:rFonts w:eastAsia="Times New Roman" w:cs="Calibri"/>
                <w:color w:val="000000"/>
                <w:sz w:val="14"/>
                <w:szCs w:val="14"/>
                <w:lang w:eastAsia="es-MX"/>
              </w:rPr>
              <w:t>1235</w:t>
            </w:r>
          </w:p>
        </w:tc>
        <w:tc>
          <w:tcPr>
            <w:tcW w:w="1460" w:type="dxa"/>
            <w:tcBorders>
              <w:top w:val="nil"/>
              <w:left w:val="nil"/>
              <w:bottom w:val="single" w:sz="4" w:space="0" w:color="auto"/>
              <w:right w:val="single" w:sz="4" w:space="0" w:color="auto"/>
            </w:tcBorders>
            <w:shd w:val="clear" w:color="auto" w:fill="auto"/>
            <w:vAlign w:val="center"/>
            <w:hideMark/>
          </w:tcPr>
          <w:p w14:paraId="16A8C6FC" w14:textId="77777777" w:rsidR="00097C29" w:rsidRPr="00097C29" w:rsidRDefault="00097C29" w:rsidP="00097C29">
            <w:pPr>
              <w:spacing w:after="0" w:line="240" w:lineRule="auto"/>
              <w:jc w:val="center"/>
              <w:rPr>
                <w:rFonts w:eastAsia="Times New Roman" w:cs="Calibri"/>
                <w:color w:val="000000"/>
                <w:sz w:val="14"/>
                <w:szCs w:val="14"/>
                <w:lang w:eastAsia="es-MX"/>
              </w:rPr>
            </w:pPr>
            <w:r w:rsidRPr="00097C29">
              <w:rPr>
                <w:rFonts w:eastAsia="Times New Roman" w:cs="Calibri"/>
                <w:color w:val="000000"/>
                <w:sz w:val="14"/>
                <w:szCs w:val="14"/>
                <w:lang w:eastAsia="es-MX"/>
              </w:rPr>
              <w:t>607</w:t>
            </w:r>
          </w:p>
        </w:tc>
        <w:tc>
          <w:tcPr>
            <w:tcW w:w="2810" w:type="dxa"/>
            <w:tcBorders>
              <w:top w:val="nil"/>
              <w:left w:val="nil"/>
              <w:bottom w:val="single" w:sz="4" w:space="0" w:color="auto"/>
              <w:right w:val="single" w:sz="4" w:space="0" w:color="auto"/>
            </w:tcBorders>
            <w:shd w:val="clear" w:color="auto" w:fill="auto"/>
            <w:vAlign w:val="center"/>
            <w:hideMark/>
          </w:tcPr>
          <w:p w14:paraId="63E67B80" w14:textId="77777777" w:rsidR="00097C29" w:rsidRPr="00097C29" w:rsidRDefault="00097C29" w:rsidP="00097C29">
            <w:pPr>
              <w:spacing w:after="0" w:line="240" w:lineRule="auto"/>
              <w:jc w:val="center"/>
              <w:rPr>
                <w:rFonts w:eastAsia="Times New Roman" w:cs="Calibri"/>
                <w:color w:val="000000"/>
                <w:sz w:val="14"/>
                <w:szCs w:val="14"/>
                <w:lang w:eastAsia="es-MX"/>
              </w:rPr>
            </w:pPr>
            <w:r w:rsidRPr="00097C29">
              <w:rPr>
                <w:rFonts w:eastAsia="Times New Roman" w:cs="Calibri"/>
                <w:color w:val="000000"/>
                <w:sz w:val="14"/>
                <w:szCs w:val="14"/>
                <w:lang w:eastAsia="es-MX"/>
              </w:rPr>
              <w:t>Secretaría de Obras Públicas</w:t>
            </w:r>
          </w:p>
        </w:tc>
        <w:tc>
          <w:tcPr>
            <w:tcW w:w="1780" w:type="dxa"/>
            <w:tcBorders>
              <w:top w:val="nil"/>
              <w:left w:val="nil"/>
              <w:bottom w:val="single" w:sz="4" w:space="0" w:color="auto"/>
              <w:right w:val="single" w:sz="4" w:space="0" w:color="auto"/>
            </w:tcBorders>
            <w:shd w:val="clear" w:color="auto" w:fill="auto"/>
            <w:vAlign w:val="center"/>
            <w:hideMark/>
          </w:tcPr>
          <w:p w14:paraId="1C1CC20E" w14:textId="77777777" w:rsidR="00097C29" w:rsidRPr="00097C29" w:rsidRDefault="00097C29" w:rsidP="00097C29">
            <w:pPr>
              <w:spacing w:after="0" w:line="240" w:lineRule="auto"/>
              <w:jc w:val="right"/>
              <w:rPr>
                <w:rFonts w:eastAsia="Times New Roman" w:cs="Calibri"/>
                <w:color w:val="000000"/>
                <w:sz w:val="14"/>
                <w:szCs w:val="14"/>
                <w:lang w:eastAsia="es-MX"/>
              </w:rPr>
            </w:pPr>
            <w:r w:rsidRPr="00097C29">
              <w:rPr>
                <w:rFonts w:eastAsia="Times New Roman" w:cs="Calibri"/>
                <w:color w:val="000000"/>
                <w:sz w:val="14"/>
                <w:szCs w:val="14"/>
                <w:lang w:eastAsia="es-MX"/>
              </w:rPr>
              <w:t>3,553,699,966</w:t>
            </w:r>
          </w:p>
        </w:tc>
        <w:tc>
          <w:tcPr>
            <w:tcW w:w="1540" w:type="dxa"/>
            <w:tcBorders>
              <w:top w:val="nil"/>
              <w:left w:val="nil"/>
              <w:bottom w:val="nil"/>
              <w:right w:val="single" w:sz="4" w:space="0" w:color="auto"/>
            </w:tcBorders>
            <w:shd w:val="clear" w:color="auto" w:fill="auto"/>
            <w:vAlign w:val="bottom"/>
            <w:hideMark/>
          </w:tcPr>
          <w:p w14:paraId="164D63C9" w14:textId="77777777" w:rsidR="00097C29" w:rsidRPr="00097C29" w:rsidRDefault="00097C29" w:rsidP="00097C29">
            <w:pPr>
              <w:spacing w:after="0" w:line="240" w:lineRule="auto"/>
              <w:jc w:val="right"/>
              <w:rPr>
                <w:rFonts w:eastAsia="Times New Roman" w:cs="Calibri"/>
                <w:color w:val="000000"/>
                <w:sz w:val="14"/>
                <w:szCs w:val="14"/>
                <w:lang w:eastAsia="es-MX"/>
              </w:rPr>
            </w:pPr>
            <w:r w:rsidRPr="00097C29">
              <w:rPr>
                <w:rFonts w:eastAsia="Times New Roman" w:cs="Calibri"/>
                <w:color w:val="000000"/>
                <w:sz w:val="14"/>
                <w:szCs w:val="14"/>
                <w:lang w:eastAsia="es-MX"/>
              </w:rPr>
              <w:t>3,802,456,916</w:t>
            </w:r>
          </w:p>
        </w:tc>
      </w:tr>
      <w:tr w:rsidR="00097C29" w:rsidRPr="00097C29" w14:paraId="38EED73B" w14:textId="77777777" w:rsidTr="00250D2A">
        <w:trPr>
          <w:trHeight w:val="54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5A4E954B" w14:textId="77777777" w:rsidR="00097C29" w:rsidRPr="00097C29" w:rsidRDefault="00097C29" w:rsidP="00097C29">
            <w:pPr>
              <w:spacing w:after="0" w:line="240" w:lineRule="auto"/>
              <w:rPr>
                <w:rFonts w:eastAsia="Times New Roman" w:cs="Calibri"/>
                <w:color w:val="000000"/>
                <w:sz w:val="14"/>
                <w:szCs w:val="14"/>
                <w:lang w:eastAsia="es-MX"/>
              </w:rPr>
            </w:pPr>
            <w:r w:rsidRPr="00097C29">
              <w:rPr>
                <w:rFonts w:eastAsia="Times New Roman" w:cs="Calibri"/>
                <w:color w:val="000000"/>
                <w:sz w:val="14"/>
                <w:szCs w:val="14"/>
                <w:lang w:eastAsia="es-MX"/>
              </w:rPr>
              <w:t> </w:t>
            </w:r>
          </w:p>
        </w:tc>
        <w:tc>
          <w:tcPr>
            <w:tcW w:w="1460" w:type="dxa"/>
            <w:tcBorders>
              <w:top w:val="nil"/>
              <w:left w:val="nil"/>
              <w:bottom w:val="single" w:sz="4" w:space="0" w:color="auto"/>
              <w:right w:val="single" w:sz="4" w:space="0" w:color="auto"/>
            </w:tcBorders>
            <w:shd w:val="clear" w:color="auto" w:fill="auto"/>
            <w:vAlign w:val="center"/>
            <w:hideMark/>
          </w:tcPr>
          <w:p w14:paraId="13C24B7F" w14:textId="77777777" w:rsidR="00097C29" w:rsidRPr="00097C29" w:rsidRDefault="00097C29" w:rsidP="00097C29">
            <w:pPr>
              <w:spacing w:after="0" w:line="240" w:lineRule="auto"/>
              <w:jc w:val="center"/>
              <w:rPr>
                <w:rFonts w:eastAsia="Times New Roman" w:cs="Calibri"/>
                <w:color w:val="000000"/>
                <w:sz w:val="14"/>
                <w:szCs w:val="14"/>
                <w:lang w:eastAsia="es-MX"/>
              </w:rPr>
            </w:pPr>
            <w:r w:rsidRPr="00097C29">
              <w:rPr>
                <w:rFonts w:eastAsia="Times New Roman" w:cs="Calibri"/>
                <w:color w:val="000000"/>
                <w:sz w:val="14"/>
                <w:szCs w:val="14"/>
                <w:lang w:eastAsia="es-MX"/>
              </w:rPr>
              <w:t>5</w:t>
            </w:r>
          </w:p>
        </w:tc>
        <w:tc>
          <w:tcPr>
            <w:tcW w:w="2810" w:type="dxa"/>
            <w:tcBorders>
              <w:top w:val="nil"/>
              <w:left w:val="nil"/>
              <w:bottom w:val="single" w:sz="4" w:space="0" w:color="auto"/>
              <w:right w:val="single" w:sz="4" w:space="0" w:color="auto"/>
            </w:tcBorders>
            <w:shd w:val="clear" w:color="auto" w:fill="auto"/>
            <w:vAlign w:val="center"/>
            <w:hideMark/>
          </w:tcPr>
          <w:p w14:paraId="1FD6F42C" w14:textId="77777777" w:rsidR="00097C29" w:rsidRPr="00097C29" w:rsidRDefault="00097C29" w:rsidP="00097C29">
            <w:pPr>
              <w:spacing w:after="0" w:line="240" w:lineRule="auto"/>
              <w:jc w:val="center"/>
              <w:rPr>
                <w:rFonts w:eastAsia="Times New Roman" w:cs="Calibri"/>
                <w:color w:val="000000"/>
                <w:sz w:val="14"/>
                <w:szCs w:val="14"/>
                <w:lang w:eastAsia="es-MX"/>
              </w:rPr>
            </w:pPr>
            <w:r w:rsidRPr="00097C29">
              <w:rPr>
                <w:rFonts w:eastAsia="Times New Roman" w:cs="Calibri"/>
                <w:color w:val="000000"/>
                <w:sz w:val="14"/>
                <w:szCs w:val="14"/>
                <w:lang w:eastAsia="es-MX"/>
              </w:rPr>
              <w:t>Fideicomisos</w:t>
            </w:r>
          </w:p>
        </w:tc>
        <w:tc>
          <w:tcPr>
            <w:tcW w:w="1780" w:type="dxa"/>
            <w:tcBorders>
              <w:top w:val="nil"/>
              <w:left w:val="nil"/>
              <w:bottom w:val="single" w:sz="4" w:space="0" w:color="auto"/>
              <w:right w:val="single" w:sz="4" w:space="0" w:color="auto"/>
            </w:tcBorders>
            <w:shd w:val="clear" w:color="auto" w:fill="auto"/>
            <w:vAlign w:val="center"/>
            <w:hideMark/>
          </w:tcPr>
          <w:p w14:paraId="1461F5D5" w14:textId="77777777" w:rsidR="00097C29" w:rsidRPr="00097C29" w:rsidRDefault="00097C29" w:rsidP="00097C29">
            <w:pPr>
              <w:spacing w:after="0" w:line="240" w:lineRule="auto"/>
              <w:jc w:val="right"/>
              <w:rPr>
                <w:rFonts w:eastAsia="Times New Roman" w:cs="Calibri"/>
                <w:color w:val="000000"/>
                <w:sz w:val="14"/>
                <w:szCs w:val="14"/>
                <w:lang w:eastAsia="es-MX"/>
              </w:rPr>
            </w:pPr>
            <w:r w:rsidRPr="00097C29">
              <w:rPr>
                <w:rFonts w:eastAsia="Times New Roman" w:cs="Calibri"/>
                <w:color w:val="000000"/>
                <w:sz w:val="14"/>
                <w:szCs w:val="14"/>
                <w:lang w:eastAsia="es-MX"/>
              </w:rPr>
              <w:t>248,756,950</w:t>
            </w:r>
          </w:p>
        </w:tc>
        <w:tc>
          <w:tcPr>
            <w:tcW w:w="1540" w:type="dxa"/>
            <w:tcBorders>
              <w:top w:val="nil"/>
              <w:left w:val="nil"/>
              <w:bottom w:val="single" w:sz="4" w:space="0" w:color="auto"/>
              <w:right w:val="single" w:sz="4" w:space="0" w:color="auto"/>
            </w:tcBorders>
            <w:shd w:val="clear" w:color="auto" w:fill="auto"/>
            <w:vAlign w:val="center"/>
            <w:hideMark/>
          </w:tcPr>
          <w:p w14:paraId="0D20A88D" w14:textId="77777777" w:rsidR="00097C29" w:rsidRPr="00097C29" w:rsidRDefault="00097C29" w:rsidP="00097C29">
            <w:pPr>
              <w:spacing w:after="0" w:line="240" w:lineRule="auto"/>
              <w:jc w:val="right"/>
              <w:rPr>
                <w:rFonts w:eastAsia="Times New Roman" w:cs="Calibri"/>
                <w:color w:val="000000"/>
                <w:sz w:val="14"/>
                <w:szCs w:val="14"/>
                <w:lang w:eastAsia="es-MX"/>
              </w:rPr>
            </w:pPr>
            <w:r w:rsidRPr="00097C29">
              <w:rPr>
                <w:rFonts w:eastAsia="Times New Roman" w:cs="Calibri"/>
                <w:color w:val="000000"/>
                <w:sz w:val="14"/>
                <w:szCs w:val="14"/>
                <w:lang w:eastAsia="es-MX"/>
              </w:rPr>
              <w:t> </w:t>
            </w:r>
          </w:p>
        </w:tc>
      </w:tr>
    </w:tbl>
    <w:p w14:paraId="73E7D17B" w14:textId="1F5C60C2" w:rsidR="0077348F" w:rsidRDefault="0077348F" w:rsidP="00040F0F">
      <w:pPr>
        <w:rPr>
          <w:rFonts w:asciiTheme="minorHAnsi" w:eastAsia="Times New Roman" w:hAnsiTheme="minorHAnsi" w:cstheme="minorHAnsi"/>
          <w:b/>
          <w:sz w:val="20"/>
          <w:szCs w:val="18"/>
          <w:lang w:eastAsia="es-ES"/>
        </w:rPr>
      </w:pPr>
    </w:p>
    <w:p w14:paraId="182591DE" w14:textId="6C395817" w:rsidR="00461C02" w:rsidRDefault="00461C02" w:rsidP="00461C02">
      <w:pPr>
        <w:pStyle w:val="ROMANOS"/>
        <w:tabs>
          <w:tab w:val="clear" w:pos="720"/>
          <w:tab w:val="left" w:pos="426"/>
        </w:tabs>
        <w:spacing w:after="0" w:line="240" w:lineRule="exact"/>
        <w:ind w:left="0" w:firstLine="0"/>
        <w:rPr>
          <w:rFonts w:asciiTheme="minorHAnsi" w:hAnsiTheme="minorHAnsi" w:cstheme="minorHAnsi"/>
          <w:b/>
          <w:sz w:val="20"/>
          <w:lang w:val="es-MX"/>
        </w:rPr>
      </w:pPr>
      <w:r w:rsidRPr="005F45A3">
        <w:rPr>
          <w:rFonts w:asciiTheme="minorHAnsi" w:hAnsiTheme="minorHAnsi" w:cstheme="minorHAnsi"/>
          <w:b/>
          <w:sz w:val="20"/>
          <w:lang w:val="es-MX"/>
        </w:rPr>
        <w:t xml:space="preserve">Construcciones en Proceso en Bienes Propios </w:t>
      </w:r>
    </w:p>
    <w:p w14:paraId="6EF5544D" w14:textId="54B0082E" w:rsidR="00097C29" w:rsidRDefault="00097C29" w:rsidP="00461C02">
      <w:pPr>
        <w:pStyle w:val="ROMANOS"/>
        <w:tabs>
          <w:tab w:val="clear" w:pos="720"/>
          <w:tab w:val="left" w:pos="426"/>
        </w:tabs>
        <w:spacing w:after="0" w:line="240" w:lineRule="exact"/>
        <w:ind w:left="0" w:firstLine="0"/>
        <w:rPr>
          <w:rFonts w:asciiTheme="minorHAnsi" w:hAnsiTheme="minorHAnsi" w:cstheme="minorHAnsi"/>
          <w:b/>
          <w:sz w:val="20"/>
          <w:lang w:val="es-MX"/>
        </w:rPr>
      </w:pPr>
    </w:p>
    <w:tbl>
      <w:tblPr>
        <w:tblW w:w="9072" w:type="dxa"/>
        <w:tblInd w:w="-5" w:type="dxa"/>
        <w:tblCellMar>
          <w:left w:w="70" w:type="dxa"/>
          <w:right w:w="70" w:type="dxa"/>
        </w:tblCellMar>
        <w:tblLook w:val="04A0" w:firstRow="1" w:lastRow="0" w:firstColumn="1" w:lastColumn="0" w:noHBand="0" w:noVBand="1"/>
      </w:tblPr>
      <w:tblGrid>
        <w:gridCol w:w="1400"/>
        <w:gridCol w:w="1460"/>
        <w:gridCol w:w="3094"/>
        <w:gridCol w:w="1559"/>
        <w:gridCol w:w="1559"/>
      </w:tblGrid>
      <w:tr w:rsidR="00097C29" w:rsidRPr="00097C29" w14:paraId="502C595D" w14:textId="77777777" w:rsidTr="00250D2A">
        <w:trPr>
          <w:trHeight w:val="450"/>
        </w:trPr>
        <w:tc>
          <w:tcPr>
            <w:tcW w:w="14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23991B8"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 </w:t>
            </w:r>
          </w:p>
        </w:tc>
        <w:tc>
          <w:tcPr>
            <w:tcW w:w="1460" w:type="dxa"/>
            <w:tcBorders>
              <w:top w:val="single" w:sz="4" w:space="0" w:color="auto"/>
              <w:left w:val="nil"/>
              <w:bottom w:val="single" w:sz="4" w:space="0" w:color="auto"/>
              <w:right w:val="single" w:sz="4" w:space="0" w:color="auto"/>
            </w:tcBorders>
            <w:shd w:val="clear" w:color="000000" w:fill="AB0033"/>
            <w:vAlign w:val="center"/>
            <w:hideMark/>
          </w:tcPr>
          <w:p w14:paraId="459801B5"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No. DE OBRAS</w:t>
            </w:r>
          </w:p>
        </w:tc>
        <w:tc>
          <w:tcPr>
            <w:tcW w:w="3094" w:type="dxa"/>
            <w:tcBorders>
              <w:top w:val="single" w:sz="4" w:space="0" w:color="auto"/>
              <w:left w:val="nil"/>
              <w:bottom w:val="single" w:sz="4" w:space="0" w:color="auto"/>
              <w:right w:val="single" w:sz="4" w:space="0" w:color="auto"/>
            </w:tcBorders>
            <w:shd w:val="clear" w:color="000000" w:fill="AB0033"/>
            <w:vAlign w:val="center"/>
            <w:hideMark/>
          </w:tcPr>
          <w:p w14:paraId="738649A1"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DEPENDENCIAS</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01C38D45"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 xml:space="preserve">IMPORTE </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460F3335" w14:textId="77777777" w:rsidR="00097C29" w:rsidRPr="00097C29" w:rsidRDefault="00097C29" w:rsidP="00097C29">
            <w:pPr>
              <w:spacing w:after="0" w:line="240" w:lineRule="auto"/>
              <w:jc w:val="center"/>
              <w:rPr>
                <w:rFonts w:eastAsia="Times New Roman" w:cs="Calibri"/>
                <w:b/>
                <w:bCs/>
                <w:color w:val="FFFFFF"/>
                <w:sz w:val="16"/>
                <w:szCs w:val="16"/>
                <w:lang w:eastAsia="es-MX"/>
              </w:rPr>
            </w:pPr>
            <w:r w:rsidRPr="00097C29">
              <w:rPr>
                <w:rFonts w:eastAsia="Times New Roman" w:cs="Calibri"/>
                <w:b/>
                <w:bCs/>
                <w:color w:val="FFFFFF"/>
                <w:sz w:val="16"/>
                <w:szCs w:val="16"/>
                <w:lang w:eastAsia="es-MX"/>
              </w:rPr>
              <w:t>TOTAL</w:t>
            </w:r>
          </w:p>
        </w:tc>
      </w:tr>
      <w:tr w:rsidR="00097C29" w:rsidRPr="00250D2A" w14:paraId="3ED19800" w14:textId="77777777" w:rsidTr="00250D2A">
        <w:trPr>
          <w:trHeight w:val="465"/>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506D1ED9"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1236</w:t>
            </w:r>
          </w:p>
        </w:tc>
        <w:tc>
          <w:tcPr>
            <w:tcW w:w="1460" w:type="dxa"/>
            <w:tcBorders>
              <w:top w:val="nil"/>
              <w:left w:val="nil"/>
              <w:bottom w:val="single" w:sz="4" w:space="0" w:color="auto"/>
              <w:right w:val="single" w:sz="4" w:space="0" w:color="auto"/>
            </w:tcBorders>
            <w:shd w:val="clear" w:color="auto" w:fill="auto"/>
            <w:vAlign w:val="center"/>
            <w:hideMark/>
          </w:tcPr>
          <w:p w14:paraId="0545516A"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1024</w:t>
            </w:r>
          </w:p>
        </w:tc>
        <w:tc>
          <w:tcPr>
            <w:tcW w:w="3094" w:type="dxa"/>
            <w:tcBorders>
              <w:top w:val="nil"/>
              <w:left w:val="nil"/>
              <w:bottom w:val="single" w:sz="4" w:space="0" w:color="auto"/>
              <w:right w:val="single" w:sz="4" w:space="0" w:color="auto"/>
            </w:tcBorders>
            <w:shd w:val="clear" w:color="auto" w:fill="auto"/>
            <w:vAlign w:val="center"/>
            <w:hideMark/>
          </w:tcPr>
          <w:p w14:paraId="4F50F62C"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Instituto Tamaulipeco de Infraestructura Física Educativa</w:t>
            </w:r>
          </w:p>
        </w:tc>
        <w:tc>
          <w:tcPr>
            <w:tcW w:w="1559" w:type="dxa"/>
            <w:tcBorders>
              <w:top w:val="nil"/>
              <w:left w:val="nil"/>
              <w:bottom w:val="single" w:sz="4" w:space="0" w:color="auto"/>
              <w:right w:val="single" w:sz="4" w:space="0" w:color="auto"/>
            </w:tcBorders>
            <w:shd w:val="clear" w:color="auto" w:fill="auto"/>
            <w:vAlign w:val="center"/>
            <w:hideMark/>
          </w:tcPr>
          <w:p w14:paraId="7000C555" w14:textId="77777777" w:rsidR="00097C29" w:rsidRPr="00250D2A" w:rsidRDefault="00097C29" w:rsidP="00097C29">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1,190,884,407</w:t>
            </w:r>
          </w:p>
        </w:tc>
        <w:tc>
          <w:tcPr>
            <w:tcW w:w="1559" w:type="dxa"/>
            <w:tcBorders>
              <w:top w:val="nil"/>
              <w:left w:val="nil"/>
              <w:bottom w:val="nil"/>
              <w:right w:val="single" w:sz="4" w:space="0" w:color="auto"/>
            </w:tcBorders>
            <w:shd w:val="clear" w:color="auto" w:fill="auto"/>
            <w:vAlign w:val="bottom"/>
            <w:hideMark/>
          </w:tcPr>
          <w:p w14:paraId="689F356D" w14:textId="77777777" w:rsidR="00097C29" w:rsidRPr="00250D2A" w:rsidRDefault="00097C29" w:rsidP="00097C29">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6,570,367,281</w:t>
            </w:r>
          </w:p>
        </w:tc>
      </w:tr>
      <w:tr w:rsidR="00097C29" w:rsidRPr="00250D2A" w14:paraId="7E9E54BC" w14:textId="77777777" w:rsidTr="00250D2A">
        <w:trPr>
          <w:trHeight w:val="465"/>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9C10614" w14:textId="77777777" w:rsidR="00097C29" w:rsidRPr="00250D2A" w:rsidRDefault="00097C29" w:rsidP="00097C29">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w:t>
            </w:r>
          </w:p>
        </w:tc>
        <w:tc>
          <w:tcPr>
            <w:tcW w:w="1460" w:type="dxa"/>
            <w:tcBorders>
              <w:top w:val="nil"/>
              <w:left w:val="nil"/>
              <w:bottom w:val="single" w:sz="4" w:space="0" w:color="auto"/>
              <w:right w:val="single" w:sz="4" w:space="0" w:color="auto"/>
            </w:tcBorders>
            <w:shd w:val="clear" w:color="auto" w:fill="auto"/>
            <w:vAlign w:val="center"/>
            <w:hideMark/>
          </w:tcPr>
          <w:p w14:paraId="4D12EB15"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474</w:t>
            </w:r>
          </w:p>
        </w:tc>
        <w:tc>
          <w:tcPr>
            <w:tcW w:w="3094" w:type="dxa"/>
            <w:tcBorders>
              <w:top w:val="nil"/>
              <w:left w:val="nil"/>
              <w:bottom w:val="single" w:sz="4" w:space="0" w:color="auto"/>
              <w:right w:val="single" w:sz="4" w:space="0" w:color="auto"/>
            </w:tcBorders>
            <w:shd w:val="clear" w:color="auto" w:fill="auto"/>
            <w:vAlign w:val="center"/>
            <w:hideMark/>
          </w:tcPr>
          <w:p w14:paraId="69D158D9" w14:textId="77777777" w:rsidR="00097C29" w:rsidRPr="00250D2A" w:rsidRDefault="00097C29" w:rsidP="00097C29">
            <w:pPr>
              <w:spacing w:after="0" w:line="240" w:lineRule="auto"/>
              <w:jc w:val="center"/>
              <w:rPr>
                <w:rFonts w:eastAsia="Times New Roman" w:cs="Calibri"/>
                <w:color w:val="000000"/>
                <w:sz w:val="15"/>
                <w:szCs w:val="15"/>
                <w:lang w:eastAsia="es-MX"/>
              </w:rPr>
            </w:pPr>
            <w:r w:rsidRPr="00250D2A">
              <w:rPr>
                <w:rFonts w:eastAsia="Times New Roman" w:cs="Calibri"/>
                <w:color w:val="000000"/>
                <w:sz w:val="15"/>
                <w:szCs w:val="15"/>
                <w:lang w:eastAsia="es-MX"/>
              </w:rPr>
              <w:t>Secretaría de Obras Públicas</w:t>
            </w:r>
          </w:p>
        </w:tc>
        <w:tc>
          <w:tcPr>
            <w:tcW w:w="1559" w:type="dxa"/>
            <w:tcBorders>
              <w:top w:val="nil"/>
              <w:left w:val="nil"/>
              <w:bottom w:val="single" w:sz="4" w:space="0" w:color="auto"/>
              <w:right w:val="single" w:sz="4" w:space="0" w:color="auto"/>
            </w:tcBorders>
            <w:shd w:val="clear" w:color="auto" w:fill="auto"/>
            <w:vAlign w:val="center"/>
            <w:hideMark/>
          </w:tcPr>
          <w:p w14:paraId="1F4A5CF8" w14:textId="77777777" w:rsidR="00097C29" w:rsidRPr="00250D2A" w:rsidRDefault="00097C29" w:rsidP="00097C29">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5,379,482,874</w:t>
            </w:r>
          </w:p>
        </w:tc>
        <w:tc>
          <w:tcPr>
            <w:tcW w:w="1559" w:type="dxa"/>
            <w:tcBorders>
              <w:top w:val="nil"/>
              <w:left w:val="nil"/>
              <w:bottom w:val="single" w:sz="4" w:space="0" w:color="auto"/>
              <w:right w:val="single" w:sz="4" w:space="0" w:color="auto"/>
            </w:tcBorders>
            <w:shd w:val="clear" w:color="auto" w:fill="auto"/>
            <w:vAlign w:val="center"/>
            <w:hideMark/>
          </w:tcPr>
          <w:p w14:paraId="02DD4B4C" w14:textId="77777777" w:rsidR="00097C29" w:rsidRPr="00250D2A" w:rsidRDefault="00097C29" w:rsidP="00097C29">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w:t>
            </w:r>
          </w:p>
        </w:tc>
      </w:tr>
    </w:tbl>
    <w:p w14:paraId="3A350427" w14:textId="1EED0D82" w:rsidR="00097C29" w:rsidRDefault="00097C29" w:rsidP="00461C02">
      <w:pPr>
        <w:pStyle w:val="ROMANOS"/>
        <w:tabs>
          <w:tab w:val="clear" w:pos="720"/>
          <w:tab w:val="left" w:pos="426"/>
        </w:tabs>
        <w:spacing w:after="0" w:line="240" w:lineRule="exact"/>
        <w:ind w:left="0" w:firstLine="0"/>
        <w:rPr>
          <w:rFonts w:asciiTheme="minorHAnsi" w:hAnsiTheme="minorHAnsi" w:cstheme="minorHAnsi"/>
          <w:b/>
          <w:sz w:val="20"/>
          <w:lang w:val="es-MX"/>
        </w:rPr>
      </w:pPr>
    </w:p>
    <w:p w14:paraId="53130374" w14:textId="63FADD60" w:rsidR="009A0E94" w:rsidRPr="005F45A3" w:rsidRDefault="009A0E94" w:rsidP="00461C02">
      <w:pPr>
        <w:pStyle w:val="ROMANOS"/>
        <w:tabs>
          <w:tab w:val="clear" w:pos="720"/>
          <w:tab w:val="left" w:pos="426"/>
        </w:tabs>
        <w:spacing w:after="0" w:line="240" w:lineRule="exact"/>
        <w:ind w:left="0" w:firstLine="0"/>
        <w:rPr>
          <w:rFonts w:asciiTheme="minorHAnsi" w:hAnsiTheme="minorHAnsi" w:cstheme="minorHAnsi"/>
          <w:b/>
          <w:sz w:val="16"/>
          <w:lang w:val="es-MX"/>
        </w:rPr>
      </w:pPr>
      <w:r w:rsidRPr="005F45A3">
        <w:rPr>
          <w:rFonts w:asciiTheme="minorHAnsi" w:hAnsiTheme="minorHAnsi" w:cstheme="minorHAnsi"/>
          <w:b/>
          <w:sz w:val="16"/>
          <w:lang w:val="es-MX"/>
        </w:rPr>
        <w:t xml:space="preserve">  </w:t>
      </w:r>
    </w:p>
    <w:p w14:paraId="49B992F2" w14:textId="77777777" w:rsidR="00BE6B88" w:rsidRPr="005F45A3" w:rsidRDefault="00574F40" w:rsidP="00250D2A">
      <w:pPr>
        <w:spacing w:after="0"/>
        <w:rPr>
          <w:rFonts w:asciiTheme="minorHAnsi" w:hAnsiTheme="minorHAnsi" w:cstheme="minorHAnsi"/>
          <w:b/>
          <w:sz w:val="20"/>
          <w:lang w:val="es-ES" w:eastAsia="es-ES"/>
        </w:rPr>
      </w:pPr>
      <w:r w:rsidRPr="005F45A3">
        <w:rPr>
          <w:rFonts w:asciiTheme="minorHAnsi" w:hAnsiTheme="minorHAnsi" w:cstheme="minorHAnsi"/>
          <w:b/>
          <w:sz w:val="20"/>
          <w:lang w:val="es-ES" w:eastAsia="es-ES"/>
        </w:rPr>
        <w:t>Bienes Muebles</w:t>
      </w:r>
    </w:p>
    <w:p w14:paraId="6F472E0B" w14:textId="77777777" w:rsidR="00FE504A" w:rsidRPr="005F45A3" w:rsidRDefault="00FE504A" w:rsidP="00250D2A">
      <w:pPr>
        <w:spacing w:after="0"/>
        <w:rPr>
          <w:rFonts w:asciiTheme="minorHAnsi" w:hAnsiTheme="minorHAnsi" w:cstheme="minorHAnsi"/>
          <w:sz w:val="10"/>
          <w:szCs w:val="10"/>
          <w:lang w:val="es-ES" w:eastAsia="es-ES"/>
        </w:rPr>
      </w:pPr>
    </w:p>
    <w:p w14:paraId="18BE5DED" w14:textId="77777777" w:rsidR="00FF4F14" w:rsidRPr="005F45A3" w:rsidRDefault="001A00F8" w:rsidP="00250D2A">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Se</w:t>
      </w:r>
      <w:r w:rsidR="00294102" w:rsidRPr="005F45A3">
        <w:rPr>
          <w:rFonts w:asciiTheme="minorHAnsi" w:eastAsia="Times New Roman" w:hAnsiTheme="minorHAnsi" w:cstheme="minorHAnsi"/>
          <w:sz w:val="14"/>
          <w:szCs w:val="14"/>
          <w:lang w:eastAsia="es-ES"/>
        </w:rPr>
        <w:t xml:space="preserve"> aplican diferentes tasas de Depreciación según la clase asignada.</w:t>
      </w:r>
    </w:p>
    <w:p w14:paraId="7867F4B3" w14:textId="77777777" w:rsidR="008708D2" w:rsidRPr="005F45A3" w:rsidRDefault="008708D2" w:rsidP="00855796">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xml:space="preserve">         </w:t>
      </w:r>
    </w:p>
    <w:tbl>
      <w:tblPr>
        <w:tblW w:w="6516" w:type="dxa"/>
        <w:tblCellMar>
          <w:left w:w="70" w:type="dxa"/>
          <w:right w:w="70" w:type="dxa"/>
        </w:tblCellMar>
        <w:tblLook w:val="04A0" w:firstRow="1" w:lastRow="0" w:firstColumn="1" w:lastColumn="0" w:noHBand="0" w:noVBand="1"/>
      </w:tblPr>
      <w:tblGrid>
        <w:gridCol w:w="4390"/>
        <w:gridCol w:w="2126"/>
      </w:tblGrid>
      <w:tr w:rsidR="00813500" w:rsidRPr="00813500" w14:paraId="6BF4BDAD" w14:textId="77777777" w:rsidTr="00250D2A">
        <w:trPr>
          <w:trHeight w:val="306"/>
        </w:trPr>
        <w:tc>
          <w:tcPr>
            <w:tcW w:w="439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E7605B4" w14:textId="77777777" w:rsidR="00813500" w:rsidRPr="00813500" w:rsidRDefault="00813500" w:rsidP="00813500">
            <w:pPr>
              <w:spacing w:after="0" w:line="240" w:lineRule="auto"/>
              <w:jc w:val="center"/>
              <w:rPr>
                <w:rFonts w:eastAsia="Times New Roman" w:cs="Calibri"/>
                <w:b/>
                <w:bCs/>
                <w:color w:val="FFFFFF"/>
                <w:sz w:val="16"/>
                <w:szCs w:val="16"/>
                <w:lang w:eastAsia="es-MX"/>
              </w:rPr>
            </w:pPr>
            <w:r w:rsidRPr="00813500">
              <w:rPr>
                <w:rFonts w:eastAsia="Times New Roman" w:cs="Calibri"/>
                <w:b/>
                <w:bCs/>
                <w:color w:val="FFFFFF"/>
                <w:sz w:val="16"/>
                <w:szCs w:val="16"/>
                <w:lang w:eastAsia="es-MX"/>
              </w:rPr>
              <w:t xml:space="preserve">Bienes Muebles </w:t>
            </w:r>
          </w:p>
        </w:tc>
        <w:tc>
          <w:tcPr>
            <w:tcW w:w="2126" w:type="dxa"/>
            <w:tcBorders>
              <w:top w:val="single" w:sz="4" w:space="0" w:color="auto"/>
              <w:left w:val="nil"/>
              <w:bottom w:val="single" w:sz="4" w:space="0" w:color="auto"/>
              <w:right w:val="single" w:sz="4" w:space="0" w:color="auto"/>
            </w:tcBorders>
            <w:shd w:val="clear" w:color="000000" w:fill="AB0033"/>
            <w:vAlign w:val="center"/>
            <w:hideMark/>
          </w:tcPr>
          <w:p w14:paraId="70C5B66F" w14:textId="77777777" w:rsidR="00813500" w:rsidRPr="00813500" w:rsidRDefault="00813500" w:rsidP="00813500">
            <w:pPr>
              <w:spacing w:after="0" w:line="240" w:lineRule="auto"/>
              <w:jc w:val="center"/>
              <w:rPr>
                <w:rFonts w:eastAsia="Times New Roman" w:cs="Calibri"/>
                <w:b/>
                <w:bCs/>
                <w:color w:val="FFFFFF"/>
                <w:sz w:val="16"/>
                <w:szCs w:val="16"/>
                <w:lang w:eastAsia="es-MX"/>
              </w:rPr>
            </w:pPr>
            <w:r w:rsidRPr="00813500">
              <w:rPr>
                <w:rFonts w:eastAsia="Times New Roman" w:cs="Calibri"/>
                <w:b/>
                <w:bCs/>
                <w:color w:val="FFFFFF"/>
                <w:sz w:val="16"/>
                <w:szCs w:val="16"/>
                <w:lang w:eastAsia="es-MX"/>
              </w:rPr>
              <w:t>Importe</w:t>
            </w:r>
          </w:p>
        </w:tc>
      </w:tr>
      <w:tr w:rsidR="00813500" w:rsidRPr="00250D2A" w14:paraId="1C98D84C"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71D91B5"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Mobiliario y Equipo de Administración</w:t>
            </w:r>
          </w:p>
        </w:tc>
        <w:tc>
          <w:tcPr>
            <w:tcW w:w="2126" w:type="dxa"/>
            <w:tcBorders>
              <w:top w:val="nil"/>
              <w:left w:val="nil"/>
              <w:bottom w:val="single" w:sz="4" w:space="0" w:color="auto"/>
              <w:right w:val="single" w:sz="4" w:space="0" w:color="auto"/>
            </w:tcBorders>
            <w:shd w:val="clear" w:color="auto" w:fill="auto"/>
            <w:noWrap/>
            <w:vAlign w:val="center"/>
            <w:hideMark/>
          </w:tcPr>
          <w:p w14:paraId="346B89F9"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762,657,770</w:t>
            </w:r>
          </w:p>
        </w:tc>
      </w:tr>
      <w:tr w:rsidR="00813500" w:rsidRPr="00250D2A" w14:paraId="373D19D6"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EAE8FFC"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Mobiliario y Equipo Educacional y Recreativo</w:t>
            </w:r>
          </w:p>
        </w:tc>
        <w:tc>
          <w:tcPr>
            <w:tcW w:w="2126" w:type="dxa"/>
            <w:tcBorders>
              <w:top w:val="nil"/>
              <w:left w:val="nil"/>
              <w:bottom w:val="single" w:sz="4" w:space="0" w:color="auto"/>
              <w:right w:val="single" w:sz="4" w:space="0" w:color="auto"/>
            </w:tcBorders>
            <w:shd w:val="clear" w:color="auto" w:fill="auto"/>
            <w:noWrap/>
            <w:vAlign w:val="center"/>
            <w:hideMark/>
          </w:tcPr>
          <w:p w14:paraId="79D68F1C"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187,358,324</w:t>
            </w:r>
          </w:p>
        </w:tc>
      </w:tr>
      <w:tr w:rsidR="00813500" w:rsidRPr="00250D2A" w14:paraId="70102123"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E14F98A"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Equipo e Instrumental Médico y de Laboratorio</w:t>
            </w:r>
          </w:p>
        </w:tc>
        <w:tc>
          <w:tcPr>
            <w:tcW w:w="2126" w:type="dxa"/>
            <w:tcBorders>
              <w:top w:val="nil"/>
              <w:left w:val="nil"/>
              <w:bottom w:val="single" w:sz="4" w:space="0" w:color="auto"/>
              <w:right w:val="single" w:sz="4" w:space="0" w:color="auto"/>
            </w:tcBorders>
            <w:shd w:val="clear" w:color="auto" w:fill="auto"/>
            <w:noWrap/>
            <w:vAlign w:val="center"/>
            <w:hideMark/>
          </w:tcPr>
          <w:p w14:paraId="45B5F1F5"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28,936,726</w:t>
            </w:r>
          </w:p>
        </w:tc>
      </w:tr>
      <w:tr w:rsidR="00813500" w:rsidRPr="00250D2A" w14:paraId="67FA197B"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5D43374"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Equipo de Transporte</w:t>
            </w:r>
          </w:p>
        </w:tc>
        <w:tc>
          <w:tcPr>
            <w:tcW w:w="2126" w:type="dxa"/>
            <w:tcBorders>
              <w:top w:val="nil"/>
              <w:left w:val="nil"/>
              <w:bottom w:val="single" w:sz="4" w:space="0" w:color="auto"/>
              <w:right w:val="single" w:sz="4" w:space="0" w:color="auto"/>
            </w:tcBorders>
            <w:shd w:val="clear" w:color="auto" w:fill="auto"/>
            <w:noWrap/>
            <w:vAlign w:val="center"/>
            <w:hideMark/>
          </w:tcPr>
          <w:p w14:paraId="28C6A6CF"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1,791,546,313</w:t>
            </w:r>
          </w:p>
        </w:tc>
      </w:tr>
      <w:tr w:rsidR="00813500" w:rsidRPr="00250D2A" w14:paraId="0BB027E1"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0B06C10"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Equipo de Defensa y Seguridad</w:t>
            </w:r>
          </w:p>
        </w:tc>
        <w:tc>
          <w:tcPr>
            <w:tcW w:w="2126" w:type="dxa"/>
            <w:tcBorders>
              <w:top w:val="nil"/>
              <w:left w:val="nil"/>
              <w:bottom w:val="single" w:sz="4" w:space="0" w:color="auto"/>
              <w:right w:val="single" w:sz="4" w:space="0" w:color="auto"/>
            </w:tcBorders>
            <w:shd w:val="clear" w:color="auto" w:fill="auto"/>
            <w:noWrap/>
            <w:vAlign w:val="center"/>
            <w:hideMark/>
          </w:tcPr>
          <w:p w14:paraId="0B2E5644"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238,948,065</w:t>
            </w:r>
          </w:p>
        </w:tc>
      </w:tr>
      <w:tr w:rsidR="00813500" w:rsidRPr="00250D2A" w14:paraId="191C243E"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FF6920D"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Maquinaria, Otros Equipos y Herramientas</w:t>
            </w:r>
          </w:p>
        </w:tc>
        <w:tc>
          <w:tcPr>
            <w:tcW w:w="2126" w:type="dxa"/>
            <w:tcBorders>
              <w:top w:val="nil"/>
              <w:left w:val="nil"/>
              <w:bottom w:val="single" w:sz="4" w:space="0" w:color="auto"/>
              <w:right w:val="single" w:sz="4" w:space="0" w:color="auto"/>
            </w:tcBorders>
            <w:shd w:val="clear" w:color="auto" w:fill="auto"/>
            <w:noWrap/>
            <w:vAlign w:val="center"/>
            <w:hideMark/>
          </w:tcPr>
          <w:p w14:paraId="314E04D5"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582,801,951</w:t>
            </w:r>
          </w:p>
        </w:tc>
      </w:tr>
      <w:tr w:rsidR="00813500" w:rsidRPr="00250D2A" w14:paraId="0E1E60EC"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7A70F3A"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Colecciones, Obras de Arte y Objetos Valiosos</w:t>
            </w:r>
          </w:p>
        </w:tc>
        <w:tc>
          <w:tcPr>
            <w:tcW w:w="2126" w:type="dxa"/>
            <w:tcBorders>
              <w:top w:val="nil"/>
              <w:left w:val="nil"/>
              <w:bottom w:val="single" w:sz="4" w:space="0" w:color="auto"/>
              <w:right w:val="single" w:sz="4" w:space="0" w:color="auto"/>
            </w:tcBorders>
            <w:shd w:val="clear" w:color="auto" w:fill="auto"/>
            <w:noWrap/>
            <w:vAlign w:val="center"/>
            <w:hideMark/>
          </w:tcPr>
          <w:p w14:paraId="0F000076"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17,097,057</w:t>
            </w:r>
          </w:p>
        </w:tc>
      </w:tr>
      <w:tr w:rsidR="00813500" w:rsidRPr="00250D2A" w14:paraId="4977F377"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E78FE19"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Activos Biológicos</w:t>
            </w:r>
          </w:p>
        </w:tc>
        <w:tc>
          <w:tcPr>
            <w:tcW w:w="2126" w:type="dxa"/>
            <w:tcBorders>
              <w:top w:val="nil"/>
              <w:left w:val="nil"/>
              <w:bottom w:val="single" w:sz="4" w:space="0" w:color="auto"/>
              <w:right w:val="single" w:sz="4" w:space="0" w:color="auto"/>
            </w:tcBorders>
            <w:shd w:val="clear" w:color="auto" w:fill="auto"/>
            <w:noWrap/>
            <w:vAlign w:val="center"/>
            <w:hideMark/>
          </w:tcPr>
          <w:p w14:paraId="42B8E00C"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2,499,860</w:t>
            </w:r>
          </w:p>
        </w:tc>
      </w:tr>
      <w:tr w:rsidR="00813500" w:rsidRPr="00813500" w14:paraId="51DFDFE7" w14:textId="77777777" w:rsidTr="00250D2A">
        <w:trPr>
          <w:trHeight w:val="296"/>
        </w:trPr>
        <w:tc>
          <w:tcPr>
            <w:tcW w:w="4390" w:type="dxa"/>
            <w:tcBorders>
              <w:top w:val="nil"/>
              <w:left w:val="single" w:sz="4" w:space="0" w:color="auto"/>
              <w:bottom w:val="single" w:sz="4" w:space="0" w:color="auto"/>
              <w:right w:val="single" w:sz="4" w:space="0" w:color="auto"/>
            </w:tcBorders>
            <w:shd w:val="clear" w:color="000000" w:fill="AB0033"/>
            <w:vAlign w:val="center"/>
            <w:hideMark/>
          </w:tcPr>
          <w:p w14:paraId="19C40489" w14:textId="77777777" w:rsidR="00813500" w:rsidRPr="00813500" w:rsidRDefault="00813500" w:rsidP="00813500">
            <w:pPr>
              <w:spacing w:after="0" w:line="240" w:lineRule="auto"/>
              <w:jc w:val="center"/>
              <w:rPr>
                <w:rFonts w:eastAsia="Times New Roman" w:cs="Calibri"/>
                <w:b/>
                <w:bCs/>
                <w:color w:val="FFFFFF"/>
                <w:sz w:val="16"/>
                <w:szCs w:val="16"/>
                <w:lang w:eastAsia="es-MX"/>
              </w:rPr>
            </w:pPr>
            <w:r w:rsidRPr="00813500">
              <w:rPr>
                <w:rFonts w:eastAsia="Times New Roman" w:cs="Calibri"/>
                <w:b/>
                <w:bCs/>
                <w:color w:val="FFFFFF"/>
                <w:sz w:val="16"/>
                <w:szCs w:val="16"/>
                <w:lang w:eastAsia="es-MX"/>
              </w:rPr>
              <w:t>Fideicomisos</w:t>
            </w:r>
          </w:p>
        </w:tc>
        <w:tc>
          <w:tcPr>
            <w:tcW w:w="2126" w:type="dxa"/>
            <w:tcBorders>
              <w:top w:val="nil"/>
              <w:left w:val="nil"/>
              <w:bottom w:val="single" w:sz="4" w:space="0" w:color="auto"/>
              <w:right w:val="single" w:sz="4" w:space="0" w:color="auto"/>
            </w:tcBorders>
            <w:shd w:val="clear" w:color="000000" w:fill="AB0033"/>
            <w:vAlign w:val="center"/>
            <w:hideMark/>
          </w:tcPr>
          <w:p w14:paraId="0FEEA941" w14:textId="77777777" w:rsidR="00813500" w:rsidRPr="00813500" w:rsidRDefault="00813500" w:rsidP="00813500">
            <w:pPr>
              <w:spacing w:after="0" w:line="240" w:lineRule="auto"/>
              <w:jc w:val="center"/>
              <w:rPr>
                <w:rFonts w:eastAsia="Times New Roman" w:cs="Calibri"/>
                <w:b/>
                <w:bCs/>
                <w:color w:val="FFFFFF"/>
                <w:sz w:val="16"/>
                <w:szCs w:val="16"/>
                <w:lang w:eastAsia="es-MX"/>
              </w:rPr>
            </w:pPr>
            <w:r w:rsidRPr="00813500">
              <w:rPr>
                <w:rFonts w:eastAsia="Times New Roman" w:cs="Calibri"/>
                <w:b/>
                <w:bCs/>
                <w:color w:val="FFFFFF"/>
                <w:sz w:val="16"/>
                <w:szCs w:val="16"/>
                <w:lang w:eastAsia="es-MX"/>
              </w:rPr>
              <w:t> </w:t>
            </w:r>
          </w:p>
        </w:tc>
      </w:tr>
      <w:tr w:rsidR="00813500" w:rsidRPr="00250D2A" w14:paraId="07D06C9E"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49D9117"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Mobiliario y Equipo de Administración</w:t>
            </w:r>
          </w:p>
        </w:tc>
        <w:tc>
          <w:tcPr>
            <w:tcW w:w="2126" w:type="dxa"/>
            <w:tcBorders>
              <w:top w:val="nil"/>
              <w:left w:val="nil"/>
              <w:bottom w:val="single" w:sz="4" w:space="0" w:color="auto"/>
              <w:right w:val="single" w:sz="4" w:space="0" w:color="auto"/>
            </w:tcBorders>
            <w:shd w:val="clear" w:color="auto" w:fill="auto"/>
            <w:noWrap/>
            <w:vAlign w:val="center"/>
            <w:hideMark/>
          </w:tcPr>
          <w:p w14:paraId="7BD3CF9B"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8,555,222</w:t>
            </w:r>
          </w:p>
        </w:tc>
      </w:tr>
      <w:tr w:rsidR="00813500" w:rsidRPr="00250D2A" w14:paraId="00795E9F"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1E38DE3"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Equipo Educacional y Recreativo</w:t>
            </w:r>
          </w:p>
        </w:tc>
        <w:tc>
          <w:tcPr>
            <w:tcW w:w="2126" w:type="dxa"/>
            <w:tcBorders>
              <w:top w:val="nil"/>
              <w:left w:val="nil"/>
              <w:bottom w:val="single" w:sz="4" w:space="0" w:color="auto"/>
              <w:right w:val="single" w:sz="4" w:space="0" w:color="auto"/>
            </w:tcBorders>
            <w:shd w:val="clear" w:color="auto" w:fill="auto"/>
            <w:noWrap/>
            <w:vAlign w:val="center"/>
            <w:hideMark/>
          </w:tcPr>
          <w:p w14:paraId="71C728E9"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0</w:t>
            </w:r>
          </w:p>
        </w:tc>
      </w:tr>
      <w:tr w:rsidR="00813500" w:rsidRPr="00250D2A" w14:paraId="02EAE073"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B2FA37F"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Equipo de Transporte</w:t>
            </w:r>
          </w:p>
        </w:tc>
        <w:tc>
          <w:tcPr>
            <w:tcW w:w="2126" w:type="dxa"/>
            <w:tcBorders>
              <w:top w:val="nil"/>
              <w:left w:val="nil"/>
              <w:bottom w:val="single" w:sz="4" w:space="0" w:color="auto"/>
              <w:right w:val="single" w:sz="4" w:space="0" w:color="auto"/>
            </w:tcBorders>
            <w:shd w:val="clear" w:color="auto" w:fill="auto"/>
            <w:noWrap/>
            <w:vAlign w:val="center"/>
            <w:hideMark/>
          </w:tcPr>
          <w:p w14:paraId="7DA01FA4"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7,201,835</w:t>
            </w:r>
          </w:p>
        </w:tc>
      </w:tr>
      <w:tr w:rsidR="00813500" w:rsidRPr="00250D2A" w14:paraId="6CDC2EA8" w14:textId="77777777" w:rsidTr="00250D2A">
        <w:trPr>
          <w:trHeight w:val="41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7B157A6" w14:textId="77777777" w:rsidR="00813500" w:rsidRPr="00250D2A" w:rsidRDefault="00813500" w:rsidP="00813500">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Maquinaria, Otros Equipos y Herramientas</w:t>
            </w:r>
          </w:p>
        </w:tc>
        <w:tc>
          <w:tcPr>
            <w:tcW w:w="2126" w:type="dxa"/>
            <w:tcBorders>
              <w:top w:val="nil"/>
              <w:left w:val="nil"/>
              <w:bottom w:val="single" w:sz="4" w:space="0" w:color="auto"/>
              <w:right w:val="single" w:sz="4" w:space="0" w:color="auto"/>
            </w:tcBorders>
            <w:shd w:val="clear" w:color="auto" w:fill="auto"/>
            <w:noWrap/>
            <w:vAlign w:val="center"/>
            <w:hideMark/>
          </w:tcPr>
          <w:p w14:paraId="397C33CE" w14:textId="77777777" w:rsidR="00813500" w:rsidRPr="00250D2A" w:rsidRDefault="00813500" w:rsidP="0081350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24,969,544</w:t>
            </w:r>
          </w:p>
        </w:tc>
      </w:tr>
      <w:tr w:rsidR="00813500" w:rsidRPr="00813500" w14:paraId="39647217" w14:textId="77777777" w:rsidTr="00250D2A">
        <w:trPr>
          <w:trHeight w:val="306"/>
        </w:trPr>
        <w:tc>
          <w:tcPr>
            <w:tcW w:w="4390" w:type="dxa"/>
            <w:tcBorders>
              <w:top w:val="nil"/>
              <w:left w:val="single" w:sz="4" w:space="0" w:color="auto"/>
              <w:bottom w:val="single" w:sz="4" w:space="0" w:color="auto"/>
              <w:right w:val="single" w:sz="4" w:space="0" w:color="auto"/>
            </w:tcBorders>
            <w:shd w:val="clear" w:color="000000" w:fill="DDC9A3"/>
            <w:vAlign w:val="center"/>
            <w:hideMark/>
          </w:tcPr>
          <w:p w14:paraId="55F6C2DD" w14:textId="77777777" w:rsidR="00813500" w:rsidRPr="00813500" w:rsidRDefault="00813500" w:rsidP="00813500">
            <w:pPr>
              <w:spacing w:after="0" w:line="240" w:lineRule="auto"/>
              <w:jc w:val="center"/>
              <w:rPr>
                <w:rFonts w:eastAsia="Times New Roman" w:cs="Calibri"/>
                <w:b/>
                <w:bCs/>
                <w:color w:val="000000"/>
                <w:sz w:val="14"/>
                <w:szCs w:val="14"/>
                <w:lang w:eastAsia="es-MX"/>
              </w:rPr>
            </w:pPr>
            <w:r w:rsidRPr="00813500">
              <w:rPr>
                <w:rFonts w:eastAsia="Times New Roman" w:cs="Calibri"/>
                <w:b/>
                <w:bCs/>
                <w:color w:val="000000"/>
                <w:sz w:val="14"/>
                <w:szCs w:val="14"/>
                <w:lang w:eastAsia="es-MX"/>
              </w:rPr>
              <w:t>TOTAL</w:t>
            </w:r>
          </w:p>
        </w:tc>
        <w:tc>
          <w:tcPr>
            <w:tcW w:w="2126" w:type="dxa"/>
            <w:tcBorders>
              <w:top w:val="nil"/>
              <w:left w:val="nil"/>
              <w:bottom w:val="single" w:sz="4" w:space="0" w:color="auto"/>
              <w:right w:val="single" w:sz="4" w:space="0" w:color="auto"/>
            </w:tcBorders>
            <w:shd w:val="clear" w:color="000000" w:fill="DDC9A3"/>
            <w:vAlign w:val="center"/>
            <w:hideMark/>
          </w:tcPr>
          <w:p w14:paraId="769E7E69" w14:textId="77777777" w:rsidR="00813500" w:rsidRPr="00813500" w:rsidRDefault="00813500" w:rsidP="00813500">
            <w:pPr>
              <w:spacing w:after="0" w:line="240" w:lineRule="auto"/>
              <w:jc w:val="right"/>
              <w:rPr>
                <w:rFonts w:eastAsia="Times New Roman" w:cs="Calibri"/>
                <w:b/>
                <w:bCs/>
                <w:color w:val="000000"/>
                <w:sz w:val="14"/>
                <w:szCs w:val="14"/>
                <w:lang w:eastAsia="es-MX"/>
              </w:rPr>
            </w:pPr>
            <w:r w:rsidRPr="00813500">
              <w:rPr>
                <w:rFonts w:eastAsia="Times New Roman" w:cs="Calibri"/>
                <w:b/>
                <w:bCs/>
                <w:color w:val="000000"/>
                <w:sz w:val="14"/>
                <w:szCs w:val="14"/>
                <w:lang w:eastAsia="es-MX"/>
              </w:rPr>
              <w:t>3,652,572,668</w:t>
            </w:r>
          </w:p>
        </w:tc>
      </w:tr>
    </w:tbl>
    <w:p w14:paraId="71C2134D" w14:textId="540FACE0" w:rsidR="00713775" w:rsidRPr="005F45A3" w:rsidRDefault="008708D2" w:rsidP="00855796">
      <w:pPr>
        <w:spacing w:after="0"/>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 xml:space="preserve">         </w:t>
      </w:r>
    </w:p>
    <w:p w14:paraId="71EA9D46" w14:textId="77777777" w:rsidR="00FB3ABB" w:rsidRDefault="00FB3ABB" w:rsidP="000A692A">
      <w:pPr>
        <w:spacing w:after="0"/>
        <w:rPr>
          <w:rFonts w:asciiTheme="minorHAnsi" w:eastAsia="Times New Roman" w:hAnsiTheme="minorHAnsi" w:cstheme="minorHAnsi"/>
          <w:b/>
          <w:sz w:val="18"/>
          <w:szCs w:val="18"/>
          <w:lang w:eastAsia="es-ES"/>
        </w:rPr>
      </w:pPr>
    </w:p>
    <w:p w14:paraId="3EE350A0" w14:textId="46F2F695" w:rsidR="005F7BE2" w:rsidRDefault="005B4FE6" w:rsidP="000A692A">
      <w:pPr>
        <w:spacing w:after="0"/>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Activos Intangibles</w:t>
      </w:r>
    </w:p>
    <w:p w14:paraId="4597D36A" w14:textId="77777777" w:rsidR="000A692A" w:rsidRPr="005F45A3" w:rsidRDefault="000A692A" w:rsidP="000A692A">
      <w:pPr>
        <w:spacing w:after="0"/>
        <w:rPr>
          <w:rFonts w:asciiTheme="minorHAnsi" w:eastAsia="Times New Roman" w:hAnsiTheme="minorHAnsi" w:cstheme="minorHAnsi"/>
          <w:b/>
          <w:sz w:val="18"/>
          <w:szCs w:val="18"/>
          <w:lang w:eastAsia="es-ES"/>
        </w:rPr>
      </w:pPr>
    </w:p>
    <w:tbl>
      <w:tblPr>
        <w:tblW w:w="6055" w:type="dxa"/>
        <w:tblCellMar>
          <w:left w:w="70" w:type="dxa"/>
          <w:right w:w="70" w:type="dxa"/>
        </w:tblCellMar>
        <w:tblLook w:val="04A0" w:firstRow="1" w:lastRow="0" w:firstColumn="1" w:lastColumn="0" w:noHBand="0" w:noVBand="1"/>
      </w:tblPr>
      <w:tblGrid>
        <w:gridCol w:w="4106"/>
        <w:gridCol w:w="1949"/>
      </w:tblGrid>
      <w:tr w:rsidR="005D4A9A" w:rsidRPr="005D4A9A" w14:paraId="331BBBAD" w14:textId="77777777" w:rsidTr="00250D2A">
        <w:trPr>
          <w:trHeight w:val="341"/>
        </w:trPr>
        <w:tc>
          <w:tcPr>
            <w:tcW w:w="4106"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2AA80A5" w14:textId="77777777" w:rsidR="005D4A9A" w:rsidRPr="005D4A9A" w:rsidRDefault="005D4A9A" w:rsidP="005D4A9A">
            <w:pPr>
              <w:spacing w:after="0" w:line="240" w:lineRule="auto"/>
              <w:jc w:val="center"/>
              <w:rPr>
                <w:rFonts w:eastAsia="Times New Roman" w:cs="Calibri"/>
                <w:b/>
                <w:bCs/>
                <w:color w:val="FFFFFF"/>
                <w:sz w:val="16"/>
                <w:szCs w:val="16"/>
                <w:lang w:eastAsia="es-MX"/>
              </w:rPr>
            </w:pPr>
            <w:r w:rsidRPr="005D4A9A">
              <w:rPr>
                <w:rFonts w:eastAsia="Times New Roman" w:cs="Calibri"/>
                <w:b/>
                <w:bCs/>
                <w:color w:val="FFFFFF"/>
                <w:sz w:val="16"/>
                <w:szCs w:val="16"/>
                <w:lang w:eastAsia="es-MX"/>
              </w:rPr>
              <w:t xml:space="preserve">Activos Intangibles </w:t>
            </w:r>
          </w:p>
        </w:tc>
        <w:tc>
          <w:tcPr>
            <w:tcW w:w="1949" w:type="dxa"/>
            <w:tcBorders>
              <w:top w:val="single" w:sz="4" w:space="0" w:color="auto"/>
              <w:left w:val="nil"/>
              <w:bottom w:val="single" w:sz="4" w:space="0" w:color="auto"/>
              <w:right w:val="single" w:sz="4" w:space="0" w:color="auto"/>
            </w:tcBorders>
            <w:shd w:val="clear" w:color="000000" w:fill="AB0033"/>
            <w:vAlign w:val="center"/>
            <w:hideMark/>
          </w:tcPr>
          <w:p w14:paraId="52160DC9" w14:textId="77777777" w:rsidR="005D4A9A" w:rsidRPr="005D4A9A" w:rsidRDefault="005D4A9A" w:rsidP="005D4A9A">
            <w:pPr>
              <w:spacing w:after="0" w:line="240" w:lineRule="auto"/>
              <w:jc w:val="center"/>
              <w:rPr>
                <w:rFonts w:eastAsia="Times New Roman" w:cs="Calibri"/>
                <w:b/>
                <w:bCs/>
                <w:color w:val="FFFFFF"/>
                <w:sz w:val="16"/>
                <w:szCs w:val="16"/>
                <w:lang w:eastAsia="es-MX"/>
              </w:rPr>
            </w:pPr>
            <w:r w:rsidRPr="005D4A9A">
              <w:rPr>
                <w:rFonts w:eastAsia="Times New Roman" w:cs="Calibri"/>
                <w:b/>
                <w:bCs/>
                <w:color w:val="FFFFFF"/>
                <w:sz w:val="16"/>
                <w:szCs w:val="16"/>
                <w:lang w:eastAsia="es-MX"/>
              </w:rPr>
              <w:t>Importe</w:t>
            </w:r>
          </w:p>
        </w:tc>
      </w:tr>
      <w:tr w:rsidR="005D4A9A" w:rsidRPr="00250D2A" w14:paraId="110C9F76" w14:textId="77777777" w:rsidTr="00250D2A">
        <w:trPr>
          <w:trHeight w:val="3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9FBA5A7" w14:textId="77777777" w:rsidR="005D4A9A" w:rsidRPr="00250D2A" w:rsidRDefault="005D4A9A" w:rsidP="005D4A9A">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Software</w:t>
            </w:r>
          </w:p>
        </w:tc>
        <w:tc>
          <w:tcPr>
            <w:tcW w:w="1949" w:type="dxa"/>
            <w:tcBorders>
              <w:top w:val="nil"/>
              <w:left w:val="nil"/>
              <w:bottom w:val="single" w:sz="4" w:space="0" w:color="auto"/>
              <w:right w:val="single" w:sz="4" w:space="0" w:color="auto"/>
            </w:tcBorders>
            <w:shd w:val="clear" w:color="auto" w:fill="auto"/>
            <w:vAlign w:val="center"/>
            <w:hideMark/>
          </w:tcPr>
          <w:p w14:paraId="560ECE49"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153,404,361</w:t>
            </w:r>
          </w:p>
        </w:tc>
      </w:tr>
      <w:tr w:rsidR="005D4A9A" w:rsidRPr="00250D2A" w14:paraId="5CF47AF6" w14:textId="77777777" w:rsidTr="00250D2A">
        <w:trPr>
          <w:trHeight w:val="3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4E3CA6" w14:textId="77777777" w:rsidR="005D4A9A" w:rsidRPr="00250D2A" w:rsidRDefault="005D4A9A" w:rsidP="005D4A9A">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Patentes Marcas y Derechos</w:t>
            </w:r>
          </w:p>
        </w:tc>
        <w:tc>
          <w:tcPr>
            <w:tcW w:w="1949" w:type="dxa"/>
            <w:tcBorders>
              <w:top w:val="nil"/>
              <w:left w:val="nil"/>
              <w:bottom w:val="single" w:sz="4" w:space="0" w:color="auto"/>
              <w:right w:val="single" w:sz="4" w:space="0" w:color="auto"/>
            </w:tcBorders>
            <w:shd w:val="clear" w:color="auto" w:fill="auto"/>
            <w:vAlign w:val="center"/>
            <w:hideMark/>
          </w:tcPr>
          <w:p w14:paraId="50796A6B"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5,702</w:t>
            </w:r>
          </w:p>
        </w:tc>
      </w:tr>
      <w:tr w:rsidR="005D4A9A" w:rsidRPr="00250D2A" w14:paraId="732C6F60" w14:textId="77777777" w:rsidTr="00250D2A">
        <w:trPr>
          <w:trHeight w:val="3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A1E2562" w14:textId="77777777" w:rsidR="005D4A9A" w:rsidRPr="00250D2A" w:rsidRDefault="005D4A9A" w:rsidP="005D4A9A">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Licencia</w:t>
            </w:r>
          </w:p>
        </w:tc>
        <w:tc>
          <w:tcPr>
            <w:tcW w:w="1949" w:type="dxa"/>
            <w:tcBorders>
              <w:top w:val="nil"/>
              <w:left w:val="nil"/>
              <w:bottom w:val="single" w:sz="4" w:space="0" w:color="auto"/>
              <w:right w:val="single" w:sz="4" w:space="0" w:color="auto"/>
            </w:tcBorders>
            <w:shd w:val="clear" w:color="auto" w:fill="auto"/>
            <w:vAlign w:val="center"/>
            <w:hideMark/>
          </w:tcPr>
          <w:p w14:paraId="618CD74C"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90,808,473</w:t>
            </w:r>
          </w:p>
        </w:tc>
      </w:tr>
      <w:tr w:rsidR="005D4A9A" w:rsidRPr="00250D2A" w14:paraId="7725ABE4" w14:textId="77777777" w:rsidTr="00250D2A">
        <w:trPr>
          <w:trHeight w:val="3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B99DE1" w14:textId="77777777" w:rsidR="005D4A9A" w:rsidRPr="00250D2A" w:rsidRDefault="005D4A9A" w:rsidP="005D4A9A">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Otros Activos Intangibles</w:t>
            </w:r>
          </w:p>
        </w:tc>
        <w:tc>
          <w:tcPr>
            <w:tcW w:w="1949" w:type="dxa"/>
            <w:tcBorders>
              <w:top w:val="nil"/>
              <w:left w:val="nil"/>
              <w:bottom w:val="single" w:sz="4" w:space="0" w:color="auto"/>
              <w:right w:val="single" w:sz="4" w:space="0" w:color="auto"/>
            </w:tcBorders>
            <w:shd w:val="clear" w:color="auto" w:fill="auto"/>
            <w:vAlign w:val="center"/>
            <w:hideMark/>
          </w:tcPr>
          <w:p w14:paraId="0DEA78B7"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427,964</w:t>
            </w:r>
          </w:p>
        </w:tc>
      </w:tr>
      <w:tr w:rsidR="005D4A9A" w:rsidRPr="005D4A9A" w14:paraId="2994AAB0" w14:textId="77777777" w:rsidTr="00250D2A">
        <w:trPr>
          <w:trHeight w:val="341"/>
        </w:trPr>
        <w:tc>
          <w:tcPr>
            <w:tcW w:w="4106" w:type="dxa"/>
            <w:tcBorders>
              <w:top w:val="nil"/>
              <w:left w:val="single" w:sz="4" w:space="0" w:color="auto"/>
              <w:bottom w:val="single" w:sz="4" w:space="0" w:color="auto"/>
              <w:right w:val="single" w:sz="4" w:space="0" w:color="auto"/>
            </w:tcBorders>
            <w:shd w:val="clear" w:color="000000" w:fill="AB0033"/>
            <w:vAlign w:val="center"/>
            <w:hideMark/>
          </w:tcPr>
          <w:p w14:paraId="7B40387E" w14:textId="77777777" w:rsidR="005D4A9A" w:rsidRPr="005D4A9A" w:rsidRDefault="005D4A9A" w:rsidP="005D4A9A">
            <w:pPr>
              <w:spacing w:after="0" w:line="240" w:lineRule="auto"/>
              <w:jc w:val="center"/>
              <w:rPr>
                <w:rFonts w:eastAsia="Times New Roman" w:cs="Calibri"/>
                <w:b/>
                <w:bCs/>
                <w:color w:val="FFFFFF"/>
                <w:sz w:val="16"/>
                <w:szCs w:val="16"/>
                <w:lang w:eastAsia="es-MX"/>
              </w:rPr>
            </w:pPr>
            <w:r w:rsidRPr="005D4A9A">
              <w:rPr>
                <w:rFonts w:eastAsia="Times New Roman" w:cs="Calibri"/>
                <w:b/>
                <w:bCs/>
                <w:color w:val="FFFFFF"/>
                <w:sz w:val="16"/>
                <w:szCs w:val="16"/>
                <w:lang w:eastAsia="es-MX"/>
              </w:rPr>
              <w:t>Fideicomisos</w:t>
            </w:r>
          </w:p>
        </w:tc>
        <w:tc>
          <w:tcPr>
            <w:tcW w:w="1949" w:type="dxa"/>
            <w:tcBorders>
              <w:top w:val="nil"/>
              <w:left w:val="nil"/>
              <w:bottom w:val="single" w:sz="4" w:space="0" w:color="auto"/>
              <w:right w:val="single" w:sz="4" w:space="0" w:color="auto"/>
            </w:tcBorders>
            <w:shd w:val="clear" w:color="000000" w:fill="AB0033"/>
            <w:vAlign w:val="center"/>
            <w:hideMark/>
          </w:tcPr>
          <w:p w14:paraId="69C444EA" w14:textId="77777777" w:rsidR="005D4A9A" w:rsidRPr="005D4A9A" w:rsidRDefault="005D4A9A" w:rsidP="005D4A9A">
            <w:pPr>
              <w:spacing w:after="0" w:line="240" w:lineRule="auto"/>
              <w:jc w:val="center"/>
              <w:rPr>
                <w:rFonts w:eastAsia="Times New Roman" w:cs="Calibri"/>
                <w:b/>
                <w:bCs/>
                <w:color w:val="FFFFFF"/>
                <w:sz w:val="16"/>
                <w:szCs w:val="16"/>
                <w:lang w:eastAsia="es-MX"/>
              </w:rPr>
            </w:pPr>
            <w:r w:rsidRPr="005D4A9A">
              <w:rPr>
                <w:rFonts w:eastAsia="Times New Roman" w:cs="Calibri"/>
                <w:b/>
                <w:bCs/>
                <w:color w:val="FFFFFF"/>
                <w:sz w:val="16"/>
                <w:szCs w:val="16"/>
                <w:lang w:eastAsia="es-MX"/>
              </w:rPr>
              <w:t> </w:t>
            </w:r>
          </w:p>
        </w:tc>
      </w:tr>
      <w:tr w:rsidR="005D4A9A" w:rsidRPr="00250D2A" w14:paraId="64225DE0" w14:textId="77777777" w:rsidTr="00250D2A">
        <w:trPr>
          <w:trHeight w:val="3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764E812" w14:textId="77777777" w:rsidR="005D4A9A" w:rsidRPr="00250D2A" w:rsidRDefault="005D4A9A" w:rsidP="005D4A9A">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Software</w:t>
            </w:r>
          </w:p>
        </w:tc>
        <w:tc>
          <w:tcPr>
            <w:tcW w:w="1949" w:type="dxa"/>
            <w:tcBorders>
              <w:top w:val="nil"/>
              <w:left w:val="nil"/>
              <w:bottom w:val="single" w:sz="4" w:space="0" w:color="auto"/>
              <w:right w:val="single" w:sz="4" w:space="0" w:color="auto"/>
            </w:tcBorders>
            <w:shd w:val="clear" w:color="auto" w:fill="auto"/>
            <w:vAlign w:val="center"/>
            <w:hideMark/>
          </w:tcPr>
          <w:p w14:paraId="0527D4FB"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12,254,806</w:t>
            </w:r>
          </w:p>
        </w:tc>
      </w:tr>
      <w:tr w:rsidR="005D4A9A" w:rsidRPr="00250D2A" w14:paraId="65F273D7" w14:textId="77777777" w:rsidTr="00250D2A">
        <w:trPr>
          <w:trHeight w:val="3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78392A" w14:textId="77777777" w:rsidR="005D4A9A" w:rsidRPr="00250D2A" w:rsidRDefault="005D4A9A" w:rsidP="005D4A9A">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Licencia</w:t>
            </w:r>
          </w:p>
        </w:tc>
        <w:tc>
          <w:tcPr>
            <w:tcW w:w="1949" w:type="dxa"/>
            <w:tcBorders>
              <w:top w:val="nil"/>
              <w:left w:val="nil"/>
              <w:bottom w:val="single" w:sz="4" w:space="0" w:color="auto"/>
              <w:right w:val="single" w:sz="4" w:space="0" w:color="auto"/>
            </w:tcBorders>
            <w:shd w:val="clear" w:color="auto" w:fill="auto"/>
            <w:vAlign w:val="center"/>
            <w:hideMark/>
          </w:tcPr>
          <w:p w14:paraId="4035AB1E"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52,500</w:t>
            </w:r>
          </w:p>
        </w:tc>
      </w:tr>
      <w:tr w:rsidR="005D4A9A" w:rsidRPr="00250D2A" w14:paraId="22BBEFC0" w14:textId="77777777" w:rsidTr="00250D2A">
        <w:trPr>
          <w:trHeight w:val="3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152E60F" w14:textId="77777777" w:rsidR="005D4A9A" w:rsidRPr="00250D2A" w:rsidRDefault="005D4A9A" w:rsidP="005D4A9A">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Concesiones y Franquicias</w:t>
            </w:r>
          </w:p>
        </w:tc>
        <w:tc>
          <w:tcPr>
            <w:tcW w:w="1949" w:type="dxa"/>
            <w:tcBorders>
              <w:top w:val="nil"/>
              <w:left w:val="nil"/>
              <w:bottom w:val="single" w:sz="4" w:space="0" w:color="auto"/>
              <w:right w:val="single" w:sz="4" w:space="0" w:color="auto"/>
            </w:tcBorders>
            <w:shd w:val="clear" w:color="auto" w:fill="auto"/>
            <w:vAlign w:val="center"/>
            <w:hideMark/>
          </w:tcPr>
          <w:p w14:paraId="045096F5"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467,533,916</w:t>
            </w:r>
          </w:p>
        </w:tc>
      </w:tr>
      <w:tr w:rsidR="005D4A9A" w:rsidRPr="005D4A9A" w14:paraId="72C441AB" w14:textId="77777777" w:rsidTr="00250D2A">
        <w:trPr>
          <w:trHeight w:val="341"/>
        </w:trPr>
        <w:tc>
          <w:tcPr>
            <w:tcW w:w="4106" w:type="dxa"/>
            <w:tcBorders>
              <w:top w:val="nil"/>
              <w:left w:val="single" w:sz="4" w:space="0" w:color="auto"/>
              <w:bottom w:val="single" w:sz="4" w:space="0" w:color="auto"/>
              <w:right w:val="single" w:sz="4" w:space="0" w:color="auto"/>
            </w:tcBorders>
            <w:shd w:val="clear" w:color="000000" w:fill="DDC9A3"/>
            <w:vAlign w:val="center"/>
            <w:hideMark/>
          </w:tcPr>
          <w:p w14:paraId="1EE95BD0" w14:textId="77777777" w:rsidR="005D4A9A" w:rsidRPr="005D4A9A" w:rsidRDefault="005D4A9A" w:rsidP="005D4A9A">
            <w:pPr>
              <w:spacing w:after="0" w:line="240" w:lineRule="auto"/>
              <w:jc w:val="center"/>
              <w:rPr>
                <w:rFonts w:eastAsia="Times New Roman" w:cs="Calibri"/>
                <w:b/>
                <w:bCs/>
                <w:color w:val="000000"/>
                <w:sz w:val="14"/>
                <w:szCs w:val="14"/>
                <w:lang w:eastAsia="es-MX"/>
              </w:rPr>
            </w:pPr>
            <w:r w:rsidRPr="005D4A9A">
              <w:rPr>
                <w:rFonts w:eastAsia="Times New Roman" w:cs="Calibri"/>
                <w:b/>
                <w:bCs/>
                <w:color w:val="000000"/>
                <w:sz w:val="14"/>
                <w:szCs w:val="14"/>
                <w:lang w:eastAsia="es-MX"/>
              </w:rPr>
              <w:t>TOTAL</w:t>
            </w:r>
          </w:p>
        </w:tc>
        <w:tc>
          <w:tcPr>
            <w:tcW w:w="1949" w:type="dxa"/>
            <w:tcBorders>
              <w:top w:val="nil"/>
              <w:left w:val="nil"/>
              <w:bottom w:val="single" w:sz="4" w:space="0" w:color="auto"/>
              <w:right w:val="single" w:sz="4" w:space="0" w:color="auto"/>
            </w:tcBorders>
            <w:shd w:val="clear" w:color="000000" w:fill="DDC9A3"/>
            <w:vAlign w:val="center"/>
            <w:hideMark/>
          </w:tcPr>
          <w:p w14:paraId="797403D7" w14:textId="77777777" w:rsidR="005D4A9A" w:rsidRPr="005D4A9A" w:rsidRDefault="005D4A9A" w:rsidP="005D4A9A">
            <w:pPr>
              <w:spacing w:after="0" w:line="240" w:lineRule="auto"/>
              <w:jc w:val="right"/>
              <w:rPr>
                <w:rFonts w:eastAsia="Times New Roman" w:cs="Calibri"/>
                <w:b/>
                <w:bCs/>
                <w:color w:val="000000"/>
                <w:sz w:val="14"/>
                <w:szCs w:val="14"/>
                <w:lang w:eastAsia="es-MX"/>
              </w:rPr>
            </w:pPr>
            <w:r w:rsidRPr="005D4A9A">
              <w:rPr>
                <w:rFonts w:eastAsia="Times New Roman" w:cs="Calibri"/>
                <w:b/>
                <w:bCs/>
                <w:color w:val="000000"/>
                <w:sz w:val="14"/>
                <w:szCs w:val="14"/>
                <w:lang w:eastAsia="es-MX"/>
              </w:rPr>
              <w:t>724,487,722</w:t>
            </w:r>
          </w:p>
        </w:tc>
      </w:tr>
    </w:tbl>
    <w:p w14:paraId="7FCC3C86" w14:textId="77777777" w:rsidR="008708D2" w:rsidRPr="005F45A3" w:rsidRDefault="00587F1E" w:rsidP="00B4706F">
      <w:pPr>
        <w:spacing w:after="0" w:line="240" w:lineRule="auto"/>
        <w:jc w:val="both"/>
        <w:rPr>
          <w:rFonts w:asciiTheme="minorHAnsi" w:hAnsiTheme="minorHAnsi" w:cstheme="minorHAnsi"/>
          <w:sz w:val="16"/>
          <w:szCs w:val="16"/>
          <w:lang w:val="es-ES" w:eastAsia="es-ES"/>
        </w:rPr>
      </w:pPr>
      <w:r w:rsidRPr="005F45A3">
        <w:rPr>
          <w:rFonts w:asciiTheme="minorHAnsi" w:hAnsiTheme="minorHAnsi" w:cstheme="minorHAnsi"/>
          <w:sz w:val="16"/>
          <w:szCs w:val="16"/>
          <w:lang w:val="es-ES" w:eastAsia="es-ES"/>
        </w:rPr>
        <w:t xml:space="preserve">  </w:t>
      </w:r>
    </w:p>
    <w:p w14:paraId="7B1898E4" w14:textId="77777777" w:rsidR="0082143F" w:rsidRPr="005F45A3" w:rsidRDefault="00B4706F" w:rsidP="00283828">
      <w:pPr>
        <w:spacing w:after="0" w:line="240" w:lineRule="auto"/>
        <w:jc w:val="both"/>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*La columna de depreciación acumulada incluye los cargos por depreciación de los Activos Intangibles otorgados en comodato, los cuales se registran en la Partida de Otros Activos No Circulantes del Estado de Situación Financiera</w:t>
      </w:r>
    </w:p>
    <w:p w14:paraId="79AE63B4" w14:textId="77777777" w:rsidR="00B4706F" w:rsidRPr="005F45A3" w:rsidRDefault="004352F1" w:rsidP="00283828">
      <w:pPr>
        <w:spacing w:after="0" w:line="240" w:lineRule="auto"/>
        <w:jc w:val="both"/>
        <w:rPr>
          <w:rFonts w:asciiTheme="minorHAnsi" w:eastAsia="Times New Roman" w:hAnsiTheme="minorHAnsi" w:cstheme="minorHAnsi"/>
          <w:sz w:val="14"/>
          <w:szCs w:val="14"/>
          <w:lang w:eastAsia="es-ES"/>
        </w:rPr>
      </w:pPr>
      <w:r w:rsidRPr="005F45A3">
        <w:rPr>
          <w:rFonts w:asciiTheme="minorHAnsi" w:eastAsia="Times New Roman" w:hAnsiTheme="minorHAnsi" w:cstheme="minorHAnsi"/>
          <w:sz w:val="14"/>
          <w:szCs w:val="14"/>
          <w:lang w:eastAsia="es-ES"/>
        </w:rPr>
        <w:t>*</w:t>
      </w:r>
      <w:r w:rsidR="00B4706F" w:rsidRPr="005F45A3">
        <w:rPr>
          <w:rFonts w:asciiTheme="minorHAnsi" w:eastAsia="Times New Roman" w:hAnsiTheme="minorHAnsi" w:cstheme="minorHAnsi"/>
          <w:sz w:val="14"/>
          <w:szCs w:val="14"/>
          <w:lang w:eastAsia="es-ES"/>
        </w:rPr>
        <w:t xml:space="preserve">Las tasas </w:t>
      </w:r>
      <w:r w:rsidRPr="005F45A3">
        <w:rPr>
          <w:rFonts w:asciiTheme="minorHAnsi" w:eastAsia="Times New Roman" w:hAnsiTheme="minorHAnsi" w:cstheme="minorHAnsi"/>
          <w:sz w:val="14"/>
          <w:szCs w:val="14"/>
          <w:lang w:eastAsia="es-ES"/>
        </w:rPr>
        <w:t>exactas de depreciación se enlistan en las notas de gestión administrativa ya que están dadas por clase de activo.</w:t>
      </w:r>
    </w:p>
    <w:p w14:paraId="3233DA6A" w14:textId="77777777" w:rsidR="0082143F" w:rsidRPr="005F45A3" w:rsidRDefault="0082143F" w:rsidP="00283828">
      <w:pPr>
        <w:spacing w:after="0" w:line="240" w:lineRule="auto"/>
        <w:jc w:val="both"/>
        <w:rPr>
          <w:rFonts w:asciiTheme="minorHAnsi" w:eastAsia="Times New Roman" w:hAnsiTheme="minorHAnsi" w:cstheme="minorHAnsi"/>
          <w:sz w:val="28"/>
          <w:szCs w:val="18"/>
          <w:lang w:eastAsia="es-ES"/>
        </w:rPr>
      </w:pPr>
    </w:p>
    <w:p w14:paraId="7ADC2DC5" w14:textId="77777777" w:rsidR="004352F1" w:rsidRPr="005F45A3" w:rsidRDefault="004352F1" w:rsidP="00250D2A">
      <w:pPr>
        <w:pStyle w:val="Texto"/>
        <w:spacing w:after="0" w:line="240" w:lineRule="exact"/>
        <w:ind w:hanging="4"/>
        <w:rPr>
          <w:rFonts w:asciiTheme="minorHAnsi" w:hAnsiTheme="minorHAnsi" w:cstheme="minorHAnsi"/>
          <w:b/>
          <w:szCs w:val="18"/>
          <w:lang w:val="es-MX"/>
        </w:rPr>
      </w:pPr>
      <w:r w:rsidRPr="005F45A3">
        <w:rPr>
          <w:rFonts w:asciiTheme="minorHAnsi" w:hAnsiTheme="minorHAnsi" w:cstheme="minorHAnsi"/>
          <w:b/>
          <w:szCs w:val="18"/>
          <w:lang w:val="es-MX"/>
        </w:rPr>
        <w:t>Activo Diferido</w:t>
      </w:r>
    </w:p>
    <w:p w14:paraId="6BD4CCC9" w14:textId="77777777" w:rsidR="00421CDA" w:rsidRPr="005F45A3" w:rsidRDefault="00421CDA" w:rsidP="004352F1">
      <w:pPr>
        <w:pStyle w:val="Texto"/>
        <w:spacing w:after="0" w:line="240" w:lineRule="exact"/>
        <w:ind w:left="288" w:firstLine="360"/>
        <w:rPr>
          <w:rFonts w:asciiTheme="minorHAnsi" w:hAnsiTheme="minorHAnsi" w:cstheme="minorHAnsi"/>
          <w:szCs w:val="18"/>
          <w:lang w:val="es-MX"/>
        </w:rPr>
      </w:pPr>
    </w:p>
    <w:p w14:paraId="5DC11C5A" w14:textId="5F6D6E50" w:rsidR="00B4706F" w:rsidRPr="00823B51" w:rsidRDefault="00872D46" w:rsidP="00801D27">
      <w:pPr>
        <w:pStyle w:val="Prrafodelista"/>
        <w:numPr>
          <w:ilvl w:val="0"/>
          <w:numId w:val="31"/>
        </w:numPr>
        <w:spacing w:after="0" w:line="240" w:lineRule="auto"/>
        <w:ind w:left="284" w:hanging="284"/>
        <w:rPr>
          <w:rFonts w:asciiTheme="minorHAnsi" w:eastAsia="Times New Roman" w:hAnsiTheme="minorHAnsi" w:cstheme="minorHAnsi"/>
          <w:sz w:val="18"/>
          <w:szCs w:val="18"/>
          <w:lang w:eastAsia="es-ES"/>
        </w:rPr>
      </w:pPr>
      <w:r w:rsidRPr="00823B51">
        <w:rPr>
          <w:rFonts w:asciiTheme="minorHAnsi" w:eastAsia="Times New Roman" w:hAnsiTheme="minorHAnsi" w:cstheme="minorHAnsi"/>
          <w:sz w:val="18"/>
          <w:szCs w:val="18"/>
          <w:lang w:eastAsia="es-ES"/>
        </w:rPr>
        <w:t>El saldo del Activo Diferido se compone de:</w:t>
      </w:r>
    </w:p>
    <w:p w14:paraId="546980BC" w14:textId="77777777" w:rsidR="00713775" w:rsidRPr="005F45A3" w:rsidRDefault="00713775" w:rsidP="00713775">
      <w:pPr>
        <w:spacing w:after="0" w:line="240" w:lineRule="auto"/>
        <w:rPr>
          <w:rFonts w:asciiTheme="minorHAnsi" w:eastAsia="Times New Roman" w:hAnsiTheme="minorHAnsi" w:cstheme="minorHAnsi"/>
          <w:sz w:val="18"/>
          <w:szCs w:val="18"/>
          <w:lang w:eastAsia="es-ES"/>
        </w:rPr>
      </w:pPr>
    </w:p>
    <w:tbl>
      <w:tblPr>
        <w:tblW w:w="6091" w:type="dxa"/>
        <w:tblCellMar>
          <w:left w:w="70" w:type="dxa"/>
          <w:right w:w="70" w:type="dxa"/>
        </w:tblCellMar>
        <w:tblLook w:val="04A0" w:firstRow="1" w:lastRow="0" w:firstColumn="1" w:lastColumn="0" w:noHBand="0" w:noVBand="1"/>
      </w:tblPr>
      <w:tblGrid>
        <w:gridCol w:w="4099"/>
        <w:gridCol w:w="1992"/>
      </w:tblGrid>
      <w:tr w:rsidR="005D4A9A" w:rsidRPr="005D4A9A" w14:paraId="1C67C46C" w14:textId="77777777" w:rsidTr="00250D2A">
        <w:trPr>
          <w:trHeight w:val="300"/>
        </w:trPr>
        <w:tc>
          <w:tcPr>
            <w:tcW w:w="409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566D4FD" w14:textId="77777777" w:rsidR="005D4A9A" w:rsidRPr="005D4A9A" w:rsidRDefault="005D4A9A" w:rsidP="005D4A9A">
            <w:pPr>
              <w:spacing w:after="0" w:line="240" w:lineRule="auto"/>
              <w:jc w:val="center"/>
              <w:rPr>
                <w:rFonts w:eastAsia="Times New Roman" w:cs="Calibri"/>
                <w:b/>
                <w:bCs/>
                <w:color w:val="FFFFFF"/>
                <w:sz w:val="16"/>
                <w:szCs w:val="16"/>
                <w:lang w:eastAsia="es-MX"/>
              </w:rPr>
            </w:pPr>
            <w:r w:rsidRPr="005D4A9A">
              <w:rPr>
                <w:rFonts w:eastAsia="Times New Roman" w:cs="Calibri"/>
                <w:b/>
                <w:bCs/>
                <w:color w:val="FFFFFF"/>
                <w:sz w:val="16"/>
                <w:szCs w:val="16"/>
                <w:lang w:eastAsia="es-MX"/>
              </w:rPr>
              <w:t>Activos Diferidos</w:t>
            </w:r>
          </w:p>
        </w:tc>
        <w:tc>
          <w:tcPr>
            <w:tcW w:w="1992" w:type="dxa"/>
            <w:tcBorders>
              <w:top w:val="single" w:sz="4" w:space="0" w:color="auto"/>
              <w:left w:val="nil"/>
              <w:bottom w:val="single" w:sz="4" w:space="0" w:color="auto"/>
              <w:right w:val="single" w:sz="4" w:space="0" w:color="auto"/>
            </w:tcBorders>
            <w:shd w:val="clear" w:color="000000" w:fill="AB0033"/>
            <w:vAlign w:val="center"/>
            <w:hideMark/>
          </w:tcPr>
          <w:p w14:paraId="1505D923" w14:textId="77777777" w:rsidR="005D4A9A" w:rsidRPr="005D4A9A" w:rsidRDefault="005D4A9A" w:rsidP="005D4A9A">
            <w:pPr>
              <w:spacing w:after="0" w:line="240" w:lineRule="auto"/>
              <w:jc w:val="center"/>
              <w:rPr>
                <w:rFonts w:eastAsia="Times New Roman" w:cs="Calibri"/>
                <w:b/>
                <w:bCs/>
                <w:color w:val="FFFFFF"/>
                <w:sz w:val="16"/>
                <w:szCs w:val="16"/>
                <w:lang w:eastAsia="es-MX"/>
              </w:rPr>
            </w:pPr>
            <w:r w:rsidRPr="005D4A9A">
              <w:rPr>
                <w:rFonts w:eastAsia="Times New Roman" w:cs="Calibri"/>
                <w:b/>
                <w:bCs/>
                <w:color w:val="FFFFFF"/>
                <w:sz w:val="16"/>
                <w:szCs w:val="16"/>
                <w:lang w:eastAsia="es-MX"/>
              </w:rPr>
              <w:t>Importe</w:t>
            </w:r>
          </w:p>
        </w:tc>
      </w:tr>
      <w:tr w:rsidR="005D4A9A" w:rsidRPr="00250D2A" w14:paraId="772DD00D" w14:textId="77777777" w:rsidTr="00250D2A">
        <w:trPr>
          <w:trHeight w:val="350"/>
        </w:trPr>
        <w:tc>
          <w:tcPr>
            <w:tcW w:w="4099" w:type="dxa"/>
            <w:tcBorders>
              <w:top w:val="nil"/>
              <w:left w:val="single" w:sz="4" w:space="0" w:color="auto"/>
              <w:bottom w:val="single" w:sz="4" w:space="0" w:color="auto"/>
              <w:right w:val="single" w:sz="4" w:space="0" w:color="auto"/>
            </w:tcBorders>
            <w:shd w:val="clear" w:color="auto" w:fill="auto"/>
            <w:vAlign w:val="center"/>
            <w:hideMark/>
          </w:tcPr>
          <w:p w14:paraId="53E71942"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xml:space="preserve">Crédito  6'000 MDP </w:t>
            </w:r>
            <w:proofErr w:type="spellStart"/>
            <w:r w:rsidRPr="00250D2A">
              <w:rPr>
                <w:rFonts w:eastAsia="Times New Roman" w:cs="Calibri"/>
                <w:color w:val="000000"/>
                <w:sz w:val="15"/>
                <w:szCs w:val="15"/>
                <w:lang w:eastAsia="es-MX"/>
              </w:rPr>
              <w:t>Fid</w:t>
            </w:r>
            <w:proofErr w:type="spellEnd"/>
            <w:r w:rsidRPr="00250D2A">
              <w:rPr>
                <w:rFonts w:eastAsia="Times New Roman" w:cs="Calibri"/>
                <w:color w:val="000000"/>
                <w:sz w:val="15"/>
                <w:szCs w:val="15"/>
                <w:lang w:eastAsia="es-MX"/>
              </w:rPr>
              <w:t>. No. 904 ISN Banorte</w:t>
            </w:r>
          </w:p>
        </w:tc>
        <w:tc>
          <w:tcPr>
            <w:tcW w:w="1992" w:type="dxa"/>
            <w:tcBorders>
              <w:top w:val="nil"/>
              <w:left w:val="nil"/>
              <w:bottom w:val="single" w:sz="4" w:space="0" w:color="auto"/>
              <w:right w:val="single" w:sz="4" w:space="0" w:color="auto"/>
            </w:tcBorders>
            <w:shd w:val="clear" w:color="auto" w:fill="auto"/>
            <w:noWrap/>
            <w:vAlign w:val="center"/>
            <w:hideMark/>
          </w:tcPr>
          <w:p w14:paraId="63C0D164"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5,198,734,305</w:t>
            </w:r>
          </w:p>
        </w:tc>
      </w:tr>
      <w:tr w:rsidR="005D4A9A" w:rsidRPr="00250D2A" w14:paraId="02484610" w14:textId="77777777" w:rsidTr="00250D2A">
        <w:trPr>
          <w:trHeight w:val="350"/>
        </w:trPr>
        <w:tc>
          <w:tcPr>
            <w:tcW w:w="4099" w:type="dxa"/>
            <w:tcBorders>
              <w:top w:val="nil"/>
              <w:left w:val="single" w:sz="4" w:space="0" w:color="auto"/>
              <w:bottom w:val="single" w:sz="4" w:space="0" w:color="auto"/>
              <w:right w:val="single" w:sz="4" w:space="0" w:color="auto"/>
            </w:tcBorders>
            <w:shd w:val="clear" w:color="auto" w:fill="auto"/>
            <w:vAlign w:val="center"/>
            <w:hideMark/>
          </w:tcPr>
          <w:p w14:paraId="3393840D"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1'500  MDP Bancomer</w:t>
            </w:r>
          </w:p>
        </w:tc>
        <w:tc>
          <w:tcPr>
            <w:tcW w:w="1992" w:type="dxa"/>
            <w:tcBorders>
              <w:top w:val="nil"/>
              <w:left w:val="nil"/>
              <w:bottom w:val="single" w:sz="4" w:space="0" w:color="auto"/>
              <w:right w:val="single" w:sz="4" w:space="0" w:color="auto"/>
            </w:tcBorders>
            <w:shd w:val="clear" w:color="auto" w:fill="auto"/>
            <w:noWrap/>
            <w:vAlign w:val="center"/>
            <w:hideMark/>
          </w:tcPr>
          <w:p w14:paraId="3D3DADFB"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1,161,124,118</w:t>
            </w:r>
          </w:p>
        </w:tc>
      </w:tr>
      <w:tr w:rsidR="005D4A9A" w:rsidRPr="00250D2A" w14:paraId="6667E7C0" w14:textId="77777777" w:rsidTr="00250D2A">
        <w:trPr>
          <w:trHeight w:val="350"/>
        </w:trPr>
        <w:tc>
          <w:tcPr>
            <w:tcW w:w="4099" w:type="dxa"/>
            <w:tcBorders>
              <w:top w:val="nil"/>
              <w:left w:val="single" w:sz="4" w:space="0" w:color="auto"/>
              <w:bottom w:val="single" w:sz="4" w:space="0" w:color="auto"/>
              <w:right w:val="single" w:sz="4" w:space="0" w:color="auto"/>
            </w:tcBorders>
            <w:shd w:val="clear" w:color="auto" w:fill="auto"/>
            <w:vAlign w:val="center"/>
            <w:hideMark/>
          </w:tcPr>
          <w:p w14:paraId="29B4790E"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1'000  MDP Bancomer</w:t>
            </w:r>
          </w:p>
        </w:tc>
        <w:tc>
          <w:tcPr>
            <w:tcW w:w="1992" w:type="dxa"/>
            <w:tcBorders>
              <w:top w:val="nil"/>
              <w:left w:val="nil"/>
              <w:bottom w:val="single" w:sz="4" w:space="0" w:color="auto"/>
              <w:right w:val="single" w:sz="4" w:space="0" w:color="auto"/>
            </w:tcBorders>
            <w:shd w:val="clear" w:color="auto" w:fill="auto"/>
            <w:noWrap/>
            <w:vAlign w:val="center"/>
            <w:hideMark/>
          </w:tcPr>
          <w:p w14:paraId="0B94CC22"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389,194,155</w:t>
            </w:r>
          </w:p>
        </w:tc>
      </w:tr>
      <w:tr w:rsidR="005D4A9A" w:rsidRPr="00250D2A" w14:paraId="03C2128B" w14:textId="77777777" w:rsidTr="00250D2A">
        <w:trPr>
          <w:trHeight w:val="350"/>
        </w:trPr>
        <w:tc>
          <w:tcPr>
            <w:tcW w:w="4099" w:type="dxa"/>
            <w:tcBorders>
              <w:top w:val="nil"/>
              <w:left w:val="single" w:sz="4" w:space="0" w:color="auto"/>
              <w:bottom w:val="single" w:sz="4" w:space="0" w:color="auto"/>
              <w:right w:val="single" w:sz="4" w:space="0" w:color="auto"/>
            </w:tcBorders>
            <w:shd w:val="clear" w:color="auto" w:fill="auto"/>
            <w:vAlign w:val="center"/>
            <w:hideMark/>
          </w:tcPr>
          <w:p w14:paraId="3B32A1D1"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Fideicomiso FITABEC</w:t>
            </w:r>
          </w:p>
        </w:tc>
        <w:tc>
          <w:tcPr>
            <w:tcW w:w="1992" w:type="dxa"/>
            <w:tcBorders>
              <w:top w:val="nil"/>
              <w:left w:val="nil"/>
              <w:bottom w:val="single" w:sz="4" w:space="0" w:color="auto"/>
              <w:right w:val="single" w:sz="4" w:space="0" w:color="auto"/>
            </w:tcBorders>
            <w:shd w:val="clear" w:color="auto" w:fill="auto"/>
            <w:noWrap/>
            <w:vAlign w:val="center"/>
            <w:hideMark/>
          </w:tcPr>
          <w:p w14:paraId="2076AC70"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96,877,012</w:t>
            </w:r>
          </w:p>
        </w:tc>
      </w:tr>
      <w:tr w:rsidR="005D4A9A" w:rsidRPr="00250D2A" w14:paraId="7E642BCA" w14:textId="77777777" w:rsidTr="00250D2A">
        <w:trPr>
          <w:trHeight w:val="350"/>
        </w:trPr>
        <w:tc>
          <w:tcPr>
            <w:tcW w:w="4099" w:type="dxa"/>
            <w:tcBorders>
              <w:top w:val="nil"/>
              <w:left w:val="single" w:sz="4" w:space="0" w:color="auto"/>
              <w:bottom w:val="single" w:sz="4" w:space="0" w:color="auto"/>
              <w:right w:val="single" w:sz="4" w:space="0" w:color="auto"/>
            </w:tcBorders>
            <w:shd w:val="clear" w:color="auto" w:fill="auto"/>
            <w:vAlign w:val="center"/>
            <w:hideMark/>
          </w:tcPr>
          <w:p w14:paraId="474E0768"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xml:space="preserve">Crédito 187 MDP </w:t>
            </w:r>
            <w:proofErr w:type="spellStart"/>
            <w:r w:rsidRPr="00250D2A">
              <w:rPr>
                <w:rFonts w:eastAsia="Times New Roman" w:cs="Calibri"/>
                <w:color w:val="000000"/>
                <w:sz w:val="15"/>
                <w:szCs w:val="15"/>
                <w:lang w:eastAsia="es-MX"/>
              </w:rPr>
              <w:t>Banobras</w:t>
            </w:r>
            <w:proofErr w:type="spellEnd"/>
            <w:r w:rsidRPr="00250D2A">
              <w:rPr>
                <w:rFonts w:eastAsia="Times New Roman" w:cs="Calibri"/>
                <w:color w:val="000000"/>
                <w:sz w:val="15"/>
                <w:szCs w:val="15"/>
                <w:lang w:eastAsia="es-MX"/>
              </w:rPr>
              <w:t xml:space="preserve"> (Bono Cupón Cero)</w:t>
            </w:r>
          </w:p>
        </w:tc>
        <w:tc>
          <w:tcPr>
            <w:tcW w:w="1992" w:type="dxa"/>
            <w:tcBorders>
              <w:top w:val="nil"/>
              <w:left w:val="nil"/>
              <w:bottom w:val="single" w:sz="4" w:space="0" w:color="auto"/>
              <w:right w:val="single" w:sz="4" w:space="0" w:color="auto"/>
            </w:tcBorders>
            <w:shd w:val="clear" w:color="auto" w:fill="auto"/>
            <w:noWrap/>
            <w:vAlign w:val="center"/>
            <w:hideMark/>
          </w:tcPr>
          <w:p w14:paraId="177F015E"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                                96,804,480 </w:t>
            </w:r>
          </w:p>
        </w:tc>
      </w:tr>
      <w:tr w:rsidR="005D4A9A" w:rsidRPr="00250D2A" w14:paraId="45C37A96" w14:textId="77777777" w:rsidTr="00250D2A">
        <w:trPr>
          <w:trHeight w:val="350"/>
        </w:trPr>
        <w:tc>
          <w:tcPr>
            <w:tcW w:w="4099" w:type="dxa"/>
            <w:tcBorders>
              <w:top w:val="nil"/>
              <w:left w:val="single" w:sz="4" w:space="0" w:color="auto"/>
              <w:bottom w:val="single" w:sz="4" w:space="0" w:color="auto"/>
              <w:right w:val="single" w:sz="4" w:space="0" w:color="auto"/>
            </w:tcBorders>
            <w:shd w:val="clear" w:color="auto" w:fill="auto"/>
            <w:vAlign w:val="center"/>
            <w:hideMark/>
          </w:tcPr>
          <w:p w14:paraId="63F0F0DF"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xml:space="preserve">Crédito 183 MDP </w:t>
            </w:r>
            <w:proofErr w:type="spellStart"/>
            <w:r w:rsidRPr="00250D2A">
              <w:rPr>
                <w:rFonts w:eastAsia="Times New Roman" w:cs="Calibri"/>
                <w:color w:val="000000"/>
                <w:sz w:val="15"/>
                <w:szCs w:val="15"/>
                <w:lang w:eastAsia="es-MX"/>
              </w:rPr>
              <w:t>Banobras</w:t>
            </w:r>
            <w:proofErr w:type="spellEnd"/>
            <w:r w:rsidRPr="00250D2A">
              <w:rPr>
                <w:rFonts w:eastAsia="Times New Roman" w:cs="Calibri"/>
                <w:color w:val="000000"/>
                <w:sz w:val="15"/>
                <w:szCs w:val="15"/>
                <w:lang w:eastAsia="es-MX"/>
              </w:rPr>
              <w:t xml:space="preserve"> (Bono Cupón Cero)</w:t>
            </w:r>
          </w:p>
        </w:tc>
        <w:tc>
          <w:tcPr>
            <w:tcW w:w="1992" w:type="dxa"/>
            <w:tcBorders>
              <w:top w:val="nil"/>
              <w:left w:val="nil"/>
              <w:bottom w:val="single" w:sz="4" w:space="0" w:color="auto"/>
              <w:right w:val="single" w:sz="4" w:space="0" w:color="auto"/>
            </w:tcBorders>
            <w:shd w:val="clear" w:color="auto" w:fill="auto"/>
            <w:noWrap/>
            <w:vAlign w:val="center"/>
            <w:hideMark/>
          </w:tcPr>
          <w:p w14:paraId="2D558B08"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84,929,337</w:t>
            </w:r>
          </w:p>
        </w:tc>
      </w:tr>
      <w:tr w:rsidR="005D4A9A" w:rsidRPr="00250D2A" w14:paraId="27556FE6" w14:textId="77777777" w:rsidTr="00250D2A">
        <w:trPr>
          <w:trHeight w:val="350"/>
        </w:trPr>
        <w:tc>
          <w:tcPr>
            <w:tcW w:w="4099" w:type="dxa"/>
            <w:tcBorders>
              <w:top w:val="nil"/>
              <w:left w:val="single" w:sz="4" w:space="0" w:color="auto"/>
              <w:bottom w:val="single" w:sz="4" w:space="0" w:color="auto"/>
              <w:right w:val="single" w:sz="4" w:space="0" w:color="auto"/>
            </w:tcBorders>
            <w:shd w:val="clear" w:color="auto" w:fill="auto"/>
            <w:vAlign w:val="center"/>
            <w:hideMark/>
          </w:tcPr>
          <w:p w14:paraId="7742ADAC"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Fideicomiso Fondo M. Reynosa y Río Bravo.</w:t>
            </w:r>
          </w:p>
        </w:tc>
        <w:tc>
          <w:tcPr>
            <w:tcW w:w="1992" w:type="dxa"/>
            <w:tcBorders>
              <w:top w:val="nil"/>
              <w:left w:val="nil"/>
              <w:bottom w:val="single" w:sz="4" w:space="0" w:color="auto"/>
              <w:right w:val="single" w:sz="4" w:space="0" w:color="auto"/>
            </w:tcBorders>
            <w:shd w:val="clear" w:color="auto" w:fill="auto"/>
            <w:noWrap/>
            <w:vAlign w:val="center"/>
            <w:hideMark/>
          </w:tcPr>
          <w:p w14:paraId="540D8FE0"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1,473,911</w:t>
            </w:r>
          </w:p>
        </w:tc>
      </w:tr>
      <w:tr w:rsidR="005D4A9A" w:rsidRPr="00250D2A" w14:paraId="1221FA88" w14:textId="77777777" w:rsidTr="00250D2A">
        <w:trPr>
          <w:trHeight w:val="350"/>
        </w:trPr>
        <w:tc>
          <w:tcPr>
            <w:tcW w:w="4099" w:type="dxa"/>
            <w:tcBorders>
              <w:top w:val="nil"/>
              <w:left w:val="single" w:sz="4" w:space="0" w:color="auto"/>
              <w:bottom w:val="single" w:sz="4" w:space="0" w:color="auto"/>
              <w:right w:val="single" w:sz="4" w:space="0" w:color="auto"/>
            </w:tcBorders>
            <w:shd w:val="clear" w:color="auto" w:fill="auto"/>
            <w:vAlign w:val="center"/>
            <w:hideMark/>
          </w:tcPr>
          <w:p w14:paraId="13B29722" w14:textId="77777777" w:rsidR="005D4A9A" w:rsidRPr="00250D2A" w:rsidRDefault="005D4A9A" w:rsidP="005D4A9A">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Fideicomiso Fdo. M Matamoros</w:t>
            </w:r>
          </w:p>
        </w:tc>
        <w:tc>
          <w:tcPr>
            <w:tcW w:w="1992" w:type="dxa"/>
            <w:tcBorders>
              <w:top w:val="nil"/>
              <w:left w:val="nil"/>
              <w:bottom w:val="single" w:sz="4" w:space="0" w:color="auto"/>
              <w:right w:val="single" w:sz="4" w:space="0" w:color="auto"/>
            </w:tcBorders>
            <w:shd w:val="clear" w:color="auto" w:fill="auto"/>
            <w:noWrap/>
            <w:vAlign w:val="center"/>
            <w:hideMark/>
          </w:tcPr>
          <w:p w14:paraId="455CBF41" w14:textId="77777777" w:rsidR="005D4A9A" w:rsidRPr="00250D2A" w:rsidRDefault="005D4A9A" w:rsidP="005D4A9A">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1,289,672</w:t>
            </w:r>
          </w:p>
        </w:tc>
      </w:tr>
      <w:tr w:rsidR="005D4A9A" w:rsidRPr="005D4A9A" w14:paraId="1D6A1012" w14:textId="77777777" w:rsidTr="00250D2A">
        <w:trPr>
          <w:trHeight w:val="290"/>
        </w:trPr>
        <w:tc>
          <w:tcPr>
            <w:tcW w:w="4099" w:type="dxa"/>
            <w:tcBorders>
              <w:top w:val="nil"/>
              <w:left w:val="single" w:sz="4" w:space="0" w:color="auto"/>
              <w:bottom w:val="single" w:sz="4" w:space="0" w:color="auto"/>
              <w:right w:val="single" w:sz="4" w:space="0" w:color="auto"/>
            </w:tcBorders>
            <w:shd w:val="clear" w:color="000000" w:fill="DDC9A3"/>
            <w:vAlign w:val="center"/>
            <w:hideMark/>
          </w:tcPr>
          <w:p w14:paraId="3C94E5AF" w14:textId="77777777" w:rsidR="005D4A9A" w:rsidRPr="005D4A9A" w:rsidRDefault="005D4A9A" w:rsidP="005D4A9A">
            <w:pPr>
              <w:spacing w:after="0" w:line="240" w:lineRule="auto"/>
              <w:jc w:val="center"/>
              <w:rPr>
                <w:rFonts w:eastAsia="Times New Roman" w:cs="Calibri"/>
                <w:b/>
                <w:bCs/>
                <w:color w:val="000000"/>
                <w:sz w:val="14"/>
                <w:szCs w:val="14"/>
                <w:lang w:eastAsia="es-MX"/>
              </w:rPr>
            </w:pPr>
            <w:r w:rsidRPr="005D4A9A">
              <w:rPr>
                <w:rFonts w:eastAsia="Times New Roman" w:cs="Calibri"/>
                <w:b/>
                <w:bCs/>
                <w:color w:val="000000"/>
                <w:sz w:val="14"/>
                <w:szCs w:val="14"/>
                <w:lang w:eastAsia="es-MX"/>
              </w:rPr>
              <w:t>Total</w:t>
            </w:r>
          </w:p>
        </w:tc>
        <w:tc>
          <w:tcPr>
            <w:tcW w:w="1992" w:type="dxa"/>
            <w:tcBorders>
              <w:top w:val="nil"/>
              <w:left w:val="nil"/>
              <w:bottom w:val="single" w:sz="4" w:space="0" w:color="auto"/>
              <w:right w:val="single" w:sz="4" w:space="0" w:color="auto"/>
            </w:tcBorders>
            <w:shd w:val="clear" w:color="000000" w:fill="DDC9A3"/>
            <w:vAlign w:val="center"/>
            <w:hideMark/>
          </w:tcPr>
          <w:p w14:paraId="373C3FD8" w14:textId="77777777" w:rsidR="005D4A9A" w:rsidRPr="005D4A9A" w:rsidRDefault="005D4A9A" w:rsidP="005D4A9A">
            <w:pPr>
              <w:spacing w:after="0" w:line="240" w:lineRule="auto"/>
              <w:jc w:val="right"/>
              <w:rPr>
                <w:rFonts w:eastAsia="Times New Roman" w:cs="Calibri"/>
                <w:b/>
                <w:bCs/>
                <w:color w:val="000000"/>
                <w:sz w:val="14"/>
                <w:szCs w:val="14"/>
                <w:lang w:eastAsia="es-MX"/>
              </w:rPr>
            </w:pPr>
            <w:r w:rsidRPr="005D4A9A">
              <w:rPr>
                <w:rFonts w:eastAsia="Times New Roman" w:cs="Calibri"/>
                <w:b/>
                <w:bCs/>
                <w:color w:val="000000"/>
                <w:sz w:val="14"/>
                <w:szCs w:val="14"/>
                <w:lang w:eastAsia="es-MX"/>
              </w:rPr>
              <w:t>7,030,426,990</w:t>
            </w:r>
          </w:p>
        </w:tc>
      </w:tr>
    </w:tbl>
    <w:p w14:paraId="7A2752A0" w14:textId="77777777" w:rsidR="00713775" w:rsidRPr="005F45A3" w:rsidRDefault="00713775" w:rsidP="00713775">
      <w:pPr>
        <w:spacing w:after="0" w:line="240" w:lineRule="auto"/>
        <w:rPr>
          <w:rFonts w:asciiTheme="minorHAnsi" w:eastAsia="Times New Roman" w:hAnsiTheme="minorHAnsi" w:cstheme="minorHAnsi"/>
          <w:sz w:val="18"/>
          <w:szCs w:val="18"/>
          <w:lang w:eastAsia="es-ES"/>
        </w:rPr>
      </w:pPr>
    </w:p>
    <w:p w14:paraId="64EFA259" w14:textId="15FB7DBB" w:rsidR="00D953E3" w:rsidRPr="005F45A3" w:rsidRDefault="00872D46" w:rsidP="00D953E3">
      <w:pPr>
        <w:pStyle w:val="ROMANOS"/>
        <w:tabs>
          <w:tab w:val="clear" w:pos="720"/>
          <w:tab w:val="left" w:pos="284"/>
        </w:tabs>
        <w:spacing w:after="0" w:line="240" w:lineRule="exact"/>
        <w:ind w:left="0" w:firstLine="0"/>
        <w:rPr>
          <w:rFonts w:asciiTheme="minorHAnsi" w:hAnsiTheme="minorHAnsi" w:cstheme="minorHAnsi"/>
          <w:lang w:val="es-MX"/>
        </w:rPr>
      </w:pPr>
      <w:r w:rsidRPr="005F45A3">
        <w:rPr>
          <w:rFonts w:asciiTheme="minorHAnsi" w:hAnsiTheme="minorHAnsi" w:cstheme="minorHAnsi"/>
          <w:lang w:val="es-MX"/>
        </w:rPr>
        <w:t xml:space="preserve">Dentro </w:t>
      </w:r>
      <w:r w:rsidR="00D953E3" w:rsidRPr="005F45A3">
        <w:rPr>
          <w:rFonts w:asciiTheme="minorHAnsi" w:hAnsiTheme="minorHAnsi" w:cstheme="minorHAnsi"/>
          <w:lang w:val="es-MX"/>
        </w:rPr>
        <w:t>de este total, la cantidad de $</w:t>
      </w:r>
      <w:r w:rsidR="00713775" w:rsidRPr="005F45A3">
        <w:rPr>
          <w:rFonts w:asciiTheme="minorHAnsi" w:hAnsiTheme="minorHAnsi" w:cstheme="minorHAnsi"/>
          <w:lang w:val="es-MX"/>
        </w:rPr>
        <w:t>6,</w:t>
      </w:r>
      <w:r w:rsidR="005D4A9A">
        <w:rPr>
          <w:rFonts w:asciiTheme="minorHAnsi" w:hAnsiTheme="minorHAnsi" w:cstheme="minorHAnsi"/>
          <w:lang w:val="es-MX"/>
        </w:rPr>
        <w:t>749,052,578</w:t>
      </w:r>
      <w:r w:rsidR="00713775" w:rsidRPr="005F45A3">
        <w:rPr>
          <w:rFonts w:asciiTheme="minorHAnsi" w:hAnsiTheme="minorHAnsi" w:cstheme="minorHAnsi"/>
          <w:lang w:val="es-MX"/>
        </w:rPr>
        <w:t>,</w:t>
      </w:r>
      <w:r w:rsidR="00D953E3" w:rsidRPr="005F45A3">
        <w:rPr>
          <w:rFonts w:asciiTheme="minorHAnsi" w:hAnsiTheme="minorHAnsi" w:cstheme="minorHAnsi"/>
          <w:lang w:val="es-MX"/>
        </w:rPr>
        <w:t xml:space="preserve"> corresponde al registro que se acumuló debido al  criterio utilizado anterior a la aplicación de la Ley General de Contabilidad Gubernamental,  el cual tenía el propósito de reflejar el compromiso contraído y que los recursos de la  Deuda Pública se identificaran y ejercieran en acciones de Obra Pública, por lo cual se venían utilizando la cuenta “Capital Obra Pública Financiada”, como cuenta complementaria de Activo  y al realizarse el pago de las obligaciones se utilizaba simultáneamente con la de Pasivo No Circulante (Documentos por Pagar a Largo Plazo), ya que con las nueva disposición de Ley esa cuenta no pudo ser reclasificada a ninguna otra cuenta del Catálogo de Cuentas del Consejo Nac</w:t>
      </w:r>
      <w:r w:rsidR="000B5805">
        <w:rPr>
          <w:rFonts w:asciiTheme="minorHAnsi" w:hAnsiTheme="minorHAnsi" w:cstheme="minorHAnsi"/>
          <w:lang w:val="es-MX"/>
        </w:rPr>
        <w:t>ional de Armonización Contable y se dejó en la cuenta de Activo Diferido.</w:t>
      </w:r>
    </w:p>
    <w:p w14:paraId="1078346B" w14:textId="77777777" w:rsidR="00D07703" w:rsidRPr="005F45A3" w:rsidRDefault="00D07703" w:rsidP="00D953E3">
      <w:pPr>
        <w:pStyle w:val="ROMANOS"/>
        <w:tabs>
          <w:tab w:val="clear" w:pos="720"/>
          <w:tab w:val="left" w:pos="284"/>
        </w:tabs>
        <w:spacing w:after="0" w:line="240" w:lineRule="exact"/>
        <w:ind w:left="0" w:firstLine="0"/>
        <w:rPr>
          <w:rFonts w:asciiTheme="minorHAnsi" w:hAnsiTheme="minorHAnsi" w:cstheme="minorHAnsi"/>
          <w:lang w:val="es-MX"/>
        </w:rPr>
      </w:pPr>
    </w:p>
    <w:p w14:paraId="58342CF0" w14:textId="4358A955" w:rsidR="00872D46" w:rsidRPr="005F45A3" w:rsidRDefault="00D953E3"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Se incluye también en este Rubro el Activo Diferido de Fideicomisos por $</w:t>
      </w:r>
      <w:r w:rsidR="00D536BD">
        <w:rPr>
          <w:rFonts w:asciiTheme="minorHAnsi" w:eastAsia="Times New Roman" w:hAnsiTheme="minorHAnsi" w:cstheme="minorHAnsi"/>
          <w:sz w:val="18"/>
          <w:szCs w:val="18"/>
          <w:lang w:eastAsia="es-ES"/>
        </w:rPr>
        <w:t>99</w:t>
      </w:r>
      <w:proofErr w:type="gramStart"/>
      <w:r w:rsidR="00D536BD">
        <w:rPr>
          <w:rFonts w:asciiTheme="minorHAnsi" w:eastAsia="Times New Roman" w:hAnsiTheme="minorHAnsi" w:cstheme="minorHAnsi"/>
          <w:sz w:val="18"/>
          <w:szCs w:val="18"/>
          <w:lang w:eastAsia="es-ES"/>
        </w:rPr>
        <w:t>,640,594</w:t>
      </w:r>
      <w:proofErr w:type="gramEnd"/>
      <w:r w:rsidR="00F055B7" w:rsidRPr="005F45A3">
        <w:rPr>
          <w:rFonts w:asciiTheme="minorHAnsi" w:eastAsia="Times New Roman" w:hAnsiTheme="minorHAnsi" w:cstheme="minorHAnsi"/>
          <w:sz w:val="18"/>
          <w:szCs w:val="18"/>
          <w:lang w:eastAsia="es-ES"/>
        </w:rPr>
        <w:t>, básicamente integrado por el Fideicomiso del Instituto Tamaulipeco de Becas, Estímulos y Créditos Educativos con la cantidad de $</w:t>
      </w:r>
      <w:r w:rsidR="00D536BD">
        <w:rPr>
          <w:rFonts w:asciiTheme="minorHAnsi" w:eastAsia="Times New Roman" w:hAnsiTheme="minorHAnsi" w:cstheme="minorHAnsi"/>
          <w:sz w:val="18"/>
          <w:szCs w:val="18"/>
          <w:lang w:eastAsia="es-ES"/>
        </w:rPr>
        <w:t>96,877,012</w:t>
      </w:r>
      <w:r w:rsidR="00F055B7" w:rsidRPr="005F45A3">
        <w:rPr>
          <w:rFonts w:asciiTheme="minorHAnsi" w:eastAsia="Times New Roman" w:hAnsiTheme="minorHAnsi" w:cstheme="minorHAnsi"/>
          <w:sz w:val="18"/>
          <w:szCs w:val="18"/>
          <w:lang w:eastAsia="es-ES"/>
        </w:rPr>
        <w:t>.</w:t>
      </w:r>
    </w:p>
    <w:p w14:paraId="64ACCFA6" w14:textId="77777777" w:rsidR="00D97E57" w:rsidRPr="005F45A3" w:rsidRDefault="00D97E57" w:rsidP="00D953E3">
      <w:pPr>
        <w:spacing w:after="0" w:line="240" w:lineRule="auto"/>
        <w:jc w:val="both"/>
        <w:rPr>
          <w:rFonts w:asciiTheme="minorHAnsi" w:eastAsia="Times New Roman" w:hAnsiTheme="minorHAnsi" w:cstheme="minorHAnsi"/>
          <w:sz w:val="18"/>
          <w:szCs w:val="18"/>
          <w:lang w:eastAsia="es-ES"/>
        </w:rPr>
      </w:pPr>
    </w:p>
    <w:p w14:paraId="54A6F2B0" w14:textId="75F32FF8" w:rsidR="00D51F6E" w:rsidRPr="005F45A3" w:rsidRDefault="000F5346"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Con la finalidad de ir aplicando las amortizaciones de los créditos correspondientes al registro acumulado antes referido p</w:t>
      </w:r>
      <w:r w:rsidR="00B80336" w:rsidRPr="005F45A3">
        <w:rPr>
          <w:rFonts w:asciiTheme="minorHAnsi" w:eastAsia="Times New Roman" w:hAnsiTheme="minorHAnsi" w:cstheme="minorHAnsi"/>
          <w:sz w:val="18"/>
          <w:szCs w:val="18"/>
          <w:lang w:eastAsia="es-ES"/>
        </w:rPr>
        <w:t xml:space="preserve">ara </w:t>
      </w:r>
      <w:r w:rsidRPr="005F45A3">
        <w:rPr>
          <w:rFonts w:asciiTheme="minorHAnsi" w:eastAsia="Times New Roman" w:hAnsiTheme="minorHAnsi" w:cstheme="minorHAnsi"/>
          <w:sz w:val="18"/>
          <w:szCs w:val="18"/>
          <w:lang w:eastAsia="es-ES"/>
        </w:rPr>
        <w:t>el</w:t>
      </w:r>
      <w:r w:rsidR="00B80336" w:rsidRPr="005F45A3">
        <w:rPr>
          <w:rFonts w:asciiTheme="minorHAnsi" w:eastAsia="Times New Roman" w:hAnsiTheme="minorHAnsi" w:cstheme="minorHAnsi"/>
          <w:sz w:val="18"/>
          <w:szCs w:val="18"/>
          <w:lang w:eastAsia="es-ES"/>
        </w:rPr>
        <w:t xml:space="preserve"> cierre de</w:t>
      </w:r>
      <w:r w:rsidRPr="005F45A3">
        <w:rPr>
          <w:rFonts w:asciiTheme="minorHAnsi" w:eastAsia="Times New Roman" w:hAnsiTheme="minorHAnsi" w:cstheme="minorHAnsi"/>
          <w:sz w:val="18"/>
          <w:szCs w:val="18"/>
          <w:lang w:eastAsia="es-ES"/>
        </w:rPr>
        <w:t xml:space="preserve"> cada</w:t>
      </w:r>
      <w:r w:rsidR="00B80336" w:rsidRPr="005F45A3">
        <w:rPr>
          <w:rFonts w:asciiTheme="minorHAnsi" w:eastAsia="Times New Roman" w:hAnsiTheme="minorHAnsi" w:cstheme="minorHAnsi"/>
          <w:sz w:val="18"/>
          <w:szCs w:val="18"/>
          <w:lang w:eastAsia="es-ES"/>
        </w:rPr>
        <w:t xml:space="preserve"> ejercicio se</w:t>
      </w:r>
      <w:r w:rsidRPr="005F45A3">
        <w:rPr>
          <w:rFonts w:asciiTheme="minorHAnsi" w:eastAsia="Times New Roman" w:hAnsiTheme="minorHAnsi" w:cstheme="minorHAnsi"/>
          <w:sz w:val="18"/>
          <w:szCs w:val="18"/>
          <w:lang w:eastAsia="es-ES"/>
        </w:rPr>
        <w:t xml:space="preserve"> </w:t>
      </w:r>
      <w:r w:rsidR="00D51F6E" w:rsidRPr="005F45A3">
        <w:rPr>
          <w:rFonts w:asciiTheme="minorHAnsi" w:eastAsia="Times New Roman" w:hAnsiTheme="minorHAnsi" w:cstheme="minorHAnsi"/>
          <w:sz w:val="18"/>
          <w:szCs w:val="18"/>
          <w:lang w:eastAsia="es-ES"/>
        </w:rPr>
        <w:t>determinó aplicar</w:t>
      </w:r>
      <w:r w:rsidR="00B80336" w:rsidRPr="005F45A3">
        <w:rPr>
          <w:rFonts w:asciiTheme="minorHAnsi" w:eastAsia="Times New Roman" w:hAnsiTheme="minorHAnsi" w:cstheme="minorHAnsi"/>
          <w:sz w:val="18"/>
          <w:szCs w:val="18"/>
          <w:lang w:eastAsia="es-ES"/>
        </w:rPr>
        <w:t xml:space="preserve"> al saldo de esta cuenta la cantidad correspondiente a la amortización </w:t>
      </w:r>
      <w:r w:rsidR="00A57461">
        <w:rPr>
          <w:rFonts w:asciiTheme="minorHAnsi" w:eastAsia="Times New Roman" w:hAnsiTheme="minorHAnsi" w:cstheme="minorHAnsi"/>
          <w:sz w:val="18"/>
          <w:szCs w:val="18"/>
          <w:lang w:eastAsia="es-ES"/>
        </w:rPr>
        <w:t xml:space="preserve">anual </w:t>
      </w:r>
      <w:r w:rsidR="00D51F6E" w:rsidRPr="005F45A3">
        <w:rPr>
          <w:rFonts w:asciiTheme="minorHAnsi" w:eastAsia="Times New Roman" w:hAnsiTheme="minorHAnsi" w:cstheme="minorHAnsi"/>
          <w:sz w:val="18"/>
          <w:szCs w:val="18"/>
          <w:lang w:eastAsia="es-ES"/>
        </w:rPr>
        <w:t>de los créditos de</w:t>
      </w:r>
      <w:r w:rsidR="00C941D7" w:rsidRPr="005F45A3">
        <w:rPr>
          <w:rFonts w:asciiTheme="minorHAnsi" w:eastAsia="Times New Roman" w:hAnsiTheme="minorHAnsi" w:cstheme="minorHAnsi"/>
          <w:sz w:val="18"/>
          <w:szCs w:val="18"/>
          <w:lang w:eastAsia="es-ES"/>
        </w:rPr>
        <w:t xml:space="preserve"> Banorte 6</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000 MDP, Bancomer 1</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500 MDP, y Bancomer 1</w:t>
      </w:r>
      <w:r w:rsidR="003F1AD8" w:rsidRPr="005F45A3">
        <w:rPr>
          <w:rFonts w:asciiTheme="minorHAnsi" w:eastAsia="Times New Roman" w:hAnsiTheme="minorHAnsi" w:cstheme="minorHAnsi"/>
          <w:sz w:val="18"/>
          <w:szCs w:val="18"/>
          <w:lang w:eastAsia="es-ES"/>
        </w:rPr>
        <w:t>,</w:t>
      </w:r>
      <w:r w:rsidR="00C941D7" w:rsidRPr="005F45A3">
        <w:rPr>
          <w:rFonts w:asciiTheme="minorHAnsi" w:eastAsia="Times New Roman" w:hAnsiTheme="minorHAnsi" w:cstheme="minorHAnsi"/>
          <w:sz w:val="18"/>
          <w:szCs w:val="18"/>
          <w:lang w:eastAsia="es-ES"/>
        </w:rPr>
        <w:t>000 MDP</w:t>
      </w:r>
      <w:r w:rsidR="00D51F6E" w:rsidRPr="005F45A3">
        <w:rPr>
          <w:rFonts w:asciiTheme="minorHAnsi" w:eastAsia="Times New Roman" w:hAnsiTheme="minorHAnsi" w:cstheme="minorHAnsi"/>
          <w:sz w:val="18"/>
          <w:szCs w:val="18"/>
          <w:lang w:eastAsia="es-ES"/>
        </w:rPr>
        <w:t>, además</w:t>
      </w:r>
      <w:r w:rsidRPr="005F45A3">
        <w:rPr>
          <w:rFonts w:asciiTheme="minorHAnsi" w:eastAsia="Times New Roman" w:hAnsiTheme="minorHAnsi" w:cstheme="minorHAnsi"/>
          <w:sz w:val="18"/>
          <w:szCs w:val="18"/>
          <w:lang w:eastAsia="es-ES"/>
        </w:rPr>
        <w:t xml:space="preserve"> de disminuir</w:t>
      </w:r>
      <w:r w:rsidR="00C941D7" w:rsidRPr="005F45A3">
        <w:rPr>
          <w:rFonts w:asciiTheme="minorHAnsi" w:eastAsia="Times New Roman" w:hAnsiTheme="minorHAnsi" w:cstheme="minorHAnsi"/>
          <w:sz w:val="18"/>
          <w:szCs w:val="18"/>
          <w:lang w:eastAsia="es-ES"/>
        </w:rPr>
        <w:t xml:space="preserve"> el saldo por el reconocimiento de los inmuebles adquiridos en los periodos 2005-2010</w:t>
      </w:r>
      <w:r w:rsidR="00D51F6E" w:rsidRPr="005F45A3">
        <w:rPr>
          <w:rFonts w:asciiTheme="minorHAnsi" w:eastAsia="Times New Roman" w:hAnsiTheme="minorHAnsi" w:cstheme="minorHAnsi"/>
          <w:sz w:val="18"/>
          <w:szCs w:val="18"/>
          <w:lang w:eastAsia="es-ES"/>
        </w:rPr>
        <w:t>.</w:t>
      </w:r>
      <w:r w:rsidR="00B80336" w:rsidRPr="005F45A3">
        <w:rPr>
          <w:rFonts w:asciiTheme="minorHAnsi" w:eastAsia="Times New Roman" w:hAnsiTheme="minorHAnsi" w:cstheme="minorHAnsi"/>
          <w:sz w:val="18"/>
          <w:szCs w:val="18"/>
          <w:lang w:eastAsia="es-ES"/>
        </w:rPr>
        <w:t xml:space="preserve"> </w:t>
      </w:r>
    </w:p>
    <w:p w14:paraId="23B92C8C" w14:textId="77777777" w:rsidR="00D51F6E" w:rsidRPr="005F45A3" w:rsidRDefault="00D51F6E" w:rsidP="00D953E3">
      <w:pPr>
        <w:spacing w:after="0" w:line="240" w:lineRule="auto"/>
        <w:jc w:val="both"/>
        <w:rPr>
          <w:rFonts w:asciiTheme="minorHAnsi" w:eastAsia="Times New Roman" w:hAnsiTheme="minorHAnsi" w:cstheme="minorHAnsi"/>
          <w:sz w:val="18"/>
          <w:szCs w:val="18"/>
          <w:lang w:eastAsia="es-ES"/>
        </w:rPr>
      </w:pPr>
    </w:p>
    <w:p w14:paraId="11EEABD6" w14:textId="27C69997" w:rsidR="00B80336" w:rsidRPr="005F45A3" w:rsidRDefault="00D51F6E" w:rsidP="00D953E3">
      <w:pPr>
        <w:spacing w:after="0" w:line="240" w:lineRule="auto"/>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L</w:t>
      </w:r>
      <w:r w:rsidR="00B80336" w:rsidRPr="005F45A3">
        <w:rPr>
          <w:rFonts w:asciiTheme="minorHAnsi" w:eastAsia="Times New Roman" w:hAnsiTheme="minorHAnsi" w:cstheme="minorHAnsi"/>
          <w:sz w:val="18"/>
          <w:szCs w:val="18"/>
          <w:lang w:eastAsia="es-ES"/>
        </w:rPr>
        <w:t xml:space="preserve">os saldos de los créditos </w:t>
      </w:r>
      <w:r w:rsidR="00A57461">
        <w:rPr>
          <w:rFonts w:asciiTheme="minorHAnsi" w:eastAsia="Times New Roman" w:hAnsiTheme="minorHAnsi" w:cstheme="minorHAnsi"/>
          <w:sz w:val="18"/>
          <w:szCs w:val="18"/>
          <w:lang w:eastAsia="es-ES"/>
        </w:rPr>
        <w:t xml:space="preserve">de </w:t>
      </w:r>
      <w:proofErr w:type="spellStart"/>
      <w:r w:rsidR="00A57461">
        <w:rPr>
          <w:rFonts w:asciiTheme="minorHAnsi" w:eastAsia="Times New Roman" w:hAnsiTheme="minorHAnsi" w:cstheme="minorHAnsi"/>
          <w:sz w:val="18"/>
          <w:szCs w:val="18"/>
          <w:lang w:eastAsia="es-ES"/>
        </w:rPr>
        <w:t>Banobras</w:t>
      </w:r>
      <w:proofErr w:type="spellEnd"/>
      <w:r w:rsidR="00A57461">
        <w:rPr>
          <w:rFonts w:asciiTheme="minorHAnsi" w:eastAsia="Times New Roman" w:hAnsiTheme="minorHAnsi" w:cstheme="minorHAnsi"/>
          <w:sz w:val="18"/>
          <w:szCs w:val="18"/>
          <w:lang w:eastAsia="es-ES"/>
        </w:rPr>
        <w:t xml:space="preserve"> por 183 </w:t>
      </w:r>
      <w:proofErr w:type="spellStart"/>
      <w:r w:rsidR="00A57461">
        <w:rPr>
          <w:rFonts w:asciiTheme="minorHAnsi" w:eastAsia="Times New Roman" w:hAnsiTheme="minorHAnsi" w:cstheme="minorHAnsi"/>
          <w:sz w:val="18"/>
          <w:szCs w:val="18"/>
          <w:lang w:eastAsia="es-ES"/>
        </w:rPr>
        <w:t>mdp</w:t>
      </w:r>
      <w:proofErr w:type="spellEnd"/>
      <w:r w:rsidR="00A57461">
        <w:rPr>
          <w:rFonts w:asciiTheme="minorHAnsi" w:eastAsia="Times New Roman" w:hAnsiTheme="minorHAnsi" w:cstheme="minorHAnsi"/>
          <w:sz w:val="18"/>
          <w:szCs w:val="18"/>
          <w:lang w:eastAsia="es-ES"/>
        </w:rPr>
        <w:t xml:space="preserve"> y </w:t>
      </w:r>
      <w:proofErr w:type="spellStart"/>
      <w:r w:rsidR="00A57461">
        <w:rPr>
          <w:rFonts w:asciiTheme="minorHAnsi" w:eastAsia="Times New Roman" w:hAnsiTheme="minorHAnsi" w:cstheme="minorHAnsi"/>
          <w:sz w:val="18"/>
          <w:szCs w:val="18"/>
          <w:lang w:eastAsia="es-ES"/>
        </w:rPr>
        <w:t>Banobras</w:t>
      </w:r>
      <w:proofErr w:type="spellEnd"/>
      <w:r w:rsidR="00A57461">
        <w:rPr>
          <w:rFonts w:asciiTheme="minorHAnsi" w:eastAsia="Times New Roman" w:hAnsiTheme="minorHAnsi" w:cstheme="minorHAnsi"/>
          <w:sz w:val="18"/>
          <w:szCs w:val="18"/>
          <w:lang w:eastAsia="es-ES"/>
        </w:rPr>
        <w:t xml:space="preserve"> por 187 </w:t>
      </w:r>
      <w:proofErr w:type="spellStart"/>
      <w:r w:rsidR="00A57461">
        <w:rPr>
          <w:rFonts w:asciiTheme="minorHAnsi" w:eastAsia="Times New Roman" w:hAnsiTheme="minorHAnsi" w:cstheme="minorHAnsi"/>
          <w:sz w:val="18"/>
          <w:szCs w:val="18"/>
          <w:lang w:eastAsia="es-ES"/>
        </w:rPr>
        <w:t>mdp</w:t>
      </w:r>
      <w:proofErr w:type="spellEnd"/>
      <w:r w:rsidR="00A57461">
        <w:rPr>
          <w:rFonts w:asciiTheme="minorHAnsi" w:eastAsia="Times New Roman" w:hAnsiTheme="minorHAnsi" w:cstheme="minorHAnsi"/>
          <w:sz w:val="18"/>
          <w:szCs w:val="18"/>
          <w:lang w:eastAsia="es-ES"/>
        </w:rPr>
        <w:t xml:space="preserve">  </w:t>
      </w:r>
      <w:r w:rsidR="00B80336" w:rsidRPr="005F45A3">
        <w:rPr>
          <w:rFonts w:asciiTheme="minorHAnsi" w:eastAsia="Times New Roman" w:hAnsiTheme="minorHAnsi" w:cstheme="minorHAnsi"/>
          <w:sz w:val="18"/>
          <w:szCs w:val="18"/>
          <w:lang w:eastAsia="es-ES"/>
        </w:rPr>
        <w:t xml:space="preserve">denominados Bono Cupón Cero, se disminuyen cada trimestre según </w:t>
      </w:r>
      <w:r w:rsidRPr="005F45A3">
        <w:rPr>
          <w:rFonts w:asciiTheme="minorHAnsi" w:eastAsia="Times New Roman" w:hAnsiTheme="minorHAnsi" w:cstheme="minorHAnsi"/>
          <w:sz w:val="18"/>
          <w:szCs w:val="18"/>
          <w:lang w:eastAsia="es-ES"/>
        </w:rPr>
        <w:t>la información enviada por la</w:t>
      </w:r>
      <w:r w:rsidR="00D1125C" w:rsidRPr="005F45A3">
        <w:rPr>
          <w:rFonts w:asciiTheme="minorHAnsi" w:eastAsia="Times New Roman" w:hAnsiTheme="minorHAnsi" w:cstheme="minorHAnsi"/>
          <w:sz w:val="18"/>
          <w:szCs w:val="18"/>
          <w:lang w:eastAsia="es-ES"/>
        </w:rPr>
        <w:t xml:space="preserve"> Unidad</w:t>
      </w:r>
      <w:r w:rsidR="00B80336" w:rsidRPr="005F45A3">
        <w:rPr>
          <w:rFonts w:asciiTheme="minorHAnsi" w:eastAsia="Times New Roman" w:hAnsiTheme="minorHAnsi" w:cstheme="minorHAnsi"/>
          <w:sz w:val="18"/>
          <w:szCs w:val="18"/>
          <w:lang w:eastAsia="es-ES"/>
        </w:rPr>
        <w:t xml:space="preserve"> de Coordinación de Entidades Federativas de la S.H.C.P. </w:t>
      </w:r>
      <w:r w:rsidRPr="005F45A3">
        <w:rPr>
          <w:rFonts w:asciiTheme="minorHAnsi" w:eastAsia="Times New Roman" w:hAnsiTheme="minorHAnsi" w:cstheme="minorHAnsi"/>
          <w:sz w:val="18"/>
          <w:szCs w:val="18"/>
          <w:lang w:eastAsia="es-ES"/>
        </w:rPr>
        <w:t>del Banco Nacional de Obras y Servicios S.N.C.(BANOBRAS), que en su carácter de Fiduciario del Fideicomiso 2186.-Fondo de Reconstrucción para Entidades Federativas (FONREC) y de  acuerdo al contrato del Fideicomiso emite el informe de Derechos Fideicomisarios para el Gobierno de Tamaulipas con el valor nominal correspondiente.</w:t>
      </w:r>
    </w:p>
    <w:p w14:paraId="0C42F455" w14:textId="77777777" w:rsidR="00D953E3" w:rsidRPr="005F45A3" w:rsidRDefault="00D953E3" w:rsidP="00D953E3">
      <w:pPr>
        <w:spacing w:after="0" w:line="240" w:lineRule="auto"/>
        <w:jc w:val="both"/>
        <w:rPr>
          <w:rFonts w:asciiTheme="minorHAnsi" w:eastAsia="Times New Roman" w:hAnsiTheme="minorHAnsi" w:cstheme="minorHAnsi"/>
          <w:sz w:val="18"/>
          <w:szCs w:val="18"/>
          <w:lang w:eastAsia="es-ES"/>
        </w:rPr>
      </w:pPr>
    </w:p>
    <w:p w14:paraId="7FA40E35" w14:textId="77777777" w:rsidR="00D953E3" w:rsidRPr="005F45A3" w:rsidRDefault="00D953E3" w:rsidP="003D7ABC">
      <w:pPr>
        <w:pStyle w:val="Texto"/>
        <w:spacing w:after="0" w:line="240" w:lineRule="exact"/>
        <w:ind w:left="-142" w:firstLine="142"/>
        <w:rPr>
          <w:rFonts w:asciiTheme="minorHAnsi" w:hAnsiTheme="minorHAnsi" w:cstheme="minorHAnsi"/>
          <w:b/>
          <w:szCs w:val="18"/>
          <w:lang w:val="es-MX"/>
        </w:rPr>
      </w:pPr>
      <w:r w:rsidRPr="005F45A3">
        <w:rPr>
          <w:rFonts w:asciiTheme="minorHAnsi" w:hAnsiTheme="minorHAnsi" w:cstheme="minorHAnsi"/>
          <w:b/>
          <w:szCs w:val="18"/>
          <w:lang w:val="es-MX"/>
        </w:rPr>
        <w:t xml:space="preserve">Estimaciones y Deterioros </w:t>
      </w:r>
    </w:p>
    <w:p w14:paraId="53C20356" w14:textId="77777777" w:rsidR="00D953E3" w:rsidRPr="005F45A3" w:rsidRDefault="00D953E3" w:rsidP="00D953E3">
      <w:pPr>
        <w:pStyle w:val="Texto"/>
        <w:spacing w:after="0" w:line="240" w:lineRule="exact"/>
        <w:ind w:left="288" w:firstLine="360"/>
        <w:rPr>
          <w:rFonts w:asciiTheme="minorHAnsi" w:hAnsiTheme="minorHAnsi" w:cstheme="minorHAnsi"/>
          <w:szCs w:val="18"/>
          <w:lang w:val="es-MX"/>
        </w:rPr>
      </w:pPr>
    </w:p>
    <w:p w14:paraId="5506CC4A" w14:textId="78D183AF" w:rsidR="00D953E3" w:rsidRPr="005F45A3" w:rsidRDefault="00D953E3" w:rsidP="00335E76">
      <w:pPr>
        <w:pStyle w:val="Texto"/>
        <w:numPr>
          <w:ilvl w:val="0"/>
          <w:numId w:val="31"/>
        </w:numPr>
        <w:spacing w:after="0" w:line="240" w:lineRule="exact"/>
        <w:ind w:left="284"/>
        <w:rPr>
          <w:rFonts w:asciiTheme="minorHAnsi" w:hAnsiTheme="minorHAnsi" w:cstheme="minorHAnsi"/>
          <w:szCs w:val="18"/>
          <w:lang w:val="es-MX"/>
        </w:rPr>
      </w:pPr>
      <w:r w:rsidRPr="005F45A3">
        <w:rPr>
          <w:rFonts w:asciiTheme="minorHAnsi" w:hAnsiTheme="minorHAnsi" w:cstheme="minorHAnsi"/>
          <w:szCs w:val="18"/>
          <w:lang w:val="es-MX"/>
        </w:rPr>
        <w:t xml:space="preserve">Estimación de cuentas incobrables: </w:t>
      </w:r>
      <w:r w:rsidR="00250D2A">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 No Aplica </w:t>
      </w:r>
    </w:p>
    <w:p w14:paraId="00D808C1" w14:textId="77777777" w:rsidR="00D953E3" w:rsidRPr="005F45A3" w:rsidRDefault="00D953E3" w:rsidP="00D953E3">
      <w:pPr>
        <w:pStyle w:val="Texto"/>
        <w:spacing w:after="0" w:line="240" w:lineRule="exact"/>
        <w:ind w:left="720" w:firstLine="0"/>
        <w:rPr>
          <w:rFonts w:asciiTheme="minorHAnsi" w:hAnsiTheme="minorHAnsi" w:cstheme="minorHAnsi"/>
          <w:szCs w:val="18"/>
          <w:lang w:val="es-MX"/>
        </w:rPr>
      </w:pPr>
    </w:p>
    <w:p w14:paraId="7AD48DBB" w14:textId="04152014" w:rsidR="00D953E3" w:rsidRPr="005F45A3" w:rsidRDefault="00D953E3" w:rsidP="00335E76">
      <w:pPr>
        <w:pStyle w:val="Texto"/>
        <w:spacing w:after="0" w:line="240" w:lineRule="exact"/>
        <w:ind w:left="360" w:hanging="76"/>
        <w:rPr>
          <w:rFonts w:asciiTheme="minorHAnsi" w:hAnsiTheme="minorHAnsi" w:cstheme="minorHAnsi"/>
          <w:szCs w:val="18"/>
          <w:lang w:val="es-MX"/>
        </w:rPr>
      </w:pPr>
      <w:r w:rsidRPr="005F45A3">
        <w:rPr>
          <w:rFonts w:asciiTheme="minorHAnsi" w:hAnsiTheme="minorHAnsi" w:cstheme="minorHAnsi"/>
          <w:szCs w:val="18"/>
          <w:lang w:val="es-MX"/>
        </w:rPr>
        <w:t xml:space="preserve">Estimación de Inventarios:          </w:t>
      </w:r>
      <w:r w:rsidR="00250D2A">
        <w:rPr>
          <w:rFonts w:asciiTheme="minorHAnsi" w:hAnsiTheme="minorHAnsi" w:cstheme="minorHAnsi"/>
          <w:szCs w:val="18"/>
          <w:lang w:val="es-MX"/>
        </w:rPr>
        <w:t xml:space="preserve">     </w:t>
      </w:r>
      <w:r w:rsidRPr="005F45A3">
        <w:rPr>
          <w:rFonts w:asciiTheme="minorHAnsi" w:hAnsiTheme="minorHAnsi" w:cstheme="minorHAnsi"/>
          <w:szCs w:val="18"/>
          <w:lang w:val="es-MX"/>
        </w:rPr>
        <w:t xml:space="preserve">      No Aplica</w:t>
      </w:r>
    </w:p>
    <w:p w14:paraId="474E32EC" w14:textId="77777777" w:rsidR="00872D46" w:rsidRPr="005F45A3" w:rsidRDefault="00872D46" w:rsidP="0082143F">
      <w:pPr>
        <w:spacing w:after="0" w:line="240" w:lineRule="auto"/>
        <w:rPr>
          <w:rFonts w:asciiTheme="minorHAnsi" w:eastAsia="Times New Roman" w:hAnsiTheme="minorHAnsi" w:cstheme="minorHAnsi"/>
          <w:sz w:val="18"/>
          <w:szCs w:val="18"/>
          <w:lang w:eastAsia="es-ES"/>
        </w:rPr>
      </w:pPr>
    </w:p>
    <w:p w14:paraId="1E047402" w14:textId="77777777" w:rsidR="00D953E3" w:rsidRPr="005F45A3" w:rsidRDefault="00D51F6E" w:rsidP="00BF16E8">
      <w:pPr>
        <w:pStyle w:val="ROMANOS"/>
        <w:spacing w:after="0" w:line="276" w:lineRule="auto"/>
        <w:ind w:left="0" w:firstLine="0"/>
        <w:rPr>
          <w:rFonts w:asciiTheme="minorHAnsi" w:hAnsiTheme="minorHAnsi" w:cstheme="minorHAnsi"/>
          <w:lang w:val="es-MX"/>
        </w:rPr>
      </w:pPr>
      <w:r w:rsidRPr="005F45A3">
        <w:rPr>
          <w:rFonts w:asciiTheme="minorHAnsi" w:hAnsiTheme="minorHAnsi" w:cstheme="minorHAnsi"/>
          <w:lang w:val="es-MX"/>
        </w:rPr>
        <w:t xml:space="preserve">El </w:t>
      </w:r>
      <w:r w:rsidR="00D953E3" w:rsidRPr="005F45A3">
        <w:rPr>
          <w:rFonts w:asciiTheme="minorHAnsi" w:hAnsiTheme="minorHAnsi" w:cstheme="minorHAnsi"/>
          <w:lang w:val="es-MX"/>
        </w:rPr>
        <w:t>Deterioro de activos biológicos en la tabla de depreciación y amortización aprobada por el Consejo de Armonización del Estado de Tamaulipas no se considera aplicar tasas de deterioro para los activos biológicos.</w:t>
      </w:r>
    </w:p>
    <w:p w14:paraId="2BE33643" w14:textId="77777777" w:rsidR="00D97E57" w:rsidRPr="005F45A3" w:rsidRDefault="00D97E57" w:rsidP="00A80AAF">
      <w:pPr>
        <w:spacing w:after="0"/>
        <w:rPr>
          <w:rFonts w:asciiTheme="minorHAnsi" w:eastAsia="Times New Roman" w:hAnsiTheme="minorHAnsi" w:cstheme="minorHAnsi"/>
          <w:sz w:val="10"/>
          <w:szCs w:val="18"/>
          <w:lang w:eastAsia="es-ES"/>
        </w:rPr>
      </w:pPr>
    </w:p>
    <w:p w14:paraId="46A57165" w14:textId="77777777" w:rsidR="00541CA4" w:rsidRPr="005F45A3" w:rsidRDefault="00541CA4" w:rsidP="003D7ABC">
      <w:pPr>
        <w:pStyle w:val="Texto"/>
        <w:spacing w:after="0" w:line="240" w:lineRule="exact"/>
        <w:ind w:firstLine="0"/>
        <w:rPr>
          <w:rFonts w:asciiTheme="minorHAnsi" w:hAnsiTheme="minorHAnsi" w:cstheme="minorHAnsi"/>
          <w:b/>
          <w:szCs w:val="18"/>
          <w:lang w:val="es-MX"/>
        </w:rPr>
      </w:pPr>
      <w:r w:rsidRPr="005F45A3">
        <w:rPr>
          <w:rFonts w:asciiTheme="minorHAnsi" w:hAnsiTheme="minorHAnsi" w:cstheme="minorHAnsi"/>
          <w:b/>
          <w:szCs w:val="18"/>
          <w:lang w:val="es-MX"/>
        </w:rPr>
        <w:t xml:space="preserve">Otros Activos </w:t>
      </w:r>
    </w:p>
    <w:p w14:paraId="53FC0D5A" w14:textId="77777777" w:rsidR="00857BC8" w:rsidRPr="005F45A3" w:rsidRDefault="00857BC8" w:rsidP="00BD16CD">
      <w:pPr>
        <w:pStyle w:val="Texto"/>
        <w:shd w:val="clear" w:color="auto" w:fill="FFFFFF" w:themeFill="background1"/>
        <w:spacing w:after="0" w:line="240" w:lineRule="exact"/>
        <w:ind w:left="288" w:firstLine="360"/>
        <w:rPr>
          <w:rFonts w:asciiTheme="minorHAnsi" w:hAnsiTheme="minorHAnsi" w:cstheme="minorHAnsi"/>
          <w:b/>
          <w:color w:val="000000" w:themeColor="text1"/>
          <w:sz w:val="14"/>
          <w:szCs w:val="18"/>
          <w:lang w:val="es-MX"/>
        </w:rPr>
      </w:pPr>
    </w:p>
    <w:p w14:paraId="7CC1458C" w14:textId="08FEF15A" w:rsidR="000A692A" w:rsidRPr="00581FEB" w:rsidRDefault="00C914D2" w:rsidP="00581FEB">
      <w:pPr>
        <w:pStyle w:val="Texto"/>
        <w:numPr>
          <w:ilvl w:val="0"/>
          <w:numId w:val="31"/>
        </w:numPr>
        <w:shd w:val="clear" w:color="auto" w:fill="FFFFFF" w:themeFill="background1"/>
        <w:spacing w:after="0" w:line="276" w:lineRule="auto"/>
        <w:ind w:left="284"/>
        <w:rPr>
          <w:rFonts w:asciiTheme="minorHAnsi" w:hAnsiTheme="minorHAnsi" w:cstheme="minorHAnsi"/>
          <w:szCs w:val="18"/>
          <w:lang w:val="es-MX"/>
        </w:rPr>
      </w:pPr>
      <w:r w:rsidRPr="00335E76">
        <w:rPr>
          <w:rFonts w:asciiTheme="minorHAnsi" w:hAnsiTheme="minorHAnsi" w:cstheme="minorHAnsi"/>
          <w:szCs w:val="18"/>
          <w:lang w:val="es-MX"/>
        </w:rPr>
        <w:t xml:space="preserve">En la cuenta de Bienes en Comodato </w:t>
      </w:r>
      <w:r w:rsidR="00A57461">
        <w:rPr>
          <w:rFonts w:asciiTheme="minorHAnsi" w:hAnsiTheme="minorHAnsi" w:cstheme="minorHAnsi"/>
          <w:szCs w:val="18"/>
          <w:lang w:val="es-MX"/>
        </w:rPr>
        <w:t xml:space="preserve">se </w:t>
      </w:r>
      <w:r w:rsidRPr="00335E76">
        <w:rPr>
          <w:rFonts w:asciiTheme="minorHAnsi" w:hAnsiTheme="minorHAnsi" w:cstheme="minorHAnsi"/>
          <w:szCs w:val="18"/>
          <w:lang w:val="es-MX"/>
        </w:rPr>
        <w:t xml:space="preserve">tuvo un </w:t>
      </w:r>
      <w:r w:rsidR="000A692A" w:rsidRPr="00335E76">
        <w:rPr>
          <w:rFonts w:asciiTheme="minorHAnsi" w:hAnsiTheme="minorHAnsi" w:cstheme="minorHAnsi"/>
          <w:szCs w:val="18"/>
          <w:lang w:val="es-MX"/>
        </w:rPr>
        <w:t>de</w:t>
      </w:r>
      <w:r w:rsidR="00581FEB">
        <w:rPr>
          <w:rFonts w:asciiTheme="minorHAnsi" w:hAnsiTheme="minorHAnsi" w:cstheme="minorHAnsi"/>
          <w:szCs w:val="18"/>
          <w:lang w:val="es-MX"/>
        </w:rPr>
        <w:t>cremento acumulado</w:t>
      </w:r>
      <w:r w:rsidRPr="00335E76">
        <w:rPr>
          <w:rFonts w:asciiTheme="minorHAnsi" w:hAnsiTheme="minorHAnsi" w:cstheme="minorHAnsi"/>
          <w:szCs w:val="18"/>
          <w:lang w:val="es-MX"/>
        </w:rPr>
        <w:t xml:space="preserve"> por un total de $</w:t>
      </w:r>
      <w:r w:rsidR="00581FEB">
        <w:rPr>
          <w:rFonts w:asciiTheme="minorHAnsi" w:hAnsiTheme="minorHAnsi" w:cstheme="minorHAnsi"/>
          <w:szCs w:val="18"/>
          <w:lang w:val="es-MX"/>
        </w:rPr>
        <w:t>7,364,598 principalmente por la baja de comodatos de equipo de transporte que se habían otorgado a diferentes organismos, entre los movimientos registrados se incluyen bajas de equipo de cómputo, equipo médico y de laboratorio</w:t>
      </w:r>
      <w:r w:rsidR="00581FEB">
        <w:rPr>
          <w:rFonts w:ascii="DIN Pro Regular" w:hAnsi="DIN Pro Regular" w:cs="DIN Pro Regular"/>
          <w:b/>
          <w:sz w:val="12"/>
          <w:szCs w:val="18"/>
        </w:rPr>
        <w:t xml:space="preserve">, </w:t>
      </w:r>
      <w:r w:rsidR="00581FEB" w:rsidRPr="00581FEB">
        <w:rPr>
          <w:rFonts w:asciiTheme="minorHAnsi" w:hAnsiTheme="minorHAnsi" w:cstheme="minorHAnsi"/>
          <w:szCs w:val="18"/>
          <w:lang w:val="es-MX"/>
        </w:rPr>
        <w:t>entre otros.</w:t>
      </w:r>
    </w:p>
    <w:p w14:paraId="6554ED2A" w14:textId="77777777" w:rsidR="00056BDD" w:rsidRPr="0050250A" w:rsidRDefault="00056BDD" w:rsidP="000A692A">
      <w:pPr>
        <w:pStyle w:val="Texto"/>
        <w:spacing w:after="0" w:line="200" w:lineRule="exact"/>
        <w:ind w:firstLine="0"/>
        <w:rPr>
          <w:rFonts w:ascii="DIN Pro Regular" w:hAnsi="DIN Pro Regular" w:cs="DIN Pro Regular"/>
          <w:b/>
          <w:sz w:val="12"/>
          <w:szCs w:val="18"/>
        </w:rPr>
      </w:pPr>
    </w:p>
    <w:p w14:paraId="44D7A599" w14:textId="77777777" w:rsidR="00857BC8" w:rsidRDefault="00857BC8" w:rsidP="003D7ABC">
      <w:pPr>
        <w:pStyle w:val="Texto"/>
        <w:spacing w:after="0" w:line="240" w:lineRule="exact"/>
        <w:ind w:firstLine="0"/>
        <w:rPr>
          <w:rFonts w:asciiTheme="minorHAnsi" w:hAnsiTheme="minorHAnsi" w:cstheme="minorHAnsi"/>
          <w:b/>
          <w:sz w:val="20"/>
          <w:szCs w:val="18"/>
        </w:rPr>
      </w:pPr>
      <w:r w:rsidRPr="005F45A3">
        <w:rPr>
          <w:rFonts w:asciiTheme="minorHAnsi" w:hAnsiTheme="minorHAnsi" w:cstheme="minorHAnsi"/>
          <w:b/>
          <w:sz w:val="20"/>
          <w:szCs w:val="18"/>
        </w:rPr>
        <w:t>Pasivo</w:t>
      </w:r>
    </w:p>
    <w:p w14:paraId="061B600B" w14:textId="77777777" w:rsidR="00056BDD" w:rsidRPr="005F45A3" w:rsidRDefault="00056BDD" w:rsidP="003D7ABC">
      <w:pPr>
        <w:pStyle w:val="Texto"/>
        <w:spacing w:after="0" w:line="240" w:lineRule="exact"/>
        <w:ind w:firstLine="0"/>
        <w:rPr>
          <w:rFonts w:asciiTheme="minorHAnsi" w:hAnsiTheme="minorHAnsi" w:cstheme="minorHAnsi"/>
          <w:b/>
          <w:sz w:val="20"/>
          <w:szCs w:val="18"/>
        </w:rPr>
      </w:pPr>
    </w:p>
    <w:p w14:paraId="1FF8B68D" w14:textId="77777777" w:rsidR="005425A9" w:rsidRPr="005F45A3" w:rsidRDefault="005425A9" w:rsidP="005425A9">
      <w:pPr>
        <w:pStyle w:val="Texto"/>
        <w:spacing w:after="0" w:line="276" w:lineRule="auto"/>
        <w:ind w:left="360" w:firstLine="0"/>
        <w:rPr>
          <w:rFonts w:asciiTheme="minorHAnsi" w:hAnsiTheme="minorHAnsi" w:cstheme="minorHAnsi"/>
          <w:sz w:val="12"/>
          <w:szCs w:val="18"/>
          <w:lang w:val="es-MX"/>
        </w:rPr>
      </w:pPr>
    </w:p>
    <w:p w14:paraId="2B9D35C4" w14:textId="48DCE653" w:rsidR="00C94957" w:rsidRPr="00C94957" w:rsidRDefault="005264EA" w:rsidP="00C94957">
      <w:pPr>
        <w:pStyle w:val="Texto"/>
        <w:numPr>
          <w:ilvl w:val="0"/>
          <w:numId w:val="24"/>
        </w:numPr>
        <w:spacing w:after="0" w:line="240" w:lineRule="exact"/>
        <w:ind w:left="284" w:hanging="284"/>
        <w:rPr>
          <w:rFonts w:asciiTheme="minorHAnsi" w:hAnsiTheme="minorHAnsi" w:cstheme="minorHAnsi"/>
          <w:b/>
          <w:szCs w:val="18"/>
          <w:lang w:val="es-MX"/>
        </w:rPr>
      </w:pPr>
      <w:r w:rsidRPr="005F45A3">
        <w:rPr>
          <w:rFonts w:asciiTheme="minorHAnsi" w:hAnsiTheme="minorHAnsi" w:cstheme="minorHAnsi"/>
          <w:b/>
          <w:szCs w:val="18"/>
          <w:lang w:val="es-MX"/>
        </w:rPr>
        <w:t>Cuentas por Pagar a Corto P</w:t>
      </w:r>
      <w:r w:rsidR="00CD2E5C">
        <w:rPr>
          <w:rFonts w:asciiTheme="minorHAnsi" w:hAnsiTheme="minorHAnsi" w:cstheme="minorHAnsi"/>
          <w:b/>
          <w:szCs w:val="18"/>
          <w:lang w:val="es-MX"/>
        </w:rPr>
        <w:t>l</w:t>
      </w:r>
      <w:r w:rsidRPr="005F45A3">
        <w:rPr>
          <w:rFonts w:asciiTheme="minorHAnsi" w:hAnsiTheme="minorHAnsi" w:cstheme="minorHAnsi"/>
          <w:b/>
          <w:szCs w:val="18"/>
          <w:lang w:val="es-MX"/>
        </w:rPr>
        <w:t>azo</w:t>
      </w:r>
    </w:p>
    <w:p w14:paraId="757F43FE" w14:textId="77777777" w:rsidR="0050250A" w:rsidRPr="005F45A3" w:rsidRDefault="0050250A" w:rsidP="005264EA">
      <w:pPr>
        <w:pStyle w:val="Texto"/>
        <w:spacing w:after="0" w:line="240" w:lineRule="exact"/>
        <w:rPr>
          <w:rFonts w:asciiTheme="minorHAnsi" w:hAnsiTheme="minorHAnsi" w:cstheme="minorHAnsi"/>
          <w:b/>
          <w:sz w:val="20"/>
          <w:szCs w:val="18"/>
        </w:rPr>
      </w:pPr>
    </w:p>
    <w:tbl>
      <w:tblPr>
        <w:tblW w:w="6588" w:type="dxa"/>
        <w:tblInd w:w="70" w:type="dxa"/>
        <w:tblCellMar>
          <w:left w:w="70" w:type="dxa"/>
          <w:right w:w="70" w:type="dxa"/>
        </w:tblCellMar>
        <w:tblLook w:val="04A0" w:firstRow="1" w:lastRow="0" w:firstColumn="1" w:lastColumn="0" w:noHBand="0" w:noVBand="1"/>
      </w:tblPr>
      <w:tblGrid>
        <w:gridCol w:w="4745"/>
        <w:gridCol w:w="1843"/>
      </w:tblGrid>
      <w:tr w:rsidR="009B3320" w:rsidRPr="009B3320" w14:paraId="0B119A95" w14:textId="77777777" w:rsidTr="00FB3ABB">
        <w:trPr>
          <w:trHeight w:val="300"/>
        </w:trPr>
        <w:tc>
          <w:tcPr>
            <w:tcW w:w="4745"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1D3B475"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Descripción de la Cuenta</w:t>
            </w:r>
          </w:p>
        </w:tc>
        <w:tc>
          <w:tcPr>
            <w:tcW w:w="1843" w:type="dxa"/>
            <w:tcBorders>
              <w:top w:val="single" w:sz="4" w:space="0" w:color="auto"/>
              <w:left w:val="nil"/>
              <w:bottom w:val="single" w:sz="4" w:space="0" w:color="auto"/>
              <w:right w:val="single" w:sz="4" w:space="0" w:color="auto"/>
            </w:tcBorders>
            <w:shd w:val="clear" w:color="000000" w:fill="AB0033"/>
            <w:vAlign w:val="center"/>
            <w:hideMark/>
          </w:tcPr>
          <w:p w14:paraId="01BEAD79"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 xml:space="preserve">Importe </w:t>
            </w:r>
          </w:p>
        </w:tc>
      </w:tr>
      <w:tr w:rsidR="009B3320" w:rsidRPr="00250D2A" w14:paraId="70BC7251" w14:textId="77777777" w:rsidTr="00FB3ABB">
        <w:trPr>
          <w:trHeight w:val="253"/>
        </w:trPr>
        <w:tc>
          <w:tcPr>
            <w:tcW w:w="4745" w:type="dxa"/>
            <w:tcBorders>
              <w:top w:val="nil"/>
              <w:left w:val="single" w:sz="4" w:space="0" w:color="auto"/>
              <w:bottom w:val="single" w:sz="4" w:space="0" w:color="auto"/>
              <w:right w:val="single" w:sz="4" w:space="0" w:color="auto"/>
            </w:tcBorders>
            <w:shd w:val="clear" w:color="auto" w:fill="auto"/>
            <w:vAlign w:val="center"/>
            <w:hideMark/>
          </w:tcPr>
          <w:p w14:paraId="3D63EC45" w14:textId="77777777" w:rsidR="009B3320" w:rsidRPr="00250D2A" w:rsidRDefault="009B3320" w:rsidP="009B3320">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 xml:space="preserve">Servicios Personales por Pagar  a Corto Plazo </w:t>
            </w:r>
          </w:p>
        </w:tc>
        <w:tc>
          <w:tcPr>
            <w:tcW w:w="1843" w:type="dxa"/>
            <w:tcBorders>
              <w:top w:val="nil"/>
              <w:left w:val="nil"/>
              <w:bottom w:val="single" w:sz="4" w:space="0" w:color="auto"/>
              <w:right w:val="single" w:sz="4" w:space="0" w:color="auto"/>
            </w:tcBorders>
            <w:shd w:val="clear" w:color="auto" w:fill="auto"/>
            <w:vAlign w:val="center"/>
            <w:hideMark/>
          </w:tcPr>
          <w:p w14:paraId="3D6BEEFF" w14:textId="77777777" w:rsidR="009B3320" w:rsidRPr="00250D2A" w:rsidRDefault="009B3320" w:rsidP="009B332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0</w:t>
            </w:r>
          </w:p>
        </w:tc>
      </w:tr>
      <w:tr w:rsidR="009B3320" w:rsidRPr="00250D2A" w14:paraId="6A4BC54F" w14:textId="77777777" w:rsidTr="00FB3ABB">
        <w:trPr>
          <w:trHeight w:val="253"/>
        </w:trPr>
        <w:tc>
          <w:tcPr>
            <w:tcW w:w="4745" w:type="dxa"/>
            <w:tcBorders>
              <w:top w:val="nil"/>
              <w:left w:val="single" w:sz="4" w:space="0" w:color="auto"/>
              <w:bottom w:val="single" w:sz="4" w:space="0" w:color="auto"/>
              <w:right w:val="single" w:sz="4" w:space="0" w:color="auto"/>
            </w:tcBorders>
            <w:shd w:val="clear" w:color="auto" w:fill="auto"/>
            <w:vAlign w:val="center"/>
            <w:hideMark/>
          </w:tcPr>
          <w:p w14:paraId="087A8AC9" w14:textId="77777777" w:rsidR="009B3320" w:rsidRPr="00250D2A" w:rsidRDefault="009B3320" w:rsidP="009B3320">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Proveedores por Pagar a Corto Plazo</w:t>
            </w:r>
          </w:p>
        </w:tc>
        <w:tc>
          <w:tcPr>
            <w:tcW w:w="1843" w:type="dxa"/>
            <w:tcBorders>
              <w:top w:val="nil"/>
              <w:left w:val="nil"/>
              <w:bottom w:val="single" w:sz="4" w:space="0" w:color="auto"/>
              <w:right w:val="single" w:sz="4" w:space="0" w:color="auto"/>
            </w:tcBorders>
            <w:shd w:val="clear" w:color="auto" w:fill="auto"/>
            <w:vAlign w:val="center"/>
            <w:hideMark/>
          </w:tcPr>
          <w:p w14:paraId="602AF026" w14:textId="77777777" w:rsidR="009B3320" w:rsidRPr="00250D2A" w:rsidRDefault="009B3320" w:rsidP="009B332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384,293,914</w:t>
            </w:r>
          </w:p>
        </w:tc>
      </w:tr>
      <w:tr w:rsidR="009B3320" w:rsidRPr="00250D2A" w14:paraId="22B43822" w14:textId="77777777" w:rsidTr="00FB3ABB">
        <w:trPr>
          <w:trHeight w:val="253"/>
        </w:trPr>
        <w:tc>
          <w:tcPr>
            <w:tcW w:w="4745" w:type="dxa"/>
            <w:tcBorders>
              <w:top w:val="nil"/>
              <w:left w:val="single" w:sz="4" w:space="0" w:color="auto"/>
              <w:bottom w:val="single" w:sz="4" w:space="0" w:color="auto"/>
              <w:right w:val="single" w:sz="4" w:space="0" w:color="auto"/>
            </w:tcBorders>
            <w:shd w:val="clear" w:color="auto" w:fill="auto"/>
            <w:vAlign w:val="center"/>
            <w:hideMark/>
          </w:tcPr>
          <w:p w14:paraId="77DD49ED" w14:textId="77777777" w:rsidR="009B3320" w:rsidRPr="00250D2A" w:rsidRDefault="009B3320" w:rsidP="009B3320">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Contratistas por Obras Públicas por Pagar a Corto Plazo</w:t>
            </w:r>
          </w:p>
        </w:tc>
        <w:tc>
          <w:tcPr>
            <w:tcW w:w="1843" w:type="dxa"/>
            <w:tcBorders>
              <w:top w:val="nil"/>
              <w:left w:val="nil"/>
              <w:bottom w:val="single" w:sz="4" w:space="0" w:color="auto"/>
              <w:right w:val="single" w:sz="4" w:space="0" w:color="auto"/>
            </w:tcBorders>
            <w:shd w:val="clear" w:color="auto" w:fill="auto"/>
            <w:vAlign w:val="center"/>
            <w:hideMark/>
          </w:tcPr>
          <w:p w14:paraId="7F6A0E51" w14:textId="77777777" w:rsidR="009B3320" w:rsidRPr="00250D2A" w:rsidRDefault="009B3320" w:rsidP="009B332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188,225</w:t>
            </w:r>
          </w:p>
        </w:tc>
      </w:tr>
      <w:tr w:rsidR="009B3320" w:rsidRPr="00250D2A" w14:paraId="08BB49BC" w14:textId="77777777" w:rsidTr="00FB3ABB">
        <w:trPr>
          <w:trHeight w:val="253"/>
        </w:trPr>
        <w:tc>
          <w:tcPr>
            <w:tcW w:w="4745" w:type="dxa"/>
            <w:tcBorders>
              <w:top w:val="nil"/>
              <w:left w:val="single" w:sz="4" w:space="0" w:color="auto"/>
              <w:bottom w:val="single" w:sz="4" w:space="0" w:color="auto"/>
              <w:right w:val="single" w:sz="4" w:space="0" w:color="auto"/>
            </w:tcBorders>
            <w:shd w:val="clear" w:color="auto" w:fill="auto"/>
            <w:vAlign w:val="center"/>
            <w:hideMark/>
          </w:tcPr>
          <w:p w14:paraId="76DA29D2" w14:textId="77777777" w:rsidR="009B3320" w:rsidRPr="00250D2A" w:rsidRDefault="009B3320" w:rsidP="009B3320">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Participaciones y Aportaciones por Pagar a Corto Plazo</w:t>
            </w:r>
          </w:p>
        </w:tc>
        <w:tc>
          <w:tcPr>
            <w:tcW w:w="1843" w:type="dxa"/>
            <w:tcBorders>
              <w:top w:val="nil"/>
              <w:left w:val="nil"/>
              <w:bottom w:val="single" w:sz="4" w:space="0" w:color="auto"/>
              <w:right w:val="single" w:sz="4" w:space="0" w:color="auto"/>
            </w:tcBorders>
            <w:shd w:val="clear" w:color="auto" w:fill="auto"/>
            <w:vAlign w:val="center"/>
            <w:hideMark/>
          </w:tcPr>
          <w:p w14:paraId="2A834358" w14:textId="77777777" w:rsidR="009B3320" w:rsidRPr="00250D2A" w:rsidRDefault="009B3320" w:rsidP="009B332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452,581,720</w:t>
            </w:r>
          </w:p>
        </w:tc>
      </w:tr>
      <w:tr w:rsidR="009B3320" w:rsidRPr="00250D2A" w14:paraId="6C445930" w14:textId="77777777" w:rsidTr="00FB3ABB">
        <w:trPr>
          <w:trHeight w:val="253"/>
        </w:trPr>
        <w:tc>
          <w:tcPr>
            <w:tcW w:w="4745" w:type="dxa"/>
            <w:tcBorders>
              <w:top w:val="nil"/>
              <w:left w:val="single" w:sz="4" w:space="0" w:color="auto"/>
              <w:bottom w:val="single" w:sz="4" w:space="0" w:color="auto"/>
              <w:right w:val="single" w:sz="4" w:space="0" w:color="auto"/>
            </w:tcBorders>
            <w:shd w:val="clear" w:color="auto" w:fill="auto"/>
            <w:vAlign w:val="center"/>
            <w:hideMark/>
          </w:tcPr>
          <w:p w14:paraId="14085EB5" w14:textId="77777777" w:rsidR="009B3320" w:rsidRPr="00250D2A" w:rsidRDefault="009B3320" w:rsidP="009B3320">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Transferencia Otorgadas por Pagar a Corto Plazo</w:t>
            </w:r>
          </w:p>
        </w:tc>
        <w:tc>
          <w:tcPr>
            <w:tcW w:w="1843" w:type="dxa"/>
            <w:tcBorders>
              <w:top w:val="nil"/>
              <w:left w:val="nil"/>
              <w:bottom w:val="single" w:sz="4" w:space="0" w:color="auto"/>
              <w:right w:val="single" w:sz="4" w:space="0" w:color="auto"/>
            </w:tcBorders>
            <w:shd w:val="clear" w:color="auto" w:fill="auto"/>
            <w:vAlign w:val="center"/>
            <w:hideMark/>
          </w:tcPr>
          <w:p w14:paraId="2025FC14" w14:textId="77777777" w:rsidR="009B3320" w:rsidRPr="00250D2A" w:rsidRDefault="009B3320" w:rsidP="009B332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743,792</w:t>
            </w:r>
          </w:p>
        </w:tc>
      </w:tr>
      <w:tr w:rsidR="009B3320" w:rsidRPr="00250D2A" w14:paraId="6F5E5CC1" w14:textId="77777777" w:rsidTr="00FB3ABB">
        <w:trPr>
          <w:trHeight w:val="253"/>
        </w:trPr>
        <w:tc>
          <w:tcPr>
            <w:tcW w:w="4745" w:type="dxa"/>
            <w:tcBorders>
              <w:top w:val="nil"/>
              <w:left w:val="single" w:sz="4" w:space="0" w:color="auto"/>
              <w:bottom w:val="single" w:sz="4" w:space="0" w:color="auto"/>
              <w:right w:val="single" w:sz="4" w:space="0" w:color="auto"/>
            </w:tcBorders>
            <w:shd w:val="clear" w:color="auto" w:fill="auto"/>
            <w:vAlign w:val="center"/>
            <w:hideMark/>
          </w:tcPr>
          <w:p w14:paraId="151E830C" w14:textId="77777777" w:rsidR="009B3320" w:rsidRPr="00250D2A" w:rsidRDefault="009B3320" w:rsidP="009B3320">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Retenciones y Contribuciones por Pagar a Corto Plazo</w:t>
            </w:r>
          </w:p>
        </w:tc>
        <w:tc>
          <w:tcPr>
            <w:tcW w:w="1843" w:type="dxa"/>
            <w:tcBorders>
              <w:top w:val="nil"/>
              <w:left w:val="nil"/>
              <w:bottom w:val="single" w:sz="4" w:space="0" w:color="auto"/>
              <w:right w:val="single" w:sz="4" w:space="0" w:color="auto"/>
            </w:tcBorders>
            <w:shd w:val="clear" w:color="auto" w:fill="auto"/>
            <w:vAlign w:val="center"/>
            <w:hideMark/>
          </w:tcPr>
          <w:p w14:paraId="4E961988" w14:textId="77777777" w:rsidR="009B3320" w:rsidRPr="00250D2A" w:rsidRDefault="009B3320" w:rsidP="009B332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486,180,654</w:t>
            </w:r>
          </w:p>
        </w:tc>
      </w:tr>
      <w:tr w:rsidR="009B3320" w:rsidRPr="00250D2A" w14:paraId="706E3690" w14:textId="77777777" w:rsidTr="00FB3ABB">
        <w:trPr>
          <w:trHeight w:val="253"/>
        </w:trPr>
        <w:tc>
          <w:tcPr>
            <w:tcW w:w="4745" w:type="dxa"/>
            <w:tcBorders>
              <w:top w:val="nil"/>
              <w:left w:val="single" w:sz="4" w:space="0" w:color="auto"/>
              <w:bottom w:val="single" w:sz="4" w:space="0" w:color="auto"/>
              <w:right w:val="single" w:sz="4" w:space="0" w:color="auto"/>
            </w:tcBorders>
            <w:shd w:val="clear" w:color="auto" w:fill="auto"/>
            <w:vAlign w:val="center"/>
            <w:hideMark/>
          </w:tcPr>
          <w:p w14:paraId="12195CF7" w14:textId="77777777" w:rsidR="009B3320" w:rsidRPr="00250D2A" w:rsidRDefault="009B3320" w:rsidP="009B3320">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Devoluciones de la Ley de Ingresos por Pagar a Corto Plazo</w:t>
            </w:r>
          </w:p>
        </w:tc>
        <w:tc>
          <w:tcPr>
            <w:tcW w:w="1843" w:type="dxa"/>
            <w:tcBorders>
              <w:top w:val="nil"/>
              <w:left w:val="nil"/>
              <w:bottom w:val="single" w:sz="4" w:space="0" w:color="auto"/>
              <w:right w:val="single" w:sz="4" w:space="0" w:color="auto"/>
            </w:tcBorders>
            <w:shd w:val="clear" w:color="auto" w:fill="auto"/>
            <w:vAlign w:val="center"/>
            <w:hideMark/>
          </w:tcPr>
          <w:p w14:paraId="72102527" w14:textId="77777777" w:rsidR="009B3320" w:rsidRPr="00250D2A" w:rsidRDefault="009B3320" w:rsidP="009B332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7,012,269</w:t>
            </w:r>
          </w:p>
        </w:tc>
      </w:tr>
      <w:tr w:rsidR="009B3320" w:rsidRPr="00250D2A" w14:paraId="63241F6E" w14:textId="77777777" w:rsidTr="00FB3ABB">
        <w:trPr>
          <w:trHeight w:val="253"/>
        </w:trPr>
        <w:tc>
          <w:tcPr>
            <w:tcW w:w="4745" w:type="dxa"/>
            <w:tcBorders>
              <w:top w:val="nil"/>
              <w:left w:val="single" w:sz="4" w:space="0" w:color="auto"/>
              <w:bottom w:val="single" w:sz="4" w:space="0" w:color="auto"/>
              <w:right w:val="single" w:sz="4" w:space="0" w:color="auto"/>
            </w:tcBorders>
            <w:shd w:val="clear" w:color="auto" w:fill="auto"/>
            <w:vAlign w:val="center"/>
            <w:hideMark/>
          </w:tcPr>
          <w:p w14:paraId="4F3013A5" w14:textId="77777777" w:rsidR="009B3320" w:rsidRPr="00250D2A" w:rsidRDefault="009B3320" w:rsidP="009B3320">
            <w:pPr>
              <w:spacing w:after="0" w:line="240" w:lineRule="auto"/>
              <w:jc w:val="both"/>
              <w:rPr>
                <w:rFonts w:eastAsia="Times New Roman" w:cs="Calibri"/>
                <w:color w:val="000000"/>
                <w:sz w:val="15"/>
                <w:szCs w:val="15"/>
                <w:lang w:eastAsia="es-MX"/>
              </w:rPr>
            </w:pPr>
            <w:r w:rsidRPr="00250D2A">
              <w:rPr>
                <w:rFonts w:eastAsia="Times New Roman" w:cs="Calibri"/>
                <w:color w:val="000000"/>
                <w:sz w:val="15"/>
                <w:szCs w:val="15"/>
                <w:lang w:eastAsia="es-MX"/>
              </w:rPr>
              <w:t>Otras Cuentas por Pagar a Corto Plazo</w:t>
            </w:r>
          </w:p>
        </w:tc>
        <w:tc>
          <w:tcPr>
            <w:tcW w:w="1843" w:type="dxa"/>
            <w:tcBorders>
              <w:top w:val="nil"/>
              <w:left w:val="nil"/>
              <w:bottom w:val="single" w:sz="4" w:space="0" w:color="auto"/>
              <w:right w:val="single" w:sz="4" w:space="0" w:color="auto"/>
            </w:tcBorders>
            <w:shd w:val="clear" w:color="auto" w:fill="auto"/>
            <w:vAlign w:val="center"/>
            <w:hideMark/>
          </w:tcPr>
          <w:p w14:paraId="026E78FC" w14:textId="77777777" w:rsidR="009B3320" w:rsidRPr="00250D2A" w:rsidRDefault="009B3320" w:rsidP="009B3320">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333,675,067</w:t>
            </w:r>
          </w:p>
        </w:tc>
      </w:tr>
      <w:tr w:rsidR="009B3320" w:rsidRPr="009B3320" w14:paraId="714B4B7E" w14:textId="77777777" w:rsidTr="00FB3ABB">
        <w:trPr>
          <w:trHeight w:val="253"/>
        </w:trPr>
        <w:tc>
          <w:tcPr>
            <w:tcW w:w="4745" w:type="dxa"/>
            <w:tcBorders>
              <w:top w:val="nil"/>
              <w:left w:val="single" w:sz="4" w:space="0" w:color="auto"/>
              <w:bottom w:val="single" w:sz="4" w:space="0" w:color="auto"/>
              <w:right w:val="single" w:sz="4" w:space="0" w:color="auto"/>
            </w:tcBorders>
            <w:shd w:val="clear" w:color="000000" w:fill="DDC9A3"/>
            <w:vAlign w:val="center"/>
            <w:hideMark/>
          </w:tcPr>
          <w:p w14:paraId="7BD6AE87" w14:textId="77777777" w:rsidR="009B3320" w:rsidRPr="009B3320" w:rsidRDefault="009B3320" w:rsidP="009B3320">
            <w:pPr>
              <w:spacing w:after="0" w:line="240" w:lineRule="auto"/>
              <w:jc w:val="center"/>
              <w:rPr>
                <w:rFonts w:eastAsia="Times New Roman" w:cs="Calibri"/>
                <w:b/>
                <w:bCs/>
                <w:color w:val="000000"/>
                <w:sz w:val="16"/>
                <w:szCs w:val="16"/>
                <w:lang w:eastAsia="es-MX"/>
              </w:rPr>
            </w:pPr>
            <w:r w:rsidRPr="009B3320">
              <w:rPr>
                <w:rFonts w:eastAsia="Times New Roman" w:cs="Calibri"/>
                <w:b/>
                <w:bCs/>
                <w:color w:val="000000"/>
                <w:sz w:val="16"/>
                <w:szCs w:val="16"/>
                <w:lang w:eastAsia="es-MX"/>
              </w:rPr>
              <w:t>Total</w:t>
            </w:r>
          </w:p>
        </w:tc>
        <w:tc>
          <w:tcPr>
            <w:tcW w:w="1843" w:type="dxa"/>
            <w:tcBorders>
              <w:top w:val="nil"/>
              <w:left w:val="nil"/>
              <w:bottom w:val="single" w:sz="4" w:space="0" w:color="auto"/>
              <w:right w:val="single" w:sz="4" w:space="0" w:color="auto"/>
            </w:tcBorders>
            <w:shd w:val="clear" w:color="000000" w:fill="DDC9A3"/>
            <w:vAlign w:val="center"/>
            <w:hideMark/>
          </w:tcPr>
          <w:p w14:paraId="75F273A4" w14:textId="77777777" w:rsidR="009B3320" w:rsidRPr="009B3320" w:rsidRDefault="009B3320" w:rsidP="009B3320">
            <w:pPr>
              <w:spacing w:after="0" w:line="240" w:lineRule="auto"/>
              <w:jc w:val="right"/>
              <w:rPr>
                <w:rFonts w:eastAsia="Times New Roman" w:cs="Calibri"/>
                <w:b/>
                <w:bCs/>
                <w:color w:val="000000"/>
                <w:sz w:val="16"/>
                <w:szCs w:val="16"/>
                <w:lang w:eastAsia="es-MX"/>
              </w:rPr>
            </w:pPr>
            <w:r w:rsidRPr="009B3320">
              <w:rPr>
                <w:rFonts w:eastAsia="Times New Roman" w:cs="Calibri"/>
                <w:b/>
                <w:bCs/>
                <w:color w:val="000000"/>
                <w:sz w:val="16"/>
                <w:szCs w:val="16"/>
                <w:lang w:eastAsia="es-MX"/>
              </w:rPr>
              <w:t>1,664,675,641</w:t>
            </w:r>
          </w:p>
        </w:tc>
      </w:tr>
    </w:tbl>
    <w:p w14:paraId="3ACE4C68" w14:textId="77777777" w:rsidR="001474EA" w:rsidRDefault="001474EA" w:rsidP="00FC663D">
      <w:pPr>
        <w:pStyle w:val="Texto"/>
        <w:spacing w:after="0" w:line="240" w:lineRule="exact"/>
        <w:ind w:firstLine="0"/>
        <w:rPr>
          <w:rFonts w:asciiTheme="minorHAnsi" w:hAnsiTheme="minorHAnsi" w:cstheme="minorHAnsi"/>
          <w:szCs w:val="18"/>
        </w:rPr>
      </w:pPr>
    </w:p>
    <w:p w14:paraId="1EEDA2B7" w14:textId="77777777" w:rsidR="00C94957" w:rsidRDefault="00C94957" w:rsidP="000C7859">
      <w:pPr>
        <w:pStyle w:val="Texto"/>
        <w:spacing w:after="0" w:line="240" w:lineRule="exact"/>
        <w:ind w:firstLine="0"/>
        <w:rPr>
          <w:rFonts w:asciiTheme="minorHAnsi" w:hAnsiTheme="minorHAnsi" w:cstheme="minorHAnsi"/>
          <w:szCs w:val="18"/>
        </w:rPr>
      </w:pPr>
    </w:p>
    <w:p w14:paraId="2E6068D3" w14:textId="5E456D1C" w:rsidR="0050250A" w:rsidRDefault="00FC663D" w:rsidP="000C7859">
      <w:pPr>
        <w:pStyle w:val="Texto"/>
        <w:spacing w:after="0" w:line="240" w:lineRule="exact"/>
        <w:ind w:firstLine="0"/>
        <w:rPr>
          <w:rFonts w:asciiTheme="minorHAnsi" w:hAnsiTheme="minorHAnsi" w:cstheme="minorHAnsi"/>
          <w:szCs w:val="18"/>
        </w:rPr>
      </w:pPr>
      <w:r w:rsidRPr="005F45A3">
        <w:rPr>
          <w:rFonts w:asciiTheme="minorHAnsi" w:hAnsiTheme="minorHAnsi" w:cstheme="minorHAnsi"/>
          <w:szCs w:val="18"/>
        </w:rPr>
        <w:t>Dentro de Otras Cuentas por Pagar a Corto Plazo se encuentra el saldo de la Porción a Corto Plazo, correspondiente al Convenio sobre pago Diferido de Prestaciones, Cuotas y Aportaciones de Seguridad Social al Instituto de Previsión y Seguridad Social del Estado de Tamaulipas por la cantidad de $</w:t>
      </w:r>
      <w:r w:rsidR="00056BDD">
        <w:rPr>
          <w:rFonts w:asciiTheme="minorHAnsi" w:hAnsiTheme="minorHAnsi" w:cstheme="minorHAnsi"/>
          <w:szCs w:val="18"/>
        </w:rPr>
        <w:t>218,725,671</w:t>
      </w:r>
      <w:r w:rsidR="008D28EC">
        <w:rPr>
          <w:rFonts w:asciiTheme="minorHAnsi" w:hAnsiTheme="minorHAnsi" w:cstheme="minorHAnsi"/>
          <w:szCs w:val="18"/>
        </w:rPr>
        <w:t>, se registra también</w:t>
      </w:r>
      <w:r w:rsidR="004224CD">
        <w:rPr>
          <w:rFonts w:asciiTheme="minorHAnsi" w:hAnsiTheme="minorHAnsi" w:cstheme="minorHAnsi"/>
          <w:szCs w:val="18"/>
        </w:rPr>
        <w:t xml:space="preserve"> el adeudo a Consorcio Empresarial la Pesca, S.A. P.I.C.V. por venta de terrenos en el Ejido la Pesca del Municipio de Soto la Marina, que a la fecha no se ha des</w:t>
      </w:r>
      <w:r w:rsidR="00DE114F">
        <w:rPr>
          <w:rFonts w:asciiTheme="minorHAnsi" w:hAnsiTheme="minorHAnsi" w:cstheme="minorHAnsi"/>
          <w:szCs w:val="18"/>
        </w:rPr>
        <w:t>incorporado del Patrimonio del Estado y por el cual se recibió el importe de $35,320,000.</w:t>
      </w:r>
    </w:p>
    <w:p w14:paraId="16C3F529" w14:textId="55991EC2" w:rsidR="00C658D1" w:rsidRDefault="00C658D1" w:rsidP="00000001">
      <w:pPr>
        <w:pStyle w:val="Texto"/>
        <w:spacing w:after="0" w:line="240" w:lineRule="exact"/>
        <w:ind w:firstLine="0"/>
        <w:rPr>
          <w:rFonts w:asciiTheme="minorHAnsi" w:hAnsiTheme="minorHAnsi" w:cstheme="minorHAnsi"/>
          <w:szCs w:val="18"/>
        </w:rPr>
      </w:pPr>
    </w:p>
    <w:p w14:paraId="6E3DDA7B" w14:textId="68A81894" w:rsidR="00000001" w:rsidRDefault="00000001" w:rsidP="00000001">
      <w:pPr>
        <w:pStyle w:val="Texto"/>
        <w:spacing w:after="0" w:line="240" w:lineRule="exact"/>
        <w:ind w:firstLine="0"/>
        <w:rPr>
          <w:rFonts w:asciiTheme="minorHAnsi" w:hAnsiTheme="minorHAnsi" w:cstheme="minorHAnsi"/>
          <w:szCs w:val="18"/>
        </w:rPr>
      </w:pPr>
    </w:p>
    <w:p w14:paraId="13C3E140" w14:textId="77777777" w:rsidR="00250D2A" w:rsidRPr="005F45A3" w:rsidRDefault="00250D2A" w:rsidP="00000001">
      <w:pPr>
        <w:pStyle w:val="Texto"/>
        <w:spacing w:after="0" w:line="240" w:lineRule="exact"/>
        <w:ind w:firstLine="0"/>
        <w:rPr>
          <w:rFonts w:asciiTheme="minorHAnsi" w:hAnsiTheme="minorHAnsi" w:cstheme="minorHAnsi"/>
          <w:szCs w:val="18"/>
        </w:rPr>
      </w:pPr>
    </w:p>
    <w:p w14:paraId="5D865425" w14:textId="77777777" w:rsidR="003C02E7" w:rsidRPr="00000001" w:rsidRDefault="00D51F6E" w:rsidP="000C5510">
      <w:pPr>
        <w:spacing w:after="0"/>
        <w:ind w:left="-709" w:firstLine="425"/>
        <w:rPr>
          <w:rFonts w:asciiTheme="minorHAnsi" w:hAnsiTheme="minorHAnsi" w:cstheme="minorHAnsi"/>
          <w:b/>
          <w:sz w:val="18"/>
          <w:szCs w:val="18"/>
          <w:lang w:val="es-ES" w:eastAsia="es-ES"/>
        </w:rPr>
      </w:pPr>
      <w:r w:rsidRPr="00000001">
        <w:rPr>
          <w:rFonts w:asciiTheme="minorHAnsi" w:hAnsiTheme="minorHAnsi" w:cstheme="minorHAnsi"/>
          <w:b/>
          <w:sz w:val="18"/>
          <w:szCs w:val="18"/>
          <w:lang w:val="es-ES" w:eastAsia="es-ES"/>
        </w:rPr>
        <w:t xml:space="preserve">    </w:t>
      </w:r>
      <w:r w:rsidR="003C02E7" w:rsidRPr="00000001">
        <w:rPr>
          <w:rFonts w:asciiTheme="minorHAnsi" w:hAnsiTheme="minorHAnsi" w:cstheme="minorHAnsi"/>
          <w:b/>
          <w:sz w:val="18"/>
          <w:szCs w:val="18"/>
          <w:lang w:val="es-ES" w:eastAsia="es-ES"/>
        </w:rPr>
        <w:t>Otros Documentos por pagar a corto plazo</w:t>
      </w:r>
      <w:r w:rsidR="007D5522" w:rsidRPr="00000001">
        <w:rPr>
          <w:rFonts w:asciiTheme="minorHAnsi" w:hAnsiTheme="minorHAnsi" w:cstheme="minorHAnsi"/>
          <w:b/>
          <w:sz w:val="18"/>
          <w:szCs w:val="18"/>
          <w:lang w:val="es-ES" w:eastAsia="es-ES"/>
        </w:rPr>
        <w:t>.</w:t>
      </w:r>
    </w:p>
    <w:p w14:paraId="0556E4A4" w14:textId="77777777" w:rsidR="007D5522" w:rsidRPr="005F45A3" w:rsidRDefault="007D5522" w:rsidP="00383453">
      <w:pPr>
        <w:spacing w:after="0"/>
        <w:ind w:hanging="284"/>
        <w:rPr>
          <w:rFonts w:asciiTheme="minorHAnsi" w:hAnsiTheme="minorHAnsi" w:cstheme="minorHAnsi"/>
          <w:sz w:val="16"/>
          <w:lang w:val="es-ES" w:eastAsia="es-ES"/>
        </w:rPr>
      </w:pPr>
    </w:p>
    <w:p w14:paraId="718E08D8" w14:textId="1B17F5A0" w:rsidR="007D5522" w:rsidRPr="005F45A3" w:rsidRDefault="007D5522" w:rsidP="000C5510">
      <w:pPr>
        <w:ind w:left="-142"/>
        <w:jc w:val="both"/>
        <w:rPr>
          <w:rFonts w:asciiTheme="minorHAnsi" w:hAnsiTheme="minorHAnsi" w:cstheme="minorHAnsi"/>
          <w:sz w:val="18"/>
          <w:szCs w:val="18"/>
        </w:rPr>
      </w:pPr>
      <w:r w:rsidRPr="005F45A3">
        <w:rPr>
          <w:rFonts w:asciiTheme="minorHAnsi" w:hAnsiTheme="minorHAnsi" w:cstheme="minorHAnsi"/>
          <w:sz w:val="18"/>
          <w:szCs w:val="18"/>
        </w:rPr>
        <w:t xml:space="preserve">Con la finalidad de seguir cubriendo con los pagos a proveedores en tiempo y forma el </w:t>
      </w:r>
      <w:r w:rsidR="00CC790B" w:rsidRPr="005F45A3">
        <w:rPr>
          <w:rFonts w:asciiTheme="minorHAnsi" w:hAnsiTheme="minorHAnsi" w:cstheme="minorHAnsi"/>
          <w:sz w:val="18"/>
          <w:szCs w:val="18"/>
        </w:rPr>
        <w:t xml:space="preserve">Gobierno del Estado contrato varios </w:t>
      </w:r>
      <w:r w:rsidRPr="005F45A3">
        <w:rPr>
          <w:rFonts w:asciiTheme="minorHAnsi" w:hAnsiTheme="minorHAnsi" w:cstheme="minorHAnsi"/>
          <w:sz w:val="18"/>
          <w:szCs w:val="18"/>
        </w:rPr>
        <w:t>sistema</w:t>
      </w:r>
      <w:r w:rsidR="00CC790B" w:rsidRPr="005F45A3">
        <w:rPr>
          <w:rFonts w:asciiTheme="minorHAnsi" w:hAnsiTheme="minorHAnsi" w:cstheme="minorHAnsi"/>
          <w:sz w:val="18"/>
          <w:szCs w:val="18"/>
        </w:rPr>
        <w:t>s</w:t>
      </w:r>
      <w:r w:rsidRPr="005F45A3">
        <w:rPr>
          <w:rFonts w:asciiTheme="minorHAnsi" w:hAnsiTheme="minorHAnsi" w:cstheme="minorHAnsi"/>
          <w:sz w:val="18"/>
          <w:szCs w:val="18"/>
        </w:rPr>
        <w:t xml:space="preserve"> de factoraje </w:t>
      </w:r>
      <w:r w:rsidR="00847DAC" w:rsidRPr="005F45A3">
        <w:rPr>
          <w:rFonts w:asciiTheme="minorHAnsi" w:hAnsiTheme="minorHAnsi" w:cstheme="minorHAnsi"/>
          <w:sz w:val="18"/>
          <w:szCs w:val="18"/>
        </w:rPr>
        <w:t>financiero:</w:t>
      </w:r>
      <w:r w:rsidR="0061637D" w:rsidRPr="005F45A3">
        <w:rPr>
          <w:rFonts w:asciiTheme="minorHAnsi" w:hAnsiTheme="minorHAnsi" w:cstheme="minorHAnsi"/>
          <w:sz w:val="18"/>
          <w:szCs w:val="18"/>
        </w:rPr>
        <w:t xml:space="preserve"> </w:t>
      </w:r>
      <w:r w:rsidR="006802CA" w:rsidRPr="005F45A3">
        <w:rPr>
          <w:rFonts w:asciiTheme="minorHAnsi" w:hAnsiTheme="minorHAnsi" w:cstheme="minorHAnsi"/>
          <w:sz w:val="18"/>
          <w:szCs w:val="18"/>
        </w:rPr>
        <w:t xml:space="preserve">BBVA México Factoraje Financiero y Santander </w:t>
      </w:r>
      <w:proofErr w:type="spellStart"/>
      <w:r w:rsidR="006802CA" w:rsidRPr="005F45A3">
        <w:rPr>
          <w:rFonts w:asciiTheme="minorHAnsi" w:hAnsiTheme="minorHAnsi" w:cstheme="minorHAnsi"/>
          <w:sz w:val="18"/>
          <w:szCs w:val="18"/>
        </w:rPr>
        <w:t>Co</w:t>
      </w:r>
      <w:r w:rsidR="00CC790B" w:rsidRPr="005F45A3">
        <w:rPr>
          <w:rFonts w:asciiTheme="minorHAnsi" w:hAnsiTheme="minorHAnsi" w:cstheme="minorHAnsi"/>
          <w:sz w:val="18"/>
          <w:szCs w:val="18"/>
        </w:rPr>
        <w:t>nfir</w:t>
      </w:r>
      <w:r w:rsidR="006802CA" w:rsidRPr="005F45A3">
        <w:rPr>
          <w:rFonts w:asciiTheme="minorHAnsi" w:hAnsiTheme="minorHAnsi" w:cstheme="minorHAnsi"/>
          <w:sz w:val="18"/>
          <w:szCs w:val="18"/>
        </w:rPr>
        <w:t>ming</w:t>
      </w:r>
      <w:proofErr w:type="spellEnd"/>
      <w:r w:rsidRPr="005F45A3">
        <w:rPr>
          <w:rFonts w:asciiTheme="minorHAnsi" w:hAnsiTheme="minorHAnsi" w:cstheme="minorHAnsi"/>
          <w:sz w:val="18"/>
          <w:szCs w:val="18"/>
        </w:rPr>
        <w:t xml:space="preserve">., en el ejercicio </w:t>
      </w:r>
      <w:r w:rsidR="0061637D" w:rsidRPr="005F45A3">
        <w:rPr>
          <w:rFonts w:asciiTheme="minorHAnsi" w:hAnsiTheme="minorHAnsi" w:cstheme="minorHAnsi"/>
          <w:sz w:val="18"/>
          <w:szCs w:val="18"/>
        </w:rPr>
        <w:t xml:space="preserve">pasado </w:t>
      </w:r>
      <w:r w:rsidRPr="005F45A3">
        <w:rPr>
          <w:rFonts w:asciiTheme="minorHAnsi" w:hAnsiTheme="minorHAnsi" w:cstheme="minorHAnsi"/>
          <w:sz w:val="18"/>
          <w:szCs w:val="18"/>
        </w:rPr>
        <w:t xml:space="preserve">realizó dos contratos los cuales </w:t>
      </w:r>
      <w:r w:rsidR="00056BDD">
        <w:rPr>
          <w:rFonts w:asciiTheme="minorHAnsi" w:hAnsiTheme="minorHAnsi" w:cstheme="minorHAnsi"/>
          <w:sz w:val="18"/>
          <w:szCs w:val="18"/>
        </w:rPr>
        <w:t>fueron finiquitados al 30 de junio de 2022.</w:t>
      </w:r>
    </w:p>
    <w:tbl>
      <w:tblPr>
        <w:tblW w:w="5148" w:type="pct"/>
        <w:tblInd w:w="-147" w:type="dxa"/>
        <w:tblCellMar>
          <w:left w:w="70" w:type="dxa"/>
          <w:right w:w="70" w:type="dxa"/>
        </w:tblCellMar>
        <w:tblLook w:val="04A0" w:firstRow="1" w:lastRow="0" w:firstColumn="1" w:lastColumn="0" w:noHBand="0" w:noVBand="1"/>
      </w:tblPr>
      <w:tblGrid>
        <w:gridCol w:w="1001"/>
        <w:gridCol w:w="919"/>
        <w:gridCol w:w="1057"/>
        <w:gridCol w:w="1197"/>
        <w:gridCol w:w="1008"/>
        <w:gridCol w:w="833"/>
        <w:gridCol w:w="763"/>
        <w:gridCol w:w="688"/>
        <w:gridCol w:w="647"/>
        <w:gridCol w:w="1038"/>
        <w:gridCol w:w="676"/>
      </w:tblGrid>
      <w:tr w:rsidR="00250D2A" w:rsidRPr="000C5510" w14:paraId="53DA1D79" w14:textId="77777777" w:rsidTr="00FB3ABB">
        <w:trPr>
          <w:trHeight w:val="690"/>
        </w:trPr>
        <w:tc>
          <w:tcPr>
            <w:tcW w:w="509" w:type="pct"/>
            <w:tcBorders>
              <w:top w:val="single" w:sz="4" w:space="0" w:color="auto"/>
              <w:left w:val="single" w:sz="4" w:space="0" w:color="auto"/>
              <w:bottom w:val="single" w:sz="4" w:space="0" w:color="auto"/>
              <w:right w:val="single" w:sz="4" w:space="0" w:color="auto"/>
            </w:tcBorders>
            <w:shd w:val="clear" w:color="000000" w:fill="AB0033"/>
            <w:vAlign w:val="center"/>
            <w:hideMark/>
          </w:tcPr>
          <w:p w14:paraId="73ED5C4A"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Otros Documentos a pagar a corto plazo</w:t>
            </w:r>
          </w:p>
        </w:tc>
        <w:tc>
          <w:tcPr>
            <w:tcW w:w="467" w:type="pct"/>
            <w:tcBorders>
              <w:top w:val="single" w:sz="4" w:space="0" w:color="auto"/>
              <w:left w:val="nil"/>
              <w:bottom w:val="single" w:sz="4" w:space="0" w:color="auto"/>
              <w:right w:val="single" w:sz="4" w:space="0" w:color="auto"/>
            </w:tcBorders>
            <w:shd w:val="clear" w:color="000000" w:fill="AB0033"/>
            <w:vAlign w:val="center"/>
            <w:hideMark/>
          </w:tcPr>
          <w:p w14:paraId="73FA7538"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Importe Original Contratado</w:t>
            </w:r>
          </w:p>
        </w:tc>
        <w:tc>
          <w:tcPr>
            <w:tcW w:w="538" w:type="pct"/>
            <w:tcBorders>
              <w:top w:val="single" w:sz="4" w:space="0" w:color="auto"/>
              <w:left w:val="nil"/>
              <w:bottom w:val="single" w:sz="4" w:space="0" w:color="auto"/>
              <w:right w:val="single" w:sz="4" w:space="0" w:color="auto"/>
            </w:tcBorders>
            <w:shd w:val="clear" w:color="000000" w:fill="AB0033"/>
            <w:vAlign w:val="center"/>
            <w:hideMark/>
          </w:tcPr>
          <w:p w14:paraId="6A6FECBD"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Saldo al 31 de Diciembre de 2021</w:t>
            </w:r>
          </w:p>
        </w:tc>
        <w:tc>
          <w:tcPr>
            <w:tcW w:w="609" w:type="pct"/>
            <w:tcBorders>
              <w:top w:val="single" w:sz="4" w:space="0" w:color="auto"/>
              <w:left w:val="nil"/>
              <w:bottom w:val="single" w:sz="4" w:space="0" w:color="auto"/>
              <w:right w:val="single" w:sz="4" w:space="0" w:color="auto"/>
            </w:tcBorders>
            <w:shd w:val="clear" w:color="000000" w:fill="AB0033"/>
            <w:vAlign w:val="center"/>
            <w:hideMark/>
          </w:tcPr>
          <w:p w14:paraId="62D9F130"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Disposiciones</w:t>
            </w:r>
          </w:p>
        </w:tc>
        <w:tc>
          <w:tcPr>
            <w:tcW w:w="513" w:type="pct"/>
            <w:tcBorders>
              <w:top w:val="single" w:sz="4" w:space="0" w:color="auto"/>
              <w:left w:val="nil"/>
              <w:bottom w:val="single" w:sz="4" w:space="0" w:color="auto"/>
              <w:right w:val="single" w:sz="4" w:space="0" w:color="auto"/>
            </w:tcBorders>
            <w:shd w:val="clear" w:color="000000" w:fill="AB0033"/>
            <w:vAlign w:val="center"/>
            <w:hideMark/>
          </w:tcPr>
          <w:p w14:paraId="5E06B92B"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Importe pagado</w:t>
            </w:r>
          </w:p>
        </w:tc>
        <w:tc>
          <w:tcPr>
            <w:tcW w:w="424" w:type="pct"/>
            <w:tcBorders>
              <w:top w:val="single" w:sz="4" w:space="0" w:color="auto"/>
              <w:left w:val="nil"/>
              <w:bottom w:val="single" w:sz="4" w:space="0" w:color="auto"/>
              <w:right w:val="single" w:sz="4" w:space="0" w:color="auto"/>
            </w:tcBorders>
            <w:shd w:val="clear" w:color="000000" w:fill="AB0033"/>
            <w:vAlign w:val="center"/>
            <w:hideMark/>
          </w:tcPr>
          <w:p w14:paraId="42FA94B1" w14:textId="30593FDC" w:rsidR="00B838B2" w:rsidRPr="000C5510" w:rsidRDefault="00B838B2" w:rsidP="00056BDD">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Saldo al 3</w:t>
            </w:r>
            <w:r w:rsidR="00056BDD">
              <w:rPr>
                <w:rFonts w:eastAsia="Times New Roman" w:cs="Calibri"/>
                <w:b/>
                <w:bCs/>
                <w:color w:val="FFFFFF" w:themeColor="background1"/>
                <w:sz w:val="16"/>
                <w:szCs w:val="16"/>
                <w:lang w:eastAsia="es-MX"/>
              </w:rPr>
              <w:t>1</w:t>
            </w:r>
            <w:r w:rsidRPr="000C5510">
              <w:rPr>
                <w:rFonts w:eastAsia="Times New Roman" w:cs="Calibri"/>
                <w:b/>
                <w:bCs/>
                <w:color w:val="FFFFFF" w:themeColor="background1"/>
                <w:sz w:val="16"/>
                <w:szCs w:val="16"/>
                <w:lang w:eastAsia="es-MX"/>
              </w:rPr>
              <w:t xml:space="preserve"> de </w:t>
            </w:r>
            <w:r w:rsidR="00056BDD">
              <w:rPr>
                <w:rFonts w:eastAsia="Times New Roman" w:cs="Calibri"/>
                <w:b/>
                <w:bCs/>
                <w:color w:val="FFFFFF" w:themeColor="background1"/>
                <w:sz w:val="16"/>
                <w:szCs w:val="16"/>
                <w:lang w:eastAsia="es-MX"/>
              </w:rPr>
              <w:t>Dici</w:t>
            </w:r>
            <w:r w:rsidRPr="000C5510">
              <w:rPr>
                <w:rFonts w:eastAsia="Times New Roman" w:cs="Calibri"/>
                <w:b/>
                <w:bCs/>
                <w:color w:val="FFFFFF" w:themeColor="background1"/>
                <w:sz w:val="16"/>
                <w:szCs w:val="16"/>
                <w:lang w:eastAsia="es-MX"/>
              </w:rPr>
              <w:t>embre 2022</w:t>
            </w:r>
          </w:p>
        </w:tc>
        <w:tc>
          <w:tcPr>
            <w:tcW w:w="388" w:type="pct"/>
            <w:tcBorders>
              <w:top w:val="single" w:sz="4" w:space="0" w:color="auto"/>
              <w:left w:val="nil"/>
              <w:bottom w:val="single" w:sz="4" w:space="0" w:color="auto"/>
              <w:right w:val="single" w:sz="4" w:space="0" w:color="auto"/>
            </w:tcBorders>
            <w:shd w:val="clear" w:color="000000" w:fill="AB0033"/>
            <w:vAlign w:val="center"/>
            <w:hideMark/>
          </w:tcPr>
          <w:p w14:paraId="22271DA0"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Intereses</w:t>
            </w:r>
          </w:p>
        </w:tc>
        <w:tc>
          <w:tcPr>
            <w:tcW w:w="350" w:type="pct"/>
            <w:tcBorders>
              <w:top w:val="single" w:sz="4" w:space="0" w:color="auto"/>
              <w:left w:val="nil"/>
              <w:bottom w:val="single" w:sz="4" w:space="0" w:color="auto"/>
              <w:right w:val="single" w:sz="4" w:space="0" w:color="auto"/>
            </w:tcBorders>
            <w:shd w:val="clear" w:color="000000" w:fill="AB0033"/>
            <w:vAlign w:val="center"/>
            <w:hideMark/>
          </w:tcPr>
          <w:p w14:paraId="51A83600"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Plazo Pactado</w:t>
            </w:r>
          </w:p>
        </w:tc>
        <w:tc>
          <w:tcPr>
            <w:tcW w:w="329" w:type="pct"/>
            <w:tcBorders>
              <w:top w:val="single" w:sz="4" w:space="0" w:color="auto"/>
              <w:left w:val="nil"/>
              <w:bottom w:val="single" w:sz="4" w:space="0" w:color="auto"/>
              <w:right w:val="single" w:sz="4" w:space="0" w:color="auto"/>
            </w:tcBorders>
            <w:shd w:val="clear" w:color="000000" w:fill="AB0033"/>
            <w:vAlign w:val="center"/>
            <w:hideMark/>
          </w:tcPr>
          <w:p w14:paraId="3D2C84A7"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Tasa de Interés</w:t>
            </w:r>
          </w:p>
        </w:tc>
        <w:tc>
          <w:tcPr>
            <w:tcW w:w="528" w:type="pct"/>
            <w:tcBorders>
              <w:top w:val="single" w:sz="4" w:space="0" w:color="auto"/>
              <w:left w:val="nil"/>
              <w:bottom w:val="single" w:sz="4" w:space="0" w:color="auto"/>
              <w:right w:val="single" w:sz="4" w:space="0" w:color="auto"/>
            </w:tcBorders>
            <w:shd w:val="clear" w:color="000000" w:fill="AB0033"/>
            <w:vAlign w:val="center"/>
            <w:hideMark/>
          </w:tcPr>
          <w:p w14:paraId="6FE9CEA9"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Comisiones y Costos Relacionados</w:t>
            </w:r>
          </w:p>
        </w:tc>
        <w:tc>
          <w:tcPr>
            <w:tcW w:w="344" w:type="pct"/>
            <w:tcBorders>
              <w:top w:val="single" w:sz="4" w:space="0" w:color="auto"/>
              <w:left w:val="nil"/>
              <w:bottom w:val="single" w:sz="4" w:space="0" w:color="auto"/>
              <w:right w:val="single" w:sz="4" w:space="0" w:color="auto"/>
            </w:tcBorders>
            <w:shd w:val="clear" w:color="000000" w:fill="AB0033"/>
            <w:vAlign w:val="center"/>
            <w:hideMark/>
          </w:tcPr>
          <w:p w14:paraId="77AA1AFC" w14:textId="77777777" w:rsidR="00B838B2" w:rsidRPr="000C5510" w:rsidRDefault="00B838B2" w:rsidP="00B838B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Tasa Efectiva</w:t>
            </w:r>
          </w:p>
        </w:tc>
      </w:tr>
      <w:tr w:rsidR="00250D2A" w:rsidRPr="00B838B2" w14:paraId="4D49470D" w14:textId="77777777" w:rsidTr="00FB3ABB">
        <w:trPr>
          <w:trHeight w:val="33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1A98265"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Santander </w:t>
            </w:r>
            <w:proofErr w:type="spellStart"/>
            <w:r w:rsidRPr="00B838B2">
              <w:rPr>
                <w:rFonts w:eastAsia="Times New Roman" w:cs="Calibri"/>
                <w:color w:val="000000"/>
                <w:sz w:val="14"/>
                <w:szCs w:val="14"/>
                <w:lang w:eastAsia="es-MX"/>
              </w:rPr>
              <w:t>Confirming</w:t>
            </w:r>
            <w:proofErr w:type="spellEnd"/>
          </w:p>
        </w:tc>
        <w:tc>
          <w:tcPr>
            <w:tcW w:w="467" w:type="pct"/>
            <w:tcBorders>
              <w:top w:val="nil"/>
              <w:left w:val="nil"/>
              <w:bottom w:val="single" w:sz="4" w:space="0" w:color="auto"/>
              <w:right w:val="single" w:sz="4" w:space="0" w:color="auto"/>
            </w:tcBorders>
            <w:shd w:val="clear" w:color="auto" w:fill="auto"/>
            <w:vAlign w:val="center"/>
            <w:hideMark/>
          </w:tcPr>
          <w:p w14:paraId="0EFC5BE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400,000,000</w:t>
            </w:r>
          </w:p>
        </w:tc>
        <w:tc>
          <w:tcPr>
            <w:tcW w:w="538" w:type="pct"/>
            <w:tcBorders>
              <w:top w:val="nil"/>
              <w:left w:val="nil"/>
              <w:bottom w:val="single" w:sz="4" w:space="0" w:color="auto"/>
              <w:right w:val="single" w:sz="4" w:space="0" w:color="auto"/>
            </w:tcBorders>
            <w:shd w:val="clear" w:color="auto" w:fill="auto"/>
            <w:vAlign w:val="center"/>
            <w:hideMark/>
          </w:tcPr>
          <w:p w14:paraId="025F30B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57,569,324</w:t>
            </w:r>
          </w:p>
        </w:tc>
        <w:tc>
          <w:tcPr>
            <w:tcW w:w="609" w:type="pct"/>
            <w:tcBorders>
              <w:top w:val="nil"/>
              <w:left w:val="nil"/>
              <w:bottom w:val="single" w:sz="4" w:space="0" w:color="auto"/>
              <w:right w:val="single" w:sz="4" w:space="0" w:color="auto"/>
            </w:tcBorders>
            <w:shd w:val="clear" w:color="auto" w:fill="auto"/>
            <w:vAlign w:val="center"/>
            <w:hideMark/>
          </w:tcPr>
          <w:p w14:paraId="18DBECD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13" w:type="pct"/>
            <w:tcBorders>
              <w:top w:val="nil"/>
              <w:left w:val="nil"/>
              <w:bottom w:val="single" w:sz="4" w:space="0" w:color="auto"/>
              <w:right w:val="single" w:sz="4" w:space="0" w:color="auto"/>
            </w:tcBorders>
            <w:shd w:val="clear" w:color="auto" w:fill="auto"/>
            <w:vAlign w:val="center"/>
            <w:hideMark/>
          </w:tcPr>
          <w:p w14:paraId="4819B53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57,569,324</w:t>
            </w:r>
          </w:p>
        </w:tc>
        <w:tc>
          <w:tcPr>
            <w:tcW w:w="424" w:type="pct"/>
            <w:tcBorders>
              <w:top w:val="nil"/>
              <w:left w:val="nil"/>
              <w:bottom w:val="single" w:sz="4" w:space="0" w:color="auto"/>
              <w:right w:val="single" w:sz="4" w:space="0" w:color="auto"/>
            </w:tcBorders>
            <w:shd w:val="clear" w:color="auto" w:fill="auto"/>
            <w:vAlign w:val="center"/>
            <w:hideMark/>
          </w:tcPr>
          <w:p w14:paraId="1D4A104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88" w:type="pct"/>
            <w:tcBorders>
              <w:top w:val="nil"/>
              <w:left w:val="nil"/>
              <w:bottom w:val="single" w:sz="4" w:space="0" w:color="auto"/>
              <w:right w:val="single" w:sz="4" w:space="0" w:color="auto"/>
            </w:tcBorders>
            <w:shd w:val="clear" w:color="auto" w:fill="auto"/>
            <w:vAlign w:val="center"/>
            <w:hideMark/>
          </w:tcPr>
          <w:p w14:paraId="3D5EE24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350" w:type="pct"/>
            <w:tcBorders>
              <w:top w:val="nil"/>
              <w:left w:val="nil"/>
              <w:bottom w:val="single" w:sz="4" w:space="0" w:color="auto"/>
              <w:right w:val="single" w:sz="4" w:space="0" w:color="auto"/>
            </w:tcBorders>
            <w:shd w:val="clear" w:color="auto" w:fill="auto"/>
            <w:vAlign w:val="center"/>
            <w:hideMark/>
          </w:tcPr>
          <w:p w14:paraId="7C1AEAD8" w14:textId="0E22FDE3"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365 </w:t>
            </w:r>
            <w:r w:rsidR="00E43684" w:rsidRPr="00B838B2">
              <w:rPr>
                <w:rFonts w:eastAsia="Times New Roman" w:cs="Calibri"/>
                <w:color w:val="000000"/>
                <w:sz w:val="14"/>
                <w:szCs w:val="14"/>
                <w:lang w:eastAsia="es-MX"/>
              </w:rPr>
              <w:t>Días</w:t>
            </w:r>
            <w:r w:rsidRPr="00B838B2">
              <w:rPr>
                <w:rFonts w:eastAsia="Times New Roman" w:cs="Calibri"/>
                <w:color w:val="000000"/>
                <w:sz w:val="14"/>
                <w:szCs w:val="14"/>
                <w:lang w:eastAsia="es-MX"/>
              </w:rPr>
              <w:t xml:space="preserve"> </w:t>
            </w:r>
          </w:p>
        </w:tc>
        <w:tc>
          <w:tcPr>
            <w:tcW w:w="329" w:type="pct"/>
            <w:tcBorders>
              <w:top w:val="nil"/>
              <w:left w:val="nil"/>
              <w:bottom w:val="single" w:sz="4" w:space="0" w:color="auto"/>
              <w:right w:val="single" w:sz="4" w:space="0" w:color="auto"/>
            </w:tcBorders>
            <w:shd w:val="clear" w:color="auto" w:fill="auto"/>
            <w:vAlign w:val="center"/>
            <w:hideMark/>
          </w:tcPr>
          <w:p w14:paraId="2FB05DC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528" w:type="pct"/>
            <w:tcBorders>
              <w:top w:val="nil"/>
              <w:left w:val="nil"/>
              <w:bottom w:val="single" w:sz="4" w:space="0" w:color="auto"/>
              <w:right w:val="single" w:sz="4" w:space="0" w:color="auto"/>
            </w:tcBorders>
            <w:shd w:val="clear" w:color="auto" w:fill="auto"/>
            <w:vAlign w:val="center"/>
            <w:hideMark/>
          </w:tcPr>
          <w:p w14:paraId="1C095D3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c>
          <w:tcPr>
            <w:tcW w:w="344" w:type="pct"/>
            <w:tcBorders>
              <w:top w:val="nil"/>
              <w:left w:val="nil"/>
              <w:bottom w:val="single" w:sz="4" w:space="0" w:color="auto"/>
              <w:right w:val="single" w:sz="4" w:space="0" w:color="auto"/>
            </w:tcBorders>
            <w:shd w:val="clear" w:color="auto" w:fill="auto"/>
            <w:vAlign w:val="center"/>
            <w:hideMark/>
          </w:tcPr>
          <w:p w14:paraId="2E494E3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 N/A </w:t>
            </w:r>
          </w:p>
        </w:tc>
      </w:tr>
      <w:tr w:rsidR="00250D2A" w:rsidRPr="00B838B2" w14:paraId="6E278DA6" w14:textId="77777777" w:rsidTr="00FB3ABB">
        <w:trPr>
          <w:trHeight w:val="465"/>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0F379FBB"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BBVA </w:t>
            </w:r>
            <w:proofErr w:type="spellStart"/>
            <w:r w:rsidRPr="00B838B2">
              <w:rPr>
                <w:rFonts w:eastAsia="Times New Roman" w:cs="Calibri"/>
                <w:color w:val="000000"/>
                <w:sz w:val="14"/>
                <w:szCs w:val="14"/>
                <w:lang w:eastAsia="es-MX"/>
              </w:rPr>
              <w:t>Mexico</w:t>
            </w:r>
            <w:proofErr w:type="spellEnd"/>
            <w:r w:rsidRPr="00B838B2">
              <w:rPr>
                <w:rFonts w:eastAsia="Times New Roman" w:cs="Calibri"/>
                <w:color w:val="000000"/>
                <w:sz w:val="14"/>
                <w:szCs w:val="14"/>
                <w:lang w:eastAsia="es-MX"/>
              </w:rPr>
              <w:t xml:space="preserve"> Factoraje Fin. </w:t>
            </w:r>
          </w:p>
        </w:tc>
        <w:tc>
          <w:tcPr>
            <w:tcW w:w="467" w:type="pct"/>
            <w:tcBorders>
              <w:top w:val="nil"/>
              <w:left w:val="nil"/>
              <w:bottom w:val="single" w:sz="4" w:space="0" w:color="auto"/>
              <w:right w:val="single" w:sz="4" w:space="0" w:color="auto"/>
            </w:tcBorders>
            <w:shd w:val="clear" w:color="auto" w:fill="auto"/>
            <w:vAlign w:val="center"/>
            <w:hideMark/>
          </w:tcPr>
          <w:p w14:paraId="63F792E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100,000,000</w:t>
            </w:r>
          </w:p>
        </w:tc>
        <w:tc>
          <w:tcPr>
            <w:tcW w:w="538" w:type="pct"/>
            <w:tcBorders>
              <w:top w:val="nil"/>
              <w:left w:val="nil"/>
              <w:bottom w:val="single" w:sz="4" w:space="0" w:color="auto"/>
              <w:right w:val="single" w:sz="4" w:space="0" w:color="auto"/>
            </w:tcBorders>
            <w:shd w:val="clear" w:color="auto" w:fill="auto"/>
            <w:vAlign w:val="center"/>
            <w:hideMark/>
          </w:tcPr>
          <w:p w14:paraId="2BCAF30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89,264,491</w:t>
            </w:r>
          </w:p>
        </w:tc>
        <w:tc>
          <w:tcPr>
            <w:tcW w:w="609" w:type="pct"/>
            <w:tcBorders>
              <w:top w:val="nil"/>
              <w:left w:val="nil"/>
              <w:bottom w:val="single" w:sz="4" w:space="0" w:color="auto"/>
              <w:right w:val="single" w:sz="4" w:space="0" w:color="auto"/>
            </w:tcBorders>
            <w:shd w:val="clear" w:color="auto" w:fill="auto"/>
            <w:vAlign w:val="center"/>
            <w:hideMark/>
          </w:tcPr>
          <w:p w14:paraId="23D9D78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13" w:type="pct"/>
            <w:tcBorders>
              <w:top w:val="nil"/>
              <w:left w:val="nil"/>
              <w:bottom w:val="single" w:sz="4" w:space="0" w:color="auto"/>
              <w:right w:val="single" w:sz="4" w:space="0" w:color="auto"/>
            </w:tcBorders>
            <w:shd w:val="clear" w:color="auto" w:fill="auto"/>
            <w:vAlign w:val="center"/>
            <w:hideMark/>
          </w:tcPr>
          <w:p w14:paraId="772DAE7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89,264,491</w:t>
            </w:r>
          </w:p>
        </w:tc>
        <w:tc>
          <w:tcPr>
            <w:tcW w:w="424" w:type="pct"/>
            <w:tcBorders>
              <w:top w:val="nil"/>
              <w:left w:val="nil"/>
              <w:bottom w:val="single" w:sz="4" w:space="0" w:color="auto"/>
              <w:right w:val="single" w:sz="4" w:space="0" w:color="auto"/>
            </w:tcBorders>
            <w:shd w:val="clear" w:color="auto" w:fill="auto"/>
            <w:vAlign w:val="center"/>
            <w:hideMark/>
          </w:tcPr>
          <w:p w14:paraId="2E8B821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88" w:type="pct"/>
            <w:tcBorders>
              <w:top w:val="nil"/>
              <w:left w:val="nil"/>
              <w:bottom w:val="single" w:sz="4" w:space="0" w:color="auto"/>
              <w:right w:val="single" w:sz="4" w:space="0" w:color="auto"/>
            </w:tcBorders>
            <w:shd w:val="clear" w:color="auto" w:fill="auto"/>
            <w:vAlign w:val="center"/>
            <w:hideMark/>
          </w:tcPr>
          <w:p w14:paraId="390BA63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50" w:type="pct"/>
            <w:tcBorders>
              <w:top w:val="nil"/>
              <w:left w:val="nil"/>
              <w:bottom w:val="single" w:sz="4" w:space="0" w:color="auto"/>
              <w:right w:val="single" w:sz="4" w:space="0" w:color="auto"/>
            </w:tcBorders>
            <w:shd w:val="clear" w:color="auto" w:fill="auto"/>
            <w:vAlign w:val="center"/>
            <w:hideMark/>
          </w:tcPr>
          <w:p w14:paraId="0EF48CB6" w14:textId="1E0A92E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365 </w:t>
            </w:r>
            <w:r w:rsidR="00E43684" w:rsidRPr="00B838B2">
              <w:rPr>
                <w:rFonts w:eastAsia="Times New Roman" w:cs="Calibri"/>
                <w:color w:val="000000"/>
                <w:sz w:val="14"/>
                <w:szCs w:val="14"/>
                <w:lang w:eastAsia="es-MX"/>
              </w:rPr>
              <w:t>Días</w:t>
            </w:r>
          </w:p>
        </w:tc>
        <w:tc>
          <w:tcPr>
            <w:tcW w:w="329" w:type="pct"/>
            <w:tcBorders>
              <w:top w:val="nil"/>
              <w:left w:val="nil"/>
              <w:bottom w:val="single" w:sz="4" w:space="0" w:color="auto"/>
              <w:right w:val="single" w:sz="4" w:space="0" w:color="auto"/>
            </w:tcBorders>
            <w:shd w:val="clear" w:color="auto" w:fill="auto"/>
            <w:vAlign w:val="center"/>
            <w:hideMark/>
          </w:tcPr>
          <w:p w14:paraId="56C6D7D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528" w:type="pct"/>
            <w:tcBorders>
              <w:top w:val="nil"/>
              <w:left w:val="nil"/>
              <w:bottom w:val="single" w:sz="4" w:space="0" w:color="auto"/>
              <w:right w:val="single" w:sz="4" w:space="0" w:color="auto"/>
            </w:tcBorders>
            <w:shd w:val="clear" w:color="auto" w:fill="auto"/>
            <w:vAlign w:val="center"/>
            <w:hideMark/>
          </w:tcPr>
          <w:p w14:paraId="2553360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44" w:type="pct"/>
            <w:tcBorders>
              <w:top w:val="nil"/>
              <w:left w:val="nil"/>
              <w:bottom w:val="single" w:sz="4" w:space="0" w:color="auto"/>
              <w:right w:val="single" w:sz="4" w:space="0" w:color="auto"/>
            </w:tcBorders>
            <w:shd w:val="clear" w:color="auto" w:fill="auto"/>
            <w:vAlign w:val="center"/>
            <w:hideMark/>
          </w:tcPr>
          <w:p w14:paraId="044BE1F1"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r>
      <w:tr w:rsidR="00250D2A" w:rsidRPr="00B838B2" w14:paraId="17B0715C" w14:textId="77777777" w:rsidTr="00FB3ABB">
        <w:trPr>
          <w:trHeight w:val="45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E7214DC"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BBVA </w:t>
            </w:r>
            <w:proofErr w:type="spellStart"/>
            <w:r w:rsidRPr="00B838B2">
              <w:rPr>
                <w:rFonts w:eastAsia="Times New Roman" w:cs="Calibri"/>
                <w:color w:val="000000"/>
                <w:sz w:val="14"/>
                <w:szCs w:val="14"/>
                <w:lang w:eastAsia="es-MX"/>
              </w:rPr>
              <w:t>Mexico</w:t>
            </w:r>
            <w:proofErr w:type="spellEnd"/>
            <w:r w:rsidRPr="00B838B2">
              <w:rPr>
                <w:rFonts w:eastAsia="Times New Roman" w:cs="Calibri"/>
                <w:color w:val="000000"/>
                <w:sz w:val="14"/>
                <w:szCs w:val="14"/>
                <w:lang w:eastAsia="es-MX"/>
              </w:rPr>
              <w:t xml:space="preserve"> Factoraje Fin. </w:t>
            </w:r>
          </w:p>
        </w:tc>
        <w:tc>
          <w:tcPr>
            <w:tcW w:w="467" w:type="pct"/>
            <w:tcBorders>
              <w:top w:val="nil"/>
              <w:left w:val="nil"/>
              <w:bottom w:val="single" w:sz="4" w:space="0" w:color="auto"/>
              <w:right w:val="single" w:sz="4" w:space="0" w:color="auto"/>
            </w:tcBorders>
            <w:shd w:val="clear" w:color="auto" w:fill="auto"/>
            <w:vAlign w:val="center"/>
            <w:hideMark/>
          </w:tcPr>
          <w:p w14:paraId="799729F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100,000,000</w:t>
            </w:r>
          </w:p>
        </w:tc>
        <w:tc>
          <w:tcPr>
            <w:tcW w:w="538" w:type="pct"/>
            <w:tcBorders>
              <w:top w:val="nil"/>
              <w:left w:val="nil"/>
              <w:bottom w:val="single" w:sz="4" w:space="0" w:color="auto"/>
              <w:right w:val="single" w:sz="4" w:space="0" w:color="auto"/>
            </w:tcBorders>
            <w:shd w:val="clear" w:color="auto" w:fill="auto"/>
            <w:vAlign w:val="center"/>
            <w:hideMark/>
          </w:tcPr>
          <w:p w14:paraId="3732C8A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92,463,498</w:t>
            </w:r>
          </w:p>
        </w:tc>
        <w:tc>
          <w:tcPr>
            <w:tcW w:w="609" w:type="pct"/>
            <w:tcBorders>
              <w:top w:val="nil"/>
              <w:left w:val="nil"/>
              <w:bottom w:val="single" w:sz="4" w:space="0" w:color="auto"/>
              <w:right w:val="single" w:sz="4" w:space="0" w:color="auto"/>
            </w:tcBorders>
            <w:shd w:val="clear" w:color="auto" w:fill="auto"/>
            <w:vAlign w:val="center"/>
            <w:hideMark/>
          </w:tcPr>
          <w:p w14:paraId="3249286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7,521,393</w:t>
            </w:r>
          </w:p>
        </w:tc>
        <w:tc>
          <w:tcPr>
            <w:tcW w:w="513" w:type="pct"/>
            <w:tcBorders>
              <w:top w:val="nil"/>
              <w:left w:val="nil"/>
              <w:bottom w:val="single" w:sz="4" w:space="0" w:color="auto"/>
              <w:right w:val="single" w:sz="4" w:space="0" w:color="auto"/>
            </w:tcBorders>
            <w:shd w:val="clear" w:color="auto" w:fill="auto"/>
            <w:vAlign w:val="center"/>
            <w:hideMark/>
          </w:tcPr>
          <w:p w14:paraId="3B9FE0E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99,984,891</w:t>
            </w:r>
          </w:p>
        </w:tc>
        <w:tc>
          <w:tcPr>
            <w:tcW w:w="424" w:type="pct"/>
            <w:tcBorders>
              <w:top w:val="nil"/>
              <w:left w:val="nil"/>
              <w:bottom w:val="single" w:sz="4" w:space="0" w:color="auto"/>
              <w:right w:val="single" w:sz="4" w:space="0" w:color="auto"/>
            </w:tcBorders>
            <w:shd w:val="clear" w:color="auto" w:fill="auto"/>
            <w:vAlign w:val="center"/>
            <w:hideMark/>
          </w:tcPr>
          <w:p w14:paraId="7F84679E"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88" w:type="pct"/>
            <w:tcBorders>
              <w:top w:val="nil"/>
              <w:left w:val="nil"/>
              <w:bottom w:val="single" w:sz="4" w:space="0" w:color="auto"/>
              <w:right w:val="single" w:sz="4" w:space="0" w:color="auto"/>
            </w:tcBorders>
            <w:shd w:val="clear" w:color="auto" w:fill="auto"/>
            <w:vAlign w:val="center"/>
            <w:hideMark/>
          </w:tcPr>
          <w:p w14:paraId="158806D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50" w:type="pct"/>
            <w:tcBorders>
              <w:top w:val="nil"/>
              <w:left w:val="nil"/>
              <w:bottom w:val="single" w:sz="4" w:space="0" w:color="auto"/>
              <w:right w:val="single" w:sz="4" w:space="0" w:color="auto"/>
            </w:tcBorders>
            <w:shd w:val="clear" w:color="auto" w:fill="auto"/>
            <w:vAlign w:val="center"/>
            <w:hideMark/>
          </w:tcPr>
          <w:p w14:paraId="1E7B5C6B"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29/06/22</w:t>
            </w:r>
          </w:p>
        </w:tc>
        <w:tc>
          <w:tcPr>
            <w:tcW w:w="329" w:type="pct"/>
            <w:tcBorders>
              <w:top w:val="nil"/>
              <w:left w:val="nil"/>
              <w:bottom w:val="single" w:sz="4" w:space="0" w:color="auto"/>
              <w:right w:val="single" w:sz="4" w:space="0" w:color="auto"/>
            </w:tcBorders>
            <w:shd w:val="clear" w:color="auto" w:fill="auto"/>
            <w:vAlign w:val="center"/>
            <w:hideMark/>
          </w:tcPr>
          <w:p w14:paraId="7D95477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TASA BASE +125 PTS </w:t>
            </w:r>
          </w:p>
        </w:tc>
        <w:tc>
          <w:tcPr>
            <w:tcW w:w="528" w:type="pct"/>
            <w:tcBorders>
              <w:top w:val="nil"/>
              <w:left w:val="nil"/>
              <w:bottom w:val="single" w:sz="4" w:space="0" w:color="auto"/>
              <w:right w:val="single" w:sz="4" w:space="0" w:color="auto"/>
            </w:tcBorders>
            <w:shd w:val="clear" w:color="auto" w:fill="auto"/>
            <w:vAlign w:val="center"/>
            <w:hideMark/>
          </w:tcPr>
          <w:p w14:paraId="62E29A5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44" w:type="pct"/>
            <w:tcBorders>
              <w:top w:val="nil"/>
              <w:left w:val="nil"/>
              <w:bottom w:val="single" w:sz="4" w:space="0" w:color="auto"/>
              <w:right w:val="single" w:sz="4" w:space="0" w:color="auto"/>
            </w:tcBorders>
            <w:shd w:val="clear" w:color="auto" w:fill="auto"/>
            <w:vAlign w:val="center"/>
            <w:hideMark/>
          </w:tcPr>
          <w:p w14:paraId="2A47987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6.86</w:t>
            </w:r>
          </w:p>
        </w:tc>
      </w:tr>
      <w:tr w:rsidR="00250D2A" w:rsidRPr="00B838B2" w14:paraId="22841523" w14:textId="77777777" w:rsidTr="00FB3ABB">
        <w:trPr>
          <w:trHeight w:val="39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66F99A61"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xml:space="preserve">Santander </w:t>
            </w:r>
            <w:proofErr w:type="spellStart"/>
            <w:r w:rsidRPr="00B838B2">
              <w:rPr>
                <w:rFonts w:eastAsia="Times New Roman" w:cs="Calibri"/>
                <w:color w:val="000000"/>
                <w:sz w:val="14"/>
                <w:szCs w:val="14"/>
                <w:lang w:eastAsia="es-MX"/>
              </w:rPr>
              <w:t>Confirming</w:t>
            </w:r>
            <w:proofErr w:type="spellEnd"/>
          </w:p>
        </w:tc>
        <w:tc>
          <w:tcPr>
            <w:tcW w:w="467" w:type="pct"/>
            <w:tcBorders>
              <w:top w:val="nil"/>
              <w:left w:val="nil"/>
              <w:bottom w:val="single" w:sz="4" w:space="0" w:color="auto"/>
              <w:right w:val="single" w:sz="4" w:space="0" w:color="auto"/>
            </w:tcBorders>
            <w:shd w:val="clear" w:color="auto" w:fill="auto"/>
            <w:vAlign w:val="center"/>
            <w:hideMark/>
          </w:tcPr>
          <w:p w14:paraId="10A471C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300,000,000</w:t>
            </w:r>
          </w:p>
        </w:tc>
        <w:tc>
          <w:tcPr>
            <w:tcW w:w="538" w:type="pct"/>
            <w:tcBorders>
              <w:top w:val="nil"/>
              <w:left w:val="nil"/>
              <w:bottom w:val="single" w:sz="4" w:space="0" w:color="auto"/>
              <w:right w:val="single" w:sz="4" w:space="0" w:color="auto"/>
            </w:tcBorders>
            <w:shd w:val="clear" w:color="auto" w:fill="auto"/>
            <w:vAlign w:val="center"/>
            <w:hideMark/>
          </w:tcPr>
          <w:p w14:paraId="0FADA069"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99,995,520</w:t>
            </w:r>
          </w:p>
        </w:tc>
        <w:tc>
          <w:tcPr>
            <w:tcW w:w="609" w:type="pct"/>
            <w:tcBorders>
              <w:top w:val="nil"/>
              <w:left w:val="nil"/>
              <w:bottom w:val="single" w:sz="4" w:space="0" w:color="auto"/>
              <w:right w:val="single" w:sz="4" w:space="0" w:color="auto"/>
            </w:tcBorders>
            <w:shd w:val="clear" w:color="auto" w:fill="auto"/>
            <w:vAlign w:val="center"/>
            <w:hideMark/>
          </w:tcPr>
          <w:p w14:paraId="12EF89B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372,214,213</w:t>
            </w:r>
          </w:p>
        </w:tc>
        <w:tc>
          <w:tcPr>
            <w:tcW w:w="513" w:type="pct"/>
            <w:tcBorders>
              <w:top w:val="nil"/>
              <w:left w:val="nil"/>
              <w:bottom w:val="single" w:sz="4" w:space="0" w:color="auto"/>
              <w:right w:val="single" w:sz="4" w:space="0" w:color="auto"/>
            </w:tcBorders>
            <w:shd w:val="clear" w:color="auto" w:fill="auto"/>
            <w:vAlign w:val="center"/>
            <w:hideMark/>
          </w:tcPr>
          <w:p w14:paraId="0A8282A7"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472,209,733</w:t>
            </w:r>
          </w:p>
        </w:tc>
        <w:tc>
          <w:tcPr>
            <w:tcW w:w="424" w:type="pct"/>
            <w:tcBorders>
              <w:top w:val="nil"/>
              <w:left w:val="nil"/>
              <w:bottom w:val="single" w:sz="4" w:space="0" w:color="auto"/>
              <w:right w:val="single" w:sz="4" w:space="0" w:color="auto"/>
            </w:tcBorders>
            <w:shd w:val="clear" w:color="auto" w:fill="auto"/>
            <w:vAlign w:val="center"/>
            <w:hideMark/>
          </w:tcPr>
          <w:p w14:paraId="4BDB065A"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0</w:t>
            </w:r>
          </w:p>
        </w:tc>
        <w:tc>
          <w:tcPr>
            <w:tcW w:w="388" w:type="pct"/>
            <w:tcBorders>
              <w:top w:val="nil"/>
              <w:left w:val="nil"/>
              <w:bottom w:val="single" w:sz="4" w:space="0" w:color="auto"/>
              <w:right w:val="single" w:sz="4" w:space="0" w:color="auto"/>
            </w:tcBorders>
            <w:shd w:val="clear" w:color="auto" w:fill="auto"/>
            <w:vAlign w:val="center"/>
            <w:hideMark/>
          </w:tcPr>
          <w:p w14:paraId="2C8F81B0"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50" w:type="pct"/>
            <w:tcBorders>
              <w:top w:val="nil"/>
              <w:left w:val="nil"/>
              <w:bottom w:val="single" w:sz="4" w:space="0" w:color="auto"/>
              <w:right w:val="single" w:sz="4" w:space="0" w:color="auto"/>
            </w:tcBorders>
            <w:shd w:val="clear" w:color="auto" w:fill="auto"/>
            <w:vAlign w:val="center"/>
            <w:hideMark/>
          </w:tcPr>
          <w:p w14:paraId="186F125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29/06/22</w:t>
            </w:r>
          </w:p>
        </w:tc>
        <w:tc>
          <w:tcPr>
            <w:tcW w:w="329" w:type="pct"/>
            <w:tcBorders>
              <w:top w:val="nil"/>
              <w:left w:val="nil"/>
              <w:bottom w:val="single" w:sz="4" w:space="0" w:color="auto"/>
              <w:right w:val="single" w:sz="4" w:space="0" w:color="auto"/>
            </w:tcBorders>
            <w:shd w:val="clear" w:color="auto" w:fill="auto"/>
            <w:vAlign w:val="center"/>
            <w:hideMark/>
          </w:tcPr>
          <w:p w14:paraId="7820099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xml:space="preserve">TASA BASE +125 PTS </w:t>
            </w:r>
          </w:p>
        </w:tc>
        <w:tc>
          <w:tcPr>
            <w:tcW w:w="528" w:type="pct"/>
            <w:tcBorders>
              <w:top w:val="nil"/>
              <w:left w:val="nil"/>
              <w:bottom w:val="single" w:sz="4" w:space="0" w:color="auto"/>
              <w:right w:val="single" w:sz="4" w:space="0" w:color="auto"/>
            </w:tcBorders>
            <w:shd w:val="clear" w:color="auto" w:fill="auto"/>
            <w:vAlign w:val="center"/>
            <w:hideMark/>
          </w:tcPr>
          <w:p w14:paraId="001CF29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N/A</w:t>
            </w:r>
          </w:p>
        </w:tc>
        <w:tc>
          <w:tcPr>
            <w:tcW w:w="344" w:type="pct"/>
            <w:tcBorders>
              <w:top w:val="nil"/>
              <w:left w:val="nil"/>
              <w:bottom w:val="single" w:sz="4" w:space="0" w:color="auto"/>
              <w:right w:val="single" w:sz="4" w:space="0" w:color="auto"/>
            </w:tcBorders>
            <w:shd w:val="clear" w:color="auto" w:fill="auto"/>
            <w:vAlign w:val="center"/>
            <w:hideMark/>
          </w:tcPr>
          <w:p w14:paraId="7192A9AC"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8.36</w:t>
            </w:r>
          </w:p>
        </w:tc>
      </w:tr>
      <w:tr w:rsidR="00250D2A" w:rsidRPr="00B838B2" w14:paraId="520A35C6" w14:textId="77777777" w:rsidTr="00FB3ABB">
        <w:trPr>
          <w:trHeight w:val="14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402BA5EC" w14:textId="77777777" w:rsidR="00B838B2" w:rsidRPr="00B838B2" w:rsidRDefault="00B838B2" w:rsidP="00B838B2">
            <w:pPr>
              <w:spacing w:after="0" w:line="240" w:lineRule="auto"/>
              <w:jc w:val="both"/>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67" w:type="pct"/>
            <w:tcBorders>
              <w:top w:val="nil"/>
              <w:left w:val="nil"/>
              <w:bottom w:val="single" w:sz="4" w:space="0" w:color="auto"/>
              <w:right w:val="single" w:sz="4" w:space="0" w:color="auto"/>
            </w:tcBorders>
            <w:shd w:val="clear" w:color="auto" w:fill="auto"/>
            <w:vAlign w:val="center"/>
            <w:hideMark/>
          </w:tcPr>
          <w:p w14:paraId="6589302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38" w:type="pct"/>
            <w:tcBorders>
              <w:top w:val="nil"/>
              <w:left w:val="nil"/>
              <w:bottom w:val="single" w:sz="4" w:space="0" w:color="auto"/>
              <w:right w:val="single" w:sz="4" w:space="0" w:color="auto"/>
            </w:tcBorders>
            <w:shd w:val="clear" w:color="auto" w:fill="auto"/>
            <w:vAlign w:val="center"/>
            <w:hideMark/>
          </w:tcPr>
          <w:p w14:paraId="5B08B403"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609" w:type="pct"/>
            <w:tcBorders>
              <w:top w:val="nil"/>
              <w:left w:val="nil"/>
              <w:bottom w:val="single" w:sz="4" w:space="0" w:color="auto"/>
              <w:right w:val="single" w:sz="4" w:space="0" w:color="auto"/>
            </w:tcBorders>
            <w:shd w:val="clear" w:color="auto" w:fill="auto"/>
            <w:vAlign w:val="center"/>
            <w:hideMark/>
          </w:tcPr>
          <w:p w14:paraId="77EEB63F"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13" w:type="pct"/>
            <w:tcBorders>
              <w:top w:val="nil"/>
              <w:left w:val="nil"/>
              <w:bottom w:val="single" w:sz="4" w:space="0" w:color="auto"/>
              <w:right w:val="single" w:sz="4" w:space="0" w:color="auto"/>
            </w:tcBorders>
            <w:shd w:val="clear" w:color="auto" w:fill="auto"/>
            <w:vAlign w:val="center"/>
            <w:hideMark/>
          </w:tcPr>
          <w:p w14:paraId="1BD282F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424" w:type="pct"/>
            <w:tcBorders>
              <w:top w:val="nil"/>
              <w:left w:val="nil"/>
              <w:bottom w:val="single" w:sz="4" w:space="0" w:color="auto"/>
              <w:right w:val="single" w:sz="4" w:space="0" w:color="auto"/>
            </w:tcBorders>
            <w:shd w:val="clear" w:color="auto" w:fill="auto"/>
            <w:vAlign w:val="center"/>
            <w:hideMark/>
          </w:tcPr>
          <w:p w14:paraId="75F68C0D"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88" w:type="pct"/>
            <w:tcBorders>
              <w:top w:val="nil"/>
              <w:left w:val="nil"/>
              <w:bottom w:val="single" w:sz="4" w:space="0" w:color="auto"/>
              <w:right w:val="single" w:sz="4" w:space="0" w:color="auto"/>
            </w:tcBorders>
            <w:shd w:val="clear" w:color="auto" w:fill="auto"/>
            <w:vAlign w:val="center"/>
            <w:hideMark/>
          </w:tcPr>
          <w:p w14:paraId="0E67BE85"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50" w:type="pct"/>
            <w:tcBorders>
              <w:top w:val="nil"/>
              <w:left w:val="nil"/>
              <w:bottom w:val="single" w:sz="4" w:space="0" w:color="auto"/>
              <w:right w:val="single" w:sz="4" w:space="0" w:color="auto"/>
            </w:tcBorders>
            <w:shd w:val="clear" w:color="auto" w:fill="auto"/>
            <w:vAlign w:val="center"/>
            <w:hideMark/>
          </w:tcPr>
          <w:p w14:paraId="3D04A818"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29" w:type="pct"/>
            <w:tcBorders>
              <w:top w:val="nil"/>
              <w:left w:val="nil"/>
              <w:bottom w:val="single" w:sz="4" w:space="0" w:color="auto"/>
              <w:right w:val="single" w:sz="4" w:space="0" w:color="auto"/>
            </w:tcBorders>
            <w:shd w:val="clear" w:color="auto" w:fill="auto"/>
            <w:vAlign w:val="center"/>
            <w:hideMark/>
          </w:tcPr>
          <w:p w14:paraId="76B167E6"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528" w:type="pct"/>
            <w:tcBorders>
              <w:top w:val="nil"/>
              <w:left w:val="nil"/>
              <w:bottom w:val="single" w:sz="4" w:space="0" w:color="auto"/>
              <w:right w:val="single" w:sz="4" w:space="0" w:color="auto"/>
            </w:tcBorders>
            <w:shd w:val="clear" w:color="auto" w:fill="auto"/>
            <w:vAlign w:val="center"/>
            <w:hideMark/>
          </w:tcPr>
          <w:p w14:paraId="0EEBD1D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c>
          <w:tcPr>
            <w:tcW w:w="344" w:type="pct"/>
            <w:tcBorders>
              <w:top w:val="nil"/>
              <w:left w:val="nil"/>
              <w:bottom w:val="single" w:sz="4" w:space="0" w:color="auto"/>
              <w:right w:val="single" w:sz="4" w:space="0" w:color="auto"/>
            </w:tcBorders>
            <w:shd w:val="clear" w:color="auto" w:fill="auto"/>
            <w:vAlign w:val="center"/>
            <w:hideMark/>
          </w:tcPr>
          <w:p w14:paraId="07DD5B74" w14:textId="77777777" w:rsidR="00B838B2" w:rsidRPr="00B838B2" w:rsidRDefault="00B838B2" w:rsidP="00B838B2">
            <w:pPr>
              <w:spacing w:after="0" w:line="240" w:lineRule="auto"/>
              <w:jc w:val="right"/>
              <w:rPr>
                <w:rFonts w:eastAsia="Times New Roman" w:cs="Calibri"/>
                <w:color w:val="000000"/>
                <w:sz w:val="14"/>
                <w:szCs w:val="14"/>
                <w:lang w:eastAsia="es-MX"/>
              </w:rPr>
            </w:pPr>
            <w:r w:rsidRPr="00B838B2">
              <w:rPr>
                <w:rFonts w:eastAsia="Times New Roman" w:cs="Calibri"/>
                <w:color w:val="000000"/>
                <w:sz w:val="14"/>
                <w:szCs w:val="14"/>
                <w:lang w:eastAsia="es-MX"/>
              </w:rPr>
              <w:t> </w:t>
            </w:r>
          </w:p>
        </w:tc>
      </w:tr>
      <w:tr w:rsidR="00250D2A" w:rsidRPr="00B838B2" w14:paraId="0B328F55" w14:textId="77777777" w:rsidTr="00FB3ABB">
        <w:trPr>
          <w:trHeight w:val="290"/>
        </w:trPr>
        <w:tc>
          <w:tcPr>
            <w:tcW w:w="509" w:type="pct"/>
            <w:tcBorders>
              <w:top w:val="nil"/>
              <w:left w:val="single" w:sz="4" w:space="0" w:color="auto"/>
              <w:bottom w:val="single" w:sz="4" w:space="0" w:color="auto"/>
              <w:right w:val="single" w:sz="4" w:space="0" w:color="auto"/>
            </w:tcBorders>
            <w:shd w:val="clear" w:color="000000" w:fill="DDC9A3"/>
            <w:vAlign w:val="center"/>
            <w:hideMark/>
          </w:tcPr>
          <w:p w14:paraId="6CBDD574"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xml:space="preserve">TOTAL </w:t>
            </w:r>
          </w:p>
        </w:tc>
        <w:tc>
          <w:tcPr>
            <w:tcW w:w="467" w:type="pct"/>
            <w:tcBorders>
              <w:top w:val="nil"/>
              <w:left w:val="nil"/>
              <w:bottom w:val="single" w:sz="4" w:space="0" w:color="auto"/>
              <w:right w:val="single" w:sz="4" w:space="0" w:color="auto"/>
            </w:tcBorders>
            <w:shd w:val="clear" w:color="000000" w:fill="DDC9A3"/>
            <w:vAlign w:val="center"/>
            <w:hideMark/>
          </w:tcPr>
          <w:p w14:paraId="49B2ABE4"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900,000,000</w:t>
            </w:r>
          </w:p>
        </w:tc>
        <w:tc>
          <w:tcPr>
            <w:tcW w:w="538" w:type="pct"/>
            <w:tcBorders>
              <w:top w:val="nil"/>
              <w:left w:val="nil"/>
              <w:bottom w:val="single" w:sz="4" w:space="0" w:color="auto"/>
              <w:right w:val="single" w:sz="4" w:space="0" w:color="auto"/>
            </w:tcBorders>
            <w:shd w:val="clear" w:color="000000" w:fill="DDC9A3"/>
            <w:vAlign w:val="center"/>
            <w:hideMark/>
          </w:tcPr>
          <w:p w14:paraId="66792144" w14:textId="77777777" w:rsidR="00B838B2" w:rsidRPr="00B838B2" w:rsidRDefault="00B838B2" w:rsidP="0032021D">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339,292,833</w:t>
            </w:r>
          </w:p>
        </w:tc>
        <w:tc>
          <w:tcPr>
            <w:tcW w:w="609" w:type="pct"/>
            <w:tcBorders>
              <w:top w:val="nil"/>
              <w:left w:val="nil"/>
              <w:bottom w:val="single" w:sz="4" w:space="0" w:color="auto"/>
              <w:right w:val="single" w:sz="4" w:space="0" w:color="auto"/>
            </w:tcBorders>
            <w:shd w:val="clear" w:color="000000" w:fill="DDC9A3"/>
            <w:vAlign w:val="center"/>
            <w:hideMark/>
          </w:tcPr>
          <w:p w14:paraId="4FFE2CEE" w14:textId="77777777" w:rsidR="00B838B2" w:rsidRPr="00B838B2" w:rsidRDefault="00B838B2" w:rsidP="0032021D">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379,735,606</w:t>
            </w:r>
          </w:p>
        </w:tc>
        <w:tc>
          <w:tcPr>
            <w:tcW w:w="513" w:type="pct"/>
            <w:tcBorders>
              <w:top w:val="nil"/>
              <w:left w:val="nil"/>
              <w:bottom w:val="single" w:sz="4" w:space="0" w:color="auto"/>
              <w:right w:val="single" w:sz="4" w:space="0" w:color="auto"/>
            </w:tcBorders>
            <w:shd w:val="clear" w:color="000000" w:fill="DDC9A3"/>
            <w:vAlign w:val="center"/>
            <w:hideMark/>
          </w:tcPr>
          <w:p w14:paraId="650E90A2"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719,028,439</w:t>
            </w:r>
          </w:p>
        </w:tc>
        <w:tc>
          <w:tcPr>
            <w:tcW w:w="424" w:type="pct"/>
            <w:tcBorders>
              <w:top w:val="nil"/>
              <w:left w:val="nil"/>
              <w:bottom w:val="single" w:sz="4" w:space="0" w:color="auto"/>
              <w:right w:val="single" w:sz="4" w:space="0" w:color="auto"/>
            </w:tcBorders>
            <w:shd w:val="clear" w:color="000000" w:fill="DDC9A3"/>
            <w:vAlign w:val="center"/>
            <w:hideMark/>
          </w:tcPr>
          <w:p w14:paraId="7ACF7F73"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0</w:t>
            </w:r>
          </w:p>
        </w:tc>
        <w:tc>
          <w:tcPr>
            <w:tcW w:w="388" w:type="pct"/>
            <w:tcBorders>
              <w:top w:val="nil"/>
              <w:left w:val="nil"/>
              <w:bottom w:val="single" w:sz="4" w:space="0" w:color="auto"/>
              <w:right w:val="single" w:sz="4" w:space="0" w:color="auto"/>
            </w:tcBorders>
            <w:shd w:val="clear" w:color="000000" w:fill="DDC9A3"/>
            <w:vAlign w:val="center"/>
            <w:hideMark/>
          </w:tcPr>
          <w:p w14:paraId="05594E80"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350" w:type="pct"/>
            <w:tcBorders>
              <w:top w:val="nil"/>
              <w:left w:val="nil"/>
              <w:bottom w:val="single" w:sz="4" w:space="0" w:color="auto"/>
              <w:right w:val="single" w:sz="4" w:space="0" w:color="auto"/>
            </w:tcBorders>
            <w:shd w:val="clear" w:color="000000" w:fill="DDC9A3"/>
            <w:vAlign w:val="center"/>
            <w:hideMark/>
          </w:tcPr>
          <w:p w14:paraId="4E253162"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329" w:type="pct"/>
            <w:tcBorders>
              <w:top w:val="nil"/>
              <w:left w:val="nil"/>
              <w:bottom w:val="single" w:sz="4" w:space="0" w:color="auto"/>
              <w:right w:val="single" w:sz="4" w:space="0" w:color="auto"/>
            </w:tcBorders>
            <w:shd w:val="clear" w:color="000000" w:fill="DDC9A3"/>
            <w:vAlign w:val="center"/>
            <w:hideMark/>
          </w:tcPr>
          <w:p w14:paraId="03E44EE0"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528" w:type="pct"/>
            <w:tcBorders>
              <w:top w:val="nil"/>
              <w:left w:val="nil"/>
              <w:bottom w:val="single" w:sz="4" w:space="0" w:color="auto"/>
              <w:right w:val="single" w:sz="4" w:space="0" w:color="auto"/>
            </w:tcBorders>
            <w:shd w:val="clear" w:color="000000" w:fill="DDC9A3"/>
            <w:vAlign w:val="center"/>
            <w:hideMark/>
          </w:tcPr>
          <w:p w14:paraId="68B2ABC8" w14:textId="77777777" w:rsidR="00B838B2" w:rsidRPr="00B838B2" w:rsidRDefault="00B838B2" w:rsidP="00B838B2">
            <w:pPr>
              <w:spacing w:after="0" w:line="240" w:lineRule="auto"/>
              <w:jc w:val="right"/>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c>
          <w:tcPr>
            <w:tcW w:w="344" w:type="pct"/>
            <w:tcBorders>
              <w:top w:val="nil"/>
              <w:left w:val="nil"/>
              <w:bottom w:val="single" w:sz="4" w:space="0" w:color="auto"/>
              <w:right w:val="single" w:sz="4" w:space="0" w:color="auto"/>
            </w:tcBorders>
            <w:shd w:val="clear" w:color="000000" w:fill="DDC9A3"/>
            <w:vAlign w:val="center"/>
            <w:hideMark/>
          </w:tcPr>
          <w:p w14:paraId="297511A4" w14:textId="77777777" w:rsidR="00B838B2" w:rsidRPr="00B838B2" w:rsidRDefault="00B838B2" w:rsidP="00B838B2">
            <w:pPr>
              <w:spacing w:after="0" w:line="240" w:lineRule="auto"/>
              <w:jc w:val="center"/>
              <w:rPr>
                <w:rFonts w:eastAsia="Times New Roman" w:cs="Calibri"/>
                <w:b/>
                <w:bCs/>
                <w:color w:val="000000"/>
                <w:sz w:val="14"/>
                <w:szCs w:val="14"/>
                <w:lang w:eastAsia="es-MX"/>
              </w:rPr>
            </w:pPr>
            <w:r w:rsidRPr="00B838B2">
              <w:rPr>
                <w:rFonts w:eastAsia="Times New Roman" w:cs="Calibri"/>
                <w:b/>
                <w:bCs/>
                <w:color w:val="000000"/>
                <w:sz w:val="14"/>
                <w:szCs w:val="14"/>
                <w:lang w:eastAsia="es-MX"/>
              </w:rPr>
              <w:t> </w:t>
            </w:r>
          </w:p>
        </w:tc>
      </w:tr>
    </w:tbl>
    <w:p w14:paraId="0667BE0B" w14:textId="77777777" w:rsidR="008F37A0" w:rsidRPr="00383453" w:rsidRDefault="008F37A0" w:rsidP="007D5522">
      <w:pPr>
        <w:jc w:val="both"/>
        <w:rPr>
          <w:rFonts w:asciiTheme="minorHAnsi" w:hAnsiTheme="minorHAnsi" w:cstheme="minorHAnsi"/>
          <w:sz w:val="14"/>
          <w:szCs w:val="18"/>
        </w:rPr>
      </w:pPr>
    </w:p>
    <w:p w14:paraId="2A51AE36" w14:textId="77777777" w:rsidR="00BB4C9D" w:rsidRPr="005F45A3" w:rsidRDefault="00967E2F" w:rsidP="000C5510">
      <w:pPr>
        <w:pStyle w:val="Texto"/>
        <w:spacing w:after="0" w:line="240" w:lineRule="exact"/>
        <w:ind w:left="-284" w:firstLine="142"/>
        <w:rPr>
          <w:rFonts w:asciiTheme="minorHAnsi" w:hAnsiTheme="minorHAnsi" w:cstheme="minorHAnsi"/>
          <w:b/>
          <w:sz w:val="20"/>
          <w:szCs w:val="18"/>
        </w:rPr>
      </w:pPr>
      <w:r w:rsidRPr="005F45A3">
        <w:rPr>
          <w:rFonts w:asciiTheme="minorHAnsi" w:hAnsiTheme="minorHAnsi" w:cstheme="minorHAnsi"/>
          <w:b/>
          <w:sz w:val="20"/>
          <w:szCs w:val="18"/>
        </w:rPr>
        <w:t>Porción a Corto Plazo de la Deuda a Largo Plazo</w:t>
      </w:r>
      <w:r w:rsidR="00BB4C9D" w:rsidRPr="005F45A3">
        <w:rPr>
          <w:rFonts w:asciiTheme="minorHAnsi" w:hAnsiTheme="minorHAnsi" w:cstheme="minorHAnsi"/>
          <w:b/>
          <w:sz w:val="20"/>
          <w:szCs w:val="18"/>
        </w:rPr>
        <w:t>.</w:t>
      </w:r>
    </w:p>
    <w:p w14:paraId="601D9691" w14:textId="77777777" w:rsidR="00F41B6F" w:rsidRPr="005F45A3" w:rsidRDefault="00F41B6F" w:rsidP="00383453">
      <w:pPr>
        <w:pStyle w:val="Texto"/>
        <w:spacing w:after="0" w:line="240" w:lineRule="exact"/>
        <w:ind w:left="-284" w:firstLine="142"/>
        <w:rPr>
          <w:rFonts w:asciiTheme="minorHAnsi" w:hAnsiTheme="minorHAnsi" w:cstheme="minorHAnsi"/>
          <w:szCs w:val="18"/>
        </w:rPr>
      </w:pPr>
    </w:p>
    <w:p w14:paraId="1A95060A" w14:textId="214BE200" w:rsidR="00967E2F" w:rsidRPr="005F45A3" w:rsidRDefault="001B69AF" w:rsidP="000C5510">
      <w:pPr>
        <w:pStyle w:val="Texto"/>
        <w:spacing w:after="0" w:line="240" w:lineRule="exact"/>
        <w:ind w:hanging="142"/>
        <w:rPr>
          <w:rFonts w:asciiTheme="minorHAnsi" w:hAnsiTheme="minorHAnsi" w:cstheme="minorHAnsi"/>
          <w:szCs w:val="18"/>
        </w:rPr>
      </w:pPr>
      <w:r w:rsidRPr="005F45A3">
        <w:rPr>
          <w:rFonts w:asciiTheme="minorHAnsi" w:hAnsiTheme="minorHAnsi" w:cstheme="minorHAnsi"/>
          <w:szCs w:val="18"/>
        </w:rPr>
        <w:t xml:space="preserve">El saldo de esta cuenta al cierre del </w:t>
      </w:r>
      <w:r w:rsidR="00293824">
        <w:rPr>
          <w:rFonts w:asciiTheme="minorHAnsi" w:hAnsiTheme="minorHAnsi" w:cstheme="minorHAnsi"/>
          <w:szCs w:val="18"/>
        </w:rPr>
        <w:t>cuarto</w:t>
      </w:r>
      <w:r w:rsidRPr="005F45A3">
        <w:rPr>
          <w:rFonts w:asciiTheme="minorHAnsi" w:hAnsiTheme="minorHAnsi" w:cstheme="minorHAnsi"/>
          <w:szCs w:val="18"/>
        </w:rPr>
        <w:t xml:space="preserve"> trimestre se de</w:t>
      </w:r>
      <w:r w:rsidR="00847DAC" w:rsidRPr="005F45A3">
        <w:rPr>
          <w:rFonts w:asciiTheme="minorHAnsi" w:hAnsiTheme="minorHAnsi" w:cstheme="minorHAnsi"/>
          <w:szCs w:val="18"/>
        </w:rPr>
        <w:t>talla</w:t>
      </w:r>
      <w:r w:rsidRPr="005F45A3">
        <w:rPr>
          <w:rFonts w:asciiTheme="minorHAnsi" w:hAnsiTheme="minorHAnsi" w:cstheme="minorHAnsi"/>
          <w:szCs w:val="18"/>
        </w:rPr>
        <w:t xml:space="preserve"> a continuación por crédito</w:t>
      </w:r>
      <w:r w:rsidR="00967E2F" w:rsidRPr="005F45A3">
        <w:rPr>
          <w:rFonts w:asciiTheme="minorHAnsi" w:hAnsiTheme="minorHAnsi" w:cstheme="minorHAnsi"/>
          <w:szCs w:val="18"/>
        </w:rPr>
        <w:t>.</w:t>
      </w:r>
    </w:p>
    <w:p w14:paraId="3A923E86" w14:textId="77777777" w:rsidR="00A030AB" w:rsidRPr="005F45A3" w:rsidRDefault="00F325B6" w:rsidP="001A2BE2">
      <w:pPr>
        <w:pStyle w:val="Texto"/>
        <w:spacing w:after="0" w:line="240" w:lineRule="exact"/>
        <w:ind w:firstLine="0"/>
        <w:rPr>
          <w:rFonts w:asciiTheme="minorHAnsi" w:hAnsiTheme="minorHAnsi" w:cstheme="minorHAnsi"/>
          <w:sz w:val="20"/>
          <w:szCs w:val="18"/>
        </w:rPr>
      </w:pPr>
      <w:r w:rsidRPr="005F45A3">
        <w:rPr>
          <w:rFonts w:asciiTheme="minorHAnsi" w:hAnsiTheme="minorHAnsi" w:cstheme="minorHAnsi"/>
          <w:sz w:val="20"/>
          <w:szCs w:val="18"/>
        </w:rPr>
        <w:t xml:space="preserve">   </w:t>
      </w:r>
    </w:p>
    <w:tbl>
      <w:tblPr>
        <w:tblW w:w="6629" w:type="dxa"/>
        <w:tblInd w:w="-147" w:type="dxa"/>
        <w:tblCellMar>
          <w:left w:w="70" w:type="dxa"/>
          <w:right w:w="70" w:type="dxa"/>
        </w:tblCellMar>
        <w:tblLook w:val="04A0" w:firstRow="1" w:lastRow="0" w:firstColumn="1" w:lastColumn="0" w:noHBand="0" w:noVBand="1"/>
      </w:tblPr>
      <w:tblGrid>
        <w:gridCol w:w="4531"/>
        <w:gridCol w:w="2098"/>
      </w:tblGrid>
      <w:tr w:rsidR="00056BDD" w:rsidRPr="00056BDD" w14:paraId="12C89EEF" w14:textId="77777777" w:rsidTr="00FB3ABB">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42414902" w14:textId="77777777" w:rsidR="00056BDD" w:rsidRPr="00056BDD" w:rsidRDefault="00056BDD" w:rsidP="00056BDD">
            <w:pPr>
              <w:spacing w:after="0" w:line="240" w:lineRule="auto"/>
              <w:jc w:val="center"/>
              <w:rPr>
                <w:rFonts w:eastAsia="Times New Roman" w:cs="Calibri"/>
                <w:b/>
                <w:bCs/>
                <w:color w:val="FFFFFF"/>
                <w:sz w:val="16"/>
                <w:szCs w:val="16"/>
                <w:lang w:eastAsia="es-MX"/>
              </w:rPr>
            </w:pPr>
            <w:r w:rsidRPr="00056BDD">
              <w:rPr>
                <w:rFonts w:eastAsia="Times New Roman" w:cs="Calibri"/>
                <w:b/>
                <w:bCs/>
                <w:color w:val="FFFFFF"/>
                <w:sz w:val="16"/>
                <w:szCs w:val="16"/>
                <w:lang w:eastAsia="es-MX"/>
              </w:rPr>
              <w:t>Porción a Corto Plazo de la Deuda a Largo Plazo</w:t>
            </w:r>
          </w:p>
        </w:tc>
        <w:tc>
          <w:tcPr>
            <w:tcW w:w="2098" w:type="dxa"/>
            <w:tcBorders>
              <w:top w:val="single" w:sz="4" w:space="0" w:color="auto"/>
              <w:left w:val="nil"/>
              <w:bottom w:val="single" w:sz="4" w:space="0" w:color="auto"/>
              <w:right w:val="single" w:sz="4" w:space="0" w:color="auto"/>
            </w:tcBorders>
            <w:shd w:val="clear" w:color="000000" w:fill="AB0033"/>
            <w:vAlign w:val="center"/>
            <w:hideMark/>
          </w:tcPr>
          <w:p w14:paraId="5D9AB2C2" w14:textId="77777777" w:rsidR="00056BDD" w:rsidRPr="00056BDD" w:rsidRDefault="00056BDD" w:rsidP="00056BDD">
            <w:pPr>
              <w:spacing w:after="0" w:line="240" w:lineRule="auto"/>
              <w:jc w:val="center"/>
              <w:rPr>
                <w:rFonts w:eastAsia="Times New Roman" w:cs="Calibri"/>
                <w:b/>
                <w:bCs/>
                <w:color w:val="FFFFFF"/>
                <w:sz w:val="16"/>
                <w:szCs w:val="16"/>
                <w:lang w:eastAsia="es-MX"/>
              </w:rPr>
            </w:pPr>
            <w:r w:rsidRPr="00056BDD">
              <w:rPr>
                <w:rFonts w:eastAsia="Times New Roman" w:cs="Calibri"/>
                <w:b/>
                <w:bCs/>
                <w:color w:val="FFFFFF"/>
                <w:sz w:val="16"/>
                <w:szCs w:val="16"/>
                <w:lang w:eastAsia="es-MX"/>
              </w:rPr>
              <w:t xml:space="preserve">Importe </w:t>
            </w:r>
          </w:p>
        </w:tc>
      </w:tr>
      <w:tr w:rsidR="00056BDD" w:rsidRPr="00250D2A" w14:paraId="15927A81" w14:textId="77777777" w:rsidTr="00FB3ABB">
        <w:trPr>
          <w:trHeight w:val="284"/>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586043A"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5'461 MDP Banorte</w:t>
            </w:r>
          </w:p>
        </w:tc>
        <w:tc>
          <w:tcPr>
            <w:tcW w:w="2098" w:type="dxa"/>
            <w:tcBorders>
              <w:top w:val="nil"/>
              <w:left w:val="nil"/>
              <w:bottom w:val="single" w:sz="4" w:space="0" w:color="auto"/>
              <w:right w:val="single" w:sz="4" w:space="0" w:color="auto"/>
            </w:tcBorders>
            <w:shd w:val="clear" w:color="auto" w:fill="auto"/>
            <w:noWrap/>
            <w:vAlign w:val="bottom"/>
            <w:hideMark/>
          </w:tcPr>
          <w:p w14:paraId="715CF0E5"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95,092,731 </w:t>
            </w:r>
          </w:p>
        </w:tc>
      </w:tr>
      <w:tr w:rsidR="00056BDD" w:rsidRPr="00250D2A" w14:paraId="583941CF" w14:textId="77777777" w:rsidTr="00FB3ABB">
        <w:trPr>
          <w:trHeight w:val="284"/>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F725D56"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1'000 MDP Bancomer</w:t>
            </w:r>
          </w:p>
        </w:tc>
        <w:tc>
          <w:tcPr>
            <w:tcW w:w="2098" w:type="dxa"/>
            <w:tcBorders>
              <w:top w:val="nil"/>
              <w:left w:val="nil"/>
              <w:bottom w:val="single" w:sz="4" w:space="0" w:color="auto"/>
              <w:right w:val="single" w:sz="4" w:space="0" w:color="auto"/>
            </w:tcBorders>
            <w:shd w:val="clear" w:color="auto" w:fill="auto"/>
            <w:noWrap/>
            <w:vAlign w:val="bottom"/>
            <w:hideMark/>
          </w:tcPr>
          <w:p w14:paraId="5173881B"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54,945,060 </w:t>
            </w:r>
          </w:p>
        </w:tc>
      </w:tr>
      <w:tr w:rsidR="00056BDD" w:rsidRPr="00250D2A" w14:paraId="12ADEFCF" w14:textId="77777777" w:rsidTr="00FB3ABB">
        <w:trPr>
          <w:trHeight w:val="284"/>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79E7F69"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968 MDP Bancomer</w:t>
            </w:r>
          </w:p>
        </w:tc>
        <w:tc>
          <w:tcPr>
            <w:tcW w:w="2098" w:type="dxa"/>
            <w:tcBorders>
              <w:top w:val="nil"/>
              <w:left w:val="nil"/>
              <w:bottom w:val="single" w:sz="4" w:space="0" w:color="auto"/>
              <w:right w:val="single" w:sz="4" w:space="0" w:color="auto"/>
            </w:tcBorders>
            <w:shd w:val="clear" w:color="auto" w:fill="auto"/>
            <w:noWrap/>
            <w:vAlign w:val="bottom"/>
            <w:hideMark/>
          </w:tcPr>
          <w:p w14:paraId="068AB77D"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52,690,288 </w:t>
            </w:r>
          </w:p>
        </w:tc>
      </w:tr>
      <w:tr w:rsidR="00056BDD" w:rsidRPr="00250D2A" w14:paraId="00F1E50E" w14:textId="77777777" w:rsidTr="00FB3ABB">
        <w:trPr>
          <w:trHeight w:val="284"/>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5D590EC"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1'650 MDP Santander</w:t>
            </w:r>
          </w:p>
        </w:tc>
        <w:tc>
          <w:tcPr>
            <w:tcW w:w="2098" w:type="dxa"/>
            <w:tcBorders>
              <w:top w:val="nil"/>
              <w:left w:val="nil"/>
              <w:bottom w:val="single" w:sz="4" w:space="0" w:color="auto"/>
              <w:right w:val="single" w:sz="4" w:space="0" w:color="auto"/>
            </w:tcBorders>
            <w:shd w:val="clear" w:color="auto" w:fill="auto"/>
            <w:noWrap/>
            <w:vAlign w:val="bottom"/>
            <w:hideMark/>
          </w:tcPr>
          <w:p w14:paraId="5D257477"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27,882,119 </w:t>
            </w:r>
          </w:p>
        </w:tc>
      </w:tr>
      <w:tr w:rsidR="00056BDD" w:rsidRPr="00250D2A" w14:paraId="2F2DA715" w14:textId="77777777" w:rsidTr="00FB3ABB">
        <w:trPr>
          <w:trHeight w:val="284"/>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AED0C2C"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1'539 MDP Banorte</w:t>
            </w:r>
          </w:p>
        </w:tc>
        <w:tc>
          <w:tcPr>
            <w:tcW w:w="2098" w:type="dxa"/>
            <w:tcBorders>
              <w:top w:val="nil"/>
              <w:left w:val="nil"/>
              <w:bottom w:val="single" w:sz="4" w:space="0" w:color="auto"/>
              <w:right w:val="single" w:sz="4" w:space="0" w:color="auto"/>
            </w:tcBorders>
            <w:shd w:val="clear" w:color="auto" w:fill="auto"/>
            <w:noWrap/>
            <w:vAlign w:val="bottom"/>
            <w:hideMark/>
          </w:tcPr>
          <w:p w14:paraId="52F8D5C4"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26,376,146 </w:t>
            </w:r>
          </w:p>
        </w:tc>
      </w:tr>
      <w:tr w:rsidR="00056BDD" w:rsidRPr="00250D2A" w14:paraId="1B595919" w14:textId="77777777" w:rsidTr="00FB3ABB">
        <w:trPr>
          <w:trHeight w:val="284"/>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56F932B"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1'500 MDP Banamex</w:t>
            </w:r>
          </w:p>
        </w:tc>
        <w:tc>
          <w:tcPr>
            <w:tcW w:w="2098" w:type="dxa"/>
            <w:tcBorders>
              <w:top w:val="nil"/>
              <w:left w:val="nil"/>
              <w:bottom w:val="single" w:sz="4" w:space="0" w:color="auto"/>
              <w:right w:val="single" w:sz="4" w:space="0" w:color="auto"/>
            </w:tcBorders>
            <w:shd w:val="clear" w:color="auto" w:fill="auto"/>
            <w:noWrap/>
            <w:vAlign w:val="bottom"/>
            <w:hideMark/>
          </w:tcPr>
          <w:p w14:paraId="246D977D"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26,103,355 </w:t>
            </w:r>
          </w:p>
        </w:tc>
      </w:tr>
      <w:tr w:rsidR="00056BDD" w:rsidRPr="00250D2A" w14:paraId="48419E32" w14:textId="77777777" w:rsidTr="00FB3ABB">
        <w:trPr>
          <w:trHeight w:val="284"/>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4DBBE0E2"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xml:space="preserve">Crédito 250.8 MDP </w:t>
            </w:r>
            <w:proofErr w:type="spellStart"/>
            <w:r w:rsidRPr="00250D2A">
              <w:rPr>
                <w:rFonts w:eastAsia="Times New Roman" w:cs="Calibri"/>
                <w:color w:val="000000"/>
                <w:sz w:val="15"/>
                <w:szCs w:val="15"/>
                <w:lang w:eastAsia="es-MX"/>
              </w:rPr>
              <w:t>Banobras</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3BAF1EE9"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17,144,120 </w:t>
            </w:r>
          </w:p>
        </w:tc>
      </w:tr>
      <w:tr w:rsidR="00056BDD" w:rsidRPr="00250D2A" w14:paraId="43F70EC5" w14:textId="77777777" w:rsidTr="00FB3ABB">
        <w:trPr>
          <w:trHeight w:val="284"/>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185EBDEE"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1'500 MDP Banorte</w:t>
            </w:r>
          </w:p>
        </w:tc>
        <w:tc>
          <w:tcPr>
            <w:tcW w:w="2098" w:type="dxa"/>
            <w:tcBorders>
              <w:top w:val="nil"/>
              <w:left w:val="nil"/>
              <w:bottom w:val="single" w:sz="4" w:space="0" w:color="auto"/>
              <w:right w:val="single" w:sz="4" w:space="0" w:color="auto"/>
            </w:tcBorders>
            <w:shd w:val="clear" w:color="auto" w:fill="auto"/>
            <w:noWrap/>
            <w:vAlign w:val="bottom"/>
            <w:hideMark/>
          </w:tcPr>
          <w:p w14:paraId="05A91E2B"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17,950,586 </w:t>
            </w:r>
          </w:p>
        </w:tc>
      </w:tr>
      <w:tr w:rsidR="00056BDD" w:rsidRPr="00250D2A" w14:paraId="1DE2552D" w14:textId="77777777" w:rsidTr="00FB3ABB">
        <w:trPr>
          <w:trHeight w:val="284"/>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77FE696A"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993 MDP Bancomer</w:t>
            </w:r>
          </w:p>
        </w:tc>
        <w:tc>
          <w:tcPr>
            <w:tcW w:w="2098" w:type="dxa"/>
            <w:tcBorders>
              <w:top w:val="nil"/>
              <w:left w:val="nil"/>
              <w:bottom w:val="single" w:sz="4" w:space="0" w:color="auto"/>
              <w:right w:val="single" w:sz="4" w:space="0" w:color="auto"/>
            </w:tcBorders>
            <w:shd w:val="clear" w:color="auto" w:fill="auto"/>
            <w:noWrap/>
            <w:vAlign w:val="bottom"/>
            <w:hideMark/>
          </w:tcPr>
          <w:p w14:paraId="761EFD24"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16,948,049 </w:t>
            </w:r>
          </w:p>
        </w:tc>
      </w:tr>
      <w:tr w:rsidR="00056BDD" w:rsidRPr="00250D2A" w14:paraId="3BCC3F8D" w14:textId="77777777" w:rsidTr="00FB3ABB">
        <w:trPr>
          <w:trHeight w:val="284"/>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0EEA6602"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xml:space="preserve">Crédito 1'000 MDP Banamex </w:t>
            </w:r>
          </w:p>
        </w:tc>
        <w:tc>
          <w:tcPr>
            <w:tcW w:w="2098" w:type="dxa"/>
            <w:tcBorders>
              <w:top w:val="nil"/>
              <w:left w:val="nil"/>
              <w:bottom w:val="single" w:sz="4" w:space="0" w:color="auto"/>
              <w:right w:val="single" w:sz="4" w:space="0" w:color="auto"/>
            </w:tcBorders>
            <w:shd w:val="clear" w:color="auto" w:fill="auto"/>
            <w:noWrap/>
            <w:vAlign w:val="bottom"/>
            <w:hideMark/>
          </w:tcPr>
          <w:p w14:paraId="51581937"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16,939,738 </w:t>
            </w:r>
          </w:p>
        </w:tc>
      </w:tr>
      <w:tr w:rsidR="00056BDD" w:rsidRPr="00250D2A" w14:paraId="05CA7E66" w14:textId="77777777" w:rsidTr="00FB3ABB">
        <w:trPr>
          <w:trHeight w:val="284"/>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25AEE5A2"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xml:space="preserve">Crédito 113.9 MDP </w:t>
            </w:r>
            <w:proofErr w:type="spellStart"/>
            <w:r w:rsidRPr="00250D2A">
              <w:rPr>
                <w:rFonts w:eastAsia="Times New Roman" w:cs="Calibri"/>
                <w:color w:val="000000"/>
                <w:sz w:val="15"/>
                <w:szCs w:val="15"/>
                <w:lang w:eastAsia="es-MX"/>
              </w:rPr>
              <w:t>Banobras</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41AC306C"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9,701,750 </w:t>
            </w:r>
          </w:p>
        </w:tc>
      </w:tr>
      <w:tr w:rsidR="00056BDD" w:rsidRPr="00250D2A" w14:paraId="3A8BAF5E" w14:textId="77777777" w:rsidTr="00FB3ABB">
        <w:trPr>
          <w:trHeight w:val="284"/>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445FB664"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 xml:space="preserve">Crédito 500 MDP Bancomer </w:t>
            </w:r>
          </w:p>
        </w:tc>
        <w:tc>
          <w:tcPr>
            <w:tcW w:w="2098" w:type="dxa"/>
            <w:tcBorders>
              <w:top w:val="nil"/>
              <w:left w:val="nil"/>
              <w:bottom w:val="single" w:sz="4" w:space="0" w:color="auto"/>
              <w:right w:val="single" w:sz="4" w:space="0" w:color="auto"/>
            </w:tcBorders>
            <w:shd w:val="clear" w:color="auto" w:fill="auto"/>
            <w:noWrap/>
            <w:vAlign w:val="bottom"/>
            <w:hideMark/>
          </w:tcPr>
          <w:p w14:paraId="26E50208"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8,431,442 </w:t>
            </w:r>
          </w:p>
        </w:tc>
      </w:tr>
      <w:tr w:rsidR="00056BDD" w:rsidRPr="00250D2A" w14:paraId="6C989611" w14:textId="77777777" w:rsidTr="00FB3ABB">
        <w:trPr>
          <w:trHeight w:val="284"/>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BD38769" w14:textId="77777777" w:rsidR="00056BDD" w:rsidRPr="00250D2A" w:rsidRDefault="00056BDD" w:rsidP="00056BDD">
            <w:pPr>
              <w:spacing w:after="0" w:line="240" w:lineRule="auto"/>
              <w:rPr>
                <w:rFonts w:eastAsia="Times New Roman" w:cs="Calibri"/>
                <w:color w:val="000000"/>
                <w:sz w:val="15"/>
                <w:szCs w:val="15"/>
                <w:lang w:eastAsia="es-MX"/>
              </w:rPr>
            </w:pPr>
            <w:r w:rsidRPr="00250D2A">
              <w:rPr>
                <w:rFonts w:eastAsia="Times New Roman" w:cs="Calibri"/>
                <w:color w:val="000000"/>
                <w:sz w:val="15"/>
                <w:szCs w:val="15"/>
                <w:lang w:eastAsia="es-MX"/>
              </w:rPr>
              <w:t>Crédito 1'200 MDP Banorte</w:t>
            </w:r>
          </w:p>
        </w:tc>
        <w:tc>
          <w:tcPr>
            <w:tcW w:w="2098" w:type="dxa"/>
            <w:tcBorders>
              <w:top w:val="nil"/>
              <w:left w:val="nil"/>
              <w:bottom w:val="single" w:sz="4" w:space="0" w:color="auto"/>
              <w:right w:val="single" w:sz="4" w:space="0" w:color="auto"/>
            </w:tcBorders>
            <w:shd w:val="clear" w:color="auto" w:fill="auto"/>
            <w:noWrap/>
            <w:vAlign w:val="bottom"/>
            <w:hideMark/>
          </w:tcPr>
          <w:p w14:paraId="1CFE8DF4" w14:textId="77777777" w:rsidR="00056BDD" w:rsidRPr="00250D2A" w:rsidRDefault="00056BDD" w:rsidP="00056BDD">
            <w:pPr>
              <w:spacing w:after="0" w:line="240" w:lineRule="auto"/>
              <w:jc w:val="right"/>
              <w:rPr>
                <w:rFonts w:eastAsia="Times New Roman" w:cs="Calibri"/>
                <w:color w:val="000000"/>
                <w:sz w:val="15"/>
                <w:szCs w:val="15"/>
                <w:lang w:eastAsia="es-MX"/>
              </w:rPr>
            </w:pPr>
            <w:r w:rsidRPr="00250D2A">
              <w:rPr>
                <w:rFonts w:eastAsia="Times New Roman" w:cs="Calibri"/>
                <w:color w:val="000000"/>
                <w:sz w:val="15"/>
                <w:szCs w:val="15"/>
                <w:lang w:eastAsia="es-MX"/>
              </w:rPr>
              <w:t xml:space="preserve">1,935,447 </w:t>
            </w:r>
          </w:p>
        </w:tc>
      </w:tr>
      <w:tr w:rsidR="00056BDD" w:rsidRPr="00056BDD" w14:paraId="68E85093" w14:textId="77777777" w:rsidTr="00FB3ABB">
        <w:trPr>
          <w:trHeight w:val="284"/>
        </w:trPr>
        <w:tc>
          <w:tcPr>
            <w:tcW w:w="4531" w:type="dxa"/>
            <w:tcBorders>
              <w:top w:val="nil"/>
              <w:left w:val="single" w:sz="4" w:space="0" w:color="auto"/>
              <w:bottom w:val="single" w:sz="4" w:space="0" w:color="auto"/>
              <w:right w:val="single" w:sz="4" w:space="0" w:color="auto"/>
            </w:tcBorders>
            <w:shd w:val="clear" w:color="000000" w:fill="DDC9A3"/>
            <w:vAlign w:val="center"/>
            <w:hideMark/>
          </w:tcPr>
          <w:p w14:paraId="34C1EE81" w14:textId="77777777" w:rsidR="00056BDD" w:rsidRPr="00056BDD" w:rsidRDefault="00056BDD" w:rsidP="00056BDD">
            <w:pPr>
              <w:spacing w:after="0" w:line="240" w:lineRule="auto"/>
              <w:jc w:val="center"/>
              <w:rPr>
                <w:rFonts w:eastAsia="Times New Roman" w:cs="Calibri"/>
                <w:b/>
                <w:bCs/>
                <w:color w:val="000000"/>
                <w:sz w:val="16"/>
                <w:szCs w:val="16"/>
                <w:lang w:eastAsia="es-MX"/>
              </w:rPr>
            </w:pPr>
            <w:r w:rsidRPr="00056BDD">
              <w:rPr>
                <w:rFonts w:eastAsia="Times New Roman" w:cs="Calibri"/>
                <w:b/>
                <w:bCs/>
                <w:color w:val="000000"/>
                <w:sz w:val="16"/>
                <w:szCs w:val="16"/>
                <w:lang w:eastAsia="es-MX"/>
              </w:rPr>
              <w:t>TOTAL</w:t>
            </w:r>
          </w:p>
        </w:tc>
        <w:tc>
          <w:tcPr>
            <w:tcW w:w="2098" w:type="dxa"/>
            <w:tcBorders>
              <w:top w:val="nil"/>
              <w:left w:val="nil"/>
              <w:bottom w:val="single" w:sz="4" w:space="0" w:color="auto"/>
              <w:right w:val="single" w:sz="4" w:space="0" w:color="auto"/>
            </w:tcBorders>
            <w:shd w:val="clear" w:color="000000" w:fill="DDC9A3"/>
            <w:vAlign w:val="center"/>
            <w:hideMark/>
          </w:tcPr>
          <w:p w14:paraId="0EE7AD19" w14:textId="77777777" w:rsidR="00056BDD" w:rsidRPr="00056BDD" w:rsidRDefault="00056BDD" w:rsidP="00056BDD">
            <w:pPr>
              <w:spacing w:after="0" w:line="240" w:lineRule="auto"/>
              <w:jc w:val="right"/>
              <w:rPr>
                <w:rFonts w:eastAsia="Times New Roman" w:cs="Calibri"/>
                <w:b/>
                <w:bCs/>
                <w:color w:val="000000"/>
                <w:sz w:val="16"/>
                <w:szCs w:val="16"/>
                <w:lang w:eastAsia="es-MX"/>
              </w:rPr>
            </w:pPr>
            <w:r w:rsidRPr="00056BDD">
              <w:rPr>
                <w:rFonts w:eastAsia="Times New Roman" w:cs="Calibri"/>
                <w:b/>
                <w:bCs/>
                <w:color w:val="000000"/>
                <w:sz w:val="16"/>
                <w:szCs w:val="16"/>
                <w:lang w:eastAsia="es-MX"/>
              </w:rPr>
              <w:t>372,140,831</w:t>
            </w:r>
          </w:p>
        </w:tc>
      </w:tr>
    </w:tbl>
    <w:p w14:paraId="214F46CC" w14:textId="77777777" w:rsidR="003D7ABC" w:rsidRDefault="00F325B6" w:rsidP="001A2BE2">
      <w:pPr>
        <w:pStyle w:val="Texto"/>
        <w:spacing w:after="0" w:line="240" w:lineRule="exact"/>
        <w:ind w:firstLine="0"/>
        <w:rPr>
          <w:rFonts w:asciiTheme="minorHAnsi" w:hAnsiTheme="minorHAnsi" w:cstheme="minorHAnsi"/>
          <w:sz w:val="20"/>
          <w:szCs w:val="18"/>
        </w:rPr>
      </w:pPr>
      <w:r w:rsidRPr="005F45A3">
        <w:rPr>
          <w:rFonts w:asciiTheme="minorHAnsi" w:hAnsiTheme="minorHAnsi" w:cstheme="minorHAnsi"/>
          <w:sz w:val="20"/>
          <w:szCs w:val="18"/>
        </w:rPr>
        <w:t xml:space="preserve">  </w:t>
      </w:r>
    </w:p>
    <w:p w14:paraId="2465AE74" w14:textId="76AAB639" w:rsidR="00967E2F" w:rsidRPr="005F45A3" w:rsidRDefault="00967E2F" w:rsidP="000C5510">
      <w:pPr>
        <w:spacing w:after="0"/>
        <w:ind w:left="-709" w:firstLine="567"/>
        <w:jc w:val="both"/>
        <w:rPr>
          <w:rFonts w:asciiTheme="minorHAnsi" w:hAnsiTheme="minorHAnsi" w:cstheme="minorHAnsi"/>
          <w:b/>
          <w:sz w:val="20"/>
          <w:szCs w:val="18"/>
        </w:rPr>
      </w:pPr>
      <w:r w:rsidRPr="005F45A3">
        <w:rPr>
          <w:rFonts w:asciiTheme="minorHAnsi" w:eastAsia="Times New Roman" w:hAnsiTheme="minorHAnsi" w:cstheme="minorHAnsi"/>
          <w:b/>
          <w:sz w:val="20"/>
          <w:szCs w:val="18"/>
          <w:lang w:val="es-ES" w:eastAsia="es-ES"/>
        </w:rPr>
        <w:t>Títulos y Valores a Corto Plazo</w:t>
      </w:r>
      <w:r w:rsidRPr="005F45A3">
        <w:rPr>
          <w:rFonts w:asciiTheme="minorHAnsi" w:hAnsiTheme="minorHAnsi" w:cstheme="minorHAnsi"/>
          <w:b/>
          <w:sz w:val="20"/>
          <w:szCs w:val="18"/>
        </w:rPr>
        <w:t>.</w:t>
      </w:r>
    </w:p>
    <w:p w14:paraId="6BE261CB" w14:textId="77777777" w:rsidR="00967E2F" w:rsidRPr="005F45A3" w:rsidRDefault="00967E2F" w:rsidP="00383453">
      <w:pPr>
        <w:spacing w:after="0"/>
        <w:ind w:left="-567" w:firstLine="142"/>
        <w:rPr>
          <w:rFonts w:asciiTheme="minorHAnsi" w:hAnsiTheme="minorHAnsi" w:cstheme="minorHAnsi"/>
          <w:b/>
          <w:sz w:val="16"/>
          <w:szCs w:val="18"/>
        </w:rPr>
      </w:pPr>
    </w:p>
    <w:p w14:paraId="66CE97CA" w14:textId="05CCCD47" w:rsidR="00967E2F" w:rsidRPr="005F45A3" w:rsidRDefault="00C93593" w:rsidP="000C5510">
      <w:pPr>
        <w:spacing w:after="0"/>
        <w:ind w:left="-142"/>
        <w:jc w:val="both"/>
        <w:rPr>
          <w:rFonts w:asciiTheme="minorHAnsi" w:hAnsiTheme="minorHAnsi" w:cstheme="minorHAnsi"/>
          <w:sz w:val="20"/>
          <w:szCs w:val="18"/>
        </w:rPr>
      </w:pPr>
      <w:r w:rsidRPr="005F45A3">
        <w:rPr>
          <w:rFonts w:asciiTheme="minorHAnsi" w:hAnsiTheme="minorHAnsi" w:cstheme="minorHAnsi"/>
          <w:sz w:val="18"/>
          <w:szCs w:val="18"/>
        </w:rPr>
        <w:t>Se desglosan los</w:t>
      </w:r>
      <w:r w:rsidR="00967E2F" w:rsidRPr="005F45A3">
        <w:rPr>
          <w:rFonts w:asciiTheme="minorHAnsi" w:hAnsiTheme="minorHAnsi" w:cstheme="minorHAnsi"/>
          <w:sz w:val="18"/>
          <w:szCs w:val="18"/>
        </w:rPr>
        <w:t xml:space="preserve"> Títulos y Valores </w:t>
      </w:r>
      <w:r w:rsidR="00F325B6" w:rsidRPr="005F45A3">
        <w:rPr>
          <w:rFonts w:asciiTheme="minorHAnsi" w:hAnsiTheme="minorHAnsi" w:cstheme="minorHAnsi"/>
          <w:sz w:val="18"/>
          <w:szCs w:val="18"/>
        </w:rPr>
        <w:t>(Pagarés</w:t>
      </w:r>
      <w:r w:rsidR="007C5D79" w:rsidRPr="005F45A3">
        <w:rPr>
          <w:rFonts w:asciiTheme="minorHAnsi" w:hAnsiTheme="minorHAnsi" w:cstheme="minorHAnsi"/>
          <w:sz w:val="18"/>
          <w:szCs w:val="18"/>
        </w:rPr>
        <w:t xml:space="preserve">) </w:t>
      </w:r>
      <w:r w:rsidR="00967E2F" w:rsidRPr="005F45A3">
        <w:rPr>
          <w:rFonts w:asciiTheme="minorHAnsi" w:hAnsiTheme="minorHAnsi" w:cstheme="minorHAnsi"/>
          <w:sz w:val="18"/>
          <w:szCs w:val="18"/>
        </w:rPr>
        <w:t>de la Deuda Pública Interna</w:t>
      </w:r>
      <w:r w:rsidRPr="005F45A3">
        <w:rPr>
          <w:rFonts w:asciiTheme="minorHAnsi" w:hAnsiTheme="minorHAnsi" w:cstheme="minorHAnsi"/>
          <w:sz w:val="18"/>
          <w:szCs w:val="18"/>
        </w:rPr>
        <w:t xml:space="preserve"> a Corto Plazo con vencimiento durante </w:t>
      </w:r>
      <w:r w:rsidR="00B40859" w:rsidRPr="005F45A3">
        <w:rPr>
          <w:rFonts w:asciiTheme="minorHAnsi" w:hAnsiTheme="minorHAnsi" w:cstheme="minorHAnsi"/>
          <w:sz w:val="18"/>
          <w:szCs w:val="18"/>
        </w:rPr>
        <w:t>el primer semestre de este ejercicio</w:t>
      </w:r>
      <w:r w:rsidR="00F325B6" w:rsidRPr="005F45A3">
        <w:rPr>
          <w:rFonts w:asciiTheme="minorHAnsi" w:hAnsiTheme="minorHAnsi" w:cstheme="minorHAnsi"/>
          <w:sz w:val="18"/>
          <w:szCs w:val="18"/>
        </w:rPr>
        <w:t xml:space="preserve">, </w:t>
      </w:r>
      <w:r w:rsidR="00D85982">
        <w:rPr>
          <w:rFonts w:asciiTheme="minorHAnsi" w:hAnsiTheme="minorHAnsi" w:cstheme="minorHAnsi"/>
          <w:sz w:val="18"/>
          <w:szCs w:val="18"/>
        </w:rPr>
        <w:t>dichos pagarés</w:t>
      </w:r>
      <w:r w:rsidR="008013A1" w:rsidRPr="005F45A3">
        <w:rPr>
          <w:rFonts w:asciiTheme="minorHAnsi" w:hAnsiTheme="minorHAnsi" w:cstheme="minorHAnsi"/>
          <w:sz w:val="18"/>
          <w:szCs w:val="18"/>
        </w:rPr>
        <w:t xml:space="preserve"> fue</w:t>
      </w:r>
      <w:r w:rsidR="00B40859" w:rsidRPr="005F45A3">
        <w:rPr>
          <w:rFonts w:asciiTheme="minorHAnsi" w:hAnsiTheme="minorHAnsi" w:cstheme="minorHAnsi"/>
          <w:sz w:val="18"/>
          <w:szCs w:val="18"/>
        </w:rPr>
        <w:t>ron</w:t>
      </w:r>
      <w:r w:rsidR="008013A1" w:rsidRPr="005F45A3">
        <w:rPr>
          <w:rFonts w:asciiTheme="minorHAnsi" w:hAnsiTheme="minorHAnsi" w:cstheme="minorHAnsi"/>
          <w:sz w:val="18"/>
          <w:szCs w:val="18"/>
        </w:rPr>
        <w:t xml:space="preserve"> para cubrir insuficiencias de liquidez de carácter temporal </w:t>
      </w:r>
      <w:r w:rsidR="00967E2F" w:rsidRPr="005F45A3">
        <w:rPr>
          <w:rFonts w:asciiTheme="minorHAnsi" w:hAnsiTheme="minorHAnsi" w:cstheme="minorHAnsi"/>
          <w:sz w:val="18"/>
          <w:szCs w:val="18"/>
        </w:rPr>
        <w:t xml:space="preserve">los cuales fueron contratados </w:t>
      </w:r>
      <w:r w:rsidR="00967E2F" w:rsidRPr="005F45A3">
        <w:rPr>
          <w:rFonts w:asciiTheme="minorHAnsi" w:hAnsiTheme="minorHAnsi" w:cstheme="minorHAnsi"/>
          <w:sz w:val="18"/>
          <w:szCs w:val="18"/>
        </w:rPr>
        <w:lastRenderedPageBreak/>
        <w:t>de acuerdo a las disposiciones de la Ley de Disciplina Financiera vigente</w:t>
      </w:r>
      <w:r w:rsidR="00247904" w:rsidRPr="005F45A3">
        <w:rPr>
          <w:rFonts w:asciiTheme="minorHAnsi" w:hAnsiTheme="minorHAnsi" w:cstheme="minorHAnsi"/>
          <w:sz w:val="20"/>
          <w:szCs w:val="18"/>
        </w:rPr>
        <w:t xml:space="preserve">, </w:t>
      </w:r>
      <w:r w:rsidR="00247904" w:rsidRPr="005F45A3">
        <w:rPr>
          <w:rFonts w:asciiTheme="minorHAnsi" w:hAnsiTheme="minorHAnsi" w:cstheme="minorHAnsi"/>
          <w:sz w:val="18"/>
          <w:szCs w:val="18"/>
        </w:rPr>
        <w:t>mencionando que al cierre de</w:t>
      </w:r>
      <w:r w:rsidR="00C407ED">
        <w:rPr>
          <w:rFonts w:asciiTheme="minorHAnsi" w:hAnsiTheme="minorHAnsi" w:cstheme="minorHAnsi"/>
          <w:sz w:val="18"/>
          <w:szCs w:val="18"/>
        </w:rPr>
        <w:t xml:space="preserve">l </w:t>
      </w:r>
      <w:r w:rsidR="00247904" w:rsidRPr="005F45A3">
        <w:rPr>
          <w:rFonts w:asciiTheme="minorHAnsi" w:hAnsiTheme="minorHAnsi" w:cstheme="minorHAnsi"/>
          <w:sz w:val="18"/>
          <w:szCs w:val="18"/>
        </w:rPr>
        <w:t>segundo trimestre 2022</w:t>
      </w:r>
      <w:r w:rsidR="00D85982">
        <w:rPr>
          <w:rFonts w:asciiTheme="minorHAnsi" w:hAnsiTheme="minorHAnsi" w:cstheme="minorHAnsi"/>
          <w:sz w:val="18"/>
          <w:szCs w:val="18"/>
        </w:rPr>
        <w:t xml:space="preserve"> los pagarés contratados en el ejercicio 2021 fueron</w:t>
      </w:r>
      <w:r w:rsidR="00247904" w:rsidRPr="005F45A3">
        <w:rPr>
          <w:rFonts w:asciiTheme="minorHAnsi" w:hAnsiTheme="minorHAnsi" w:cstheme="minorHAnsi"/>
          <w:sz w:val="18"/>
          <w:szCs w:val="18"/>
        </w:rPr>
        <w:t xml:space="preserve"> finiquita</w:t>
      </w:r>
      <w:r w:rsidR="00D85982">
        <w:rPr>
          <w:rFonts w:asciiTheme="minorHAnsi" w:hAnsiTheme="minorHAnsi" w:cstheme="minorHAnsi"/>
          <w:sz w:val="18"/>
          <w:szCs w:val="18"/>
        </w:rPr>
        <w:t xml:space="preserve">dos </w:t>
      </w:r>
      <w:r w:rsidR="00E43684">
        <w:rPr>
          <w:rFonts w:asciiTheme="minorHAnsi" w:hAnsiTheme="minorHAnsi" w:cstheme="minorHAnsi"/>
          <w:sz w:val="18"/>
          <w:szCs w:val="18"/>
        </w:rPr>
        <w:t xml:space="preserve">en su totalidad,  </w:t>
      </w:r>
      <w:r w:rsidR="00A57461">
        <w:rPr>
          <w:rFonts w:asciiTheme="minorHAnsi" w:hAnsiTheme="minorHAnsi" w:cstheme="minorHAnsi"/>
          <w:sz w:val="18"/>
          <w:szCs w:val="18"/>
        </w:rPr>
        <w:t xml:space="preserve">en el mes de diciembre para el cierre del ejercicio se contrató un crédito con Santander por 1’000 </w:t>
      </w:r>
      <w:proofErr w:type="spellStart"/>
      <w:r w:rsidR="00A57461">
        <w:rPr>
          <w:rFonts w:asciiTheme="minorHAnsi" w:hAnsiTheme="minorHAnsi" w:cstheme="minorHAnsi"/>
          <w:sz w:val="18"/>
          <w:szCs w:val="18"/>
        </w:rPr>
        <w:t>mdp</w:t>
      </w:r>
      <w:proofErr w:type="spellEnd"/>
      <w:r w:rsidR="00A57461">
        <w:rPr>
          <w:rFonts w:asciiTheme="minorHAnsi" w:hAnsiTheme="minorHAnsi" w:cstheme="minorHAnsi"/>
          <w:sz w:val="18"/>
          <w:szCs w:val="18"/>
        </w:rPr>
        <w:t xml:space="preserve"> con tasa de interés TIIE más 40 puntos</w:t>
      </w:r>
      <w:r w:rsidR="00E43684">
        <w:rPr>
          <w:rFonts w:asciiTheme="minorHAnsi" w:hAnsiTheme="minorHAnsi" w:cstheme="minorHAnsi"/>
          <w:sz w:val="18"/>
          <w:szCs w:val="18"/>
        </w:rPr>
        <w:t>.</w:t>
      </w:r>
    </w:p>
    <w:p w14:paraId="1EA201B8" w14:textId="0F7826BF" w:rsidR="00F325B6" w:rsidRPr="005F45A3" w:rsidRDefault="00F325B6" w:rsidP="001A2BE2">
      <w:pPr>
        <w:spacing w:after="0"/>
        <w:jc w:val="both"/>
        <w:rPr>
          <w:rFonts w:asciiTheme="minorHAnsi" w:hAnsiTheme="minorHAnsi" w:cstheme="minorHAnsi"/>
          <w:sz w:val="14"/>
          <w:szCs w:val="18"/>
        </w:rPr>
      </w:pPr>
    </w:p>
    <w:p w14:paraId="0F73304D" w14:textId="77777777" w:rsidR="00B1018B" w:rsidRPr="005F45A3" w:rsidRDefault="00B1018B" w:rsidP="001A2BE2">
      <w:pPr>
        <w:spacing w:after="0"/>
        <w:jc w:val="both"/>
        <w:rPr>
          <w:rFonts w:asciiTheme="minorHAnsi" w:hAnsiTheme="minorHAnsi" w:cstheme="minorHAnsi"/>
          <w:sz w:val="16"/>
          <w:szCs w:val="18"/>
        </w:rPr>
      </w:pPr>
    </w:p>
    <w:tbl>
      <w:tblPr>
        <w:tblW w:w="9568" w:type="dxa"/>
        <w:tblCellMar>
          <w:left w:w="70" w:type="dxa"/>
          <w:right w:w="70" w:type="dxa"/>
        </w:tblCellMar>
        <w:tblLook w:val="04A0" w:firstRow="1" w:lastRow="0" w:firstColumn="1" w:lastColumn="0" w:noHBand="0" w:noVBand="1"/>
      </w:tblPr>
      <w:tblGrid>
        <w:gridCol w:w="753"/>
        <w:gridCol w:w="904"/>
        <w:gridCol w:w="911"/>
        <w:gridCol w:w="929"/>
        <w:gridCol w:w="1027"/>
        <w:gridCol w:w="845"/>
        <w:gridCol w:w="782"/>
        <w:gridCol w:w="985"/>
        <w:gridCol w:w="744"/>
        <w:gridCol w:w="1022"/>
        <w:gridCol w:w="666"/>
      </w:tblGrid>
      <w:tr w:rsidR="00D85982" w:rsidRPr="00D85982" w14:paraId="5AE7D1B2" w14:textId="77777777" w:rsidTr="00E43684">
        <w:trPr>
          <w:trHeight w:val="570"/>
        </w:trPr>
        <w:tc>
          <w:tcPr>
            <w:tcW w:w="785"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199DA1D"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BANCO</w:t>
            </w:r>
          </w:p>
        </w:tc>
        <w:tc>
          <w:tcPr>
            <w:tcW w:w="907" w:type="dxa"/>
            <w:tcBorders>
              <w:top w:val="single" w:sz="4" w:space="0" w:color="auto"/>
              <w:left w:val="nil"/>
              <w:bottom w:val="single" w:sz="4" w:space="0" w:color="auto"/>
              <w:right w:val="single" w:sz="4" w:space="0" w:color="auto"/>
            </w:tcBorders>
            <w:shd w:val="clear" w:color="000000" w:fill="AB0033"/>
            <w:vAlign w:val="center"/>
            <w:hideMark/>
          </w:tcPr>
          <w:p w14:paraId="06513BFE"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Importe Original Contratado</w:t>
            </w:r>
          </w:p>
        </w:tc>
        <w:tc>
          <w:tcPr>
            <w:tcW w:w="937" w:type="dxa"/>
            <w:tcBorders>
              <w:top w:val="single" w:sz="4" w:space="0" w:color="auto"/>
              <w:left w:val="nil"/>
              <w:bottom w:val="single" w:sz="4" w:space="0" w:color="auto"/>
              <w:right w:val="single" w:sz="4" w:space="0" w:color="auto"/>
            </w:tcBorders>
            <w:shd w:val="clear" w:color="000000" w:fill="AB0033"/>
            <w:vAlign w:val="center"/>
            <w:hideMark/>
          </w:tcPr>
          <w:p w14:paraId="75772E40"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Saldo al 31 de Diciembre de 2021</w:t>
            </w:r>
          </w:p>
        </w:tc>
        <w:tc>
          <w:tcPr>
            <w:tcW w:w="929" w:type="dxa"/>
            <w:tcBorders>
              <w:top w:val="single" w:sz="4" w:space="0" w:color="auto"/>
              <w:left w:val="nil"/>
              <w:bottom w:val="single" w:sz="4" w:space="0" w:color="auto"/>
              <w:right w:val="single" w:sz="4" w:space="0" w:color="auto"/>
            </w:tcBorders>
            <w:shd w:val="clear" w:color="000000" w:fill="AB0033"/>
            <w:vAlign w:val="center"/>
            <w:hideMark/>
          </w:tcPr>
          <w:p w14:paraId="783654AD" w14:textId="77777777" w:rsidR="00D85982" w:rsidRPr="00D85982" w:rsidRDefault="00D85982" w:rsidP="00D85982">
            <w:pPr>
              <w:spacing w:after="0" w:line="240" w:lineRule="auto"/>
              <w:jc w:val="center"/>
              <w:rPr>
                <w:rFonts w:eastAsia="Times New Roman" w:cs="Calibri"/>
                <w:b/>
                <w:bCs/>
                <w:color w:val="FFFFFF"/>
                <w:sz w:val="14"/>
                <w:szCs w:val="14"/>
                <w:lang w:eastAsia="es-MX"/>
              </w:rPr>
            </w:pPr>
            <w:r w:rsidRPr="00D85982">
              <w:rPr>
                <w:rFonts w:eastAsia="Times New Roman" w:cs="Calibri"/>
                <w:b/>
                <w:bCs/>
                <w:color w:val="FFFFFF"/>
                <w:sz w:val="14"/>
                <w:szCs w:val="14"/>
                <w:lang w:eastAsia="es-MX"/>
              </w:rPr>
              <w:t>Disposiciones</w:t>
            </w:r>
          </w:p>
        </w:tc>
        <w:tc>
          <w:tcPr>
            <w:tcW w:w="1028" w:type="dxa"/>
            <w:tcBorders>
              <w:top w:val="single" w:sz="4" w:space="0" w:color="auto"/>
              <w:left w:val="nil"/>
              <w:bottom w:val="single" w:sz="4" w:space="0" w:color="auto"/>
              <w:right w:val="single" w:sz="4" w:space="0" w:color="auto"/>
            </w:tcBorders>
            <w:shd w:val="clear" w:color="000000" w:fill="AB0033"/>
            <w:vAlign w:val="center"/>
            <w:hideMark/>
          </w:tcPr>
          <w:p w14:paraId="575B625D"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 xml:space="preserve">Amortización </w:t>
            </w:r>
          </w:p>
        </w:tc>
        <w:tc>
          <w:tcPr>
            <w:tcW w:w="846" w:type="dxa"/>
            <w:tcBorders>
              <w:top w:val="single" w:sz="4" w:space="0" w:color="auto"/>
              <w:left w:val="nil"/>
              <w:bottom w:val="single" w:sz="4" w:space="0" w:color="auto"/>
              <w:right w:val="single" w:sz="4" w:space="0" w:color="auto"/>
            </w:tcBorders>
            <w:shd w:val="clear" w:color="000000" w:fill="AB0033"/>
            <w:vAlign w:val="center"/>
            <w:hideMark/>
          </w:tcPr>
          <w:p w14:paraId="67D96AD1"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Saldo al 31 de Diciembre 2022</w:t>
            </w:r>
          </w:p>
        </w:tc>
        <w:tc>
          <w:tcPr>
            <w:tcW w:w="794" w:type="dxa"/>
            <w:tcBorders>
              <w:top w:val="single" w:sz="4" w:space="0" w:color="auto"/>
              <w:left w:val="nil"/>
              <w:bottom w:val="single" w:sz="4" w:space="0" w:color="auto"/>
              <w:right w:val="single" w:sz="4" w:space="0" w:color="auto"/>
            </w:tcBorders>
            <w:shd w:val="clear" w:color="000000" w:fill="AB0033"/>
            <w:vAlign w:val="center"/>
            <w:hideMark/>
          </w:tcPr>
          <w:p w14:paraId="1AE3B662"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Intereses</w:t>
            </w:r>
          </w:p>
        </w:tc>
        <w:tc>
          <w:tcPr>
            <w:tcW w:w="985" w:type="dxa"/>
            <w:tcBorders>
              <w:top w:val="single" w:sz="4" w:space="0" w:color="auto"/>
              <w:left w:val="nil"/>
              <w:bottom w:val="single" w:sz="4" w:space="0" w:color="auto"/>
              <w:right w:val="single" w:sz="4" w:space="0" w:color="auto"/>
            </w:tcBorders>
            <w:shd w:val="clear" w:color="000000" w:fill="AB0033"/>
            <w:vAlign w:val="center"/>
            <w:hideMark/>
          </w:tcPr>
          <w:p w14:paraId="2CD89B01"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Vencimiento</w:t>
            </w:r>
          </w:p>
        </w:tc>
        <w:tc>
          <w:tcPr>
            <w:tcW w:w="797" w:type="dxa"/>
            <w:tcBorders>
              <w:top w:val="single" w:sz="4" w:space="0" w:color="auto"/>
              <w:left w:val="nil"/>
              <w:bottom w:val="single" w:sz="4" w:space="0" w:color="auto"/>
              <w:right w:val="single" w:sz="4" w:space="0" w:color="auto"/>
            </w:tcBorders>
            <w:shd w:val="clear" w:color="000000" w:fill="AB0033"/>
            <w:vAlign w:val="center"/>
            <w:hideMark/>
          </w:tcPr>
          <w:p w14:paraId="0CBF4132"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Tasa de Interés</w:t>
            </w:r>
          </w:p>
        </w:tc>
        <w:tc>
          <w:tcPr>
            <w:tcW w:w="894" w:type="dxa"/>
            <w:tcBorders>
              <w:top w:val="single" w:sz="4" w:space="0" w:color="auto"/>
              <w:left w:val="nil"/>
              <w:bottom w:val="single" w:sz="4" w:space="0" w:color="auto"/>
              <w:right w:val="single" w:sz="4" w:space="0" w:color="auto"/>
            </w:tcBorders>
            <w:shd w:val="clear" w:color="000000" w:fill="AB0033"/>
            <w:vAlign w:val="center"/>
            <w:hideMark/>
          </w:tcPr>
          <w:p w14:paraId="2034C7C0"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Comisiones y Costos Relacionados</w:t>
            </w:r>
          </w:p>
        </w:tc>
        <w:tc>
          <w:tcPr>
            <w:tcW w:w="666" w:type="dxa"/>
            <w:tcBorders>
              <w:top w:val="single" w:sz="4" w:space="0" w:color="auto"/>
              <w:left w:val="nil"/>
              <w:bottom w:val="single" w:sz="4" w:space="0" w:color="auto"/>
              <w:right w:val="single" w:sz="4" w:space="0" w:color="auto"/>
            </w:tcBorders>
            <w:shd w:val="clear" w:color="000000" w:fill="AB0033"/>
            <w:vAlign w:val="center"/>
            <w:hideMark/>
          </w:tcPr>
          <w:p w14:paraId="23DFC726"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Tasa Efectiva</w:t>
            </w:r>
          </w:p>
        </w:tc>
      </w:tr>
      <w:tr w:rsidR="00D85982" w:rsidRPr="00D85982" w14:paraId="410C12A1" w14:textId="77777777" w:rsidTr="00E43684">
        <w:trPr>
          <w:trHeight w:val="42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A649227"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BBVA México S.A de C.V.</w:t>
            </w:r>
          </w:p>
        </w:tc>
        <w:tc>
          <w:tcPr>
            <w:tcW w:w="907" w:type="dxa"/>
            <w:tcBorders>
              <w:top w:val="nil"/>
              <w:left w:val="nil"/>
              <w:bottom w:val="single" w:sz="4" w:space="0" w:color="auto"/>
              <w:right w:val="single" w:sz="4" w:space="0" w:color="auto"/>
            </w:tcBorders>
            <w:shd w:val="clear" w:color="auto" w:fill="auto"/>
            <w:vAlign w:val="center"/>
            <w:hideMark/>
          </w:tcPr>
          <w:p w14:paraId="4F4798A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37" w:type="dxa"/>
            <w:tcBorders>
              <w:top w:val="nil"/>
              <w:left w:val="nil"/>
              <w:bottom w:val="single" w:sz="4" w:space="0" w:color="auto"/>
              <w:right w:val="single" w:sz="4" w:space="0" w:color="auto"/>
            </w:tcBorders>
            <w:shd w:val="clear" w:color="auto" w:fill="auto"/>
            <w:vAlign w:val="center"/>
            <w:hideMark/>
          </w:tcPr>
          <w:p w14:paraId="08B7A77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29" w:type="dxa"/>
            <w:tcBorders>
              <w:top w:val="nil"/>
              <w:left w:val="nil"/>
              <w:bottom w:val="single" w:sz="4" w:space="0" w:color="auto"/>
              <w:right w:val="single" w:sz="4" w:space="0" w:color="auto"/>
            </w:tcBorders>
            <w:shd w:val="clear" w:color="auto" w:fill="auto"/>
            <w:vAlign w:val="center"/>
            <w:hideMark/>
          </w:tcPr>
          <w:p w14:paraId="089F680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8" w:type="dxa"/>
            <w:tcBorders>
              <w:top w:val="nil"/>
              <w:left w:val="nil"/>
              <w:bottom w:val="single" w:sz="4" w:space="0" w:color="auto"/>
              <w:right w:val="single" w:sz="4" w:space="0" w:color="auto"/>
            </w:tcBorders>
            <w:shd w:val="clear" w:color="auto" w:fill="auto"/>
            <w:vAlign w:val="center"/>
            <w:hideMark/>
          </w:tcPr>
          <w:p w14:paraId="666797E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846" w:type="dxa"/>
            <w:tcBorders>
              <w:top w:val="nil"/>
              <w:left w:val="nil"/>
              <w:bottom w:val="single" w:sz="4" w:space="0" w:color="auto"/>
              <w:right w:val="single" w:sz="4" w:space="0" w:color="auto"/>
            </w:tcBorders>
            <w:shd w:val="clear" w:color="auto" w:fill="auto"/>
            <w:vAlign w:val="center"/>
            <w:hideMark/>
          </w:tcPr>
          <w:p w14:paraId="2F3C842B"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94" w:type="dxa"/>
            <w:tcBorders>
              <w:top w:val="nil"/>
              <w:left w:val="nil"/>
              <w:bottom w:val="single" w:sz="4" w:space="0" w:color="auto"/>
              <w:right w:val="single" w:sz="4" w:space="0" w:color="auto"/>
            </w:tcBorders>
            <w:shd w:val="clear" w:color="auto" w:fill="auto"/>
            <w:vAlign w:val="center"/>
            <w:hideMark/>
          </w:tcPr>
          <w:p w14:paraId="3FA71F0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6,915,849</w:t>
            </w:r>
          </w:p>
        </w:tc>
        <w:tc>
          <w:tcPr>
            <w:tcW w:w="985" w:type="dxa"/>
            <w:tcBorders>
              <w:top w:val="nil"/>
              <w:left w:val="nil"/>
              <w:bottom w:val="single" w:sz="4" w:space="0" w:color="auto"/>
              <w:right w:val="single" w:sz="4" w:space="0" w:color="auto"/>
            </w:tcBorders>
            <w:shd w:val="clear" w:color="auto" w:fill="auto"/>
            <w:vAlign w:val="center"/>
            <w:hideMark/>
          </w:tcPr>
          <w:p w14:paraId="095DBB8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97" w:type="dxa"/>
            <w:tcBorders>
              <w:top w:val="nil"/>
              <w:left w:val="nil"/>
              <w:bottom w:val="single" w:sz="4" w:space="0" w:color="auto"/>
              <w:right w:val="single" w:sz="4" w:space="0" w:color="auto"/>
            </w:tcBorders>
            <w:shd w:val="clear" w:color="auto" w:fill="auto"/>
            <w:vAlign w:val="center"/>
            <w:hideMark/>
          </w:tcPr>
          <w:p w14:paraId="6BF063D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TIIE+ 55PTS</w:t>
            </w:r>
          </w:p>
        </w:tc>
        <w:tc>
          <w:tcPr>
            <w:tcW w:w="894" w:type="dxa"/>
            <w:tcBorders>
              <w:top w:val="nil"/>
              <w:left w:val="nil"/>
              <w:bottom w:val="single" w:sz="4" w:space="0" w:color="auto"/>
              <w:right w:val="single" w:sz="4" w:space="0" w:color="auto"/>
            </w:tcBorders>
            <w:shd w:val="clear" w:color="auto" w:fill="auto"/>
            <w:vAlign w:val="center"/>
            <w:hideMark/>
          </w:tcPr>
          <w:p w14:paraId="0034011C"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666" w:type="dxa"/>
            <w:tcBorders>
              <w:top w:val="nil"/>
              <w:left w:val="nil"/>
              <w:bottom w:val="single" w:sz="4" w:space="0" w:color="auto"/>
              <w:right w:val="single" w:sz="4" w:space="0" w:color="auto"/>
            </w:tcBorders>
            <w:shd w:val="clear" w:color="auto" w:fill="auto"/>
            <w:vAlign w:val="center"/>
            <w:hideMark/>
          </w:tcPr>
          <w:p w14:paraId="661B515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4.96%</w:t>
            </w:r>
          </w:p>
        </w:tc>
      </w:tr>
      <w:tr w:rsidR="00D85982" w:rsidRPr="00D85982" w14:paraId="05C0F978" w14:textId="77777777" w:rsidTr="00E43684">
        <w:trPr>
          <w:trHeight w:val="42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733902B"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BBVA México S.A de C.V.</w:t>
            </w:r>
          </w:p>
        </w:tc>
        <w:tc>
          <w:tcPr>
            <w:tcW w:w="907" w:type="dxa"/>
            <w:tcBorders>
              <w:top w:val="nil"/>
              <w:left w:val="nil"/>
              <w:bottom w:val="single" w:sz="4" w:space="0" w:color="auto"/>
              <w:right w:val="single" w:sz="4" w:space="0" w:color="auto"/>
            </w:tcBorders>
            <w:shd w:val="clear" w:color="auto" w:fill="auto"/>
            <w:vAlign w:val="center"/>
            <w:hideMark/>
          </w:tcPr>
          <w:p w14:paraId="602E87C1"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937" w:type="dxa"/>
            <w:tcBorders>
              <w:top w:val="nil"/>
              <w:left w:val="nil"/>
              <w:bottom w:val="single" w:sz="4" w:space="0" w:color="auto"/>
              <w:right w:val="single" w:sz="4" w:space="0" w:color="auto"/>
            </w:tcBorders>
            <w:shd w:val="clear" w:color="auto" w:fill="auto"/>
            <w:vAlign w:val="center"/>
            <w:hideMark/>
          </w:tcPr>
          <w:p w14:paraId="741AD18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929" w:type="dxa"/>
            <w:tcBorders>
              <w:top w:val="nil"/>
              <w:left w:val="nil"/>
              <w:bottom w:val="single" w:sz="4" w:space="0" w:color="auto"/>
              <w:right w:val="single" w:sz="4" w:space="0" w:color="auto"/>
            </w:tcBorders>
            <w:shd w:val="clear" w:color="auto" w:fill="auto"/>
            <w:vAlign w:val="center"/>
            <w:hideMark/>
          </w:tcPr>
          <w:p w14:paraId="43E5F14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8" w:type="dxa"/>
            <w:tcBorders>
              <w:top w:val="nil"/>
              <w:left w:val="nil"/>
              <w:bottom w:val="single" w:sz="4" w:space="0" w:color="auto"/>
              <w:right w:val="single" w:sz="4" w:space="0" w:color="auto"/>
            </w:tcBorders>
            <w:shd w:val="clear" w:color="auto" w:fill="auto"/>
            <w:vAlign w:val="center"/>
            <w:hideMark/>
          </w:tcPr>
          <w:p w14:paraId="67660FB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150,000,000</w:t>
            </w:r>
          </w:p>
        </w:tc>
        <w:tc>
          <w:tcPr>
            <w:tcW w:w="846" w:type="dxa"/>
            <w:tcBorders>
              <w:top w:val="nil"/>
              <w:left w:val="nil"/>
              <w:bottom w:val="single" w:sz="4" w:space="0" w:color="auto"/>
              <w:right w:val="single" w:sz="4" w:space="0" w:color="auto"/>
            </w:tcBorders>
            <w:shd w:val="clear" w:color="auto" w:fill="auto"/>
            <w:vAlign w:val="center"/>
            <w:hideMark/>
          </w:tcPr>
          <w:p w14:paraId="517631B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94" w:type="dxa"/>
            <w:tcBorders>
              <w:top w:val="nil"/>
              <w:left w:val="nil"/>
              <w:bottom w:val="single" w:sz="4" w:space="0" w:color="auto"/>
              <w:right w:val="single" w:sz="4" w:space="0" w:color="auto"/>
            </w:tcBorders>
            <w:shd w:val="clear" w:color="auto" w:fill="auto"/>
            <w:vAlign w:val="center"/>
            <w:hideMark/>
          </w:tcPr>
          <w:p w14:paraId="3E5EA0A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4,176,811</w:t>
            </w:r>
          </w:p>
        </w:tc>
        <w:tc>
          <w:tcPr>
            <w:tcW w:w="985" w:type="dxa"/>
            <w:tcBorders>
              <w:top w:val="nil"/>
              <w:left w:val="nil"/>
              <w:bottom w:val="single" w:sz="4" w:space="0" w:color="auto"/>
              <w:right w:val="single" w:sz="4" w:space="0" w:color="auto"/>
            </w:tcBorders>
            <w:shd w:val="clear" w:color="auto" w:fill="auto"/>
            <w:vAlign w:val="center"/>
            <w:hideMark/>
          </w:tcPr>
          <w:p w14:paraId="4F454E8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97" w:type="dxa"/>
            <w:tcBorders>
              <w:top w:val="nil"/>
              <w:left w:val="nil"/>
              <w:bottom w:val="single" w:sz="4" w:space="0" w:color="auto"/>
              <w:right w:val="single" w:sz="4" w:space="0" w:color="auto"/>
            </w:tcBorders>
            <w:shd w:val="clear" w:color="auto" w:fill="auto"/>
            <w:vAlign w:val="center"/>
            <w:hideMark/>
          </w:tcPr>
          <w:p w14:paraId="30E3600C"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TIIE+ 40PTS</w:t>
            </w:r>
          </w:p>
        </w:tc>
        <w:tc>
          <w:tcPr>
            <w:tcW w:w="894" w:type="dxa"/>
            <w:tcBorders>
              <w:top w:val="nil"/>
              <w:left w:val="nil"/>
              <w:bottom w:val="single" w:sz="4" w:space="0" w:color="auto"/>
              <w:right w:val="single" w:sz="4" w:space="0" w:color="auto"/>
            </w:tcBorders>
            <w:shd w:val="clear" w:color="auto" w:fill="auto"/>
            <w:vAlign w:val="center"/>
            <w:hideMark/>
          </w:tcPr>
          <w:p w14:paraId="1DE88A9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7D1ABC91"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7.03%</w:t>
            </w:r>
          </w:p>
        </w:tc>
      </w:tr>
      <w:tr w:rsidR="00D85982" w:rsidRPr="00D85982" w14:paraId="3066B872" w14:textId="77777777" w:rsidTr="00E43684">
        <w:trPr>
          <w:trHeight w:val="29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72F2E8F"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 xml:space="preserve">Banco </w:t>
            </w:r>
            <w:proofErr w:type="spellStart"/>
            <w:r w:rsidRPr="00D85982">
              <w:rPr>
                <w:rFonts w:eastAsia="Times New Roman" w:cs="Calibri"/>
                <w:color w:val="000000"/>
                <w:sz w:val="12"/>
                <w:szCs w:val="12"/>
                <w:lang w:eastAsia="es-MX"/>
              </w:rPr>
              <w:t>Scotiabank</w:t>
            </w:r>
            <w:proofErr w:type="spellEnd"/>
            <w:r w:rsidRPr="00D85982">
              <w:rPr>
                <w:rFonts w:eastAsia="Times New Roman" w:cs="Calibri"/>
                <w:color w:val="000000"/>
                <w:sz w:val="12"/>
                <w:szCs w:val="12"/>
                <w:lang w:eastAsia="es-MX"/>
              </w:rPr>
              <w:t xml:space="preserve"> S.A. de C.V.</w:t>
            </w:r>
          </w:p>
        </w:tc>
        <w:tc>
          <w:tcPr>
            <w:tcW w:w="907" w:type="dxa"/>
            <w:tcBorders>
              <w:top w:val="nil"/>
              <w:left w:val="nil"/>
              <w:bottom w:val="single" w:sz="4" w:space="0" w:color="auto"/>
              <w:right w:val="single" w:sz="4" w:space="0" w:color="auto"/>
            </w:tcBorders>
            <w:shd w:val="clear" w:color="auto" w:fill="auto"/>
            <w:vAlign w:val="center"/>
            <w:hideMark/>
          </w:tcPr>
          <w:p w14:paraId="481A061B"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937" w:type="dxa"/>
            <w:tcBorders>
              <w:top w:val="nil"/>
              <w:left w:val="nil"/>
              <w:bottom w:val="single" w:sz="4" w:space="0" w:color="auto"/>
              <w:right w:val="single" w:sz="4" w:space="0" w:color="auto"/>
            </w:tcBorders>
            <w:shd w:val="clear" w:color="auto" w:fill="auto"/>
            <w:vAlign w:val="center"/>
            <w:hideMark/>
          </w:tcPr>
          <w:p w14:paraId="296911B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929" w:type="dxa"/>
            <w:tcBorders>
              <w:top w:val="nil"/>
              <w:left w:val="nil"/>
              <w:bottom w:val="single" w:sz="4" w:space="0" w:color="auto"/>
              <w:right w:val="single" w:sz="4" w:space="0" w:color="auto"/>
            </w:tcBorders>
            <w:shd w:val="clear" w:color="auto" w:fill="auto"/>
            <w:vAlign w:val="center"/>
            <w:hideMark/>
          </w:tcPr>
          <w:p w14:paraId="3ED8DC5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8" w:type="dxa"/>
            <w:tcBorders>
              <w:top w:val="nil"/>
              <w:left w:val="nil"/>
              <w:bottom w:val="single" w:sz="4" w:space="0" w:color="auto"/>
              <w:right w:val="single" w:sz="4" w:space="0" w:color="auto"/>
            </w:tcBorders>
            <w:shd w:val="clear" w:color="auto" w:fill="auto"/>
            <w:vAlign w:val="center"/>
            <w:hideMark/>
          </w:tcPr>
          <w:p w14:paraId="2089C70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w:t>
            </w:r>
          </w:p>
        </w:tc>
        <w:tc>
          <w:tcPr>
            <w:tcW w:w="846" w:type="dxa"/>
            <w:tcBorders>
              <w:top w:val="nil"/>
              <w:left w:val="nil"/>
              <w:bottom w:val="single" w:sz="4" w:space="0" w:color="auto"/>
              <w:right w:val="single" w:sz="4" w:space="0" w:color="auto"/>
            </w:tcBorders>
            <w:shd w:val="clear" w:color="auto" w:fill="auto"/>
            <w:vAlign w:val="center"/>
            <w:hideMark/>
          </w:tcPr>
          <w:p w14:paraId="60A6289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94" w:type="dxa"/>
            <w:tcBorders>
              <w:top w:val="nil"/>
              <w:left w:val="nil"/>
              <w:bottom w:val="single" w:sz="4" w:space="0" w:color="auto"/>
              <w:right w:val="single" w:sz="4" w:space="0" w:color="auto"/>
            </w:tcBorders>
            <w:shd w:val="clear" w:color="auto" w:fill="auto"/>
            <w:vAlign w:val="center"/>
            <w:hideMark/>
          </w:tcPr>
          <w:p w14:paraId="616F43A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3,197,587</w:t>
            </w:r>
          </w:p>
        </w:tc>
        <w:tc>
          <w:tcPr>
            <w:tcW w:w="985" w:type="dxa"/>
            <w:tcBorders>
              <w:top w:val="nil"/>
              <w:left w:val="nil"/>
              <w:bottom w:val="single" w:sz="4" w:space="0" w:color="auto"/>
              <w:right w:val="single" w:sz="4" w:space="0" w:color="auto"/>
            </w:tcBorders>
            <w:shd w:val="clear" w:color="auto" w:fill="auto"/>
            <w:vAlign w:val="center"/>
            <w:hideMark/>
          </w:tcPr>
          <w:p w14:paraId="0482421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97" w:type="dxa"/>
            <w:tcBorders>
              <w:top w:val="nil"/>
              <w:left w:val="nil"/>
              <w:bottom w:val="single" w:sz="4" w:space="0" w:color="auto"/>
              <w:right w:val="single" w:sz="4" w:space="0" w:color="auto"/>
            </w:tcBorders>
            <w:shd w:val="clear" w:color="auto" w:fill="auto"/>
            <w:vAlign w:val="center"/>
            <w:hideMark/>
          </w:tcPr>
          <w:p w14:paraId="142F4F7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TIIE+ 44PTS</w:t>
            </w:r>
          </w:p>
        </w:tc>
        <w:tc>
          <w:tcPr>
            <w:tcW w:w="894" w:type="dxa"/>
            <w:tcBorders>
              <w:top w:val="nil"/>
              <w:left w:val="nil"/>
              <w:bottom w:val="single" w:sz="4" w:space="0" w:color="auto"/>
              <w:right w:val="single" w:sz="4" w:space="0" w:color="auto"/>
            </w:tcBorders>
            <w:shd w:val="clear" w:color="auto" w:fill="auto"/>
            <w:vAlign w:val="center"/>
            <w:hideMark/>
          </w:tcPr>
          <w:p w14:paraId="7607740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16FAD91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7.00%</w:t>
            </w:r>
          </w:p>
        </w:tc>
      </w:tr>
      <w:tr w:rsidR="00D85982" w:rsidRPr="00D85982" w14:paraId="42879C6D" w14:textId="77777777" w:rsidTr="00E43684">
        <w:trPr>
          <w:trHeight w:val="29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FBEC1A2"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 xml:space="preserve">Banco Santander </w:t>
            </w:r>
            <w:proofErr w:type="spellStart"/>
            <w:r w:rsidRPr="00D85982">
              <w:rPr>
                <w:rFonts w:eastAsia="Times New Roman" w:cs="Calibri"/>
                <w:color w:val="000000"/>
                <w:sz w:val="12"/>
                <w:szCs w:val="12"/>
                <w:lang w:eastAsia="es-MX"/>
              </w:rPr>
              <w:t>S.A,de</w:t>
            </w:r>
            <w:proofErr w:type="spellEnd"/>
            <w:r w:rsidRPr="00D85982">
              <w:rPr>
                <w:rFonts w:eastAsia="Times New Roman" w:cs="Calibri"/>
                <w:color w:val="000000"/>
                <w:sz w:val="12"/>
                <w:szCs w:val="12"/>
                <w:lang w:eastAsia="es-MX"/>
              </w:rPr>
              <w:t xml:space="preserve"> C.V.</w:t>
            </w:r>
          </w:p>
        </w:tc>
        <w:tc>
          <w:tcPr>
            <w:tcW w:w="907" w:type="dxa"/>
            <w:tcBorders>
              <w:top w:val="nil"/>
              <w:left w:val="nil"/>
              <w:bottom w:val="single" w:sz="4" w:space="0" w:color="auto"/>
              <w:right w:val="single" w:sz="4" w:space="0" w:color="auto"/>
            </w:tcBorders>
            <w:shd w:val="clear" w:color="auto" w:fill="auto"/>
            <w:vAlign w:val="center"/>
            <w:hideMark/>
          </w:tcPr>
          <w:p w14:paraId="041743F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37" w:type="dxa"/>
            <w:tcBorders>
              <w:top w:val="nil"/>
              <w:left w:val="nil"/>
              <w:bottom w:val="single" w:sz="4" w:space="0" w:color="auto"/>
              <w:right w:val="single" w:sz="4" w:space="0" w:color="auto"/>
            </w:tcBorders>
            <w:shd w:val="clear" w:color="auto" w:fill="auto"/>
            <w:vAlign w:val="center"/>
            <w:hideMark/>
          </w:tcPr>
          <w:p w14:paraId="0B97F63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29" w:type="dxa"/>
            <w:tcBorders>
              <w:top w:val="nil"/>
              <w:left w:val="nil"/>
              <w:bottom w:val="single" w:sz="4" w:space="0" w:color="auto"/>
              <w:right w:val="single" w:sz="4" w:space="0" w:color="auto"/>
            </w:tcBorders>
            <w:shd w:val="clear" w:color="auto" w:fill="auto"/>
            <w:vAlign w:val="center"/>
            <w:hideMark/>
          </w:tcPr>
          <w:p w14:paraId="5FCC4888"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8" w:type="dxa"/>
            <w:tcBorders>
              <w:top w:val="nil"/>
              <w:left w:val="nil"/>
              <w:bottom w:val="single" w:sz="4" w:space="0" w:color="auto"/>
              <w:right w:val="single" w:sz="4" w:space="0" w:color="auto"/>
            </w:tcBorders>
            <w:shd w:val="clear" w:color="auto" w:fill="auto"/>
            <w:vAlign w:val="center"/>
            <w:hideMark/>
          </w:tcPr>
          <w:p w14:paraId="3B0772FB"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846" w:type="dxa"/>
            <w:tcBorders>
              <w:top w:val="nil"/>
              <w:left w:val="nil"/>
              <w:bottom w:val="single" w:sz="4" w:space="0" w:color="auto"/>
              <w:right w:val="single" w:sz="4" w:space="0" w:color="auto"/>
            </w:tcBorders>
            <w:shd w:val="clear" w:color="auto" w:fill="auto"/>
            <w:vAlign w:val="center"/>
            <w:hideMark/>
          </w:tcPr>
          <w:p w14:paraId="27D2DE6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94" w:type="dxa"/>
            <w:tcBorders>
              <w:top w:val="nil"/>
              <w:left w:val="nil"/>
              <w:bottom w:val="single" w:sz="4" w:space="0" w:color="auto"/>
              <w:right w:val="single" w:sz="4" w:space="0" w:color="auto"/>
            </w:tcBorders>
            <w:shd w:val="clear" w:color="auto" w:fill="auto"/>
            <w:vAlign w:val="center"/>
            <w:hideMark/>
          </w:tcPr>
          <w:p w14:paraId="5FAAD96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1,237,045</w:t>
            </w:r>
          </w:p>
        </w:tc>
        <w:tc>
          <w:tcPr>
            <w:tcW w:w="985" w:type="dxa"/>
            <w:tcBorders>
              <w:top w:val="nil"/>
              <w:left w:val="nil"/>
              <w:bottom w:val="single" w:sz="4" w:space="0" w:color="auto"/>
              <w:right w:val="single" w:sz="4" w:space="0" w:color="auto"/>
            </w:tcBorders>
            <w:shd w:val="clear" w:color="auto" w:fill="auto"/>
            <w:vAlign w:val="center"/>
            <w:hideMark/>
          </w:tcPr>
          <w:p w14:paraId="38622E6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97" w:type="dxa"/>
            <w:tcBorders>
              <w:top w:val="nil"/>
              <w:left w:val="nil"/>
              <w:bottom w:val="single" w:sz="4" w:space="0" w:color="auto"/>
              <w:right w:val="single" w:sz="4" w:space="0" w:color="auto"/>
            </w:tcBorders>
            <w:shd w:val="clear" w:color="auto" w:fill="auto"/>
            <w:vAlign w:val="center"/>
            <w:hideMark/>
          </w:tcPr>
          <w:p w14:paraId="299B599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TIIE+ 61PTS</w:t>
            </w:r>
          </w:p>
        </w:tc>
        <w:tc>
          <w:tcPr>
            <w:tcW w:w="894" w:type="dxa"/>
            <w:tcBorders>
              <w:top w:val="nil"/>
              <w:left w:val="nil"/>
              <w:bottom w:val="single" w:sz="4" w:space="0" w:color="auto"/>
              <w:right w:val="single" w:sz="4" w:space="0" w:color="auto"/>
            </w:tcBorders>
            <w:shd w:val="clear" w:color="auto" w:fill="auto"/>
            <w:vAlign w:val="center"/>
            <w:hideMark/>
          </w:tcPr>
          <w:p w14:paraId="47C9FCA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2AEF89D6"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7.17%</w:t>
            </w:r>
          </w:p>
        </w:tc>
      </w:tr>
      <w:tr w:rsidR="00D85982" w:rsidRPr="00D85982" w14:paraId="0269E8E4" w14:textId="77777777" w:rsidTr="00E43684">
        <w:trPr>
          <w:trHeight w:val="29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788D896"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HSBC S.A. de C.V</w:t>
            </w:r>
          </w:p>
        </w:tc>
        <w:tc>
          <w:tcPr>
            <w:tcW w:w="907" w:type="dxa"/>
            <w:tcBorders>
              <w:top w:val="nil"/>
              <w:left w:val="nil"/>
              <w:bottom w:val="single" w:sz="4" w:space="0" w:color="auto"/>
              <w:right w:val="single" w:sz="4" w:space="0" w:color="auto"/>
            </w:tcBorders>
            <w:shd w:val="clear" w:color="auto" w:fill="auto"/>
            <w:vAlign w:val="center"/>
            <w:hideMark/>
          </w:tcPr>
          <w:p w14:paraId="07E9EE4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937" w:type="dxa"/>
            <w:tcBorders>
              <w:top w:val="nil"/>
              <w:left w:val="nil"/>
              <w:bottom w:val="single" w:sz="4" w:space="0" w:color="auto"/>
              <w:right w:val="single" w:sz="4" w:space="0" w:color="auto"/>
            </w:tcBorders>
            <w:shd w:val="clear" w:color="auto" w:fill="auto"/>
            <w:vAlign w:val="center"/>
            <w:hideMark/>
          </w:tcPr>
          <w:p w14:paraId="3466CFF8"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929" w:type="dxa"/>
            <w:tcBorders>
              <w:top w:val="nil"/>
              <w:left w:val="nil"/>
              <w:bottom w:val="single" w:sz="4" w:space="0" w:color="auto"/>
              <w:right w:val="single" w:sz="4" w:space="0" w:color="auto"/>
            </w:tcBorders>
            <w:shd w:val="clear" w:color="auto" w:fill="auto"/>
            <w:vAlign w:val="center"/>
            <w:hideMark/>
          </w:tcPr>
          <w:p w14:paraId="67451D1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8" w:type="dxa"/>
            <w:tcBorders>
              <w:top w:val="nil"/>
              <w:left w:val="nil"/>
              <w:bottom w:val="single" w:sz="4" w:space="0" w:color="auto"/>
              <w:right w:val="single" w:sz="4" w:space="0" w:color="auto"/>
            </w:tcBorders>
            <w:shd w:val="clear" w:color="auto" w:fill="auto"/>
            <w:vAlign w:val="center"/>
            <w:hideMark/>
          </w:tcPr>
          <w:p w14:paraId="61798D1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300,000,000</w:t>
            </w:r>
          </w:p>
        </w:tc>
        <w:tc>
          <w:tcPr>
            <w:tcW w:w="846" w:type="dxa"/>
            <w:tcBorders>
              <w:top w:val="nil"/>
              <w:left w:val="nil"/>
              <w:bottom w:val="single" w:sz="4" w:space="0" w:color="auto"/>
              <w:right w:val="single" w:sz="4" w:space="0" w:color="auto"/>
            </w:tcBorders>
            <w:shd w:val="clear" w:color="auto" w:fill="auto"/>
            <w:vAlign w:val="center"/>
            <w:hideMark/>
          </w:tcPr>
          <w:p w14:paraId="0F276D4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94" w:type="dxa"/>
            <w:tcBorders>
              <w:top w:val="nil"/>
              <w:left w:val="nil"/>
              <w:bottom w:val="single" w:sz="4" w:space="0" w:color="auto"/>
              <w:right w:val="single" w:sz="4" w:space="0" w:color="auto"/>
            </w:tcBorders>
            <w:shd w:val="clear" w:color="auto" w:fill="auto"/>
            <w:vAlign w:val="center"/>
            <w:hideMark/>
          </w:tcPr>
          <w:p w14:paraId="7696F05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5,121,004</w:t>
            </w:r>
          </w:p>
        </w:tc>
        <w:tc>
          <w:tcPr>
            <w:tcW w:w="985" w:type="dxa"/>
            <w:tcBorders>
              <w:top w:val="nil"/>
              <w:left w:val="nil"/>
              <w:bottom w:val="single" w:sz="4" w:space="0" w:color="auto"/>
              <w:right w:val="single" w:sz="4" w:space="0" w:color="auto"/>
            </w:tcBorders>
            <w:shd w:val="clear" w:color="auto" w:fill="auto"/>
            <w:vAlign w:val="center"/>
            <w:hideMark/>
          </w:tcPr>
          <w:p w14:paraId="178E128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97" w:type="dxa"/>
            <w:tcBorders>
              <w:top w:val="nil"/>
              <w:left w:val="nil"/>
              <w:bottom w:val="single" w:sz="4" w:space="0" w:color="auto"/>
              <w:right w:val="single" w:sz="4" w:space="0" w:color="auto"/>
            </w:tcBorders>
            <w:shd w:val="clear" w:color="auto" w:fill="auto"/>
            <w:vAlign w:val="center"/>
            <w:hideMark/>
          </w:tcPr>
          <w:p w14:paraId="406929B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TIIE+ 55PTS</w:t>
            </w:r>
          </w:p>
        </w:tc>
        <w:tc>
          <w:tcPr>
            <w:tcW w:w="894" w:type="dxa"/>
            <w:tcBorders>
              <w:top w:val="nil"/>
              <w:left w:val="nil"/>
              <w:bottom w:val="single" w:sz="4" w:space="0" w:color="auto"/>
              <w:right w:val="single" w:sz="4" w:space="0" w:color="auto"/>
            </w:tcBorders>
            <w:shd w:val="clear" w:color="auto" w:fill="auto"/>
            <w:vAlign w:val="center"/>
            <w:hideMark/>
          </w:tcPr>
          <w:p w14:paraId="1D71600B"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1,564</w:t>
            </w:r>
          </w:p>
        </w:tc>
        <w:tc>
          <w:tcPr>
            <w:tcW w:w="666" w:type="dxa"/>
            <w:tcBorders>
              <w:top w:val="nil"/>
              <w:left w:val="nil"/>
              <w:bottom w:val="single" w:sz="4" w:space="0" w:color="auto"/>
              <w:right w:val="single" w:sz="4" w:space="0" w:color="auto"/>
            </w:tcBorders>
            <w:shd w:val="clear" w:color="auto" w:fill="auto"/>
            <w:vAlign w:val="center"/>
            <w:hideMark/>
          </w:tcPr>
          <w:p w14:paraId="217E3953"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6.84%</w:t>
            </w:r>
          </w:p>
        </w:tc>
      </w:tr>
      <w:tr w:rsidR="00D85982" w:rsidRPr="00D85982" w14:paraId="0B50327F" w14:textId="77777777" w:rsidTr="00E43684">
        <w:trPr>
          <w:trHeight w:val="29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4182E19"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BANORTE S.A. de C.V.</w:t>
            </w:r>
          </w:p>
        </w:tc>
        <w:tc>
          <w:tcPr>
            <w:tcW w:w="907" w:type="dxa"/>
            <w:tcBorders>
              <w:top w:val="nil"/>
              <w:left w:val="nil"/>
              <w:bottom w:val="single" w:sz="4" w:space="0" w:color="auto"/>
              <w:right w:val="single" w:sz="4" w:space="0" w:color="auto"/>
            </w:tcBorders>
            <w:shd w:val="clear" w:color="auto" w:fill="auto"/>
            <w:vAlign w:val="center"/>
            <w:hideMark/>
          </w:tcPr>
          <w:p w14:paraId="1EAD429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937" w:type="dxa"/>
            <w:tcBorders>
              <w:top w:val="nil"/>
              <w:left w:val="nil"/>
              <w:bottom w:val="single" w:sz="4" w:space="0" w:color="auto"/>
              <w:right w:val="single" w:sz="4" w:space="0" w:color="auto"/>
            </w:tcBorders>
            <w:shd w:val="clear" w:color="auto" w:fill="auto"/>
            <w:vAlign w:val="center"/>
            <w:hideMark/>
          </w:tcPr>
          <w:p w14:paraId="77DF51B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929" w:type="dxa"/>
            <w:tcBorders>
              <w:top w:val="nil"/>
              <w:left w:val="nil"/>
              <w:bottom w:val="single" w:sz="4" w:space="0" w:color="auto"/>
              <w:right w:val="single" w:sz="4" w:space="0" w:color="auto"/>
            </w:tcBorders>
            <w:shd w:val="clear" w:color="auto" w:fill="auto"/>
            <w:vAlign w:val="center"/>
            <w:hideMark/>
          </w:tcPr>
          <w:p w14:paraId="4D4FF88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8" w:type="dxa"/>
            <w:tcBorders>
              <w:top w:val="nil"/>
              <w:left w:val="nil"/>
              <w:bottom w:val="single" w:sz="4" w:space="0" w:color="auto"/>
              <w:right w:val="single" w:sz="4" w:space="0" w:color="auto"/>
            </w:tcBorders>
            <w:shd w:val="clear" w:color="auto" w:fill="auto"/>
            <w:vAlign w:val="center"/>
            <w:hideMark/>
          </w:tcPr>
          <w:p w14:paraId="0FFD714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600,000,000</w:t>
            </w:r>
          </w:p>
        </w:tc>
        <w:tc>
          <w:tcPr>
            <w:tcW w:w="846" w:type="dxa"/>
            <w:tcBorders>
              <w:top w:val="nil"/>
              <w:left w:val="nil"/>
              <w:bottom w:val="single" w:sz="4" w:space="0" w:color="auto"/>
              <w:right w:val="single" w:sz="4" w:space="0" w:color="auto"/>
            </w:tcBorders>
            <w:shd w:val="clear" w:color="auto" w:fill="auto"/>
            <w:vAlign w:val="center"/>
            <w:hideMark/>
          </w:tcPr>
          <w:p w14:paraId="08EEEF9C"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94" w:type="dxa"/>
            <w:tcBorders>
              <w:top w:val="nil"/>
              <w:left w:val="nil"/>
              <w:bottom w:val="single" w:sz="4" w:space="0" w:color="auto"/>
              <w:right w:val="single" w:sz="4" w:space="0" w:color="auto"/>
            </w:tcBorders>
            <w:shd w:val="clear" w:color="auto" w:fill="auto"/>
            <w:vAlign w:val="center"/>
            <w:hideMark/>
          </w:tcPr>
          <w:p w14:paraId="516AE619"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8,001,770</w:t>
            </w:r>
          </w:p>
        </w:tc>
        <w:tc>
          <w:tcPr>
            <w:tcW w:w="985" w:type="dxa"/>
            <w:tcBorders>
              <w:top w:val="nil"/>
              <w:left w:val="nil"/>
              <w:bottom w:val="single" w:sz="4" w:space="0" w:color="auto"/>
              <w:right w:val="single" w:sz="4" w:space="0" w:color="auto"/>
            </w:tcBorders>
            <w:shd w:val="clear" w:color="auto" w:fill="auto"/>
            <w:vAlign w:val="center"/>
            <w:hideMark/>
          </w:tcPr>
          <w:p w14:paraId="0D0A304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97" w:type="dxa"/>
            <w:tcBorders>
              <w:top w:val="nil"/>
              <w:left w:val="nil"/>
              <w:bottom w:val="single" w:sz="4" w:space="0" w:color="auto"/>
              <w:right w:val="single" w:sz="4" w:space="0" w:color="auto"/>
            </w:tcBorders>
            <w:shd w:val="clear" w:color="auto" w:fill="auto"/>
            <w:vAlign w:val="center"/>
            <w:hideMark/>
          </w:tcPr>
          <w:p w14:paraId="5AEB4D3D"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TIIE+ 97PTS</w:t>
            </w:r>
          </w:p>
        </w:tc>
        <w:tc>
          <w:tcPr>
            <w:tcW w:w="894" w:type="dxa"/>
            <w:tcBorders>
              <w:top w:val="nil"/>
              <w:left w:val="nil"/>
              <w:bottom w:val="single" w:sz="4" w:space="0" w:color="auto"/>
              <w:right w:val="single" w:sz="4" w:space="0" w:color="auto"/>
            </w:tcBorders>
            <w:shd w:val="clear" w:color="auto" w:fill="auto"/>
            <w:vAlign w:val="center"/>
            <w:hideMark/>
          </w:tcPr>
          <w:p w14:paraId="0FFF0C8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468F878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7.28%</w:t>
            </w:r>
          </w:p>
        </w:tc>
      </w:tr>
      <w:tr w:rsidR="00D85982" w:rsidRPr="00D85982" w14:paraId="226E687C" w14:textId="77777777" w:rsidTr="00E43684">
        <w:trPr>
          <w:trHeight w:val="29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EADF8CC"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 xml:space="preserve">Banco Santander </w:t>
            </w:r>
            <w:proofErr w:type="spellStart"/>
            <w:r w:rsidRPr="00D85982">
              <w:rPr>
                <w:rFonts w:eastAsia="Times New Roman" w:cs="Calibri"/>
                <w:color w:val="000000"/>
                <w:sz w:val="12"/>
                <w:szCs w:val="12"/>
                <w:lang w:eastAsia="es-MX"/>
              </w:rPr>
              <w:t>S.A,de</w:t>
            </w:r>
            <w:proofErr w:type="spellEnd"/>
            <w:r w:rsidRPr="00D85982">
              <w:rPr>
                <w:rFonts w:eastAsia="Times New Roman" w:cs="Calibri"/>
                <w:color w:val="000000"/>
                <w:sz w:val="12"/>
                <w:szCs w:val="12"/>
                <w:lang w:eastAsia="es-MX"/>
              </w:rPr>
              <w:t xml:space="preserve"> C.V.</w:t>
            </w:r>
          </w:p>
        </w:tc>
        <w:tc>
          <w:tcPr>
            <w:tcW w:w="907" w:type="dxa"/>
            <w:tcBorders>
              <w:top w:val="nil"/>
              <w:left w:val="nil"/>
              <w:bottom w:val="single" w:sz="4" w:space="0" w:color="auto"/>
              <w:right w:val="single" w:sz="4" w:space="0" w:color="auto"/>
            </w:tcBorders>
            <w:shd w:val="clear" w:color="auto" w:fill="auto"/>
            <w:vAlign w:val="center"/>
            <w:hideMark/>
          </w:tcPr>
          <w:p w14:paraId="132E689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37" w:type="dxa"/>
            <w:tcBorders>
              <w:top w:val="nil"/>
              <w:left w:val="nil"/>
              <w:bottom w:val="single" w:sz="4" w:space="0" w:color="auto"/>
              <w:right w:val="single" w:sz="4" w:space="0" w:color="auto"/>
            </w:tcBorders>
            <w:shd w:val="clear" w:color="auto" w:fill="auto"/>
            <w:vAlign w:val="center"/>
            <w:hideMark/>
          </w:tcPr>
          <w:p w14:paraId="766FA226"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929" w:type="dxa"/>
            <w:tcBorders>
              <w:top w:val="nil"/>
              <w:left w:val="nil"/>
              <w:bottom w:val="single" w:sz="4" w:space="0" w:color="auto"/>
              <w:right w:val="single" w:sz="4" w:space="0" w:color="auto"/>
            </w:tcBorders>
            <w:shd w:val="clear" w:color="auto" w:fill="auto"/>
            <w:vAlign w:val="center"/>
            <w:hideMark/>
          </w:tcPr>
          <w:p w14:paraId="33AC9393"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 </w:t>
            </w:r>
          </w:p>
        </w:tc>
        <w:tc>
          <w:tcPr>
            <w:tcW w:w="1028" w:type="dxa"/>
            <w:tcBorders>
              <w:top w:val="nil"/>
              <w:left w:val="nil"/>
              <w:bottom w:val="single" w:sz="4" w:space="0" w:color="auto"/>
              <w:right w:val="single" w:sz="4" w:space="0" w:color="auto"/>
            </w:tcBorders>
            <w:shd w:val="clear" w:color="auto" w:fill="auto"/>
            <w:vAlign w:val="center"/>
            <w:hideMark/>
          </w:tcPr>
          <w:p w14:paraId="7EA64D5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50,000,000</w:t>
            </w:r>
          </w:p>
        </w:tc>
        <w:tc>
          <w:tcPr>
            <w:tcW w:w="846" w:type="dxa"/>
            <w:tcBorders>
              <w:top w:val="nil"/>
              <w:left w:val="nil"/>
              <w:bottom w:val="single" w:sz="4" w:space="0" w:color="auto"/>
              <w:right w:val="single" w:sz="4" w:space="0" w:color="auto"/>
            </w:tcBorders>
            <w:shd w:val="clear" w:color="auto" w:fill="auto"/>
            <w:vAlign w:val="center"/>
            <w:hideMark/>
          </w:tcPr>
          <w:p w14:paraId="4CF1BB67"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94" w:type="dxa"/>
            <w:tcBorders>
              <w:top w:val="nil"/>
              <w:left w:val="nil"/>
              <w:bottom w:val="single" w:sz="4" w:space="0" w:color="auto"/>
              <w:right w:val="single" w:sz="4" w:space="0" w:color="auto"/>
            </w:tcBorders>
            <w:shd w:val="clear" w:color="auto" w:fill="auto"/>
            <w:vAlign w:val="center"/>
            <w:hideMark/>
          </w:tcPr>
          <w:p w14:paraId="70AF2C4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1,137,245</w:t>
            </w:r>
          </w:p>
        </w:tc>
        <w:tc>
          <w:tcPr>
            <w:tcW w:w="985" w:type="dxa"/>
            <w:tcBorders>
              <w:top w:val="nil"/>
              <w:left w:val="nil"/>
              <w:bottom w:val="single" w:sz="4" w:space="0" w:color="auto"/>
              <w:right w:val="single" w:sz="4" w:space="0" w:color="auto"/>
            </w:tcBorders>
            <w:shd w:val="clear" w:color="auto" w:fill="auto"/>
            <w:vAlign w:val="center"/>
            <w:hideMark/>
          </w:tcPr>
          <w:p w14:paraId="0B422258"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97" w:type="dxa"/>
            <w:tcBorders>
              <w:top w:val="nil"/>
              <w:left w:val="nil"/>
              <w:bottom w:val="single" w:sz="4" w:space="0" w:color="auto"/>
              <w:right w:val="single" w:sz="4" w:space="0" w:color="auto"/>
            </w:tcBorders>
            <w:shd w:val="clear" w:color="auto" w:fill="auto"/>
            <w:vAlign w:val="center"/>
            <w:hideMark/>
          </w:tcPr>
          <w:p w14:paraId="032C4458"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TIIE+ 61PTS</w:t>
            </w:r>
          </w:p>
        </w:tc>
        <w:tc>
          <w:tcPr>
            <w:tcW w:w="894" w:type="dxa"/>
            <w:tcBorders>
              <w:top w:val="nil"/>
              <w:left w:val="nil"/>
              <w:bottom w:val="single" w:sz="4" w:space="0" w:color="auto"/>
              <w:right w:val="single" w:sz="4" w:space="0" w:color="auto"/>
            </w:tcBorders>
            <w:shd w:val="clear" w:color="auto" w:fill="auto"/>
            <w:vAlign w:val="center"/>
            <w:hideMark/>
          </w:tcPr>
          <w:p w14:paraId="54468430"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304A035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7.26%</w:t>
            </w:r>
          </w:p>
        </w:tc>
      </w:tr>
      <w:tr w:rsidR="00D85982" w:rsidRPr="00D85982" w14:paraId="36F8F77E" w14:textId="77777777" w:rsidTr="00E43684">
        <w:trPr>
          <w:trHeight w:val="29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0AB3504"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Banco Azteca S.A. de C.V.</w:t>
            </w:r>
          </w:p>
        </w:tc>
        <w:tc>
          <w:tcPr>
            <w:tcW w:w="907" w:type="dxa"/>
            <w:tcBorders>
              <w:top w:val="nil"/>
              <w:left w:val="nil"/>
              <w:bottom w:val="single" w:sz="4" w:space="0" w:color="auto"/>
              <w:right w:val="single" w:sz="4" w:space="0" w:color="auto"/>
            </w:tcBorders>
            <w:shd w:val="clear" w:color="auto" w:fill="auto"/>
            <w:vAlign w:val="center"/>
            <w:hideMark/>
          </w:tcPr>
          <w:p w14:paraId="431D975F"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937" w:type="dxa"/>
            <w:tcBorders>
              <w:top w:val="nil"/>
              <w:left w:val="nil"/>
              <w:bottom w:val="single" w:sz="4" w:space="0" w:color="auto"/>
              <w:right w:val="single" w:sz="4" w:space="0" w:color="auto"/>
            </w:tcBorders>
            <w:shd w:val="clear" w:color="auto" w:fill="auto"/>
            <w:vAlign w:val="center"/>
            <w:hideMark/>
          </w:tcPr>
          <w:p w14:paraId="6144E4D6"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w:t>
            </w:r>
          </w:p>
        </w:tc>
        <w:tc>
          <w:tcPr>
            <w:tcW w:w="929" w:type="dxa"/>
            <w:tcBorders>
              <w:top w:val="nil"/>
              <w:left w:val="nil"/>
              <w:bottom w:val="single" w:sz="4" w:space="0" w:color="auto"/>
              <w:right w:val="single" w:sz="4" w:space="0" w:color="auto"/>
            </w:tcBorders>
            <w:shd w:val="clear" w:color="000000" w:fill="FFFFFF"/>
            <w:vAlign w:val="center"/>
            <w:hideMark/>
          </w:tcPr>
          <w:p w14:paraId="2B0BDC6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240,000,000</w:t>
            </w:r>
          </w:p>
        </w:tc>
        <w:tc>
          <w:tcPr>
            <w:tcW w:w="1028" w:type="dxa"/>
            <w:tcBorders>
              <w:top w:val="nil"/>
              <w:left w:val="nil"/>
              <w:bottom w:val="single" w:sz="4" w:space="0" w:color="auto"/>
              <w:right w:val="single" w:sz="4" w:space="0" w:color="auto"/>
            </w:tcBorders>
            <w:shd w:val="clear" w:color="000000" w:fill="FFFFFF"/>
            <w:vAlign w:val="center"/>
            <w:hideMark/>
          </w:tcPr>
          <w:p w14:paraId="0114370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250,000,000</w:t>
            </w:r>
          </w:p>
        </w:tc>
        <w:tc>
          <w:tcPr>
            <w:tcW w:w="846" w:type="dxa"/>
            <w:tcBorders>
              <w:top w:val="nil"/>
              <w:left w:val="nil"/>
              <w:bottom w:val="single" w:sz="4" w:space="0" w:color="auto"/>
              <w:right w:val="single" w:sz="4" w:space="0" w:color="auto"/>
            </w:tcBorders>
            <w:shd w:val="clear" w:color="auto" w:fill="auto"/>
            <w:vAlign w:val="center"/>
            <w:hideMark/>
          </w:tcPr>
          <w:p w14:paraId="7F8F39C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794" w:type="dxa"/>
            <w:tcBorders>
              <w:top w:val="nil"/>
              <w:left w:val="nil"/>
              <w:bottom w:val="single" w:sz="4" w:space="0" w:color="auto"/>
              <w:right w:val="single" w:sz="4" w:space="0" w:color="auto"/>
            </w:tcBorders>
            <w:shd w:val="clear" w:color="auto" w:fill="auto"/>
            <w:vAlign w:val="center"/>
            <w:hideMark/>
          </w:tcPr>
          <w:p w14:paraId="34A7FF94"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1,804,121</w:t>
            </w:r>
          </w:p>
        </w:tc>
        <w:tc>
          <w:tcPr>
            <w:tcW w:w="985" w:type="dxa"/>
            <w:tcBorders>
              <w:top w:val="nil"/>
              <w:left w:val="nil"/>
              <w:bottom w:val="single" w:sz="4" w:space="0" w:color="auto"/>
              <w:right w:val="single" w:sz="4" w:space="0" w:color="auto"/>
            </w:tcBorders>
            <w:shd w:val="clear" w:color="auto" w:fill="auto"/>
            <w:vAlign w:val="center"/>
            <w:hideMark/>
          </w:tcPr>
          <w:p w14:paraId="2C049B0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29/06/2022</w:t>
            </w:r>
          </w:p>
        </w:tc>
        <w:tc>
          <w:tcPr>
            <w:tcW w:w="797" w:type="dxa"/>
            <w:tcBorders>
              <w:top w:val="nil"/>
              <w:left w:val="nil"/>
              <w:bottom w:val="single" w:sz="4" w:space="0" w:color="auto"/>
              <w:right w:val="single" w:sz="4" w:space="0" w:color="auto"/>
            </w:tcBorders>
            <w:shd w:val="clear" w:color="auto" w:fill="auto"/>
            <w:vAlign w:val="center"/>
            <w:hideMark/>
          </w:tcPr>
          <w:p w14:paraId="47BBE8E1"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TIIE+ 120PTS</w:t>
            </w:r>
          </w:p>
        </w:tc>
        <w:tc>
          <w:tcPr>
            <w:tcW w:w="894" w:type="dxa"/>
            <w:tcBorders>
              <w:top w:val="nil"/>
              <w:left w:val="nil"/>
              <w:bottom w:val="single" w:sz="4" w:space="0" w:color="auto"/>
              <w:right w:val="single" w:sz="4" w:space="0" w:color="auto"/>
            </w:tcBorders>
            <w:shd w:val="clear" w:color="auto" w:fill="auto"/>
            <w:vAlign w:val="center"/>
            <w:hideMark/>
          </w:tcPr>
          <w:p w14:paraId="0EE1E652"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2,505,600</w:t>
            </w:r>
          </w:p>
        </w:tc>
        <w:tc>
          <w:tcPr>
            <w:tcW w:w="666" w:type="dxa"/>
            <w:tcBorders>
              <w:top w:val="nil"/>
              <w:left w:val="nil"/>
              <w:bottom w:val="single" w:sz="4" w:space="0" w:color="auto"/>
              <w:right w:val="single" w:sz="4" w:space="0" w:color="auto"/>
            </w:tcBorders>
            <w:shd w:val="clear" w:color="auto" w:fill="auto"/>
            <w:vAlign w:val="center"/>
            <w:hideMark/>
          </w:tcPr>
          <w:p w14:paraId="0B4D7E7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10.07%</w:t>
            </w:r>
          </w:p>
        </w:tc>
      </w:tr>
      <w:tr w:rsidR="00D85982" w:rsidRPr="00D85982" w14:paraId="10E10DAA" w14:textId="77777777" w:rsidTr="00E43684">
        <w:trPr>
          <w:trHeight w:val="29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83B5DF7" w14:textId="77777777" w:rsidR="00D85982" w:rsidRPr="00D85982" w:rsidRDefault="00D85982" w:rsidP="00D85982">
            <w:pPr>
              <w:spacing w:after="0" w:line="240" w:lineRule="auto"/>
              <w:jc w:val="both"/>
              <w:rPr>
                <w:rFonts w:eastAsia="Times New Roman" w:cs="Calibri"/>
                <w:color w:val="000000"/>
                <w:sz w:val="12"/>
                <w:szCs w:val="12"/>
                <w:lang w:eastAsia="es-MX"/>
              </w:rPr>
            </w:pPr>
            <w:r w:rsidRPr="00D85982">
              <w:rPr>
                <w:rFonts w:eastAsia="Times New Roman" w:cs="Calibri"/>
                <w:color w:val="000000"/>
                <w:sz w:val="12"/>
                <w:szCs w:val="12"/>
                <w:lang w:eastAsia="es-MX"/>
              </w:rPr>
              <w:t xml:space="preserve">Banco Santander </w:t>
            </w:r>
            <w:proofErr w:type="spellStart"/>
            <w:r w:rsidRPr="00D85982">
              <w:rPr>
                <w:rFonts w:eastAsia="Times New Roman" w:cs="Calibri"/>
                <w:color w:val="000000"/>
                <w:sz w:val="12"/>
                <w:szCs w:val="12"/>
                <w:lang w:eastAsia="es-MX"/>
              </w:rPr>
              <w:t>S.A,de</w:t>
            </w:r>
            <w:proofErr w:type="spellEnd"/>
            <w:r w:rsidRPr="00D85982">
              <w:rPr>
                <w:rFonts w:eastAsia="Times New Roman" w:cs="Calibri"/>
                <w:color w:val="000000"/>
                <w:sz w:val="12"/>
                <w:szCs w:val="12"/>
                <w:lang w:eastAsia="es-MX"/>
              </w:rPr>
              <w:t xml:space="preserve"> C.V.</w:t>
            </w:r>
          </w:p>
        </w:tc>
        <w:tc>
          <w:tcPr>
            <w:tcW w:w="907" w:type="dxa"/>
            <w:tcBorders>
              <w:top w:val="nil"/>
              <w:left w:val="nil"/>
              <w:bottom w:val="single" w:sz="4" w:space="0" w:color="auto"/>
              <w:right w:val="single" w:sz="4" w:space="0" w:color="auto"/>
            </w:tcBorders>
            <w:shd w:val="clear" w:color="auto" w:fill="auto"/>
            <w:vAlign w:val="center"/>
            <w:hideMark/>
          </w:tcPr>
          <w:p w14:paraId="68908141"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937" w:type="dxa"/>
            <w:tcBorders>
              <w:top w:val="nil"/>
              <w:left w:val="nil"/>
              <w:bottom w:val="single" w:sz="4" w:space="0" w:color="auto"/>
              <w:right w:val="single" w:sz="4" w:space="0" w:color="auto"/>
            </w:tcBorders>
            <w:shd w:val="clear" w:color="auto" w:fill="auto"/>
            <w:vAlign w:val="center"/>
            <w:hideMark/>
          </w:tcPr>
          <w:p w14:paraId="0ABB811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929" w:type="dxa"/>
            <w:tcBorders>
              <w:top w:val="nil"/>
              <w:left w:val="nil"/>
              <w:bottom w:val="single" w:sz="4" w:space="0" w:color="auto"/>
              <w:right w:val="single" w:sz="4" w:space="0" w:color="auto"/>
            </w:tcBorders>
            <w:shd w:val="clear" w:color="auto" w:fill="auto"/>
            <w:vAlign w:val="center"/>
            <w:hideMark/>
          </w:tcPr>
          <w:p w14:paraId="565521F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1028" w:type="dxa"/>
            <w:tcBorders>
              <w:top w:val="nil"/>
              <w:left w:val="nil"/>
              <w:bottom w:val="single" w:sz="4" w:space="0" w:color="auto"/>
              <w:right w:val="single" w:sz="4" w:space="0" w:color="auto"/>
            </w:tcBorders>
            <w:shd w:val="clear" w:color="auto" w:fill="auto"/>
            <w:vAlign w:val="center"/>
            <w:hideMark/>
          </w:tcPr>
          <w:p w14:paraId="1B04877A"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846" w:type="dxa"/>
            <w:tcBorders>
              <w:top w:val="nil"/>
              <w:left w:val="nil"/>
              <w:bottom w:val="single" w:sz="4" w:space="0" w:color="auto"/>
              <w:right w:val="single" w:sz="4" w:space="0" w:color="auto"/>
            </w:tcBorders>
            <w:shd w:val="clear" w:color="auto" w:fill="auto"/>
            <w:vAlign w:val="center"/>
            <w:hideMark/>
          </w:tcPr>
          <w:p w14:paraId="17CE1423"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1,000,000,000</w:t>
            </w:r>
          </w:p>
        </w:tc>
        <w:tc>
          <w:tcPr>
            <w:tcW w:w="794" w:type="dxa"/>
            <w:tcBorders>
              <w:top w:val="nil"/>
              <w:left w:val="nil"/>
              <w:bottom w:val="single" w:sz="4" w:space="0" w:color="auto"/>
              <w:right w:val="single" w:sz="4" w:space="0" w:color="auto"/>
            </w:tcBorders>
            <w:shd w:val="clear" w:color="auto" w:fill="auto"/>
            <w:vAlign w:val="center"/>
            <w:hideMark/>
          </w:tcPr>
          <w:p w14:paraId="57E73AC3"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985" w:type="dxa"/>
            <w:tcBorders>
              <w:top w:val="nil"/>
              <w:left w:val="nil"/>
              <w:bottom w:val="single" w:sz="4" w:space="0" w:color="auto"/>
              <w:right w:val="single" w:sz="4" w:space="0" w:color="auto"/>
            </w:tcBorders>
            <w:shd w:val="clear" w:color="auto" w:fill="auto"/>
            <w:vAlign w:val="center"/>
            <w:hideMark/>
          </w:tcPr>
          <w:p w14:paraId="5CC61F9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13/12/2023</w:t>
            </w:r>
          </w:p>
        </w:tc>
        <w:tc>
          <w:tcPr>
            <w:tcW w:w="797" w:type="dxa"/>
            <w:tcBorders>
              <w:top w:val="nil"/>
              <w:left w:val="nil"/>
              <w:bottom w:val="single" w:sz="4" w:space="0" w:color="auto"/>
              <w:right w:val="single" w:sz="4" w:space="0" w:color="auto"/>
            </w:tcBorders>
            <w:shd w:val="clear" w:color="auto" w:fill="auto"/>
            <w:vAlign w:val="center"/>
            <w:hideMark/>
          </w:tcPr>
          <w:p w14:paraId="37B681AE"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TIIE+ 40PTS</w:t>
            </w:r>
          </w:p>
        </w:tc>
        <w:tc>
          <w:tcPr>
            <w:tcW w:w="894" w:type="dxa"/>
            <w:tcBorders>
              <w:top w:val="nil"/>
              <w:left w:val="nil"/>
              <w:bottom w:val="single" w:sz="4" w:space="0" w:color="auto"/>
              <w:right w:val="single" w:sz="4" w:space="0" w:color="auto"/>
            </w:tcBorders>
            <w:shd w:val="clear" w:color="auto" w:fill="auto"/>
            <w:vAlign w:val="center"/>
            <w:hideMark/>
          </w:tcPr>
          <w:p w14:paraId="6F99AEEC"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0</w:t>
            </w:r>
          </w:p>
        </w:tc>
        <w:tc>
          <w:tcPr>
            <w:tcW w:w="666" w:type="dxa"/>
            <w:tcBorders>
              <w:top w:val="nil"/>
              <w:left w:val="nil"/>
              <w:bottom w:val="single" w:sz="4" w:space="0" w:color="auto"/>
              <w:right w:val="single" w:sz="4" w:space="0" w:color="auto"/>
            </w:tcBorders>
            <w:shd w:val="clear" w:color="auto" w:fill="auto"/>
            <w:vAlign w:val="center"/>
            <w:hideMark/>
          </w:tcPr>
          <w:p w14:paraId="75D89535" w14:textId="77777777" w:rsidR="00D85982" w:rsidRPr="00D85982" w:rsidRDefault="00D85982" w:rsidP="00D85982">
            <w:pPr>
              <w:spacing w:after="0" w:line="240" w:lineRule="auto"/>
              <w:jc w:val="right"/>
              <w:rPr>
                <w:rFonts w:eastAsia="Times New Roman" w:cs="Calibri"/>
                <w:color w:val="000000"/>
                <w:sz w:val="12"/>
                <w:szCs w:val="12"/>
                <w:lang w:eastAsia="es-MX"/>
              </w:rPr>
            </w:pPr>
            <w:r w:rsidRPr="00D85982">
              <w:rPr>
                <w:rFonts w:eastAsia="Times New Roman" w:cs="Calibri"/>
                <w:color w:val="000000"/>
                <w:sz w:val="12"/>
                <w:szCs w:val="12"/>
                <w:lang w:eastAsia="es-MX"/>
              </w:rPr>
              <w:t>11.18%</w:t>
            </w:r>
          </w:p>
        </w:tc>
      </w:tr>
      <w:tr w:rsidR="00D85982" w:rsidRPr="00D85982" w14:paraId="5B50027C" w14:textId="77777777" w:rsidTr="00E43684">
        <w:trPr>
          <w:trHeight w:val="300"/>
        </w:trPr>
        <w:tc>
          <w:tcPr>
            <w:tcW w:w="785" w:type="dxa"/>
            <w:tcBorders>
              <w:top w:val="nil"/>
              <w:left w:val="single" w:sz="4" w:space="0" w:color="auto"/>
              <w:bottom w:val="single" w:sz="4" w:space="0" w:color="auto"/>
              <w:right w:val="single" w:sz="4" w:space="0" w:color="auto"/>
            </w:tcBorders>
            <w:shd w:val="clear" w:color="000000" w:fill="DDC9A3"/>
            <w:vAlign w:val="center"/>
            <w:hideMark/>
          </w:tcPr>
          <w:p w14:paraId="24D5EC88" w14:textId="77777777" w:rsidR="00D85982" w:rsidRPr="00D85982" w:rsidRDefault="00D85982" w:rsidP="00D85982">
            <w:pPr>
              <w:spacing w:after="0" w:line="240" w:lineRule="auto"/>
              <w:jc w:val="center"/>
              <w:rPr>
                <w:rFonts w:eastAsia="Times New Roman" w:cs="Calibri"/>
                <w:b/>
                <w:bCs/>
                <w:color w:val="000000"/>
                <w:sz w:val="12"/>
                <w:szCs w:val="12"/>
                <w:lang w:eastAsia="es-MX"/>
              </w:rPr>
            </w:pPr>
            <w:r w:rsidRPr="00D85982">
              <w:rPr>
                <w:rFonts w:eastAsia="Times New Roman" w:cs="Calibri"/>
                <w:b/>
                <w:bCs/>
                <w:color w:val="000000"/>
                <w:sz w:val="12"/>
                <w:szCs w:val="12"/>
                <w:lang w:eastAsia="es-MX"/>
              </w:rPr>
              <w:t> </w:t>
            </w:r>
          </w:p>
        </w:tc>
        <w:tc>
          <w:tcPr>
            <w:tcW w:w="907" w:type="dxa"/>
            <w:tcBorders>
              <w:top w:val="nil"/>
              <w:left w:val="nil"/>
              <w:bottom w:val="single" w:sz="4" w:space="0" w:color="auto"/>
              <w:right w:val="single" w:sz="4" w:space="0" w:color="auto"/>
            </w:tcBorders>
            <w:shd w:val="clear" w:color="000000" w:fill="DDC9A3"/>
            <w:vAlign w:val="center"/>
            <w:hideMark/>
          </w:tcPr>
          <w:p w14:paraId="3DDFD29B"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2,750,000,000</w:t>
            </w:r>
          </w:p>
        </w:tc>
        <w:tc>
          <w:tcPr>
            <w:tcW w:w="937" w:type="dxa"/>
            <w:tcBorders>
              <w:top w:val="nil"/>
              <w:left w:val="nil"/>
              <w:bottom w:val="single" w:sz="4" w:space="0" w:color="auto"/>
              <w:right w:val="single" w:sz="4" w:space="0" w:color="auto"/>
            </w:tcBorders>
            <w:shd w:val="clear" w:color="000000" w:fill="DDC9A3"/>
            <w:vAlign w:val="center"/>
            <w:hideMark/>
          </w:tcPr>
          <w:p w14:paraId="4E9F5CCC"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1,510,000,000</w:t>
            </w:r>
          </w:p>
        </w:tc>
        <w:tc>
          <w:tcPr>
            <w:tcW w:w="929" w:type="dxa"/>
            <w:tcBorders>
              <w:top w:val="nil"/>
              <w:left w:val="nil"/>
              <w:bottom w:val="single" w:sz="4" w:space="0" w:color="auto"/>
              <w:right w:val="single" w:sz="4" w:space="0" w:color="auto"/>
            </w:tcBorders>
            <w:shd w:val="clear" w:color="000000" w:fill="DDC9A3"/>
            <w:vAlign w:val="center"/>
            <w:hideMark/>
          </w:tcPr>
          <w:p w14:paraId="52B7EBCE"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1,240,000,000</w:t>
            </w:r>
          </w:p>
        </w:tc>
        <w:tc>
          <w:tcPr>
            <w:tcW w:w="1028" w:type="dxa"/>
            <w:tcBorders>
              <w:top w:val="nil"/>
              <w:left w:val="nil"/>
              <w:bottom w:val="single" w:sz="4" w:space="0" w:color="auto"/>
              <w:right w:val="single" w:sz="4" w:space="0" w:color="auto"/>
            </w:tcBorders>
            <w:shd w:val="clear" w:color="000000" w:fill="DDC9A3"/>
            <w:vAlign w:val="center"/>
            <w:hideMark/>
          </w:tcPr>
          <w:p w14:paraId="74DE14AD"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1,750,000,000</w:t>
            </w:r>
          </w:p>
        </w:tc>
        <w:tc>
          <w:tcPr>
            <w:tcW w:w="846" w:type="dxa"/>
            <w:tcBorders>
              <w:top w:val="nil"/>
              <w:left w:val="nil"/>
              <w:bottom w:val="single" w:sz="4" w:space="0" w:color="auto"/>
              <w:right w:val="single" w:sz="4" w:space="0" w:color="auto"/>
            </w:tcBorders>
            <w:shd w:val="clear" w:color="000000" w:fill="DDC9A3"/>
            <w:vAlign w:val="center"/>
            <w:hideMark/>
          </w:tcPr>
          <w:p w14:paraId="06CC1EB2"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1,000,000,000</w:t>
            </w:r>
          </w:p>
        </w:tc>
        <w:tc>
          <w:tcPr>
            <w:tcW w:w="794" w:type="dxa"/>
            <w:tcBorders>
              <w:top w:val="nil"/>
              <w:left w:val="nil"/>
              <w:bottom w:val="single" w:sz="4" w:space="0" w:color="auto"/>
              <w:right w:val="single" w:sz="4" w:space="0" w:color="auto"/>
            </w:tcBorders>
            <w:shd w:val="clear" w:color="000000" w:fill="DDC9A3"/>
            <w:vAlign w:val="center"/>
            <w:hideMark/>
          </w:tcPr>
          <w:p w14:paraId="5FC2513A"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31,591,431</w:t>
            </w:r>
          </w:p>
        </w:tc>
        <w:tc>
          <w:tcPr>
            <w:tcW w:w="985" w:type="dxa"/>
            <w:tcBorders>
              <w:top w:val="nil"/>
              <w:left w:val="nil"/>
              <w:bottom w:val="single" w:sz="4" w:space="0" w:color="auto"/>
              <w:right w:val="single" w:sz="4" w:space="0" w:color="auto"/>
            </w:tcBorders>
            <w:shd w:val="clear" w:color="000000" w:fill="DDC9A3"/>
            <w:vAlign w:val="center"/>
            <w:hideMark/>
          </w:tcPr>
          <w:p w14:paraId="3CB3119C"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 </w:t>
            </w:r>
          </w:p>
        </w:tc>
        <w:tc>
          <w:tcPr>
            <w:tcW w:w="797" w:type="dxa"/>
            <w:tcBorders>
              <w:top w:val="nil"/>
              <w:left w:val="nil"/>
              <w:bottom w:val="single" w:sz="4" w:space="0" w:color="auto"/>
              <w:right w:val="single" w:sz="4" w:space="0" w:color="auto"/>
            </w:tcBorders>
            <w:shd w:val="clear" w:color="000000" w:fill="DDC9A3"/>
            <w:vAlign w:val="center"/>
            <w:hideMark/>
          </w:tcPr>
          <w:p w14:paraId="3CB76AF5"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 </w:t>
            </w:r>
          </w:p>
        </w:tc>
        <w:tc>
          <w:tcPr>
            <w:tcW w:w="894" w:type="dxa"/>
            <w:tcBorders>
              <w:top w:val="nil"/>
              <w:left w:val="nil"/>
              <w:bottom w:val="single" w:sz="4" w:space="0" w:color="auto"/>
              <w:right w:val="single" w:sz="4" w:space="0" w:color="auto"/>
            </w:tcBorders>
            <w:shd w:val="clear" w:color="000000" w:fill="DDC9A3"/>
            <w:vAlign w:val="center"/>
            <w:hideMark/>
          </w:tcPr>
          <w:p w14:paraId="638F1850"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2,507,164</w:t>
            </w:r>
          </w:p>
        </w:tc>
        <w:tc>
          <w:tcPr>
            <w:tcW w:w="666" w:type="dxa"/>
            <w:tcBorders>
              <w:top w:val="nil"/>
              <w:left w:val="nil"/>
              <w:bottom w:val="single" w:sz="4" w:space="0" w:color="auto"/>
              <w:right w:val="single" w:sz="4" w:space="0" w:color="auto"/>
            </w:tcBorders>
            <w:shd w:val="clear" w:color="000000" w:fill="DDC9A3"/>
            <w:vAlign w:val="center"/>
            <w:hideMark/>
          </w:tcPr>
          <w:p w14:paraId="03A490B4" w14:textId="77777777" w:rsidR="00D85982" w:rsidRPr="00D85982" w:rsidRDefault="00D85982" w:rsidP="00D85982">
            <w:pPr>
              <w:spacing w:after="0" w:line="240" w:lineRule="auto"/>
              <w:jc w:val="right"/>
              <w:rPr>
                <w:rFonts w:eastAsia="Times New Roman" w:cs="Calibri"/>
                <w:b/>
                <w:bCs/>
                <w:color w:val="000000"/>
                <w:sz w:val="12"/>
                <w:szCs w:val="12"/>
                <w:lang w:eastAsia="es-MX"/>
              </w:rPr>
            </w:pPr>
            <w:r w:rsidRPr="00D85982">
              <w:rPr>
                <w:rFonts w:eastAsia="Times New Roman" w:cs="Calibri"/>
                <w:b/>
                <w:bCs/>
                <w:color w:val="000000"/>
                <w:sz w:val="12"/>
                <w:szCs w:val="12"/>
                <w:lang w:eastAsia="es-MX"/>
              </w:rPr>
              <w:t> </w:t>
            </w:r>
          </w:p>
        </w:tc>
      </w:tr>
    </w:tbl>
    <w:p w14:paraId="45609D30" w14:textId="77777777" w:rsidR="00F93BA3" w:rsidRPr="005F45A3" w:rsidRDefault="00F93BA3" w:rsidP="00CC790B">
      <w:pPr>
        <w:spacing w:after="0"/>
        <w:jc w:val="both"/>
        <w:rPr>
          <w:rFonts w:asciiTheme="minorHAnsi" w:hAnsiTheme="minorHAnsi" w:cstheme="minorHAnsi"/>
          <w:sz w:val="16"/>
          <w:szCs w:val="16"/>
        </w:rPr>
      </w:pPr>
    </w:p>
    <w:p w14:paraId="5C63A6D7" w14:textId="0F6A8F70" w:rsidR="0053722B" w:rsidRPr="005F45A3" w:rsidRDefault="0053722B" w:rsidP="00CC790B">
      <w:pPr>
        <w:spacing w:after="0"/>
        <w:jc w:val="both"/>
        <w:rPr>
          <w:rFonts w:asciiTheme="minorHAnsi" w:hAnsiTheme="minorHAnsi" w:cstheme="minorHAnsi"/>
          <w:sz w:val="12"/>
          <w:szCs w:val="16"/>
        </w:rPr>
      </w:pPr>
    </w:p>
    <w:p w14:paraId="760473DF" w14:textId="77777777" w:rsidR="00B4706F" w:rsidRPr="005F45A3" w:rsidRDefault="00043DCF" w:rsidP="000C5510">
      <w:pPr>
        <w:pStyle w:val="Prrafodelista"/>
        <w:numPr>
          <w:ilvl w:val="0"/>
          <w:numId w:val="24"/>
        </w:numPr>
        <w:spacing w:after="0" w:line="240" w:lineRule="auto"/>
        <w:ind w:left="-426" w:firstLine="142"/>
        <w:rPr>
          <w:rFonts w:asciiTheme="minorHAnsi" w:hAnsiTheme="minorHAnsi" w:cstheme="minorHAnsi"/>
          <w:b/>
          <w:sz w:val="20"/>
          <w:lang w:val="es-ES" w:eastAsia="es-ES"/>
        </w:rPr>
      </w:pPr>
      <w:r w:rsidRPr="005F45A3">
        <w:rPr>
          <w:rFonts w:asciiTheme="minorHAnsi" w:hAnsiTheme="minorHAnsi" w:cstheme="minorHAnsi"/>
          <w:b/>
          <w:sz w:val="20"/>
          <w:lang w:val="es-ES" w:eastAsia="es-ES"/>
        </w:rPr>
        <w:t>Fondos de Bienes de Terceros en Administración y/o en Garantía a Corto Plazo</w:t>
      </w:r>
    </w:p>
    <w:p w14:paraId="23DE3630" w14:textId="77777777" w:rsidR="00B4706F" w:rsidRPr="005F45A3" w:rsidRDefault="00B4706F" w:rsidP="003D7ABC">
      <w:pPr>
        <w:spacing w:after="0" w:line="240" w:lineRule="auto"/>
        <w:ind w:left="-284" w:hanging="283"/>
        <w:rPr>
          <w:rFonts w:asciiTheme="minorHAnsi" w:hAnsiTheme="minorHAnsi" w:cstheme="minorHAnsi"/>
          <w:sz w:val="14"/>
          <w:lang w:val="es-ES" w:eastAsia="es-ES"/>
        </w:rPr>
      </w:pPr>
    </w:p>
    <w:p w14:paraId="1ED192CD" w14:textId="77777777" w:rsidR="00B4706F" w:rsidRPr="005F45A3" w:rsidRDefault="00ED10D9" w:rsidP="000C5510">
      <w:pPr>
        <w:spacing w:after="0" w:line="240" w:lineRule="auto"/>
        <w:rPr>
          <w:rFonts w:asciiTheme="minorHAnsi" w:hAnsiTheme="minorHAnsi" w:cstheme="minorHAnsi"/>
          <w:sz w:val="18"/>
          <w:lang w:val="es-ES" w:eastAsia="es-ES"/>
        </w:rPr>
      </w:pPr>
      <w:r w:rsidRPr="005F45A3">
        <w:rPr>
          <w:rFonts w:asciiTheme="minorHAnsi" w:hAnsiTheme="minorHAnsi" w:cstheme="minorHAnsi"/>
          <w:sz w:val="18"/>
          <w:lang w:val="es-ES" w:eastAsia="es-ES"/>
        </w:rPr>
        <w:t>Fondos en Garantía a Corto Plazo</w:t>
      </w:r>
    </w:p>
    <w:p w14:paraId="68F98143" w14:textId="77777777" w:rsidR="00AE659F" w:rsidRPr="005F45A3" w:rsidRDefault="00AE659F" w:rsidP="004B1ABA">
      <w:pPr>
        <w:spacing w:after="0" w:line="240" w:lineRule="auto"/>
        <w:ind w:left="360"/>
        <w:rPr>
          <w:rFonts w:asciiTheme="minorHAnsi" w:hAnsiTheme="minorHAnsi" w:cstheme="minorHAnsi"/>
          <w:sz w:val="18"/>
          <w:lang w:val="es-ES" w:eastAsia="es-ES"/>
        </w:rPr>
      </w:pPr>
    </w:p>
    <w:tbl>
      <w:tblPr>
        <w:tblW w:w="5508" w:type="dxa"/>
        <w:tblCellMar>
          <w:left w:w="70" w:type="dxa"/>
          <w:right w:w="70" w:type="dxa"/>
        </w:tblCellMar>
        <w:tblLook w:val="04A0" w:firstRow="1" w:lastRow="0" w:firstColumn="1" w:lastColumn="0" w:noHBand="0" w:noVBand="1"/>
      </w:tblPr>
      <w:tblGrid>
        <w:gridCol w:w="3729"/>
        <w:gridCol w:w="1779"/>
      </w:tblGrid>
      <w:tr w:rsidR="00D85982" w:rsidRPr="00D85982" w14:paraId="2E9ED60C" w14:textId="77777777" w:rsidTr="00C94957">
        <w:trPr>
          <w:trHeight w:val="504"/>
        </w:trPr>
        <w:tc>
          <w:tcPr>
            <w:tcW w:w="372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8C2419F"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Fondos en Garantía a Corto Plazo</w:t>
            </w:r>
          </w:p>
        </w:tc>
        <w:tc>
          <w:tcPr>
            <w:tcW w:w="1779" w:type="dxa"/>
            <w:tcBorders>
              <w:top w:val="single" w:sz="4" w:space="0" w:color="auto"/>
              <w:left w:val="nil"/>
              <w:bottom w:val="single" w:sz="4" w:space="0" w:color="auto"/>
              <w:right w:val="single" w:sz="4" w:space="0" w:color="auto"/>
            </w:tcBorders>
            <w:shd w:val="clear" w:color="000000" w:fill="AB0033"/>
            <w:vAlign w:val="center"/>
            <w:hideMark/>
          </w:tcPr>
          <w:p w14:paraId="1F5C2FB4" w14:textId="77777777" w:rsidR="00D85982" w:rsidRPr="00D85982" w:rsidRDefault="00D85982" w:rsidP="00D85982">
            <w:pPr>
              <w:spacing w:after="0" w:line="240" w:lineRule="auto"/>
              <w:jc w:val="center"/>
              <w:rPr>
                <w:rFonts w:eastAsia="Times New Roman" w:cs="Calibri"/>
                <w:b/>
                <w:bCs/>
                <w:color w:val="FFFFFF"/>
                <w:sz w:val="16"/>
                <w:szCs w:val="16"/>
                <w:lang w:eastAsia="es-MX"/>
              </w:rPr>
            </w:pPr>
            <w:r w:rsidRPr="00D85982">
              <w:rPr>
                <w:rFonts w:eastAsia="Times New Roman" w:cs="Calibri"/>
                <w:b/>
                <w:bCs/>
                <w:color w:val="FFFFFF"/>
                <w:sz w:val="16"/>
                <w:szCs w:val="16"/>
                <w:lang w:eastAsia="es-MX"/>
              </w:rPr>
              <w:t xml:space="preserve">Importe </w:t>
            </w:r>
          </w:p>
        </w:tc>
      </w:tr>
      <w:tr w:rsidR="00D85982" w:rsidRPr="00D85982" w14:paraId="216326F5" w14:textId="77777777" w:rsidTr="00250D2A">
        <w:trPr>
          <w:trHeight w:val="34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E86530B" w14:textId="77777777" w:rsidR="00D85982" w:rsidRPr="00D85982" w:rsidRDefault="00D85982" w:rsidP="00D85982">
            <w:pPr>
              <w:spacing w:after="0" w:line="240" w:lineRule="auto"/>
              <w:jc w:val="both"/>
              <w:rPr>
                <w:rFonts w:eastAsia="Times New Roman" w:cs="Calibri"/>
                <w:color w:val="000000"/>
                <w:sz w:val="14"/>
                <w:szCs w:val="14"/>
                <w:lang w:eastAsia="es-MX"/>
              </w:rPr>
            </w:pPr>
            <w:r w:rsidRPr="00D85982">
              <w:rPr>
                <w:rFonts w:eastAsia="Times New Roman" w:cs="Calibri"/>
                <w:color w:val="000000"/>
                <w:sz w:val="14"/>
                <w:szCs w:val="14"/>
                <w:lang w:eastAsia="es-MX"/>
              </w:rPr>
              <w:t xml:space="preserve">Depósitos en garantía de impuestos   </w:t>
            </w:r>
          </w:p>
        </w:tc>
        <w:tc>
          <w:tcPr>
            <w:tcW w:w="1779" w:type="dxa"/>
            <w:tcBorders>
              <w:top w:val="nil"/>
              <w:left w:val="nil"/>
              <w:bottom w:val="single" w:sz="4" w:space="0" w:color="auto"/>
              <w:right w:val="single" w:sz="4" w:space="0" w:color="auto"/>
            </w:tcBorders>
            <w:shd w:val="clear" w:color="auto" w:fill="auto"/>
            <w:vAlign w:val="center"/>
            <w:hideMark/>
          </w:tcPr>
          <w:p w14:paraId="222C87D1" w14:textId="77777777" w:rsidR="00D85982" w:rsidRPr="00D85982" w:rsidRDefault="00D85982" w:rsidP="00D85982">
            <w:pPr>
              <w:spacing w:after="0" w:line="240" w:lineRule="auto"/>
              <w:jc w:val="right"/>
              <w:rPr>
                <w:rFonts w:eastAsia="Times New Roman" w:cs="Calibri"/>
                <w:color w:val="000000"/>
                <w:sz w:val="14"/>
                <w:szCs w:val="14"/>
                <w:lang w:eastAsia="es-MX"/>
              </w:rPr>
            </w:pPr>
            <w:r w:rsidRPr="00D85982">
              <w:rPr>
                <w:rFonts w:eastAsia="Times New Roman" w:cs="Calibri"/>
                <w:color w:val="000000"/>
                <w:sz w:val="14"/>
                <w:szCs w:val="14"/>
                <w:lang w:eastAsia="es-MX"/>
              </w:rPr>
              <w:t>14,218,367</w:t>
            </w:r>
          </w:p>
        </w:tc>
      </w:tr>
      <w:tr w:rsidR="00D85982" w:rsidRPr="00D85982" w14:paraId="1B8C52CC" w14:textId="77777777" w:rsidTr="00250D2A">
        <w:trPr>
          <w:trHeight w:val="34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3DA4A29" w14:textId="77777777" w:rsidR="00D85982" w:rsidRPr="00D85982" w:rsidRDefault="00D85982" w:rsidP="00D85982">
            <w:pPr>
              <w:spacing w:after="0" w:line="240" w:lineRule="auto"/>
              <w:jc w:val="both"/>
              <w:rPr>
                <w:rFonts w:eastAsia="Times New Roman" w:cs="Calibri"/>
                <w:color w:val="000000"/>
                <w:sz w:val="14"/>
                <w:szCs w:val="14"/>
                <w:lang w:eastAsia="es-MX"/>
              </w:rPr>
            </w:pPr>
            <w:r w:rsidRPr="00D85982">
              <w:rPr>
                <w:rFonts w:eastAsia="Times New Roman" w:cs="Calibri"/>
                <w:color w:val="000000"/>
                <w:sz w:val="14"/>
                <w:szCs w:val="14"/>
                <w:lang w:eastAsia="es-MX"/>
              </w:rPr>
              <w:t xml:space="preserve">Depósitos por órdenes judiciales    </w:t>
            </w:r>
          </w:p>
        </w:tc>
        <w:tc>
          <w:tcPr>
            <w:tcW w:w="1779" w:type="dxa"/>
            <w:tcBorders>
              <w:top w:val="nil"/>
              <w:left w:val="nil"/>
              <w:bottom w:val="single" w:sz="4" w:space="0" w:color="auto"/>
              <w:right w:val="single" w:sz="4" w:space="0" w:color="auto"/>
            </w:tcBorders>
            <w:shd w:val="clear" w:color="auto" w:fill="auto"/>
            <w:vAlign w:val="center"/>
            <w:hideMark/>
          </w:tcPr>
          <w:p w14:paraId="185BF9D6" w14:textId="77777777" w:rsidR="00D85982" w:rsidRPr="00D85982" w:rsidRDefault="00D85982" w:rsidP="00D85982">
            <w:pPr>
              <w:spacing w:after="0" w:line="240" w:lineRule="auto"/>
              <w:jc w:val="right"/>
              <w:rPr>
                <w:rFonts w:eastAsia="Times New Roman" w:cs="Calibri"/>
                <w:color w:val="000000"/>
                <w:sz w:val="14"/>
                <w:szCs w:val="14"/>
                <w:lang w:eastAsia="es-MX"/>
              </w:rPr>
            </w:pPr>
            <w:r w:rsidRPr="00D85982">
              <w:rPr>
                <w:rFonts w:eastAsia="Times New Roman" w:cs="Calibri"/>
                <w:color w:val="000000"/>
                <w:sz w:val="14"/>
                <w:szCs w:val="14"/>
                <w:lang w:eastAsia="es-MX"/>
              </w:rPr>
              <w:t>22,753,779</w:t>
            </w:r>
          </w:p>
        </w:tc>
      </w:tr>
      <w:tr w:rsidR="00D85982" w:rsidRPr="00D85982" w14:paraId="4354E147" w14:textId="77777777" w:rsidTr="00250D2A">
        <w:trPr>
          <w:trHeight w:val="340"/>
        </w:trPr>
        <w:tc>
          <w:tcPr>
            <w:tcW w:w="3729" w:type="dxa"/>
            <w:tcBorders>
              <w:top w:val="nil"/>
              <w:left w:val="single" w:sz="4" w:space="0" w:color="auto"/>
              <w:bottom w:val="single" w:sz="4" w:space="0" w:color="auto"/>
              <w:right w:val="single" w:sz="4" w:space="0" w:color="auto"/>
            </w:tcBorders>
            <w:shd w:val="clear" w:color="000000" w:fill="DDC9A3"/>
            <w:vAlign w:val="center"/>
            <w:hideMark/>
          </w:tcPr>
          <w:p w14:paraId="71511D98" w14:textId="77777777" w:rsidR="00D85982" w:rsidRPr="00D85982" w:rsidRDefault="00D85982" w:rsidP="00D85982">
            <w:pPr>
              <w:spacing w:after="0" w:line="240" w:lineRule="auto"/>
              <w:jc w:val="center"/>
              <w:rPr>
                <w:rFonts w:eastAsia="Times New Roman" w:cs="Calibri"/>
                <w:b/>
                <w:bCs/>
                <w:color w:val="000000"/>
                <w:sz w:val="14"/>
                <w:szCs w:val="14"/>
                <w:lang w:eastAsia="es-MX"/>
              </w:rPr>
            </w:pPr>
            <w:r w:rsidRPr="00D85982">
              <w:rPr>
                <w:rFonts w:eastAsia="Times New Roman" w:cs="Calibri"/>
                <w:b/>
                <w:bCs/>
                <w:color w:val="000000"/>
                <w:sz w:val="14"/>
                <w:szCs w:val="14"/>
                <w:lang w:eastAsia="es-MX"/>
              </w:rPr>
              <w:t>Total</w:t>
            </w:r>
          </w:p>
        </w:tc>
        <w:tc>
          <w:tcPr>
            <w:tcW w:w="1779" w:type="dxa"/>
            <w:tcBorders>
              <w:top w:val="nil"/>
              <w:left w:val="nil"/>
              <w:bottom w:val="single" w:sz="4" w:space="0" w:color="auto"/>
              <w:right w:val="single" w:sz="4" w:space="0" w:color="auto"/>
            </w:tcBorders>
            <w:shd w:val="clear" w:color="000000" w:fill="DDC9A3"/>
            <w:vAlign w:val="center"/>
            <w:hideMark/>
          </w:tcPr>
          <w:p w14:paraId="4FE946FB" w14:textId="77777777" w:rsidR="00D85982" w:rsidRPr="00D85982" w:rsidRDefault="00D85982" w:rsidP="00D85982">
            <w:pPr>
              <w:spacing w:after="0" w:line="240" w:lineRule="auto"/>
              <w:jc w:val="right"/>
              <w:rPr>
                <w:rFonts w:eastAsia="Times New Roman" w:cs="Calibri"/>
                <w:b/>
                <w:bCs/>
                <w:color w:val="000000"/>
                <w:sz w:val="14"/>
                <w:szCs w:val="14"/>
                <w:lang w:eastAsia="es-MX"/>
              </w:rPr>
            </w:pPr>
            <w:r w:rsidRPr="00D85982">
              <w:rPr>
                <w:rFonts w:eastAsia="Times New Roman" w:cs="Calibri"/>
                <w:b/>
                <w:bCs/>
                <w:color w:val="000000"/>
                <w:sz w:val="14"/>
                <w:szCs w:val="14"/>
                <w:lang w:eastAsia="es-MX"/>
              </w:rPr>
              <w:t>36,972,146</w:t>
            </w:r>
          </w:p>
        </w:tc>
      </w:tr>
    </w:tbl>
    <w:p w14:paraId="326A8858" w14:textId="77777777" w:rsidR="00B4706F" w:rsidRPr="005F45A3" w:rsidRDefault="00AE659F" w:rsidP="00C93593">
      <w:pPr>
        <w:spacing w:after="0" w:line="240" w:lineRule="auto"/>
        <w:ind w:left="360"/>
        <w:rPr>
          <w:rFonts w:asciiTheme="minorHAnsi" w:hAnsiTheme="minorHAnsi" w:cstheme="minorHAnsi"/>
          <w:sz w:val="18"/>
          <w:lang w:val="es-ES" w:eastAsia="es-ES"/>
        </w:rPr>
      </w:pPr>
      <w:r w:rsidRPr="005F45A3">
        <w:rPr>
          <w:rFonts w:asciiTheme="minorHAnsi" w:hAnsiTheme="minorHAnsi" w:cstheme="minorHAnsi"/>
          <w:sz w:val="18"/>
          <w:lang w:val="es-ES" w:eastAsia="es-ES"/>
        </w:rPr>
        <w:t xml:space="preserve"> </w:t>
      </w:r>
      <w:r w:rsidR="00C93593" w:rsidRPr="005F45A3">
        <w:rPr>
          <w:rFonts w:asciiTheme="minorHAnsi" w:hAnsiTheme="minorHAnsi" w:cstheme="minorHAnsi"/>
          <w:sz w:val="18"/>
          <w:lang w:val="es-ES" w:eastAsia="es-ES"/>
        </w:rPr>
        <w:t xml:space="preserve">                 </w:t>
      </w:r>
    </w:p>
    <w:p w14:paraId="02354435" w14:textId="77777777" w:rsidR="00B4706F" w:rsidRPr="005F45A3" w:rsidRDefault="0060090F" w:rsidP="000C5510">
      <w:pPr>
        <w:spacing w:after="0" w:line="240" w:lineRule="auto"/>
        <w:ind w:left="-284" w:firstLine="284"/>
        <w:rPr>
          <w:rFonts w:asciiTheme="minorHAnsi" w:hAnsiTheme="minorHAnsi" w:cstheme="minorHAnsi"/>
          <w:sz w:val="18"/>
          <w:lang w:val="es-ES" w:eastAsia="es-ES"/>
        </w:rPr>
      </w:pPr>
      <w:r w:rsidRPr="005F45A3">
        <w:rPr>
          <w:rFonts w:asciiTheme="minorHAnsi" w:hAnsiTheme="minorHAnsi" w:cstheme="minorHAnsi"/>
          <w:sz w:val="18"/>
          <w:lang w:val="es-ES" w:eastAsia="es-ES"/>
        </w:rPr>
        <w:t xml:space="preserve">Los </w:t>
      </w:r>
      <w:r w:rsidR="003E6C19" w:rsidRPr="005F45A3">
        <w:rPr>
          <w:rFonts w:asciiTheme="minorHAnsi" w:hAnsiTheme="minorHAnsi" w:cstheme="minorHAnsi"/>
          <w:sz w:val="18"/>
          <w:lang w:val="es-ES" w:eastAsia="es-ES"/>
        </w:rPr>
        <w:t>Depósitos</w:t>
      </w:r>
      <w:r w:rsidRPr="005F45A3">
        <w:rPr>
          <w:rFonts w:asciiTheme="minorHAnsi" w:hAnsiTheme="minorHAnsi" w:cstheme="minorHAnsi"/>
          <w:sz w:val="18"/>
          <w:lang w:val="es-ES" w:eastAsia="es-ES"/>
        </w:rPr>
        <w:t xml:space="preserve"> en garantía de impuestos por órdenes judiciales </w:t>
      </w:r>
      <w:r w:rsidR="003E6C19" w:rsidRPr="005F45A3">
        <w:rPr>
          <w:rFonts w:asciiTheme="minorHAnsi" w:hAnsiTheme="minorHAnsi" w:cstheme="minorHAnsi"/>
          <w:sz w:val="18"/>
          <w:lang w:val="es-ES" w:eastAsia="es-ES"/>
        </w:rPr>
        <w:t>se pagan cuando lo solicita el Juez de la instancia que corresponda</w:t>
      </w:r>
      <w:r w:rsidR="00152B47" w:rsidRPr="005F45A3">
        <w:rPr>
          <w:rFonts w:asciiTheme="minorHAnsi" w:hAnsiTheme="minorHAnsi" w:cstheme="minorHAnsi"/>
          <w:sz w:val="18"/>
          <w:lang w:val="es-ES" w:eastAsia="es-ES"/>
        </w:rPr>
        <w:t>.</w:t>
      </w:r>
      <w:r w:rsidRPr="005F45A3">
        <w:rPr>
          <w:rFonts w:asciiTheme="minorHAnsi" w:hAnsiTheme="minorHAnsi" w:cstheme="minorHAnsi"/>
          <w:sz w:val="18"/>
          <w:lang w:val="es-ES" w:eastAsia="es-ES"/>
        </w:rPr>
        <w:t xml:space="preserve"> </w:t>
      </w:r>
    </w:p>
    <w:p w14:paraId="508652BC" w14:textId="3D296E96" w:rsidR="00ED0042" w:rsidRPr="005F45A3" w:rsidRDefault="00ED0042" w:rsidP="003D7ABC">
      <w:pPr>
        <w:spacing w:after="0" w:line="240" w:lineRule="auto"/>
        <w:ind w:left="-284" w:hanging="283"/>
        <w:rPr>
          <w:rFonts w:asciiTheme="minorHAnsi" w:hAnsiTheme="minorHAnsi" w:cstheme="minorHAnsi"/>
          <w:sz w:val="14"/>
          <w:lang w:val="es-ES" w:eastAsia="es-ES"/>
        </w:rPr>
      </w:pPr>
    </w:p>
    <w:p w14:paraId="79843400" w14:textId="77777777" w:rsidR="00B1018B" w:rsidRPr="005F45A3" w:rsidRDefault="00B1018B" w:rsidP="003D7ABC">
      <w:pPr>
        <w:spacing w:after="0" w:line="240" w:lineRule="auto"/>
        <w:ind w:left="-284" w:hanging="283"/>
        <w:rPr>
          <w:rFonts w:asciiTheme="minorHAnsi" w:hAnsiTheme="minorHAnsi" w:cstheme="minorHAnsi"/>
          <w:sz w:val="14"/>
          <w:lang w:val="es-ES" w:eastAsia="es-ES"/>
        </w:rPr>
      </w:pPr>
    </w:p>
    <w:p w14:paraId="4C20D9F4" w14:textId="77777777" w:rsidR="003E6C19" w:rsidRDefault="003E6C19" w:rsidP="000C5510">
      <w:pPr>
        <w:pStyle w:val="Prrafodelista"/>
        <w:numPr>
          <w:ilvl w:val="0"/>
          <w:numId w:val="24"/>
        </w:numPr>
        <w:spacing w:after="0" w:line="240" w:lineRule="auto"/>
        <w:ind w:left="-284" w:firstLine="0"/>
        <w:rPr>
          <w:rFonts w:asciiTheme="minorHAnsi" w:hAnsiTheme="minorHAnsi" w:cstheme="minorHAnsi"/>
          <w:b/>
          <w:sz w:val="20"/>
          <w:lang w:val="es-ES" w:eastAsia="es-ES"/>
        </w:rPr>
      </w:pPr>
      <w:r w:rsidRPr="005F45A3">
        <w:rPr>
          <w:rFonts w:asciiTheme="minorHAnsi" w:hAnsiTheme="minorHAnsi" w:cstheme="minorHAnsi"/>
          <w:b/>
          <w:sz w:val="20"/>
          <w:lang w:val="es-ES" w:eastAsia="es-ES"/>
        </w:rPr>
        <w:t>Otras Cuentas del Pasivo</w:t>
      </w:r>
    </w:p>
    <w:p w14:paraId="2E3EFE84" w14:textId="54FEBA32" w:rsidR="00B261AA" w:rsidRPr="005F45A3" w:rsidRDefault="00B261AA" w:rsidP="00B261AA">
      <w:pPr>
        <w:spacing w:after="0" w:line="240" w:lineRule="auto"/>
        <w:rPr>
          <w:rFonts w:asciiTheme="minorHAnsi" w:hAnsiTheme="minorHAnsi" w:cstheme="minorHAnsi"/>
          <w:b/>
          <w:sz w:val="20"/>
          <w:lang w:val="es-ES" w:eastAsia="es-ES"/>
        </w:rPr>
      </w:pPr>
    </w:p>
    <w:tbl>
      <w:tblPr>
        <w:tblW w:w="5749" w:type="dxa"/>
        <w:tblCellMar>
          <w:left w:w="70" w:type="dxa"/>
          <w:right w:w="70" w:type="dxa"/>
        </w:tblCellMar>
        <w:tblLook w:val="04A0" w:firstRow="1" w:lastRow="0" w:firstColumn="1" w:lastColumn="0" w:noHBand="0" w:noVBand="1"/>
      </w:tblPr>
      <w:tblGrid>
        <w:gridCol w:w="4000"/>
        <w:gridCol w:w="1749"/>
      </w:tblGrid>
      <w:tr w:rsidR="00D85982" w:rsidRPr="00E43684" w14:paraId="514EAC98" w14:textId="77777777" w:rsidTr="00C94957">
        <w:trPr>
          <w:trHeight w:val="367"/>
        </w:trPr>
        <w:tc>
          <w:tcPr>
            <w:tcW w:w="40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B095072" w14:textId="77777777" w:rsidR="00D85982" w:rsidRPr="00E43684" w:rsidRDefault="00D85982" w:rsidP="00D85982">
            <w:pPr>
              <w:spacing w:after="0" w:line="240" w:lineRule="auto"/>
              <w:jc w:val="center"/>
              <w:rPr>
                <w:rFonts w:asciiTheme="minorHAnsi" w:eastAsia="Times New Roman" w:hAnsiTheme="minorHAnsi" w:cstheme="minorHAnsi"/>
                <w:b/>
                <w:bCs/>
                <w:color w:val="FFFFFF"/>
                <w:sz w:val="14"/>
                <w:szCs w:val="14"/>
                <w:lang w:eastAsia="es-MX"/>
              </w:rPr>
            </w:pPr>
            <w:r w:rsidRPr="00E43684">
              <w:rPr>
                <w:rFonts w:asciiTheme="minorHAnsi" w:eastAsia="Times New Roman" w:hAnsiTheme="minorHAnsi" w:cstheme="minorHAnsi"/>
                <w:b/>
                <w:bCs/>
                <w:color w:val="FFFFFF"/>
                <w:sz w:val="14"/>
                <w:szCs w:val="14"/>
                <w:lang w:eastAsia="es-MX"/>
              </w:rPr>
              <w:t>Otros Pasivos a Corto Plazo</w:t>
            </w:r>
          </w:p>
        </w:tc>
        <w:tc>
          <w:tcPr>
            <w:tcW w:w="1749" w:type="dxa"/>
            <w:tcBorders>
              <w:top w:val="single" w:sz="4" w:space="0" w:color="auto"/>
              <w:left w:val="nil"/>
              <w:bottom w:val="single" w:sz="4" w:space="0" w:color="auto"/>
              <w:right w:val="single" w:sz="4" w:space="0" w:color="auto"/>
            </w:tcBorders>
            <w:shd w:val="clear" w:color="000000" w:fill="AB0033"/>
            <w:vAlign w:val="center"/>
            <w:hideMark/>
          </w:tcPr>
          <w:p w14:paraId="6F60028C" w14:textId="77777777" w:rsidR="00D85982" w:rsidRPr="00E43684" w:rsidRDefault="00D85982" w:rsidP="00D85982">
            <w:pPr>
              <w:spacing w:after="0" w:line="240" w:lineRule="auto"/>
              <w:jc w:val="center"/>
              <w:rPr>
                <w:rFonts w:asciiTheme="minorHAnsi" w:eastAsia="Times New Roman" w:hAnsiTheme="minorHAnsi" w:cstheme="minorHAnsi"/>
                <w:b/>
                <w:bCs/>
                <w:color w:val="FFFFFF"/>
                <w:sz w:val="14"/>
                <w:szCs w:val="14"/>
                <w:lang w:eastAsia="es-MX"/>
              </w:rPr>
            </w:pPr>
            <w:r w:rsidRPr="00E43684">
              <w:rPr>
                <w:rFonts w:asciiTheme="minorHAnsi" w:eastAsia="Times New Roman" w:hAnsiTheme="minorHAnsi" w:cstheme="minorHAnsi"/>
                <w:b/>
                <w:bCs/>
                <w:color w:val="FFFFFF"/>
                <w:sz w:val="14"/>
                <w:szCs w:val="14"/>
                <w:lang w:eastAsia="es-MX"/>
              </w:rPr>
              <w:t xml:space="preserve">Importe </w:t>
            </w:r>
          </w:p>
        </w:tc>
      </w:tr>
      <w:tr w:rsidR="00D85982" w:rsidRPr="00E43684" w14:paraId="4E38B1C8" w14:textId="77777777" w:rsidTr="00C94957">
        <w:trPr>
          <w:trHeight w:val="342"/>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240273F" w14:textId="77777777" w:rsidR="00D85982" w:rsidRPr="00E43684" w:rsidRDefault="00D85982" w:rsidP="00D85982">
            <w:pPr>
              <w:spacing w:after="0" w:line="240" w:lineRule="auto"/>
              <w:jc w:val="both"/>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Ingresos por Clasificar</w:t>
            </w:r>
          </w:p>
        </w:tc>
        <w:tc>
          <w:tcPr>
            <w:tcW w:w="1749" w:type="dxa"/>
            <w:tcBorders>
              <w:top w:val="nil"/>
              <w:left w:val="nil"/>
              <w:bottom w:val="single" w:sz="4" w:space="0" w:color="auto"/>
              <w:right w:val="single" w:sz="4" w:space="0" w:color="auto"/>
            </w:tcBorders>
            <w:shd w:val="clear" w:color="auto" w:fill="auto"/>
            <w:vAlign w:val="center"/>
            <w:hideMark/>
          </w:tcPr>
          <w:p w14:paraId="022E8889" w14:textId="77777777" w:rsidR="00D85982" w:rsidRPr="00E43684" w:rsidRDefault="00D85982" w:rsidP="00D85982">
            <w:pPr>
              <w:spacing w:after="0" w:line="240" w:lineRule="auto"/>
              <w:jc w:val="right"/>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1,623,603,606</w:t>
            </w:r>
          </w:p>
        </w:tc>
      </w:tr>
      <w:tr w:rsidR="00D85982" w:rsidRPr="00E43684" w14:paraId="2105E39E" w14:textId="77777777" w:rsidTr="00C94957">
        <w:trPr>
          <w:trHeight w:val="342"/>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0092078" w14:textId="77777777" w:rsidR="00D85982" w:rsidRPr="00E43684" w:rsidRDefault="00D85982" w:rsidP="00D85982">
            <w:pPr>
              <w:spacing w:after="0" w:line="240" w:lineRule="auto"/>
              <w:jc w:val="both"/>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 xml:space="preserve">Recaudación por Participar    </w:t>
            </w:r>
          </w:p>
        </w:tc>
        <w:tc>
          <w:tcPr>
            <w:tcW w:w="1749" w:type="dxa"/>
            <w:tcBorders>
              <w:top w:val="nil"/>
              <w:left w:val="nil"/>
              <w:bottom w:val="single" w:sz="4" w:space="0" w:color="auto"/>
              <w:right w:val="single" w:sz="4" w:space="0" w:color="auto"/>
            </w:tcBorders>
            <w:shd w:val="clear" w:color="auto" w:fill="auto"/>
            <w:vAlign w:val="center"/>
            <w:hideMark/>
          </w:tcPr>
          <w:p w14:paraId="292F9222" w14:textId="77777777" w:rsidR="00D85982" w:rsidRPr="00E43684" w:rsidRDefault="00D85982" w:rsidP="00D85982">
            <w:pPr>
              <w:spacing w:after="0" w:line="240" w:lineRule="auto"/>
              <w:jc w:val="right"/>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1,860,065</w:t>
            </w:r>
          </w:p>
        </w:tc>
      </w:tr>
      <w:tr w:rsidR="00D85982" w:rsidRPr="00E43684" w14:paraId="16EDAE21" w14:textId="77777777" w:rsidTr="00C94957">
        <w:trPr>
          <w:trHeight w:val="342"/>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9F9DFE3" w14:textId="77777777" w:rsidR="00D85982" w:rsidRPr="00E43684" w:rsidRDefault="00D85982" w:rsidP="00D85982">
            <w:pPr>
              <w:spacing w:after="0" w:line="240" w:lineRule="auto"/>
              <w:jc w:val="both"/>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lastRenderedPageBreak/>
              <w:t>Otros Pasivos Circulantes</w:t>
            </w:r>
          </w:p>
        </w:tc>
        <w:tc>
          <w:tcPr>
            <w:tcW w:w="1749" w:type="dxa"/>
            <w:tcBorders>
              <w:top w:val="nil"/>
              <w:left w:val="nil"/>
              <w:bottom w:val="single" w:sz="4" w:space="0" w:color="auto"/>
              <w:right w:val="single" w:sz="4" w:space="0" w:color="auto"/>
            </w:tcBorders>
            <w:shd w:val="clear" w:color="auto" w:fill="auto"/>
            <w:vAlign w:val="center"/>
            <w:hideMark/>
          </w:tcPr>
          <w:p w14:paraId="020F1037" w14:textId="77777777" w:rsidR="00D85982" w:rsidRPr="00E43684" w:rsidRDefault="00D85982" w:rsidP="00D85982">
            <w:pPr>
              <w:spacing w:after="0" w:line="240" w:lineRule="auto"/>
              <w:jc w:val="right"/>
              <w:rPr>
                <w:rFonts w:asciiTheme="minorHAnsi" w:eastAsia="Times New Roman" w:hAnsiTheme="minorHAnsi" w:cstheme="minorHAnsi"/>
                <w:color w:val="000000"/>
                <w:sz w:val="14"/>
                <w:szCs w:val="14"/>
                <w:lang w:eastAsia="es-MX"/>
              </w:rPr>
            </w:pPr>
            <w:r w:rsidRPr="00E43684">
              <w:rPr>
                <w:rFonts w:asciiTheme="minorHAnsi" w:eastAsia="Times New Roman" w:hAnsiTheme="minorHAnsi" w:cstheme="minorHAnsi"/>
                <w:color w:val="000000"/>
                <w:sz w:val="14"/>
                <w:szCs w:val="14"/>
                <w:lang w:eastAsia="es-MX"/>
              </w:rPr>
              <w:t>9,169,279</w:t>
            </w:r>
          </w:p>
        </w:tc>
      </w:tr>
      <w:tr w:rsidR="00D85982" w:rsidRPr="00E43684" w14:paraId="27EE0EDF" w14:textId="77777777" w:rsidTr="00C94957">
        <w:trPr>
          <w:trHeight w:val="293"/>
        </w:trPr>
        <w:tc>
          <w:tcPr>
            <w:tcW w:w="4000" w:type="dxa"/>
            <w:tcBorders>
              <w:top w:val="nil"/>
              <w:left w:val="single" w:sz="4" w:space="0" w:color="auto"/>
              <w:bottom w:val="single" w:sz="4" w:space="0" w:color="auto"/>
              <w:right w:val="single" w:sz="4" w:space="0" w:color="auto"/>
            </w:tcBorders>
            <w:shd w:val="clear" w:color="000000" w:fill="DDC9A3"/>
            <w:vAlign w:val="center"/>
            <w:hideMark/>
          </w:tcPr>
          <w:p w14:paraId="373DD88C" w14:textId="77777777" w:rsidR="00D85982" w:rsidRPr="00E43684" w:rsidRDefault="00D85982" w:rsidP="00D85982">
            <w:pPr>
              <w:spacing w:after="0" w:line="240" w:lineRule="auto"/>
              <w:jc w:val="center"/>
              <w:rPr>
                <w:rFonts w:asciiTheme="minorHAnsi" w:eastAsia="Times New Roman" w:hAnsiTheme="minorHAnsi" w:cstheme="minorHAnsi"/>
                <w:b/>
                <w:bCs/>
                <w:color w:val="000000"/>
                <w:sz w:val="14"/>
                <w:szCs w:val="14"/>
                <w:lang w:eastAsia="es-MX"/>
              </w:rPr>
            </w:pPr>
            <w:r w:rsidRPr="00E43684">
              <w:rPr>
                <w:rFonts w:asciiTheme="minorHAnsi" w:eastAsia="Times New Roman" w:hAnsiTheme="minorHAnsi" w:cstheme="minorHAnsi"/>
                <w:b/>
                <w:bCs/>
                <w:color w:val="000000"/>
                <w:sz w:val="14"/>
                <w:szCs w:val="14"/>
                <w:lang w:eastAsia="es-MX"/>
              </w:rPr>
              <w:t>TOTAL</w:t>
            </w:r>
          </w:p>
        </w:tc>
        <w:tc>
          <w:tcPr>
            <w:tcW w:w="1749" w:type="dxa"/>
            <w:tcBorders>
              <w:top w:val="nil"/>
              <w:left w:val="nil"/>
              <w:bottom w:val="single" w:sz="4" w:space="0" w:color="auto"/>
              <w:right w:val="single" w:sz="4" w:space="0" w:color="auto"/>
            </w:tcBorders>
            <w:shd w:val="clear" w:color="000000" w:fill="DDC9A3"/>
            <w:vAlign w:val="center"/>
            <w:hideMark/>
          </w:tcPr>
          <w:p w14:paraId="5AA931F3" w14:textId="77777777" w:rsidR="00D85982" w:rsidRPr="00E43684" w:rsidRDefault="00D85982" w:rsidP="00D85982">
            <w:pPr>
              <w:spacing w:after="0" w:line="240" w:lineRule="auto"/>
              <w:jc w:val="right"/>
              <w:rPr>
                <w:rFonts w:asciiTheme="minorHAnsi" w:eastAsia="Times New Roman" w:hAnsiTheme="minorHAnsi" w:cstheme="minorHAnsi"/>
                <w:b/>
                <w:bCs/>
                <w:color w:val="000000"/>
                <w:sz w:val="14"/>
                <w:szCs w:val="14"/>
                <w:lang w:eastAsia="es-MX"/>
              </w:rPr>
            </w:pPr>
            <w:r w:rsidRPr="00E43684">
              <w:rPr>
                <w:rFonts w:asciiTheme="minorHAnsi" w:eastAsia="Times New Roman" w:hAnsiTheme="minorHAnsi" w:cstheme="minorHAnsi"/>
                <w:b/>
                <w:bCs/>
                <w:color w:val="000000"/>
                <w:sz w:val="14"/>
                <w:szCs w:val="14"/>
                <w:lang w:eastAsia="es-MX"/>
              </w:rPr>
              <w:t>1,634,632,950</w:t>
            </w:r>
          </w:p>
        </w:tc>
      </w:tr>
    </w:tbl>
    <w:p w14:paraId="739E7393" w14:textId="77777777" w:rsidR="003F1AD8" w:rsidRPr="005F45A3" w:rsidRDefault="003F1AD8" w:rsidP="005F1A09">
      <w:pPr>
        <w:autoSpaceDE w:val="0"/>
        <w:autoSpaceDN w:val="0"/>
        <w:adjustRightInd w:val="0"/>
        <w:spacing w:after="0"/>
        <w:jc w:val="both"/>
        <w:rPr>
          <w:rFonts w:asciiTheme="minorHAnsi" w:hAnsiTheme="minorHAnsi" w:cstheme="minorHAnsi"/>
          <w:sz w:val="18"/>
          <w:lang w:val="es-ES" w:eastAsia="es-ES"/>
        </w:rPr>
      </w:pPr>
    </w:p>
    <w:p w14:paraId="2C5CB82A" w14:textId="20A04263" w:rsidR="00F7603D" w:rsidRPr="005F45A3" w:rsidRDefault="002E62CA" w:rsidP="000C7859">
      <w:pPr>
        <w:autoSpaceDE w:val="0"/>
        <w:autoSpaceDN w:val="0"/>
        <w:adjustRightInd w:val="0"/>
        <w:spacing w:after="0"/>
        <w:ind w:left="-142"/>
        <w:jc w:val="both"/>
        <w:rPr>
          <w:rFonts w:asciiTheme="minorHAnsi" w:hAnsiTheme="minorHAnsi" w:cstheme="minorHAnsi"/>
          <w:sz w:val="18"/>
          <w:lang w:val="es-ES" w:eastAsia="es-ES"/>
        </w:rPr>
      </w:pPr>
      <w:r>
        <w:rPr>
          <w:rFonts w:asciiTheme="minorHAnsi" w:hAnsiTheme="minorHAnsi" w:cstheme="minorHAnsi"/>
          <w:sz w:val="18"/>
          <w:lang w:val="es-ES" w:eastAsia="es-ES"/>
        </w:rPr>
        <w:t xml:space="preserve">En la cuenta de Ingresos por </w:t>
      </w:r>
      <w:r w:rsidR="00F7603D" w:rsidRPr="005F45A3">
        <w:rPr>
          <w:rFonts w:asciiTheme="minorHAnsi" w:hAnsiTheme="minorHAnsi" w:cstheme="minorHAnsi"/>
          <w:sz w:val="18"/>
          <w:lang w:val="es-ES" w:eastAsia="es-ES"/>
        </w:rPr>
        <w:t>clasificar se integra el anticipo de recursos establecido en el Convenio de</w:t>
      </w:r>
      <w:r w:rsidR="005F1A09" w:rsidRPr="005F45A3">
        <w:rPr>
          <w:rFonts w:asciiTheme="minorHAnsi" w:hAnsiTheme="minorHAnsi" w:cstheme="minorHAnsi"/>
          <w:sz w:val="18"/>
          <w:lang w:val="es-ES" w:eastAsia="es-ES"/>
        </w:rPr>
        <w:t xml:space="preserve"> Colaboración Administrativa en Materia Fiscal Federal en la Cláusula Vigésima Cuarta, perteneciente a la Sección IV referente a la Rendición de Cuenta Mensual Comprobada de Ingresos Coordinados y del Sistema de Compensación de Fondos, la cual establece que la S.H.C.P. a través de la Tesorería de la Federación, cubrirá mensualmente a la Entidad los anticipos a cuenta de Participaciones en el Fondo General de Participaciones., cabe hacer mención que dicho anticipo no constituye para el Gobierno del Estado un Pasivo real a cubrirse. </w:t>
      </w:r>
    </w:p>
    <w:p w14:paraId="759265E9" w14:textId="321E3D36" w:rsidR="004B0FD4" w:rsidRPr="005F45A3" w:rsidRDefault="004B0FD4" w:rsidP="003D7ABC">
      <w:pPr>
        <w:autoSpaceDE w:val="0"/>
        <w:autoSpaceDN w:val="0"/>
        <w:adjustRightInd w:val="0"/>
        <w:spacing w:after="0"/>
        <w:jc w:val="both"/>
        <w:rPr>
          <w:rFonts w:asciiTheme="minorHAnsi" w:hAnsiTheme="minorHAnsi" w:cstheme="minorHAnsi"/>
          <w:sz w:val="18"/>
          <w:lang w:val="es-ES" w:eastAsia="es-ES"/>
        </w:rPr>
      </w:pPr>
    </w:p>
    <w:p w14:paraId="565DFE5D" w14:textId="77777777" w:rsidR="004B0FD4" w:rsidRPr="005F45A3" w:rsidRDefault="004B0FD4" w:rsidP="000C5510">
      <w:pPr>
        <w:pStyle w:val="Prrafodelista"/>
        <w:numPr>
          <w:ilvl w:val="0"/>
          <w:numId w:val="24"/>
        </w:numPr>
        <w:spacing w:after="0" w:line="240" w:lineRule="auto"/>
        <w:ind w:left="0" w:hanging="284"/>
        <w:rPr>
          <w:rFonts w:asciiTheme="minorHAnsi" w:hAnsiTheme="minorHAnsi" w:cstheme="minorHAnsi"/>
          <w:b/>
          <w:sz w:val="20"/>
          <w:lang w:val="es-ES" w:eastAsia="es-ES"/>
        </w:rPr>
      </w:pPr>
      <w:r w:rsidRPr="005F45A3">
        <w:rPr>
          <w:rFonts w:asciiTheme="minorHAnsi" w:hAnsiTheme="minorHAnsi" w:cstheme="minorHAnsi"/>
          <w:b/>
          <w:sz w:val="20"/>
          <w:lang w:val="es-ES" w:eastAsia="es-ES"/>
        </w:rPr>
        <w:t>Otras Cuentas del Pasivo</w:t>
      </w:r>
    </w:p>
    <w:p w14:paraId="6EF423ED" w14:textId="77777777" w:rsidR="004B0FD4" w:rsidRPr="005F45A3" w:rsidRDefault="004B0FD4" w:rsidP="004B0FD4">
      <w:pPr>
        <w:spacing w:after="0" w:line="240" w:lineRule="auto"/>
        <w:rPr>
          <w:rFonts w:asciiTheme="minorHAnsi" w:hAnsiTheme="minorHAnsi" w:cstheme="minorHAnsi"/>
          <w:b/>
          <w:sz w:val="20"/>
          <w:lang w:val="es-ES" w:eastAsia="es-ES"/>
        </w:rPr>
      </w:pPr>
    </w:p>
    <w:tbl>
      <w:tblPr>
        <w:tblW w:w="6412" w:type="dxa"/>
        <w:tblInd w:w="-5" w:type="dxa"/>
        <w:tblCellMar>
          <w:left w:w="70" w:type="dxa"/>
          <w:right w:w="70" w:type="dxa"/>
        </w:tblCellMar>
        <w:tblLook w:val="04A0" w:firstRow="1" w:lastRow="0" w:firstColumn="1" w:lastColumn="0" w:noHBand="0" w:noVBand="1"/>
      </w:tblPr>
      <w:tblGrid>
        <w:gridCol w:w="4395"/>
        <w:gridCol w:w="2017"/>
      </w:tblGrid>
      <w:tr w:rsidR="000C5510" w:rsidRPr="000C5510" w14:paraId="1D09CEF7" w14:textId="77777777" w:rsidTr="00250D2A">
        <w:trPr>
          <w:trHeight w:val="343"/>
        </w:trPr>
        <w:tc>
          <w:tcPr>
            <w:tcW w:w="4395"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FF00E44" w14:textId="77777777" w:rsidR="00181642" w:rsidRPr="000C5510" w:rsidRDefault="00181642" w:rsidP="0018164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 xml:space="preserve">Otros </w:t>
            </w:r>
            <w:proofErr w:type="spellStart"/>
            <w:r w:rsidRPr="000C5510">
              <w:rPr>
                <w:rFonts w:eastAsia="Times New Roman" w:cs="Calibri"/>
                <w:b/>
                <w:bCs/>
                <w:color w:val="FFFFFF" w:themeColor="background1"/>
                <w:sz w:val="16"/>
                <w:szCs w:val="16"/>
                <w:lang w:eastAsia="es-MX"/>
              </w:rPr>
              <w:t>Documenetos</w:t>
            </w:r>
            <w:proofErr w:type="spellEnd"/>
            <w:r w:rsidRPr="000C5510">
              <w:rPr>
                <w:rFonts w:eastAsia="Times New Roman" w:cs="Calibri"/>
                <w:b/>
                <w:bCs/>
                <w:color w:val="FFFFFF" w:themeColor="background1"/>
                <w:sz w:val="16"/>
                <w:szCs w:val="16"/>
                <w:lang w:eastAsia="es-MX"/>
              </w:rPr>
              <w:t xml:space="preserve"> por Pagar a Largo Plazo.</w:t>
            </w:r>
          </w:p>
        </w:tc>
        <w:tc>
          <w:tcPr>
            <w:tcW w:w="2017" w:type="dxa"/>
            <w:tcBorders>
              <w:top w:val="single" w:sz="4" w:space="0" w:color="auto"/>
              <w:left w:val="nil"/>
              <w:bottom w:val="single" w:sz="4" w:space="0" w:color="auto"/>
              <w:right w:val="single" w:sz="4" w:space="0" w:color="auto"/>
            </w:tcBorders>
            <w:shd w:val="clear" w:color="000000" w:fill="AB0033"/>
            <w:vAlign w:val="center"/>
            <w:hideMark/>
          </w:tcPr>
          <w:p w14:paraId="57601B72" w14:textId="77777777" w:rsidR="00181642" w:rsidRPr="000C5510" w:rsidRDefault="00181642" w:rsidP="00181642">
            <w:pPr>
              <w:spacing w:after="0" w:line="240" w:lineRule="auto"/>
              <w:jc w:val="center"/>
              <w:rPr>
                <w:rFonts w:eastAsia="Times New Roman" w:cs="Calibri"/>
                <w:b/>
                <w:bCs/>
                <w:color w:val="FFFFFF" w:themeColor="background1"/>
                <w:sz w:val="16"/>
                <w:szCs w:val="16"/>
                <w:lang w:eastAsia="es-MX"/>
              </w:rPr>
            </w:pPr>
            <w:r w:rsidRPr="000C5510">
              <w:rPr>
                <w:rFonts w:eastAsia="Times New Roman" w:cs="Calibri"/>
                <w:b/>
                <w:bCs/>
                <w:color w:val="FFFFFF" w:themeColor="background1"/>
                <w:sz w:val="16"/>
                <w:szCs w:val="16"/>
                <w:lang w:eastAsia="es-MX"/>
              </w:rPr>
              <w:t xml:space="preserve">Importe </w:t>
            </w:r>
          </w:p>
        </w:tc>
      </w:tr>
      <w:tr w:rsidR="00181642" w:rsidRPr="00181642" w14:paraId="3F0D9816" w14:textId="77777777" w:rsidTr="00250D2A">
        <w:trPr>
          <w:trHeight w:val="567"/>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C559873" w14:textId="77777777" w:rsidR="00181642" w:rsidRPr="00C94957" w:rsidRDefault="00181642" w:rsidP="00181642">
            <w:pPr>
              <w:spacing w:after="0" w:line="240" w:lineRule="auto"/>
              <w:jc w:val="both"/>
              <w:rPr>
                <w:rFonts w:eastAsia="Times New Roman" w:cs="Calibri"/>
                <w:color w:val="000000"/>
                <w:sz w:val="16"/>
                <w:szCs w:val="16"/>
                <w:lang w:eastAsia="es-MX"/>
              </w:rPr>
            </w:pPr>
            <w:r w:rsidRPr="00C94957">
              <w:rPr>
                <w:rFonts w:eastAsia="Times New Roman" w:cs="Calibri"/>
                <w:color w:val="000000"/>
                <w:sz w:val="16"/>
                <w:szCs w:val="16"/>
                <w:lang w:eastAsia="es-MX"/>
              </w:rPr>
              <w:t>Convenio IPSSET</w:t>
            </w:r>
          </w:p>
        </w:tc>
        <w:tc>
          <w:tcPr>
            <w:tcW w:w="2017" w:type="dxa"/>
            <w:tcBorders>
              <w:top w:val="nil"/>
              <w:left w:val="nil"/>
              <w:bottom w:val="single" w:sz="4" w:space="0" w:color="auto"/>
              <w:right w:val="single" w:sz="4" w:space="0" w:color="auto"/>
            </w:tcBorders>
            <w:shd w:val="clear" w:color="auto" w:fill="auto"/>
            <w:vAlign w:val="center"/>
            <w:hideMark/>
          </w:tcPr>
          <w:p w14:paraId="1AC62888" w14:textId="3BFB9B2E" w:rsidR="00181642" w:rsidRPr="00C94957" w:rsidRDefault="00181642" w:rsidP="00D85982">
            <w:pPr>
              <w:spacing w:after="0" w:line="240" w:lineRule="auto"/>
              <w:jc w:val="right"/>
              <w:rPr>
                <w:rFonts w:eastAsia="Times New Roman" w:cs="Calibri"/>
                <w:color w:val="000000"/>
                <w:sz w:val="16"/>
                <w:szCs w:val="16"/>
                <w:lang w:eastAsia="es-MX"/>
              </w:rPr>
            </w:pPr>
            <w:r w:rsidRPr="00C94957">
              <w:rPr>
                <w:rFonts w:eastAsia="Times New Roman" w:cs="Calibri"/>
                <w:color w:val="000000"/>
                <w:sz w:val="16"/>
                <w:szCs w:val="16"/>
                <w:lang w:eastAsia="es-MX"/>
              </w:rPr>
              <w:t>1,</w:t>
            </w:r>
            <w:r w:rsidR="00D85982" w:rsidRPr="00C94957">
              <w:rPr>
                <w:rFonts w:eastAsia="Times New Roman" w:cs="Calibri"/>
                <w:color w:val="000000"/>
                <w:sz w:val="16"/>
                <w:szCs w:val="16"/>
                <w:lang w:eastAsia="es-MX"/>
              </w:rPr>
              <w:t>520,143,285</w:t>
            </w:r>
          </w:p>
        </w:tc>
      </w:tr>
      <w:tr w:rsidR="00181642" w:rsidRPr="00250D2A" w14:paraId="37D8F06E" w14:textId="77777777" w:rsidTr="00250D2A">
        <w:trPr>
          <w:trHeight w:val="275"/>
        </w:trPr>
        <w:tc>
          <w:tcPr>
            <w:tcW w:w="4395" w:type="dxa"/>
            <w:tcBorders>
              <w:top w:val="nil"/>
              <w:left w:val="single" w:sz="4" w:space="0" w:color="auto"/>
              <w:bottom w:val="single" w:sz="4" w:space="0" w:color="auto"/>
              <w:right w:val="single" w:sz="4" w:space="0" w:color="auto"/>
            </w:tcBorders>
            <w:shd w:val="clear" w:color="000000" w:fill="DDC9A3"/>
            <w:vAlign w:val="center"/>
            <w:hideMark/>
          </w:tcPr>
          <w:p w14:paraId="299A7997" w14:textId="77777777" w:rsidR="00181642" w:rsidRPr="00250D2A" w:rsidRDefault="00181642" w:rsidP="00181642">
            <w:pPr>
              <w:spacing w:after="0" w:line="240" w:lineRule="auto"/>
              <w:jc w:val="center"/>
              <w:rPr>
                <w:rFonts w:eastAsia="Times New Roman" w:cs="Calibri"/>
                <w:b/>
                <w:bCs/>
                <w:color w:val="000000"/>
                <w:sz w:val="16"/>
                <w:szCs w:val="14"/>
                <w:lang w:eastAsia="es-MX"/>
              </w:rPr>
            </w:pPr>
            <w:r w:rsidRPr="00250D2A">
              <w:rPr>
                <w:rFonts w:eastAsia="Times New Roman" w:cs="Calibri"/>
                <w:b/>
                <w:bCs/>
                <w:color w:val="000000"/>
                <w:sz w:val="16"/>
                <w:szCs w:val="14"/>
                <w:lang w:eastAsia="es-MX"/>
              </w:rPr>
              <w:t>TOTAL</w:t>
            </w:r>
          </w:p>
        </w:tc>
        <w:tc>
          <w:tcPr>
            <w:tcW w:w="2017" w:type="dxa"/>
            <w:tcBorders>
              <w:top w:val="nil"/>
              <w:left w:val="nil"/>
              <w:bottom w:val="single" w:sz="4" w:space="0" w:color="auto"/>
              <w:right w:val="single" w:sz="4" w:space="0" w:color="auto"/>
            </w:tcBorders>
            <w:shd w:val="clear" w:color="000000" w:fill="DDC9A3"/>
            <w:vAlign w:val="center"/>
            <w:hideMark/>
          </w:tcPr>
          <w:p w14:paraId="26377039" w14:textId="5C026879" w:rsidR="00181642" w:rsidRPr="00250D2A" w:rsidRDefault="00D85982" w:rsidP="00181642">
            <w:pPr>
              <w:spacing w:after="0" w:line="240" w:lineRule="auto"/>
              <w:jc w:val="right"/>
              <w:rPr>
                <w:rFonts w:eastAsia="Times New Roman" w:cs="Calibri"/>
                <w:b/>
                <w:bCs/>
                <w:color w:val="000000"/>
                <w:sz w:val="16"/>
                <w:szCs w:val="18"/>
                <w:lang w:eastAsia="es-MX"/>
              </w:rPr>
            </w:pPr>
            <w:r w:rsidRPr="00250D2A">
              <w:rPr>
                <w:rFonts w:eastAsia="Times New Roman" w:cs="Calibri"/>
                <w:b/>
                <w:bCs/>
                <w:color w:val="000000"/>
                <w:sz w:val="16"/>
                <w:szCs w:val="18"/>
                <w:lang w:eastAsia="es-MX"/>
              </w:rPr>
              <w:t>1,520,143,285</w:t>
            </w:r>
          </w:p>
        </w:tc>
      </w:tr>
    </w:tbl>
    <w:p w14:paraId="53C25A18" w14:textId="77777777" w:rsidR="004B0FD4" w:rsidRPr="005F45A3" w:rsidRDefault="004B0FD4" w:rsidP="004B0FD4">
      <w:pPr>
        <w:autoSpaceDE w:val="0"/>
        <w:autoSpaceDN w:val="0"/>
        <w:adjustRightInd w:val="0"/>
        <w:spacing w:after="0"/>
        <w:jc w:val="both"/>
        <w:rPr>
          <w:rFonts w:asciiTheme="minorHAnsi" w:hAnsiTheme="minorHAnsi" w:cstheme="minorHAnsi"/>
          <w:sz w:val="18"/>
          <w:lang w:val="es-ES" w:eastAsia="es-ES"/>
        </w:rPr>
      </w:pPr>
    </w:p>
    <w:p w14:paraId="16822CF9" w14:textId="2783A21D" w:rsidR="004B0FD4" w:rsidRPr="005F45A3" w:rsidRDefault="00A57461" w:rsidP="004B0FD4">
      <w:pPr>
        <w:autoSpaceDE w:val="0"/>
        <w:autoSpaceDN w:val="0"/>
        <w:adjustRightInd w:val="0"/>
        <w:spacing w:after="0"/>
        <w:jc w:val="both"/>
        <w:rPr>
          <w:rFonts w:asciiTheme="minorHAnsi" w:hAnsiTheme="minorHAnsi" w:cstheme="minorHAnsi"/>
          <w:sz w:val="18"/>
          <w:lang w:val="es-ES" w:eastAsia="es-ES"/>
        </w:rPr>
      </w:pPr>
      <w:r>
        <w:rPr>
          <w:rFonts w:asciiTheme="minorHAnsi" w:hAnsiTheme="minorHAnsi" w:cstheme="minorHAnsi"/>
          <w:sz w:val="18"/>
          <w:lang w:val="es-ES" w:eastAsia="es-ES"/>
        </w:rPr>
        <w:t xml:space="preserve">Esta cuenta representa el saldo a largo plazo del </w:t>
      </w:r>
      <w:r w:rsidR="009C068D" w:rsidRPr="005F45A3">
        <w:rPr>
          <w:rFonts w:asciiTheme="minorHAnsi" w:hAnsiTheme="minorHAnsi" w:cstheme="minorHAnsi"/>
          <w:sz w:val="18"/>
          <w:lang w:val="es-ES" w:eastAsia="es-ES"/>
        </w:rPr>
        <w:t xml:space="preserve">Convenio sobre pago diferido de Prestaciones, Cuotas y Aportaciones </w:t>
      </w:r>
      <w:r w:rsidR="004B0FD4" w:rsidRPr="005F45A3">
        <w:rPr>
          <w:rFonts w:asciiTheme="minorHAnsi" w:hAnsiTheme="minorHAnsi" w:cstheme="minorHAnsi"/>
          <w:sz w:val="18"/>
          <w:lang w:val="es-ES" w:eastAsia="es-ES"/>
        </w:rPr>
        <w:t xml:space="preserve">de </w:t>
      </w:r>
      <w:r w:rsidR="009C068D" w:rsidRPr="005F45A3">
        <w:rPr>
          <w:rFonts w:asciiTheme="minorHAnsi" w:hAnsiTheme="minorHAnsi" w:cstheme="minorHAnsi"/>
          <w:sz w:val="18"/>
          <w:lang w:val="es-ES" w:eastAsia="es-ES"/>
        </w:rPr>
        <w:t>Seguridad Social al Instituto de Previsión y Seguridad Social del Estado de Tamaulipas.</w:t>
      </w:r>
    </w:p>
    <w:p w14:paraId="7C11EF28" w14:textId="2F48362F" w:rsidR="009E07CB" w:rsidRPr="005F45A3" w:rsidRDefault="009E07CB" w:rsidP="005F1A09">
      <w:pPr>
        <w:autoSpaceDE w:val="0"/>
        <w:autoSpaceDN w:val="0"/>
        <w:adjustRightInd w:val="0"/>
        <w:spacing w:after="0"/>
        <w:jc w:val="both"/>
        <w:rPr>
          <w:rFonts w:asciiTheme="minorHAnsi" w:hAnsiTheme="minorHAnsi" w:cstheme="minorHAnsi"/>
          <w:sz w:val="18"/>
          <w:lang w:val="es-ES" w:eastAsia="es-ES"/>
        </w:rPr>
      </w:pPr>
    </w:p>
    <w:p w14:paraId="5710D1CF" w14:textId="77777777" w:rsidR="003E6C19" w:rsidRPr="005F45A3" w:rsidRDefault="003924FC" w:rsidP="006E75F7">
      <w:pPr>
        <w:autoSpaceDE w:val="0"/>
        <w:autoSpaceDN w:val="0"/>
        <w:adjustRightInd w:val="0"/>
        <w:spacing w:after="0"/>
        <w:ind w:left="-142" w:hanging="142"/>
        <w:jc w:val="both"/>
        <w:rPr>
          <w:rFonts w:asciiTheme="minorHAnsi" w:hAnsiTheme="minorHAnsi" w:cstheme="minorHAnsi"/>
          <w:b/>
          <w:sz w:val="20"/>
          <w:lang w:val="es-ES" w:eastAsia="es-ES"/>
        </w:rPr>
      </w:pPr>
      <w:r w:rsidRPr="005F45A3">
        <w:rPr>
          <w:rFonts w:asciiTheme="minorHAnsi" w:hAnsiTheme="minorHAnsi" w:cstheme="minorHAnsi"/>
          <w:b/>
          <w:lang w:val="es-ES" w:eastAsia="es-ES"/>
        </w:rPr>
        <w:t xml:space="preserve">II. </w:t>
      </w:r>
      <w:r w:rsidR="004375ED" w:rsidRPr="005F45A3">
        <w:rPr>
          <w:rFonts w:asciiTheme="minorHAnsi" w:hAnsiTheme="minorHAnsi" w:cstheme="minorHAnsi"/>
          <w:b/>
          <w:lang w:val="es-ES" w:eastAsia="es-ES"/>
        </w:rPr>
        <w:t xml:space="preserve">Notas </w:t>
      </w:r>
      <w:r w:rsidR="004375ED" w:rsidRPr="005F45A3">
        <w:rPr>
          <w:rFonts w:asciiTheme="minorHAnsi" w:hAnsiTheme="minorHAnsi" w:cstheme="minorHAnsi"/>
          <w:b/>
          <w:sz w:val="20"/>
          <w:lang w:val="es-ES" w:eastAsia="es-ES"/>
        </w:rPr>
        <w:t>al Estado de Actividades</w:t>
      </w:r>
    </w:p>
    <w:p w14:paraId="3B4DCAD7" w14:textId="77777777" w:rsidR="004375ED" w:rsidRPr="005F45A3" w:rsidRDefault="004375ED" w:rsidP="0082143F">
      <w:pPr>
        <w:spacing w:after="0" w:line="240" w:lineRule="auto"/>
        <w:rPr>
          <w:rFonts w:asciiTheme="minorHAnsi" w:hAnsiTheme="minorHAnsi" w:cstheme="minorHAnsi"/>
          <w:sz w:val="14"/>
          <w:lang w:val="es-ES" w:eastAsia="es-ES"/>
        </w:rPr>
      </w:pPr>
    </w:p>
    <w:p w14:paraId="326B6F60" w14:textId="77777777" w:rsidR="00872BE6" w:rsidRPr="005F45A3" w:rsidRDefault="004375ED" w:rsidP="003D7ABC">
      <w:pPr>
        <w:pStyle w:val="Prrafodelista"/>
        <w:numPr>
          <w:ilvl w:val="0"/>
          <w:numId w:val="29"/>
        </w:numPr>
        <w:spacing w:after="0" w:line="240" w:lineRule="auto"/>
        <w:ind w:left="284" w:hanging="142"/>
        <w:rPr>
          <w:rFonts w:asciiTheme="minorHAnsi" w:hAnsiTheme="minorHAnsi" w:cstheme="minorHAnsi"/>
          <w:b/>
          <w:sz w:val="12"/>
          <w:lang w:val="es-ES" w:eastAsia="es-ES"/>
        </w:rPr>
      </w:pPr>
      <w:r w:rsidRPr="005F45A3">
        <w:rPr>
          <w:rFonts w:asciiTheme="minorHAnsi" w:hAnsiTheme="minorHAnsi" w:cstheme="minorHAnsi"/>
          <w:b/>
          <w:sz w:val="20"/>
          <w:lang w:val="es-ES" w:eastAsia="es-ES"/>
        </w:rPr>
        <w:t>Ingresos de Gestión</w:t>
      </w:r>
    </w:p>
    <w:p w14:paraId="13732669" w14:textId="77777777" w:rsidR="008E3DEE" w:rsidRPr="005F45A3" w:rsidRDefault="008E3DEE" w:rsidP="008E3DEE">
      <w:pPr>
        <w:spacing w:after="0" w:line="240" w:lineRule="auto"/>
        <w:rPr>
          <w:rFonts w:asciiTheme="minorHAnsi" w:hAnsiTheme="minorHAnsi" w:cstheme="minorHAnsi"/>
          <w:b/>
          <w:sz w:val="12"/>
          <w:lang w:val="es-ES" w:eastAsia="es-ES"/>
        </w:rPr>
      </w:pPr>
    </w:p>
    <w:p w14:paraId="43953D78" w14:textId="77777777" w:rsidR="008E3DEE" w:rsidRPr="005F45A3" w:rsidRDefault="008E3DEE" w:rsidP="008E3DEE">
      <w:pPr>
        <w:spacing w:after="0" w:line="240" w:lineRule="auto"/>
        <w:rPr>
          <w:rFonts w:asciiTheme="minorHAnsi" w:hAnsiTheme="minorHAnsi" w:cstheme="minorHAnsi"/>
          <w:b/>
          <w:sz w:val="12"/>
          <w:lang w:val="es-ES" w:eastAsia="es-ES"/>
        </w:rPr>
      </w:pPr>
    </w:p>
    <w:tbl>
      <w:tblPr>
        <w:tblW w:w="6660" w:type="dxa"/>
        <w:tblInd w:w="212" w:type="dxa"/>
        <w:tblCellMar>
          <w:left w:w="70" w:type="dxa"/>
          <w:right w:w="70" w:type="dxa"/>
        </w:tblCellMar>
        <w:tblLook w:val="04A0" w:firstRow="1" w:lastRow="0" w:firstColumn="1" w:lastColumn="0" w:noHBand="0" w:noVBand="1"/>
      </w:tblPr>
      <w:tblGrid>
        <w:gridCol w:w="3500"/>
        <w:gridCol w:w="1960"/>
        <w:gridCol w:w="1200"/>
      </w:tblGrid>
      <w:tr w:rsidR="009B3320" w:rsidRPr="009B3320" w14:paraId="1D238B62" w14:textId="77777777" w:rsidTr="00E43684">
        <w:trPr>
          <w:trHeight w:val="420"/>
        </w:trPr>
        <w:tc>
          <w:tcPr>
            <w:tcW w:w="350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7EF7BF1" w14:textId="77777777" w:rsidR="009B3320" w:rsidRPr="009B3320" w:rsidRDefault="009B3320" w:rsidP="009B3320">
            <w:pPr>
              <w:spacing w:after="0" w:line="240" w:lineRule="auto"/>
              <w:jc w:val="center"/>
              <w:rPr>
                <w:rFonts w:eastAsia="Times New Roman" w:cs="Calibri"/>
                <w:b/>
                <w:bCs/>
                <w:color w:val="FFFFFF"/>
                <w:sz w:val="14"/>
                <w:szCs w:val="14"/>
                <w:lang w:eastAsia="es-MX"/>
              </w:rPr>
            </w:pPr>
            <w:r w:rsidRPr="009B3320">
              <w:rPr>
                <w:rFonts w:eastAsia="Times New Roman" w:cs="Calibri"/>
                <w:b/>
                <w:bCs/>
                <w:color w:val="FFFFFF"/>
                <w:sz w:val="14"/>
                <w:szCs w:val="14"/>
                <w:lang w:eastAsia="es-MX"/>
              </w:rPr>
              <w:t>Ingresos y Otros Beneficio Varios.</w:t>
            </w:r>
          </w:p>
        </w:tc>
        <w:tc>
          <w:tcPr>
            <w:tcW w:w="1960" w:type="dxa"/>
            <w:tcBorders>
              <w:top w:val="single" w:sz="4" w:space="0" w:color="auto"/>
              <w:left w:val="nil"/>
              <w:bottom w:val="single" w:sz="4" w:space="0" w:color="auto"/>
              <w:right w:val="single" w:sz="4" w:space="0" w:color="auto"/>
            </w:tcBorders>
            <w:shd w:val="clear" w:color="000000" w:fill="AB0033"/>
            <w:vAlign w:val="center"/>
            <w:hideMark/>
          </w:tcPr>
          <w:p w14:paraId="09727251" w14:textId="77777777" w:rsidR="009B3320" w:rsidRPr="009B3320" w:rsidRDefault="009B3320" w:rsidP="009B3320">
            <w:pPr>
              <w:spacing w:after="0" w:line="240" w:lineRule="auto"/>
              <w:jc w:val="center"/>
              <w:rPr>
                <w:rFonts w:eastAsia="Times New Roman" w:cs="Calibri"/>
                <w:b/>
                <w:bCs/>
                <w:color w:val="FFFFFF"/>
                <w:sz w:val="14"/>
                <w:szCs w:val="14"/>
                <w:lang w:eastAsia="es-MX"/>
              </w:rPr>
            </w:pPr>
            <w:r w:rsidRPr="009B3320">
              <w:rPr>
                <w:rFonts w:eastAsia="Times New Roman" w:cs="Calibri"/>
                <w:b/>
                <w:bCs/>
                <w:color w:val="FFFFFF"/>
                <w:sz w:val="14"/>
                <w:szCs w:val="14"/>
                <w:lang w:eastAsia="es-MX"/>
              </w:rPr>
              <w:t>Importe</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069855E3" w14:textId="77777777" w:rsidR="009B3320" w:rsidRPr="009B3320" w:rsidRDefault="009B3320" w:rsidP="009B3320">
            <w:pPr>
              <w:spacing w:after="0" w:line="240" w:lineRule="auto"/>
              <w:jc w:val="center"/>
              <w:rPr>
                <w:rFonts w:eastAsia="Times New Roman" w:cs="Calibri"/>
                <w:b/>
                <w:bCs/>
                <w:color w:val="FFFFFF"/>
                <w:sz w:val="14"/>
                <w:szCs w:val="14"/>
                <w:lang w:eastAsia="es-MX"/>
              </w:rPr>
            </w:pPr>
            <w:r w:rsidRPr="009B3320">
              <w:rPr>
                <w:rFonts w:eastAsia="Times New Roman" w:cs="Calibri"/>
                <w:b/>
                <w:bCs/>
                <w:color w:val="FFFFFF"/>
                <w:sz w:val="14"/>
                <w:szCs w:val="14"/>
                <w:lang w:eastAsia="es-MX"/>
              </w:rPr>
              <w:t>Porcentaje</w:t>
            </w:r>
          </w:p>
        </w:tc>
      </w:tr>
      <w:tr w:rsidR="009B3320" w:rsidRPr="009B3320" w14:paraId="3BD4DCAA" w14:textId="77777777" w:rsidTr="00250D2A">
        <w:trPr>
          <w:trHeight w:val="284"/>
        </w:trPr>
        <w:tc>
          <w:tcPr>
            <w:tcW w:w="3500" w:type="dxa"/>
            <w:tcBorders>
              <w:top w:val="nil"/>
              <w:left w:val="single" w:sz="4" w:space="0" w:color="auto"/>
              <w:bottom w:val="single" w:sz="4" w:space="0" w:color="auto"/>
              <w:right w:val="single" w:sz="4" w:space="0" w:color="auto"/>
            </w:tcBorders>
            <w:shd w:val="clear" w:color="000000" w:fill="BFBFBF"/>
            <w:noWrap/>
            <w:vAlign w:val="center"/>
            <w:hideMark/>
          </w:tcPr>
          <w:p w14:paraId="77A6DEA1" w14:textId="77777777" w:rsidR="009B3320" w:rsidRPr="009B3320" w:rsidRDefault="009B3320" w:rsidP="009B3320">
            <w:pPr>
              <w:spacing w:after="0" w:line="240" w:lineRule="auto"/>
              <w:rPr>
                <w:rFonts w:eastAsia="Times New Roman" w:cs="Calibri"/>
                <w:b/>
                <w:bCs/>
                <w:color w:val="000000"/>
                <w:sz w:val="14"/>
                <w:szCs w:val="14"/>
                <w:lang w:eastAsia="es-MX"/>
              </w:rPr>
            </w:pPr>
            <w:r w:rsidRPr="009B3320">
              <w:rPr>
                <w:rFonts w:eastAsia="Times New Roman" w:cs="Calibri"/>
                <w:b/>
                <w:bCs/>
                <w:color w:val="000000"/>
                <w:sz w:val="14"/>
                <w:szCs w:val="14"/>
                <w:lang w:eastAsia="es-MX"/>
              </w:rPr>
              <w:t>Ingresos de Gestión.</w:t>
            </w:r>
          </w:p>
        </w:tc>
        <w:tc>
          <w:tcPr>
            <w:tcW w:w="1960" w:type="dxa"/>
            <w:tcBorders>
              <w:top w:val="nil"/>
              <w:left w:val="nil"/>
              <w:bottom w:val="single" w:sz="4" w:space="0" w:color="auto"/>
              <w:right w:val="single" w:sz="4" w:space="0" w:color="auto"/>
            </w:tcBorders>
            <w:shd w:val="clear" w:color="000000" w:fill="BFBFBF"/>
            <w:noWrap/>
            <w:vAlign w:val="center"/>
            <w:hideMark/>
          </w:tcPr>
          <w:p w14:paraId="57B7B0E3" w14:textId="77777777" w:rsidR="009B3320" w:rsidRPr="009B3320" w:rsidRDefault="009B3320" w:rsidP="009B3320">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9,493,061,739</w:t>
            </w:r>
          </w:p>
        </w:tc>
        <w:tc>
          <w:tcPr>
            <w:tcW w:w="1200" w:type="dxa"/>
            <w:tcBorders>
              <w:top w:val="nil"/>
              <w:left w:val="nil"/>
              <w:bottom w:val="single" w:sz="4" w:space="0" w:color="auto"/>
              <w:right w:val="single" w:sz="4" w:space="0" w:color="auto"/>
            </w:tcBorders>
            <w:shd w:val="clear" w:color="000000" w:fill="BFBFBF"/>
            <w:noWrap/>
            <w:vAlign w:val="center"/>
            <w:hideMark/>
          </w:tcPr>
          <w:p w14:paraId="3D09CB9B" w14:textId="77777777" w:rsidR="009B3320" w:rsidRPr="009B3320" w:rsidRDefault="009B3320" w:rsidP="009B3320">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13.56%</w:t>
            </w:r>
          </w:p>
        </w:tc>
      </w:tr>
      <w:tr w:rsidR="009B3320" w:rsidRPr="009B3320" w14:paraId="6B93D2A8"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70223A0D"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 Impuestos </w:t>
            </w:r>
          </w:p>
        </w:tc>
        <w:tc>
          <w:tcPr>
            <w:tcW w:w="1960" w:type="dxa"/>
            <w:tcBorders>
              <w:top w:val="nil"/>
              <w:left w:val="nil"/>
              <w:bottom w:val="single" w:sz="4" w:space="0" w:color="auto"/>
              <w:right w:val="single" w:sz="4" w:space="0" w:color="auto"/>
            </w:tcBorders>
            <w:shd w:val="clear" w:color="000000" w:fill="FFFFFF"/>
            <w:noWrap/>
            <w:vAlign w:val="center"/>
            <w:hideMark/>
          </w:tcPr>
          <w:p w14:paraId="6C19EBD2"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5,630,159,075</w:t>
            </w:r>
          </w:p>
        </w:tc>
        <w:tc>
          <w:tcPr>
            <w:tcW w:w="1200" w:type="dxa"/>
            <w:tcBorders>
              <w:top w:val="nil"/>
              <w:left w:val="nil"/>
              <w:bottom w:val="single" w:sz="4" w:space="0" w:color="auto"/>
              <w:right w:val="single" w:sz="4" w:space="0" w:color="auto"/>
            </w:tcBorders>
            <w:shd w:val="clear" w:color="auto" w:fill="auto"/>
            <w:noWrap/>
            <w:vAlign w:val="center"/>
            <w:hideMark/>
          </w:tcPr>
          <w:p w14:paraId="3978D518"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8.04%</w:t>
            </w:r>
          </w:p>
        </w:tc>
      </w:tr>
      <w:tr w:rsidR="009B3320" w:rsidRPr="009B3320" w14:paraId="1C854ACD"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105682D"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 Contribuciones y Aportaciones de Seguridad Social </w:t>
            </w:r>
          </w:p>
        </w:tc>
        <w:tc>
          <w:tcPr>
            <w:tcW w:w="1960" w:type="dxa"/>
            <w:tcBorders>
              <w:top w:val="nil"/>
              <w:left w:val="nil"/>
              <w:bottom w:val="single" w:sz="4" w:space="0" w:color="auto"/>
              <w:right w:val="single" w:sz="4" w:space="0" w:color="auto"/>
            </w:tcBorders>
            <w:shd w:val="clear" w:color="000000" w:fill="FFFFFF"/>
            <w:noWrap/>
            <w:vAlign w:val="center"/>
            <w:hideMark/>
          </w:tcPr>
          <w:p w14:paraId="677A449C"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14:paraId="58A712B3"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0.00%</w:t>
            </w:r>
          </w:p>
        </w:tc>
      </w:tr>
      <w:tr w:rsidR="009B3320" w:rsidRPr="009B3320" w14:paraId="0009343F"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409351EB"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Contribuciones de Mejoras</w:t>
            </w:r>
          </w:p>
        </w:tc>
        <w:tc>
          <w:tcPr>
            <w:tcW w:w="1960" w:type="dxa"/>
            <w:tcBorders>
              <w:top w:val="nil"/>
              <w:left w:val="nil"/>
              <w:bottom w:val="single" w:sz="4" w:space="0" w:color="auto"/>
              <w:right w:val="single" w:sz="4" w:space="0" w:color="auto"/>
            </w:tcBorders>
            <w:shd w:val="clear" w:color="000000" w:fill="FFFFFF"/>
            <w:noWrap/>
            <w:vAlign w:val="center"/>
            <w:hideMark/>
          </w:tcPr>
          <w:p w14:paraId="6EBA8E18"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05EA13E0"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0.00%</w:t>
            </w:r>
          </w:p>
        </w:tc>
      </w:tr>
      <w:tr w:rsidR="009B3320" w:rsidRPr="009B3320" w14:paraId="19221357"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7C260D61"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 Derechos </w:t>
            </w:r>
          </w:p>
        </w:tc>
        <w:tc>
          <w:tcPr>
            <w:tcW w:w="1960" w:type="dxa"/>
            <w:tcBorders>
              <w:top w:val="nil"/>
              <w:left w:val="nil"/>
              <w:bottom w:val="single" w:sz="4" w:space="0" w:color="auto"/>
              <w:right w:val="single" w:sz="4" w:space="0" w:color="auto"/>
            </w:tcBorders>
            <w:shd w:val="clear" w:color="000000" w:fill="FFFFFF"/>
            <w:noWrap/>
            <w:vAlign w:val="center"/>
            <w:hideMark/>
          </w:tcPr>
          <w:p w14:paraId="5ADC40CB"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2,967,740,859</w:t>
            </w:r>
          </w:p>
        </w:tc>
        <w:tc>
          <w:tcPr>
            <w:tcW w:w="1200" w:type="dxa"/>
            <w:tcBorders>
              <w:top w:val="nil"/>
              <w:left w:val="nil"/>
              <w:bottom w:val="single" w:sz="4" w:space="0" w:color="auto"/>
              <w:right w:val="single" w:sz="4" w:space="0" w:color="auto"/>
            </w:tcBorders>
            <w:shd w:val="clear" w:color="auto" w:fill="auto"/>
            <w:noWrap/>
            <w:vAlign w:val="center"/>
            <w:hideMark/>
          </w:tcPr>
          <w:p w14:paraId="4EAE8B47"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4.24%</w:t>
            </w:r>
          </w:p>
        </w:tc>
      </w:tr>
      <w:tr w:rsidR="009B3320" w:rsidRPr="009B3320" w14:paraId="3F57A5C3"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4B4C9D56"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 Productos </w:t>
            </w:r>
          </w:p>
        </w:tc>
        <w:tc>
          <w:tcPr>
            <w:tcW w:w="1960" w:type="dxa"/>
            <w:tcBorders>
              <w:top w:val="nil"/>
              <w:left w:val="nil"/>
              <w:bottom w:val="single" w:sz="4" w:space="0" w:color="auto"/>
              <w:right w:val="single" w:sz="4" w:space="0" w:color="auto"/>
            </w:tcBorders>
            <w:shd w:val="clear" w:color="000000" w:fill="FFFFFF"/>
            <w:noWrap/>
            <w:vAlign w:val="center"/>
            <w:hideMark/>
          </w:tcPr>
          <w:p w14:paraId="553CD6F0"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240,252,787</w:t>
            </w:r>
          </w:p>
        </w:tc>
        <w:tc>
          <w:tcPr>
            <w:tcW w:w="1200" w:type="dxa"/>
            <w:tcBorders>
              <w:top w:val="nil"/>
              <w:left w:val="nil"/>
              <w:bottom w:val="single" w:sz="4" w:space="0" w:color="auto"/>
              <w:right w:val="single" w:sz="4" w:space="0" w:color="auto"/>
            </w:tcBorders>
            <w:shd w:val="clear" w:color="auto" w:fill="auto"/>
            <w:noWrap/>
            <w:vAlign w:val="center"/>
            <w:hideMark/>
          </w:tcPr>
          <w:p w14:paraId="1A0EA834"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0.34%</w:t>
            </w:r>
          </w:p>
        </w:tc>
      </w:tr>
      <w:tr w:rsidR="009B3320" w:rsidRPr="009B3320" w14:paraId="31D9530D"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07EFFA3"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 Aprovechamientos </w:t>
            </w:r>
          </w:p>
        </w:tc>
        <w:tc>
          <w:tcPr>
            <w:tcW w:w="1960" w:type="dxa"/>
            <w:tcBorders>
              <w:top w:val="nil"/>
              <w:left w:val="nil"/>
              <w:bottom w:val="single" w:sz="4" w:space="0" w:color="auto"/>
              <w:right w:val="single" w:sz="4" w:space="0" w:color="auto"/>
            </w:tcBorders>
            <w:shd w:val="clear" w:color="000000" w:fill="FFFFFF"/>
            <w:noWrap/>
            <w:vAlign w:val="center"/>
            <w:hideMark/>
          </w:tcPr>
          <w:p w14:paraId="4321C2DE"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654,909,018</w:t>
            </w:r>
          </w:p>
        </w:tc>
        <w:tc>
          <w:tcPr>
            <w:tcW w:w="1200" w:type="dxa"/>
            <w:tcBorders>
              <w:top w:val="nil"/>
              <w:left w:val="nil"/>
              <w:bottom w:val="single" w:sz="4" w:space="0" w:color="auto"/>
              <w:right w:val="single" w:sz="4" w:space="0" w:color="auto"/>
            </w:tcBorders>
            <w:shd w:val="clear" w:color="auto" w:fill="auto"/>
            <w:noWrap/>
            <w:vAlign w:val="center"/>
            <w:hideMark/>
          </w:tcPr>
          <w:p w14:paraId="013D9066"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0.94%</w:t>
            </w:r>
          </w:p>
        </w:tc>
      </w:tr>
      <w:tr w:rsidR="009B3320" w:rsidRPr="009B3320" w14:paraId="6C451787" w14:textId="77777777" w:rsidTr="00250D2A">
        <w:trPr>
          <w:trHeight w:val="907"/>
        </w:trPr>
        <w:tc>
          <w:tcPr>
            <w:tcW w:w="3500" w:type="dxa"/>
            <w:tcBorders>
              <w:top w:val="nil"/>
              <w:left w:val="single" w:sz="4" w:space="0" w:color="auto"/>
              <w:bottom w:val="single" w:sz="4" w:space="0" w:color="auto"/>
              <w:right w:val="single" w:sz="4" w:space="0" w:color="auto"/>
            </w:tcBorders>
            <w:shd w:val="clear" w:color="000000" w:fill="BFBFBF"/>
            <w:vAlign w:val="center"/>
            <w:hideMark/>
          </w:tcPr>
          <w:p w14:paraId="3051B7D8" w14:textId="77777777" w:rsidR="009B3320" w:rsidRPr="009B3320" w:rsidRDefault="009B3320" w:rsidP="009B3320">
            <w:pPr>
              <w:spacing w:after="0" w:line="240" w:lineRule="auto"/>
              <w:rPr>
                <w:rFonts w:eastAsia="Times New Roman" w:cs="Calibri"/>
                <w:b/>
                <w:bCs/>
                <w:color w:val="000000"/>
                <w:sz w:val="14"/>
                <w:szCs w:val="14"/>
                <w:lang w:eastAsia="es-MX"/>
              </w:rPr>
            </w:pPr>
            <w:r w:rsidRPr="009B3320">
              <w:rPr>
                <w:rFonts w:eastAsia="Times New Roman" w:cs="Calibri"/>
                <w:b/>
                <w:bCs/>
                <w:color w:val="000000"/>
                <w:sz w:val="14"/>
                <w:szCs w:val="14"/>
                <w:lang w:eastAsia="es-MX"/>
              </w:rPr>
              <w:t>Participaciones, Aportaciones, Convenios, Incentivos derivados de la Colaboración Fiscal, Fondos distintos de Aportaciones, Transferencias, Asignaciones, Subsidios y Subvenciones, y Pensiones y Jubilaciones.</w:t>
            </w:r>
          </w:p>
        </w:tc>
        <w:tc>
          <w:tcPr>
            <w:tcW w:w="1960" w:type="dxa"/>
            <w:tcBorders>
              <w:top w:val="nil"/>
              <w:left w:val="nil"/>
              <w:bottom w:val="single" w:sz="4" w:space="0" w:color="auto"/>
              <w:right w:val="single" w:sz="4" w:space="0" w:color="auto"/>
            </w:tcBorders>
            <w:shd w:val="clear" w:color="000000" w:fill="BFBFBF"/>
            <w:noWrap/>
            <w:vAlign w:val="center"/>
            <w:hideMark/>
          </w:tcPr>
          <w:p w14:paraId="4A069A35" w14:textId="7C31F8F0" w:rsidR="009B3320" w:rsidRPr="009B3320" w:rsidRDefault="009B3320" w:rsidP="00EE0FFF">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60,511,461,76</w:t>
            </w:r>
            <w:r w:rsidR="00EE0FFF">
              <w:rPr>
                <w:rFonts w:eastAsia="Times New Roman" w:cs="Calibri"/>
                <w:b/>
                <w:bCs/>
                <w:color w:val="000000"/>
                <w:sz w:val="14"/>
                <w:szCs w:val="14"/>
                <w:lang w:eastAsia="es-MX"/>
              </w:rPr>
              <w:t>5</w:t>
            </w:r>
          </w:p>
        </w:tc>
        <w:tc>
          <w:tcPr>
            <w:tcW w:w="1200" w:type="dxa"/>
            <w:tcBorders>
              <w:top w:val="nil"/>
              <w:left w:val="nil"/>
              <w:bottom w:val="single" w:sz="4" w:space="0" w:color="auto"/>
              <w:right w:val="single" w:sz="4" w:space="0" w:color="auto"/>
            </w:tcBorders>
            <w:shd w:val="clear" w:color="000000" w:fill="BFBFBF"/>
            <w:noWrap/>
            <w:vAlign w:val="center"/>
            <w:hideMark/>
          </w:tcPr>
          <w:p w14:paraId="7A56BAB1" w14:textId="77777777" w:rsidR="009B3320" w:rsidRPr="009B3320" w:rsidRDefault="009B3320" w:rsidP="009B3320">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86.44%</w:t>
            </w:r>
          </w:p>
        </w:tc>
      </w:tr>
      <w:tr w:rsidR="009B3320" w:rsidRPr="009B3320" w14:paraId="58ED5183"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31A4805E"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 Participaciones  </w:t>
            </w:r>
          </w:p>
        </w:tc>
        <w:tc>
          <w:tcPr>
            <w:tcW w:w="1960" w:type="dxa"/>
            <w:tcBorders>
              <w:top w:val="nil"/>
              <w:left w:val="nil"/>
              <w:bottom w:val="single" w:sz="4" w:space="0" w:color="auto"/>
              <w:right w:val="single" w:sz="4" w:space="0" w:color="auto"/>
            </w:tcBorders>
            <w:shd w:val="clear" w:color="000000" w:fill="FFFFFF"/>
            <w:noWrap/>
            <w:vAlign w:val="center"/>
            <w:hideMark/>
          </w:tcPr>
          <w:p w14:paraId="0EDD6666" w14:textId="45563D3D" w:rsidR="009B3320" w:rsidRPr="009B3320" w:rsidRDefault="009B3320" w:rsidP="00EE0FFF">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27,529,625,26</w:t>
            </w:r>
            <w:r w:rsidR="00EE0FFF">
              <w:rPr>
                <w:rFonts w:eastAsia="Times New Roman" w:cs="Calibri"/>
                <w:color w:val="000000"/>
                <w:sz w:val="14"/>
                <w:szCs w:val="14"/>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5EAE1F22"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39.32%</w:t>
            </w:r>
          </w:p>
        </w:tc>
      </w:tr>
      <w:tr w:rsidR="009B3320" w:rsidRPr="009B3320" w14:paraId="4A81742F"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35CF997"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Aportaciones </w:t>
            </w:r>
          </w:p>
        </w:tc>
        <w:tc>
          <w:tcPr>
            <w:tcW w:w="1960" w:type="dxa"/>
            <w:tcBorders>
              <w:top w:val="nil"/>
              <w:left w:val="nil"/>
              <w:bottom w:val="single" w:sz="4" w:space="0" w:color="auto"/>
              <w:right w:val="single" w:sz="4" w:space="0" w:color="auto"/>
            </w:tcBorders>
            <w:shd w:val="clear" w:color="000000" w:fill="FFFFFF"/>
            <w:noWrap/>
            <w:vAlign w:val="center"/>
            <w:hideMark/>
          </w:tcPr>
          <w:p w14:paraId="40DFD804"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25,005,593,057</w:t>
            </w:r>
          </w:p>
        </w:tc>
        <w:tc>
          <w:tcPr>
            <w:tcW w:w="1200" w:type="dxa"/>
            <w:tcBorders>
              <w:top w:val="nil"/>
              <w:left w:val="nil"/>
              <w:bottom w:val="single" w:sz="4" w:space="0" w:color="auto"/>
              <w:right w:val="single" w:sz="4" w:space="0" w:color="auto"/>
            </w:tcBorders>
            <w:shd w:val="clear" w:color="auto" w:fill="auto"/>
            <w:noWrap/>
            <w:vAlign w:val="center"/>
            <w:hideMark/>
          </w:tcPr>
          <w:p w14:paraId="666EFA33"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35.72%</w:t>
            </w:r>
          </w:p>
        </w:tc>
      </w:tr>
      <w:tr w:rsidR="009B3320" w:rsidRPr="009B3320" w14:paraId="664EDFD2"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352FA00"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Convenios </w:t>
            </w:r>
          </w:p>
        </w:tc>
        <w:tc>
          <w:tcPr>
            <w:tcW w:w="1960" w:type="dxa"/>
            <w:tcBorders>
              <w:top w:val="nil"/>
              <w:left w:val="nil"/>
              <w:bottom w:val="single" w:sz="4" w:space="0" w:color="auto"/>
              <w:right w:val="single" w:sz="4" w:space="0" w:color="auto"/>
            </w:tcBorders>
            <w:shd w:val="clear" w:color="000000" w:fill="FFFFFF"/>
            <w:noWrap/>
            <w:vAlign w:val="center"/>
            <w:hideMark/>
          </w:tcPr>
          <w:p w14:paraId="014DC46B"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5,286,041,106</w:t>
            </w:r>
          </w:p>
        </w:tc>
        <w:tc>
          <w:tcPr>
            <w:tcW w:w="1200" w:type="dxa"/>
            <w:tcBorders>
              <w:top w:val="nil"/>
              <w:left w:val="nil"/>
              <w:bottom w:val="single" w:sz="4" w:space="0" w:color="auto"/>
              <w:right w:val="single" w:sz="4" w:space="0" w:color="auto"/>
            </w:tcBorders>
            <w:shd w:val="clear" w:color="auto" w:fill="auto"/>
            <w:noWrap/>
            <w:vAlign w:val="center"/>
            <w:hideMark/>
          </w:tcPr>
          <w:p w14:paraId="1F74FE5C"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7.55%</w:t>
            </w:r>
          </w:p>
        </w:tc>
      </w:tr>
      <w:tr w:rsidR="009B3320" w:rsidRPr="009B3320" w14:paraId="387554E6"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7AED5CCE"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Incentivos derivados de la Colaboración Fiscal</w:t>
            </w:r>
          </w:p>
        </w:tc>
        <w:tc>
          <w:tcPr>
            <w:tcW w:w="1960" w:type="dxa"/>
            <w:tcBorders>
              <w:top w:val="nil"/>
              <w:left w:val="nil"/>
              <w:bottom w:val="single" w:sz="4" w:space="0" w:color="auto"/>
              <w:right w:val="single" w:sz="4" w:space="0" w:color="auto"/>
            </w:tcBorders>
            <w:shd w:val="clear" w:color="000000" w:fill="FFFFFF"/>
            <w:noWrap/>
            <w:vAlign w:val="center"/>
            <w:hideMark/>
          </w:tcPr>
          <w:p w14:paraId="7F0E475D"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992,273,239</w:t>
            </w:r>
          </w:p>
        </w:tc>
        <w:tc>
          <w:tcPr>
            <w:tcW w:w="1200" w:type="dxa"/>
            <w:tcBorders>
              <w:top w:val="nil"/>
              <w:left w:val="nil"/>
              <w:bottom w:val="single" w:sz="4" w:space="0" w:color="auto"/>
              <w:right w:val="single" w:sz="4" w:space="0" w:color="auto"/>
            </w:tcBorders>
            <w:shd w:val="clear" w:color="auto" w:fill="auto"/>
            <w:noWrap/>
            <w:vAlign w:val="center"/>
            <w:hideMark/>
          </w:tcPr>
          <w:p w14:paraId="61D4B6CA"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1.42%</w:t>
            </w:r>
          </w:p>
        </w:tc>
      </w:tr>
      <w:tr w:rsidR="009B3320" w:rsidRPr="009B3320" w14:paraId="2DD711D6" w14:textId="77777777" w:rsidTr="00250D2A">
        <w:trPr>
          <w:trHeight w:val="2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0846DC84"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Fondos Distintos de Aportaciones</w:t>
            </w:r>
          </w:p>
        </w:tc>
        <w:tc>
          <w:tcPr>
            <w:tcW w:w="1960" w:type="dxa"/>
            <w:tcBorders>
              <w:top w:val="nil"/>
              <w:left w:val="nil"/>
              <w:bottom w:val="single" w:sz="4" w:space="0" w:color="auto"/>
              <w:right w:val="single" w:sz="4" w:space="0" w:color="auto"/>
            </w:tcBorders>
            <w:shd w:val="clear" w:color="000000" w:fill="FFFFFF"/>
            <w:noWrap/>
            <w:vAlign w:val="center"/>
            <w:hideMark/>
          </w:tcPr>
          <w:p w14:paraId="21866914"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1,697,929,094</w:t>
            </w:r>
          </w:p>
        </w:tc>
        <w:tc>
          <w:tcPr>
            <w:tcW w:w="1200" w:type="dxa"/>
            <w:tcBorders>
              <w:top w:val="nil"/>
              <w:left w:val="nil"/>
              <w:bottom w:val="single" w:sz="4" w:space="0" w:color="auto"/>
              <w:right w:val="single" w:sz="4" w:space="0" w:color="auto"/>
            </w:tcBorders>
            <w:shd w:val="clear" w:color="auto" w:fill="auto"/>
            <w:noWrap/>
            <w:vAlign w:val="center"/>
            <w:hideMark/>
          </w:tcPr>
          <w:p w14:paraId="3C79F5CA"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2.43%</w:t>
            </w:r>
          </w:p>
        </w:tc>
      </w:tr>
      <w:tr w:rsidR="009B3320" w:rsidRPr="009B3320" w14:paraId="1DEB0563" w14:textId="77777777" w:rsidTr="00250D2A">
        <w:trPr>
          <w:trHeight w:val="284"/>
        </w:trPr>
        <w:tc>
          <w:tcPr>
            <w:tcW w:w="3500" w:type="dxa"/>
            <w:tcBorders>
              <w:top w:val="nil"/>
              <w:left w:val="single" w:sz="4" w:space="0" w:color="auto"/>
              <w:bottom w:val="single" w:sz="4" w:space="0" w:color="auto"/>
              <w:right w:val="single" w:sz="4" w:space="0" w:color="auto"/>
            </w:tcBorders>
            <w:shd w:val="clear" w:color="000000" w:fill="BFBFBF"/>
            <w:noWrap/>
            <w:vAlign w:val="center"/>
            <w:hideMark/>
          </w:tcPr>
          <w:p w14:paraId="2ED41536" w14:textId="77777777" w:rsidR="009B3320" w:rsidRPr="009B3320" w:rsidRDefault="009B3320" w:rsidP="009B3320">
            <w:pPr>
              <w:spacing w:after="0" w:line="240" w:lineRule="auto"/>
              <w:rPr>
                <w:rFonts w:eastAsia="Times New Roman" w:cs="Calibri"/>
                <w:b/>
                <w:bCs/>
                <w:color w:val="000000"/>
                <w:sz w:val="14"/>
                <w:szCs w:val="14"/>
                <w:lang w:eastAsia="es-MX"/>
              </w:rPr>
            </w:pPr>
            <w:r w:rsidRPr="009B3320">
              <w:rPr>
                <w:rFonts w:eastAsia="Times New Roman" w:cs="Calibri"/>
                <w:b/>
                <w:bCs/>
                <w:color w:val="000000"/>
                <w:sz w:val="14"/>
                <w:szCs w:val="14"/>
                <w:lang w:eastAsia="es-MX"/>
              </w:rPr>
              <w:t>Otros Ingresos y Beneficios Varios.</w:t>
            </w:r>
          </w:p>
        </w:tc>
        <w:tc>
          <w:tcPr>
            <w:tcW w:w="1960" w:type="dxa"/>
            <w:tcBorders>
              <w:top w:val="nil"/>
              <w:left w:val="nil"/>
              <w:bottom w:val="single" w:sz="4" w:space="0" w:color="auto"/>
              <w:right w:val="single" w:sz="4" w:space="0" w:color="auto"/>
            </w:tcBorders>
            <w:shd w:val="clear" w:color="000000" w:fill="BFBFBF"/>
            <w:noWrap/>
            <w:vAlign w:val="center"/>
            <w:hideMark/>
          </w:tcPr>
          <w:p w14:paraId="193E83A0" w14:textId="77777777" w:rsidR="009B3320" w:rsidRPr="009B3320" w:rsidRDefault="009B3320" w:rsidP="009B3320">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2,815,872</w:t>
            </w:r>
          </w:p>
        </w:tc>
        <w:tc>
          <w:tcPr>
            <w:tcW w:w="1200" w:type="dxa"/>
            <w:tcBorders>
              <w:top w:val="nil"/>
              <w:left w:val="nil"/>
              <w:bottom w:val="single" w:sz="4" w:space="0" w:color="auto"/>
              <w:right w:val="single" w:sz="4" w:space="0" w:color="auto"/>
            </w:tcBorders>
            <w:shd w:val="clear" w:color="000000" w:fill="BFBFBF"/>
            <w:noWrap/>
            <w:vAlign w:val="center"/>
            <w:hideMark/>
          </w:tcPr>
          <w:p w14:paraId="0E4C3DC9" w14:textId="77777777" w:rsidR="009B3320" w:rsidRPr="009B3320" w:rsidRDefault="009B3320" w:rsidP="009B3320">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0.00%</w:t>
            </w:r>
          </w:p>
        </w:tc>
      </w:tr>
      <w:tr w:rsidR="009B3320" w:rsidRPr="009B3320" w14:paraId="1AAAC717" w14:textId="77777777" w:rsidTr="00E43684">
        <w:trPr>
          <w:trHeight w:val="300"/>
        </w:trPr>
        <w:tc>
          <w:tcPr>
            <w:tcW w:w="3500" w:type="dxa"/>
            <w:tcBorders>
              <w:top w:val="nil"/>
              <w:left w:val="single" w:sz="4" w:space="0" w:color="auto"/>
              <w:bottom w:val="single" w:sz="4" w:space="0" w:color="auto"/>
              <w:right w:val="single" w:sz="4" w:space="0" w:color="auto"/>
            </w:tcBorders>
            <w:shd w:val="clear" w:color="000000" w:fill="DDC9A3"/>
            <w:noWrap/>
            <w:vAlign w:val="center"/>
            <w:hideMark/>
          </w:tcPr>
          <w:p w14:paraId="5C3A77BC" w14:textId="77777777" w:rsidR="009B3320" w:rsidRPr="009B3320" w:rsidRDefault="009B3320" w:rsidP="009B3320">
            <w:pPr>
              <w:spacing w:after="0" w:line="240" w:lineRule="auto"/>
              <w:jc w:val="center"/>
              <w:rPr>
                <w:rFonts w:eastAsia="Times New Roman" w:cs="Calibri"/>
                <w:b/>
                <w:bCs/>
                <w:color w:val="000000"/>
                <w:sz w:val="14"/>
                <w:szCs w:val="14"/>
                <w:lang w:eastAsia="es-MX"/>
              </w:rPr>
            </w:pPr>
            <w:r w:rsidRPr="009B3320">
              <w:rPr>
                <w:rFonts w:eastAsia="Times New Roman" w:cs="Calibri"/>
                <w:b/>
                <w:bCs/>
                <w:color w:val="000000"/>
                <w:sz w:val="14"/>
                <w:szCs w:val="14"/>
                <w:lang w:eastAsia="es-MX"/>
              </w:rPr>
              <w:t>Ingresos y Otros Beneficio Varios.</w:t>
            </w:r>
          </w:p>
        </w:tc>
        <w:tc>
          <w:tcPr>
            <w:tcW w:w="1960" w:type="dxa"/>
            <w:tcBorders>
              <w:top w:val="nil"/>
              <w:left w:val="nil"/>
              <w:bottom w:val="single" w:sz="4" w:space="0" w:color="auto"/>
              <w:right w:val="single" w:sz="4" w:space="0" w:color="auto"/>
            </w:tcBorders>
            <w:shd w:val="clear" w:color="000000" w:fill="DDC9A3"/>
            <w:noWrap/>
            <w:vAlign w:val="center"/>
            <w:hideMark/>
          </w:tcPr>
          <w:p w14:paraId="4A106028" w14:textId="2F9B6462" w:rsidR="009B3320" w:rsidRPr="009B3320" w:rsidRDefault="009B3320" w:rsidP="00EE0FFF">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70,007,339,37</w:t>
            </w:r>
            <w:r w:rsidR="00EE0FFF">
              <w:rPr>
                <w:rFonts w:eastAsia="Times New Roman" w:cs="Calibri"/>
                <w:b/>
                <w:bCs/>
                <w:color w:val="000000"/>
                <w:sz w:val="14"/>
                <w:szCs w:val="14"/>
                <w:lang w:eastAsia="es-MX"/>
              </w:rPr>
              <w:t>6</w:t>
            </w:r>
          </w:p>
        </w:tc>
        <w:tc>
          <w:tcPr>
            <w:tcW w:w="1200" w:type="dxa"/>
            <w:tcBorders>
              <w:top w:val="nil"/>
              <w:left w:val="nil"/>
              <w:bottom w:val="single" w:sz="4" w:space="0" w:color="auto"/>
              <w:right w:val="single" w:sz="4" w:space="0" w:color="auto"/>
            </w:tcBorders>
            <w:shd w:val="clear" w:color="000000" w:fill="DDC9A3"/>
            <w:noWrap/>
            <w:vAlign w:val="center"/>
            <w:hideMark/>
          </w:tcPr>
          <w:p w14:paraId="7145B7D8" w14:textId="77777777" w:rsidR="009B3320" w:rsidRPr="009B3320" w:rsidRDefault="009B3320" w:rsidP="009B3320">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100.00%</w:t>
            </w:r>
          </w:p>
        </w:tc>
      </w:tr>
    </w:tbl>
    <w:p w14:paraId="4F640EB1" w14:textId="77777777" w:rsidR="008E3DEE" w:rsidRPr="005F45A3" w:rsidRDefault="008E3DEE" w:rsidP="008E3DEE">
      <w:pPr>
        <w:spacing w:after="0" w:line="240" w:lineRule="auto"/>
        <w:rPr>
          <w:rFonts w:asciiTheme="minorHAnsi" w:hAnsiTheme="minorHAnsi" w:cstheme="minorHAnsi"/>
          <w:b/>
          <w:sz w:val="12"/>
          <w:lang w:val="es-ES" w:eastAsia="es-ES"/>
        </w:rPr>
      </w:pPr>
    </w:p>
    <w:p w14:paraId="0828C136" w14:textId="426774C5" w:rsidR="008E3DEE" w:rsidRPr="00E43684" w:rsidRDefault="008E3DEE" w:rsidP="00E43684">
      <w:pPr>
        <w:spacing w:after="0" w:line="240" w:lineRule="auto"/>
        <w:rPr>
          <w:rFonts w:asciiTheme="minorHAnsi" w:hAnsiTheme="minorHAnsi" w:cstheme="minorHAnsi"/>
          <w:b/>
          <w:sz w:val="12"/>
          <w:lang w:val="es-ES" w:eastAsia="es-ES"/>
        </w:rPr>
      </w:pPr>
    </w:p>
    <w:p w14:paraId="42C941AF" w14:textId="20AC6FAF" w:rsidR="005E73FF" w:rsidRPr="005F45A3" w:rsidRDefault="007D5522" w:rsidP="00277641">
      <w:pPr>
        <w:spacing w:after="0" w:line="240" w:lineRule="auto"/>
        <w:jc w:val="both"/>
        <w:rPr>
          <w:rFonts w:asciiTheme="minorHAnsi" w:hAnsiTheme="minorHAnsi" w:cstheme="minorHAnsi"/>
          <w:sz w:val="18"/>
          <w:szCs w:val="18"/>
          <w:lang w:val="es-ES" w:eastAsia="es-ES"/>
        </w:rPr>
      </w:pPr>
      <w:r w:rsidRPr="005F45A3">
        <w:rPr>
          <w:rFonts w:asciiTheme="minorHAnsi" w:hAnsiTheme="minorHAnsi" w:cstheme="minorHAnsi"/>
          <w:sz w:val="18"/>
          <w:szCs w:val="18"/>
          <w:lang w:val="es-ES" w:eastAsia="es-ES"/>
        </w:rPr>
        <w:lastRenderedPageBreak/>
        <w:t>Del total de los ingresos registrados los Ingresos de Gestión</w:t>
      </w:r>
      <w:r w:rsidR="003C73E8">
        <w:rPr>
          <w:rFonts w:asciiTheme="minorHAnsi" w:hAnsiTheme="minorHAnsi" w:cstheme="minorHAnsi"/>
          <w:sz w:val="18"/>
          <w:szCs w:val="18"/>
          <w:lang w:val="es-ES" w:eastAsia="es-ES"/>
        </w:rPr>
        <w:t xml:space="preserve"> corresponden a los ingresos propios recaudado</w:t>
      </w:r>
      <w:r w:rsidR="00277641">
        <w:rPr>
          <w:rFonts w:asciiTheme="minorHAnsi" w:hAnsiTheme="minorHAnsi" w:cstheme="minorHAnsi"/>
          <w:sz w:val="18"/>
          <w:szCs w:val="18"/>
          <w:lang w:val="es-ES" w:eastAsia="es-ES"/>
        </w:rPr>
        <w:t xml:space="preserve">s por el Gobierno del Estado </w:t>
      </w:r>
      <w:r w:rsidR="003C73E8">
        <w:rPr>
          <w:rFonts w:asciiTheme="minorHAnsi" w:hAnsiTheme="minorHAnsi" w:cstheme="minorHAnsi"/>
          <w:sz w:val="18"/>
          <w:szCs w:val="18"/>
          <w:lang w:val="es-ES" w:eastAsia="es-ES"/>
        </w:rPr>
        <w:t xml:space="preserve">de conformidad con la Ley de Hacienda para el Estado de Tamaulipas y la Ley de Ingresos para el Ejercicio 2022 y </w:t>
      </w:r>
      <w:r w:rsidRPr="005F45A3">
        <w:rPr>
          <w:rFonts w:asciiTheme="minorHAnsi" w:hAnsiTheme="minorHAnsi" w:cstheme="minorHAnsi"/>
          <w:sz w:val="18"/>
          <w:szCs w:val="18"/>
          <w:lang w:val="es-ES" w:eastAsia="es-ES"/>
        </w:rPr>
        <w:t xml:space="preserve">representan un </w:t>
      </w:r>
      <w:r w:rsidR="008E3DEE" w:rsidRPr="005F45A3">
        <w:rPr>
          <w:rFonts w:asciiTheme="minorHAnsi" w:hAnsiTheme="minorHAnsi" w:cstheme="minorHAnsi"/>
          <w:sz w:val="18"/>
          <w:szCs w:val="18"/>
          <w:lang w:val="es-ES" w:eastAsia="es-ES"/>
        </w:rPr>
        <w:t>1</w:t>
      </w:r>
      <w:r w:rsidR="009B3320">
        <w:rPr>
          <w:rFonts w:asciiTheme="minorHAnsi" w:hAnsiTheme="minorHAnsi" w:cstheme="minorHAnsi"/>
          <w:sz w:val="18"/>
          <w:szCs w:val="18"/>
          <w:lang w:val="es-ES" w:eastAsia="es-ES"/>
        </w:rPr>
        <w:t>3.5</w:t>
      </w:r>
      <w:r w:rsidR="00C407ED">
        <w:rPr>
          <w:rFonts w:asciiTheme="minorHAnsi" w:hAnsiTheme="minorHAnsi" w:cstheme="minorHAnsi"/>
          <w:sz w:val="18"/>
          <w:szCs w:val="18"/>
          <w:lang w:val="es-ES" w:eastAsia="es-ES"/>
        </w:rPr>
        <w:t>6</w:t>
      </w:r>
      <w:r w:rsidRPr="005F45A3">
        <w:rPr>
          <w:rFonts w:asciiTheme="minorHAnsi" w:hAnsiTheme="minorHAnsi" w:cstheme="minorHAnsi"/>
          <w:sz w:val="18"/>
          <w:szCs w:val="18"/>
          <w:lang w:val="es-ES" w:eastAsia="es-ES"/>
        </w:rPr>
        <w:t>% del total de Ingresos</w:t>
      </w:r>
      <w:r w:rsidR="003C73E8">
        <w:rPr>
          <w:rFonts w:asciiTheme="minorHAnsi" w:hAnsiTheme="minorHAnsi" w:cstheme="minorHAnsi"/>
          <w:sz w:val="18"/>
          <w:szCs w:val="18"/>
          <w:lang w:val="es-ES" w:eastAsia="es-ES"/>
        </w:rPr>
        <w:t>, siendo el rubro de P</w:t>
      </w:r>
      <w:r w:rsidRPr="005F45A3">
        <w:rPr>
          <w:rFonts w:asciiTheme="minorHAnsi" w:hAnsiTheme="minorHAnsi" w:cstheme="minorHAnsi"/>
          <w:sz w:val="18"/>
          <w:szCs w:val="18"/>
          <w:lang w:val="es-ES" w:eastAsia="es-ES"/>
        </w:rPr>
        <w:t>articipaciones</w:t>
      </w:r>
      <w:r w:rsidR="003C73E8">
        <w:rPr>
          <w:rFonts w:asciiTheme="minorHAnsi" w:hAnsiTheme="minorHAnsi" w:cstheme="minorHAnsi"/>
          <w:sz w:val="18"/>
          <w:szCs w:val="18"/>
          <w:lang w:val="es-ES" w:eastAsia="es-ES"/>
        </w:rPr>
        <w:t xml:space="preserve"> recibidas de la Federación </w:t>
      </w:r>
      <w:r w:rsidR="00F810CB" w:rsidRPr="005F45A3">
        <w:rPr>
          <w:rFonts w:asciiTheme="minorHAnsi" w:hAnsiTheme="minorHAnsi" w:cstheme="minorHAnsi"/>
          <w:sz w:val="18"/>
          <w:szCs w:val="18"/>
          <w:lang w:val="es-ES" w:eastAsia="es-ES"/>
        </w:rPr>
        <w:t xml:space="preserve">el ingreso más significativo representando el </w:t>
      </w:r>
      <w:r w:rsidR="009B3320">
        <w:rPr>
          <w:rFonts w:asciiTheme="minorHAnsi" w:hAnsiTheme="minorHAnsi" w:cstheme="minorHAnsi"/>
          <w:sz w:val="18"/>
          <w:szCs w:val="18"/>
          <w:lang w:val="es-ES" w:eastAsia="es-ES"/>
        </w:rPr>
        <w:t>39.32</w:t>
      </w:r>
      <w:r w:rsidR="00F810CB" w:rsidRPr="005F45A3">
        <w:rPr>
          <w:rFonts w:asciiTheme="minorHAnsi" w:hAnsiTheme="minorHAnsi" w:cstheme="minorHAnsi"/>
          <w:sz w:val="18"/>
          <w:szCs w:val="18"/>
          <w:lang w:val="es-ES" w:eastAsia="es-ES"/>
        </w:rPr>
        <w:t>%.</w:t>
      </w:r>
    </w:p>
    <w:p w14:paraId="3DE9BA74" w14:textId="0CA2ABA6" w:rsidR="005E73FF" w:rsidRDefault="005E73FF" w:rsidP="0082143F">
      <w:pPr>
        <w:spacing w:after="0" w:line="240" w:lineRule="auto"/>
        <w:rPr>
          <w:rFonts w:asciiTheme="minorHAnsi" w:hAnsiTheme="minorHAnsi" w:cstheme="minorHAnsi"/>
          <w:sz w:val="16"/>
          <w:lang w:val="es-ES" w:eastAsia="es-ES"/>
        </w:rPr>
      </w:pPr>
    </w:p>
    <w:p w14:paraId="637FBF73" w14:textId="77777777" w:rsidR="001B65AF" w:rsidRPr="005F45A3" w:rsidRDefault="00EF6CE1" w:rsidP="006E75F7">
      <w:pPr>
        <w:pStyle w:val="Prrafodelista"/>
        <w:numPr>
          <w:ilvl w:val="0"/>
          <w:numId w:val="29"/>
        </w:numPr>
        <w:spacing w:after="0" w:line="240" w:lineRule="auto"/>
        <w:ind w:left="0" w:hanging="141"/>
        <w:rPr>
          <w:rFonts w:asciiTheme="minorHAnsi" w:hAnsiTheme="minorHAnsi" w:cstheme="minorHAnsi"/>
          <w:b/>
          <w:sz w:val="20"/>
          <w:lang w:val="es-ES" w:eastAsia="es-ES"/>
        </w:rPr>
      </w:pPr>
      <w:r w:rsidRPr="005F45A3">
        <w:rPr>
          <w:rFonts w:asciiTheme="minorHAnsi" w:hAnsiTheme="minorHAnsi" w:cstheme="minorHAnsi"/>
          <w:b/>
          <w:sz w:val="20"/>
          <w:lang w:val="es-ES" w:eastAsia="es-ES"/>
        </w:rPr>
        <w:t>Gastos y Otras Pérdidas</w:t>
      </w:r>
      <w:r w:rsidR="001B65AF" w:rsidRPr="005F45A3">
        <w:rPr>
          <w:rFonts w:asciiTheme="minorHAnsi" w:hAnsiTheme="minorHAnsi" w:cstheme="minorHAnsi"/>
          <w:b/>
          <w:sz w:val="20"/>
          <w:lang w:val="es-ES" w:eastAsia="es-ES"/>
        </w:rPr>
        <w:t>.</w:t>
      </w:r>
    </w:p>
    <w:p w14:paraId="36E078D8" w14:textId="77777777" w:rsidR="008027E0" w:rsidRPr="005F45A3" w:rsidRDefault="008027E0" w:rsidP="008027E0">
      <w:pPr>
        <w:pStyle w:val="Prrafodelista"/>
        <w:spacing w:after="0" w:line="240" w:lineRule="auto"/>
        <w:ind w:left="1080"/>
        <w:rPr>
          <w:rFonts w:asciiTheme="minorHAnsi" w:hAnsiTheme="minorHAnsi" w:cstheme="minorHAnsi"/>
          <w:b/>
          <w:sz w:val="12"/>
          <w:lang w:val="es-ES" w:eastAsia="es-ES"/>
        </w:rPr>
      </w:pPr>
    </w:p>
    <w:tbl>
      <w:tblPr>
        <w:tblW w:w="8217" w:type="dxa"/>
        <w:tblCellMar>
          <w:left w:w="70" w:type="dxa"/>
          <w:right w:w="70" w:type="dxa"/>
        </w:tblCellMar>
        <w:tblLook w:val="04A0" w:firstRow="1" w:lastRow="0" w:firstColumn="1" w:lastColumn="0" w:noHBand="0" w:noVBand="1"/>
      </w:tblPr>
      <w:tblGrid>
        <w:gridCol w:w="4957"/>
        <w:gridCol w:w="1701"/>
        <w:gridCol w:w="1559"/>
      </w:tblGrid>
      <w:tr w:rsidR="009B3320" w:rsidRPr="009B3320" w14:paraId="3EC54BC5" w14:textId="77777777" w:rsidTr="00FB3ABB">
        <w:trPr>
          <w:trHeight w:val="420"/>
        </w:trPr>
        <w:tc>
          <w:tcPr>
            <w:tcW w:w="4957"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293B251"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Gastos y Otras Pérdidas</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772C8D90"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Importe</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14:paraId="033FB9BD"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Porcentaje</w:t>
            </w:r>
          </w:p>
        </w:tc>
      </w:tr>
      <w:tr w:rsidR="00250D2A" w:rsidRPr="00250D2A" w14:paraId="75F06B9F" w14:textId="77777777" w:rsidTr="00FB3ABB">
        <w:trPr>
          <w:trHeight w:val="284"/>
        </w:trPr>
        <w:tc>
          <w:tcPr>
            <w:tcW w:w="4957" w:type="dxa"/>
            <w:tcBorders>
              <w:top w:val="nil"/>
              <w:left w:val="single" w:sz="4" w:space="0" w:color="auto"/>
              <w:bottom w:val="single" w:sz="4" w:space="0" w:color="auto"/>
              <w:right w:val="single" w:sz="4" w:space="0" w:color="auto"/>
            </w:tcBorders>
            <w:shd w:val="clear" w:color="000000" w:fill="BFBFBF"/>
            <w:noWrap/>
            <w:vAlign w:val="center"/>
            <w:hideMark/>
          </w:tcPr>
          <w:p w14:paraId="31F8A2AE" w14:textId="77777777" w:rsidR="009B3320" w:rsidRPr="00250D2A" w:rsidRDefault="009B3320" w:rsidP="009B3320">
            <w:pPr>
              <w:spacing w:after="0" w:line="240" w:lineRule="auto"/>
              <w:rPr>
                <w:rFonts w:eastAsia="Times New Roman" w:cs="Calibri"/>
                <w:b/>
                <w:bCs/>
                <w:sz w:val="14"/>
                <w:szCs w:val="14"/>
                <w:lang w:eastAsia="es-MX"/>
              </w:rPr>
            </w:pPr>
            <w:r w:rsidRPr="00250D2A">
              <w:rPr>
                <w:rFonts w:eastAsia="Times New Roman" w:cs="Calibri"/>
                <w:b/>
                <w:bCs/>
                <w:sz w:val="14"/>
                <w:szCs w:val="14"/>
                <w:lang w:eastAsia="es-MX"/>
              </w:rPr>
              <w:t>Gastos de Funcionamiento</w:t>
            </w:r>
          </w:p>
        </w:tc>
        <w:tc>
          <w:tcPr>
            <w:tcW w:w="1701" w:type="dxa"/>
            <w:tcBorders>
              <w:top w:val="nil"/>
              <w:left w:val="nil"/>
              <w:bottom w:val="single" w:sz="4" w:space="0" w:color="auto"/>
              <w:right w:val="single" w:sz="4" w:space="0" w:color="auto"/>
            </w:tcBorders>
            <w:shd w:val="clear" w:color="000000" w:fill="BFBFBF"/>
            <w:noWrap/>
            <w:vAlign w:val="center"/>
            <w:hideMark/>
          </w:tcPr>
          <w:p w14:paraId="2A85BD16"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29,805,432,121</w:t>
            </w:r>
          </w:p>
        </w:tc>
        <w:tc>
          <w:tcPr>
            <w:tcW w:w="1559" w:type="dxa"/>
            <w:tcBorders>
              <w:top w:val="nil"/>
              <w:left w:val="nil"/>
              <w:bottom w:val="single" w:sz="4" w:space="0" w:color="auto"/>
              <w:right w:val="single" w:sz="4" w:space="0" w:color="auto"/>
            </w:tcBorders>
            <w:shd w:val="clear" w:color="000000" w:fill="BFBFBF"/>
            <w:noWrap/>
            <w:vAlign w:val="center"/>
            <w:hideMark/>
          </w:tcPr>
          <w:p w14:paraId="67B3C098"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43.60%</w:t>
            </w:r>
          </w:p>
        </w:tc>
      </w:tr>
      <w:tr w:rsidR="00250D2A" w:rsidRPr="00250D2A" w14:paraId="46DD9DDD"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35D9BE3"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Servicios Personales</w:t>
            </w:r>
          </w:p>
        </w:tc>
        <w:tc>
          <w:tcPr>
            <w:tcW w:w="1701" w:type="dxa"/>
            <w:tcBorders>
              <w:top w:val="nil"/>
              <w:left w:val="nil"/>
              <w:bottom w:val="single" w:sz="4" w:space="0" w:color="auto"/>
              <w:right w:val="single" w:sz="4" w:space="0" w:color="auto"/>
            </w:tcBorders>
            <w:shd w:val="clear" w:color="000000" w:fill="FFFFFF"/>
            <w:noWrap/>
            <w:vAlign w:val="center"/>
            <w:hideMark/>
          </w:tcPr>
          <w:p w14:paraId="5932274F"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24,574,488,466</w:t>
            </w:r>
          </w:p>
        </w:tc>
        <w:tc>
          <w:tcPr>
            <w:tcW w:w="1559" w:type="dxa"/>
            <w:tcBorders>
              <w:top w:val="nil"/>
              <w:left w:val="nil"/>
              <w:bottom w:val="single" w:sz="4" w:space="0" w:color="auto"/>
              <w:right w:val="single" w:sz="4" w:space="0" w:color="auto"/>
            </w:tcBorders>
            <w:shd w:val="clear" w:color="auto" w:fill="auto"/>
            <w:noWrap/>
            <w:vAlign w:val="center"/>
            <w:hideMark/>
          </w:tcPr>
          <w:p w14:paraId="741AE55A"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35.95%</w:t>
            </w:r>
          </w:p>
        </w:tc>
      </w:tr>
      <w:tr w:rsidR="00250D2A" w:rsidRPr="00250D2A" w14:paraId="64DF18B5"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EFDFDFA"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Materiales y Suministros</w:t>
            </w:r>
          </w:p>
        </w:tc>
        <w:tc>
          <w:tcPr>
            <w:tcW w:w="1701" w:type="dxa"/>
            <w:tcBorders>
              <w:top w:val="nil"/>
              <w:left w:val="nil"/>
              <w:bottom w:val="single" w:sz="4" w:space="0" w:color="auto"/>
              <w:right w:val="single" w:sz="4" w:space="0" w:color="auto"/>
            </w:tcBorders>
            <w:shd w:val="clear" w:color="000000" w:fill="FFFFFF"/>
            <w:noWrap/>
            <w:vAlign w:val="center"/>
            <w:hideMark/>
          </w:tcPr>
          <w:p w14:paraId="31053FBB"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857,768,998</w:t>
            </w:r>
          </w:p>
        </w:tc>
        <w:tc>
          <w:tcPr>
            <w:tcW w:w="1559" w:type="dxa"/>
            <w:tcBorders>
              <w:top w:val="nil"/>
              <w:left w:val="nil"/>
              <w:bottom w:val="single" w:sz="4" w:space="0" w:color="auto"/>
              <w:right w:val="single" w:sz="4" w:space="0" w:color="auto"/>
            </w:tcBorders>
            <w:shd w:val="clear" w:color="auto" w:fill="auto"/>
            <w:noWrap/>
            <w:vAlign w:val="center"/>
            <w:hideMark/>
          </w:tcPr>
          <w:p w14:paraId="316AAF98"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1.25%</w:t>
            </w:r>
          </w:p>
        </w:tc>
      </w:tr>
      <w:tr w:rsidR="00250D2A" w:rsidRPr="00250D2A" w14:paraId="468CC643"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DC3C453"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Servicios Generales</w:t>
            </w:r>
          </w:p>
        </w:tc>
        <w:tc>
          <w:tcPr>
            <w:tcW w:w="1701" w:type="dxa"/>
            <w:tcBorders>
              <w:top w:val="nil"/>
              <w:left w:val="nil"/>
              <w:bottom w:val="single" w:sz="4" w:space="0" w:color="auto"/>
              <w:right w:val="single" w:sz="4" w:space="0" w:color="auto"/>
            </w:tcBorders>
            <w:shd w:val="clear" w:color="000000" w:fill="FFFFFF"/>
            <w:noWrap/>
            <w:vAlign w:val="center"/>
            <w:hideMark/>
          </w:tcPr>
          <w:p w14:paraId="3A4F858F"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4,373,174,657</w:t>
            </w:r>
          </w:p>
        </w:tc>
        <w:tc>
          <w:tcPr>
            <w:tcW w:w="1559" w:type="dxa"/>
            <w:tcBorders>
              <w:top w:val="nil"/>
              <w:left w:val="nil"/>
              <w:bottom w:val="single" w:sz="4" w:space="0" w:color="auto"/>
              <w:right w:val="single" w:sz="4" w:space="0" w:color="auto"/>
            </w:tcBorders>
            <w:shd w:val="clear" w:color="auto" w:fill="auto"/>
            <w:noWrap/>
            <w:vAlign w:val="center"/>
            <w:hideMark/>
          </w:tcPr>
          <w:p w14:paraId="17C39DE3"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6.40%</w:t>
            </w:r>
          </w:p>
        </w:tc>
      </w:tr>
      <w:tr w:rsidR="00250D2A" w:rsidRPr="00250D2A" w14:paraId="601A85A6" w14:textId="77777777" w:rsidTr="00FB3ABB">
        <w:trPr>
          <w:trHeight w:val="284"/>
        </w:trPr>
        <w:tc>
          <w:tcPr>
            <w:tcW w:w="4957" w:type="dxa"/>
            <w:tcBorders>
              <w:top w:val="nil"/>
              <w:left w:val="single" w:sz="4" w:space="0" w:color="auto"/>
              <w:bottom w:val="single" w:sz="4" w:space="0" w:color="auto"/>
              <w:right w:val="single" w:sz="4" w:space="0" w:color="auto"/>
            </w:tcBorders>
            <w:shd w:val="clear" w:color="000000" w:fill="BFBFBF"/>
            <w:noWrap/>
            <w:vAlign w:val="center"/>
            <w:hideMark/>
          </w:tcPr>
          <w:p w14:paraId="219EC60B" w14:textId="77777777" w:rsidR="009B3320" w:rsidRPr="00250D2A" w:rsidRDefault="009B3320" w:rsidP="009B3320">
            <w:pPr>
              <w:spacing w:after="0" w:line="240" w:lineRule="auto"/>
              <w:rPr>
                <w:rFonts w:eastAsia="Times New Roman" w:cs="Calibri"/>
                <w:b/>
                <w:bCs/>
                <w:sz w:val="14"/>
                <w:szCs w:val="14"/>
                <w:lang w:eastAsia="es-MX"/>
              </w:rPr>
            </w:pPr>
            <w:r w:rsidRPr="00250D2A">
              <w:rPr>
                <w:rFonts w:eastAsia="Times New Roman" w:cs="Calibri"/>
                <w:b/>
                <w:bCs/>
                <w:sz w:val="14"/>
                <w:szCs w:val="14"/>
                <w:lang w:eastAsia="es-MX"/>
              </w:rPr>
              <w:t>Transferencias, Asignaciones, Subsidios y Otras Ayudas</w:t>
            </w:r>
          </w:p>
        </w:tc>
        <w:tc>
          <w:tcPr>
            <w:tcW w:w="1701" w:type="dxa"/>
            <w:tcBorders>
              <w:top w:val="nil"/>
              <w:left w:val="nil"/>
              <w:bottom w:val="single" w:sz="4" w:space="0" w:color="auto"/>
              <w:right w:val="single" w:sz="4" w:space="0" w:color="auto"/>
            </w:tcBorders>
            <w:shd w:val="clear" w:color="000000" w:fill="BFBFBF"/>
            <w:noWrap/>
            <w:vAlign w:val="center"/>
            <w:hideMark/>
          </w:tcPr>
          <w:p w14:paraId="63205555" w14:textId="693DF4DA" w:rsidR="009B3320" w:rsidRPr="00250D2A" w:rsidRDefault="00EE0FFF"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22,571,314,132</w:t>
            </w:r>
          </w:p>
        </w:tc>
        <w:tc>
          <w:tcPr>
            <w:tcW w:w="1559" w:type="dxa"/>
            <w:tcBorders>
              <w:top w:val="nil"/>
              <w:left w:val="nil"/>
              <w:bottom w:val="single" w:sz="4" w:space="0" w:color="auto"/>
              <w:right w:val="single" w:sz="4" w:space="0" w:color="auto"/>
            </w:tcBorders>
            <w:shd w:val="clear" w:color="000000" w:fill="BFBFBF"/>
            <w:noWrap/>
            <w:vAlign w:val="center"/>
            <w:hideMark/>
          </w:tcPr>
          <w:p w14:paraId="6A7686B4"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33.02%</w:t>
            </w:r>
          </w:p>
        </w:tc>
      </w:tr>
      <w:tr w:rsidR="00250D2A" w:rsidRPr="00250D2A" w14:paraId="13E82FA4"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4861E79"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Transferencias Internas y Asignaciones al Sector Público</w:t>
            </w:r>
          </w:p>
        </w:tc>
        <w:tc>
          <w:tcPr>
            <w:tcW w:w="1701" w:type="dxa"/>
            <w:tcBorders>
              <w:top w:val="nil"/>
              <w:left w:val="nil"/>
              <w:bottom w:val="single" w:sz="4" w:space="0" w:color="auto"/>
              <w:right w:val="single" w:sz="4" w:space="0" w:color="auto"/>
            </w:tcBorders>
            <w:shd w:val="clear" w:color="000000" w:fill="FFFFFF"/>
            <w:noWrap/>
            <w:vAlign w:val="center"/>
            <w:hideMark/>
          </w:tcPr>
          <w:p w14:paraId="584BFABF"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20,210,499,901</w:t>
            </w:r>
          </w:p>
        </w:tc>
        <w:tc>
          <w:tcPr>
            <w:tcW w:w="1559" w:type="dxa"/>
            <w:tcBorders>
              <w:top w:val="nil"/>
              <w:left w:val="nil"/>
              <w:bottom w:val="single" w:sz="4" w:space="0" w:color="auto"/>
              <w:right w:val="single" w:sz="4" w:space="0" w:color="auto"/>
            </w:tcBorders>
            <w:shd w:val="clear" w:color="auto" w:fill="auto"/>
            <w:noWrap/>
            <w:vAlign w:val="center"/>
            <w:hideMark/>
          </w:tcPr>
          <w:p w14:paraId="75DF55B6"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29.56%</w:t>
            </w:r>
          </w:p>
        </w:tc>
      </w:tr>
      <w:tr w:rsidR="00250D2A" w:rsidRPr="00250D2A" w14:paraId="72446901"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D785841"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Transferencias al Resto del Sector Público</w:t>
            </w:r>
          </w:p>
        </w:tc>
        <w:tc>
          <w:tcPr>
            <w:tcW w:w="1701" w:type="dxa"/>
            <w:tcBorders>
              <w:top w:val="nil"/>
              <w:left w:val="nil"/>
              <w:bottom w:val="single" w:sz="4" w:space="0" w:color="auto"/>
              <w:right w:val="single" w:sz="4" w:space="0" w:color="auto"/>
            </w:tcBorders>
            <w:shd w:val="clear" w:color="000000" w:fill="FFFFFF"/>
            <w:noWrap/>
            <w:vAlign w:val="center"/>
            <w:hideMark/>
          </w:tcPr>
          <w:p w14:paraId="1CDE9FDD"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14:paraId="23A7AA7E"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0.00%</w:t>
            </w:r>
          </w:p>
        </w:tc>
      </w:tr>
      <w:tr w:rsidR="00250D2A" w:rsidRPr="00250D2A" w14:paraId="02681672"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57D4546"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Subsidios y Subvenciones</w:t>
            </w:r>
          </w:p>
        </w:tc>
        <w:tc>
          <w:tcPr>
            <w:tcW w:w="1701" w:type="dxa"/>
            <w:tcBorders>
              <w:top w:val="nil"/>
              <w:left w:val="nil"/>
              <w:bottom w:val="single" w:sz="4" w:space="0" w:color="auto"/>
              <w:right w:val="single" w:sz="4" w:space="0" w:color="auto"/>
            </w:tcBorders>
            <w:shd w:val="clear" w:color="000000" w:fill="FFFFFF"/>
            <w:noWrap/>
            <w:vAlign w:val="center"/>
            <w:hideMark/>
          </w:tcPr>
          <w:p w14:paraId="71D75649"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467,495,272</w:t>
            </w:r>
          </w:p>
        </w:tc>
        <w:tc>
          <w:tcPr>
            <w:tcW w:w="1559" w:type="dxa"/>
            <w:tcBorders>
              <w:top w:val="nil"/>
              <w:left w:val="nil"/>
              <w:bottom w:val="single" w:sz="4" w:space="0" w:color="auto"/>
              <w:right w:val="single" w:sz="4" w:space="0" w:color="auto"/>
            </w:tcBorders>
            <w:shd w:val="clear" w:color="auto" w:fill="auto"/>
            <w:noWrap/>
            <w:vAlign w:val="center"/>
            <w:hideMark/>
          </w:tcPr>
          <w:p w14:paraId="6D160FC6"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0.68%</w:t>
            </w:r>
          </w:p>
        </w:tc>
      </w:tr>
      <w:tr w:rsidR="00250D2A" w:rsidRPr="00250D2A" w14:paraId="26FC7906"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E31BC19"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Ayudas Sociales</w:t>
            </w:r>
          </w:p>
        </w:tc>
        <w:tc>
          <w:tcPr>
            <w:tcW w:w="1701" w:type="dxa"/>
            <w:tcBorders>
              <w:top w:val="nil"/>
              <w:left w:val="nil"/>
              <w:bottom w:val="single" w:sz="4" w:space="0" w:color="auto"/>
              <w:right w:val="single" w:sz="4" w:space="0" w:color="auto"/>
            </w:tcBorders>
            <w:shd w:val="clear" w:color="000000" w:fill="FFFFFF"/>
            <w:noWrap/>
            <w:vAlign w:val="center"/>
            <w:hideMark/>
          </w:tcPr>
          <w:p w14:paraId="0509FD21" w14:textId="229DB399" w:rsidR="009B3320" w:rsidRPr="00250D2A" w:rsidRDefault="009B3320" w:rsidP="00EE0FFF">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1,255,154,4</w:t>
            </w:r>
            <w:r w:rsidR="00EE0FFF" w:rsidRPr="00250D2A">
              <w:rPr>
                <w:rFonts w:eastAsia="Times New Roman" w:cs="Calibri"/>
                <w:sz w:val="14"/>
                <w:szCs w:val="14"/>
                <w:lang w:eastAsia="es-MX"/>
              </w:rPr>
              <w:t>40</w:t>
            </w:r>
          </w:p>
        </w:tc>
        <w:tc>
          <w:tcPr>
            <w:tcW w:w="1559" w:type="dxa"/>
            <w:tcBorders>
              <w:top w:val="nil"/>
              <w:left w:val="nil"/>
              <w:bottom w:val="single" w:sz="4" w:space="0" w:color="auto"/>
              <w:right w:val="single" w:sz="4" w:space="0" w:color="auto"/>
            </w:tcBorders>
            <w:shd w:val="clear" w:color="auto" w:fill="auto"/>
            <w:noWrap/>
            <w:vAlign w:val="center"/>
            <w:hideMark/>
          </w:tcPr>
          <w:p w14:paraId="6B4090B6"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1.84%</w:t>
            </w:r>
          </w:p>
        </w:tc>
      </w:tr>
      <w:tr w:rsidR="00250D2A" w:rsidRPr="00250D2A" w14:paraId="189D145E"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EBBAC07"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Pensiones y Jubilaciones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40C36202"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99,919,282</w:t>
            </w:r>
          </w:p>
        </w:tc>
        <w:tc>
          <w:tcPr>
            <w:tcW w:w="1559" w:type="dxa"/>
            <w:tcBorders>
              <w:top w:val="nil"/>
              <w:left w:val="nil"/>
              <w:bottom w:val="single" w:sz="4" w:space="0" w:color="auto"/>
              <w:right w:val="single" w:sz="4" w:space="0" w:color="auto"/>
            </w:tcBorders>
            <w:shd w:val="clear" w:color="auto" w:fill="auto"/>
            <w:noWrap/>
            <w:vAlign w:val="center"/>
            <w:hideMark/>
          </w:tcPr>
          <w:p w14:paraId="2293BBEC"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0.15%</w:t>
            </w:r>
          </w:p>
        </w:tc>
      </w:tr>
      <w:tr w:rsidR="00250D2A" w:rsidRPr="00250D2A" w14:paraId="0C59830C"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D232680"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Transferencias a Fideicomisos, Mandatos y Contratos Análogos</w:t>
            </w:r>
          </w:p>
        </w:tc>
        <w:tc>
          <w:tcPr>
            <w:tcW w:w="1701" w:type="dxa"/>
            <w:tcBorders>
              <w:top w:val="nil"/>
              <w:left w:val="nil"/>
              <w:bottom w:val="single" w:sz="4" w:space="0" w:color="auto"/>
              <w:right w:val="single" w:sz="4" w:space="0" w:color="auto"/>
            </w:tcBorders>
            <w:shd w:val="clear" w:color="000000" w:fill="FFFFFF"/>
            <w:noWrap/>
            <w:vAlign w:val="center"/>
            <w:hideMark/>
          </w:tcPr>
          <w:p w14:paraId="2888D9DD"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4,372,828</w:t>
            </w:r>
          </w:p>
        </w:tc>
        <w:tc>
          <w:tcPr>
            <w:tcW w:w="1559" w:type="dxa"/>
            <w:tcBorders>
              <w:top w:val="nil"/>
              <w:left w:val="nil"/>
              <w:bottom w:val="single" w:sz="4" w:space="0" w:color="auto"/>
              <w:right w:val="single" w:sz="4" w:space="0" w:color="auto"/>
            </w:tcBorders>
            <w:shd w:val="clear" w:color="auto" w:fill="auto"/>
            <w:noWrap/>
            <w:vAlign w:val="center"/>
            <w:hideMark/>
          </w:tcPr>
          <w:p w14:paraId="251AB333"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0.01%</w:t>
            </w:r>
          </w:p>
        </w:tc>
      </w:tr>
      <w:tr w:rsidR="00250D2A" w:rsidRPr="00250D2A" w14:paraId="1758EE01"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1051CD4"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Transferencias a la Seguridad Social</w:t>
            </w:r>
          </w:p>
        </w:tc>
        <w:tc>
          <w:tcPr>
            <w:tcW w:w="1701" w:type="dxa"/>
            <w:tcBorders>
              <w:top w:val="nil"/>
              <w:left w:val="nil"/>
              <w:bottom w:val="single" w:sz="4" w:space="0" w:color="auto"/>
              <w:right w:val="single" w:sz="4" w:space="0" w:color="auto"/>
            </w:tcBorders>
            <w:shd w:val="clear" w:color="000000" w:fill="FFFFFF"/>
            <w:noWrap/>
            <w:vAlign w:val="center"/>
            <w:hideMark/>
          </w:tcPr>
          <w:p w14:paraId="1C2FD712"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14:paraId="725A9026"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 </w:t>
            </w:r>
          </w:p>
        </w:tc>
      </w:tr>
      <w:tr w:rsidR="00250D2A" w:rsidRPr="00250D2A" w14:paraId="074D20D0"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9AF5AEE"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Donativos</w:t>
            </w:r>
          </w:p>
        </w:tc>
        <w:tc>
          <w:tcPr>
            <w:tcW w:w="1701" w:type="dxa"/>
            <w:tcBorders>
              <w:top w:val="nil"/>
              <w:left w:val="nil"/>
              <w:bottom w:val="single" w:sz="4" w:space="0" w:color="auto"/>
              <w:right w:val="single" w:sz="4" w:space="0" w:color="auto"/>
            </w:tcBorders>
            <w:shd w:val="clear" w:color="000000" w:fill="FFFFFF"/>
            <w:noWrap/>
            <w:vAlign w:val="center"/>
            <w:hideMark/>
          </w:tcPr>
          <w:p w14:paraId="674029A3"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533,872,409</w:t>
            </w:r>
          </w:p>
        </w:tc>
        <w:tc>
          <w:tcPr>
            <w:tcW w:w="1559" w:type="dxa"/>
            <w:tcBorders>
              <w:top w:val="nil"/>
              <w:left w:val="nil"/>
              <w:bottom w:val="single" w:sz="4" w:space="0" w:color="auto"/>
              <w:right w:val="single" w:sz="4" w:space="0" w:color="auto"/>
            </w:tcBorders>
            <w:shd w:val="clear" w:color="auto" w:fill="auto"/>
            <w:noWrap/>
            <w:vAlign w:val="center"/>
            <w:hideMark/>
          </w:tcPr>
          <w:p w14:paraId="238A2F81"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0.78%</w:t>
            </w:r>
          </w:p>
        </w:tc>
      </w:tr>
      <w:tr w:rsidR="00250D2A" w:rsidRPr="00250D2A" w14:paraId="3E850BAA" w14:textId="77777777" w:rsidTr="00FB3ABB">
        <w:trPr>
          <w:trHeight w:val="284"/>
        </w:trPr>
        <w:tc>
          <w:tcPr>
            <w:tcW w:w="4957" w:type="dxa"/>
            <w:tcBorders>
              <w:top w:val="nil"/>
              <w:left w:val="single" w:sz="4" w:space="0" w:color="auto"/>
              <w:bottom w:val="single" w:sz="4" w:space="0" w:color="auto"/>
              <w:right w:val="single" w:sz="4" w:space="0" w:color="auto"/>
            </w:tcBorders>
            <w:shd w:val="clear" w:color="000000" w:fill="BFBFBF"/>
            <w:noWrap/>
            <w:vAlign w:val="center"/>
            <w:hideMark/>
          </w:tcPr>
          <w:p w14:paraId="34F080D6" w14:textId="77777777" w:rsidR="009B3320" w:rsidRPr="00250D2A" w:rsidRDefault="009B3320" w:rsidP="009B3320">
            <w:pPr>
              <w:spacing w:after="0" w:line="240" w:lineRule="auto"/>
              <w:rPr>
                <w:rFonts w:eastAsia="Times New Roman" w:cs="Calibri"/>
                <w:b/>
                <w:bCs/>
                <w:sz w:val="14"/>
                <w:szCs w:val="14"/>
                <w:lang w:eastAsia="es-MX"/>
              </w:rPr>
            </w:pPr>
            <w:r w:rsidRPr="00250D2A">
              <w:rPr>
                <w:rFonts w:eastAsia="Times New Roman" w:cs="Calibri"/>
                <w:b/>
                <w:bCs/>
                <w:sz w:val="14"/>
                <w:szCs w:val="14"/>
                <w:lang w:eastAsia="es-MX"/>
              </w:rPr>
              <w:t>Participaciones y Aportaciones,</w:t>
            </w:r>
          </w:p>
        </w:tc>
        <w:tc>
          <w:tcPr>
            <w:tcW w:w="1701" w:type="dxa"/>
            <w:tcBorders>
              <w:top w:val="nil"/>
              <w:left w:val="nil"/>
              <w:bottom w:val="single" w:sz="4" w:space="0" w:color="auto"/>
              <w:right w:val="single" w:sz="4" w:space="0" w:color="auto"/>
            </w:tcBorders>
            <w:shd w:val="clear" w:color="000000" w:fill="BFBFBF"/>
            <w:noWrap/>
            <w:vAlign w:val="center"/>
            <w:hideMark/>
          </w:tcPr>
          <w:p w14:paraId="098B7134"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10,679,777,099</w:t>
            </w:r>
          </w:p>
        </w:tc>
        <w:tc>
          <w:tcPr>
            <w:tcW w:w="1559" w:type="dxa"/>
            <w:tcBorders>
              <w:top w:val="nil"/>
              <w:left w:val="nil"/>
              <w:bottom w:val="single" w:sz="4" w:space="0" w:color="auto"/>
              <w:right w:val="single" w:sz="4" w:space="0" w:color="auto"/>
            </w:tcBorders>
            <w:shd w:val="clear" w:color="000000" w:fill="BFBFBF"/>
            <w:noWrap/>
            <w:vAlign w:val="center"/>
            <w:hideMark/>
          </w:tcPr>
          <w:p w14:paraId="45829B1A"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 xml:space="preserve"> </w:t>
            </w:r>
          </w:p>
        </w:tc>
      </w:tr>
      <w:tr w:rsidR="00250D2A" w:rsidRPr="00250D2A" w14:paraId="1156E562"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11D3CB9"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 xml:space="preserve"> Participaciones  </w:t>
            </w:r>
          </w:p>
        </w:tc>
        <w:tc>
          <w:tcPr>
            <w:tcW w:w="1701" w:type="dxa"/>
            <w:tcBorders>
              <w:top w:val="nil"/>
              <w:left w:val="nil"/>
              <w:bottom w:val="single" w:sz="4" w:space="0" w:color="auto"/>
              <w:right w:val="single" w:sz="4" w:space="0" w:color="auto"/>
            </w:tcBorders>
            <w:shd w:val="clear" w:color="000000" w:fill="FFFFFF"/>
            <w:noWrap/>
            <w:vAlign w:val="center"/>
            <w:hideMark/>
          </w:tcPr>
          <w:p w14:paraId="29AF2F05"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6,510,229,387</w:t>
            </w:r>
          </w:p>
        </w:tc>
        <w:tc>
          <w:tcPr>
            <w:tcW w:w="1559" w:type="dxa"/>
            <w:tcBorders>
              <w:top w:val="nil"/>
              <w:left w:val="nil"/>
              <w:bottom w:val="single" w:sz="4" w:space="0" w:color="auto"/>
              <w:right w:val="single" w:sz="4" w:space="0" w:color="auto"/>
            </w:tcBorders>
            <w:shd w:val="clear" w:color="auto" w:fill="auto"/>
            <w:noWrap/>
            <w:vAlign w:val="center"/>
            <w:hideMark/>
          </w:tcPr>
          <w:p w14:paraId="40AB93EE"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9.52%</w:t>
            </w:r>
          </w:p>
        </w:tc>
      </w:tr>
      <w:tr w:rsidR="00250D2A" w:rsidRPr="00250D2A" w14:paraId="7D73ED68"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DAAA4DC"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 xml:space="preserve">Aportaciones </w:t>
            </w:r>
          </w:p>
        </w:tc>
        <w:tc>
          <w:tcPr>
            <w:tcW w:w="1701" w:type="dxa"/>
            <w:tcBorders>
              <w:top w:val="nil"/>
              <w:left w:val="nil"/>
              <w:bottom w:val="single" w:sz="4" w:space="0" w:color="auto"/>
              <w:right w:val="single" w:sz="4" w:space="0" w:color="auto"/>
            </w:tcBorders>
            <w:shd w:val="clear" w:color="000000" w:fill="FFFFFF"/>
            <w:noWrap/>
            <w:vAlign w:val="center"/>
            <w:hideMark/>
          </w:tcPr>
          <w:p w14:paraId="268377F8"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4,128,149,897</w:t>
            </w:r>
          </w:p>
        </w:tc>
        <w:tc>
          <w:tcPr>
            <w:tcW w:w="1559" w:type="dxa"/>
            <w:tcBorders>
              <w:top w:val="nil"/>
              <w:left w:val="nil"/>
              <w:bottom w:val="single" w:sz="4" w:space="0" w:color="auto"/>
              <w:right w:val="single" w:sz="4" w:space="0" w:color="auto"/>
            </w:tcBorders>
            <w:shd w:val="clear" w:color="auto" w:fill="auto"/>
            <w:noWrap/>
            <w:vAlign w:val="center"/>
            <w:hideMark/>
          </w:tcPr>
          <w:p w14:paraId="1C9E3C17"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6.04%</w:t>
            </w:r>
          </w:p>
        </w:tc>
      </w:tr>
      <w:tr w:rsidR="00250D2A" w:rsidRPr="00250D2A" w14:paraId="369E37B7"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367B1AE"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 xml:space="preserve">Convenios </w:t>
            </w:r>
          </w:p>
        </w:tc>
        <w:tc>
          <w:tcPr>
            <w:tcW w:w="1701" w:type="dxa"/>
            <w:tcBorders>
              <w:top w:val="nil"/>
              <w:left w:val="nil"/>
              <w:bottom w:val="single" w:sz="4" w:space="0" w:color="auto"/>
              <w:right w:val="single" w:sz="4" w:space="0" w:color="auto"/>
            </w:tcBorders>
            <w:shd w:val="clear" w:color="auto" w:fill="auto"/>
            <w:noWrap/>
            <w:vAlign w:val="center"/>
            <w:hideMark/>
          </w:tcPr>
          <w:p w14:paraId="1C1846A4"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41,397,815</w:t>
            </w:r>
          </w:p>
        </w:tc>
        <w:tc>
          <w:tcPr>
            <w:tcW w:w="1559" w:type="dxa"/>
            <w:tcBorders>
              <w:top w:val="nil"/>
              <w:left w:val="nil"/>
              <w:bottom w:val="single" w:sz="4" w:space="0" w:color="auto"/>
              <w:right w:val="single" w:sz="4" w:space="0" w:color="auto"/>
            </w:tcBorders>
            <w:shd w:val="clear" w:color="auto" w:fill="auto"/>
            <w:noWrap/>
            <w:vAlign w:val="center"/>
            <w:hideMark/>
          </w:tcPr>
          <w:p w14:paraId="6A5AC0AA"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0.06%</w:t>
            </w:r>
          </w:p>
        </w:tc>
      </w:tr>
      <w:tr w:rsidR="00250D2A" w:rsidRPr="00250D2A" w14:paraId="2D1C7D41" w14:textId="77777777" w:rsidTr="00FB3ABB">
        <w:trPr>
          <w:trHeight w:val="284"/>
        </w:trPr>
        <w:tc>
          <w:tcPr>
            <w:tcW w:w="4957" w:type="dxa"/>
            <w:tcBorders>
              <w:top w:val="nil"/>
              <w:left w:val="single" w:sz="4" w:space="0" w:color="auto"/>
              <w:bottom w:val="single" w:sz="4" w:space="0" w:color="auto"/>
              <w:right w:val="single" w:sz="4" w:space="0" w:color="auto"/>
            </w:tcBorders>
            <w:shd w:val="clear" w:color="000000" w:fill="BFBFBF"/>
            <w:noWrap/>
            <w:vAlign w:val="center"/>
            <w:hideMark/>
          </w:tcPr>
          <w:p w14:paraId="6DE6D897" w14:textId="77777777" w:rsidR="009B3320" w:rsidRPr="00250D2A" w:rsidRDefault="009B3320" w:rsidP="009B3320">
            <w:pPr>
              <w:spacing w:after="0" w:line="240" w:lineRule="auto"/>
              <w:rPr>
                <w:rFonts w:eastAsia="Times New Roman" w:cs="Calibri"/>
                <w:b/>
                <w:bCs/>
                <w:sz w:val="14"/>
                <w:szCs w:val="14"/>
                <w:lang w:eastAsia="es-MX"/>
              </w:rPr>
            </w:pPr>
            <w:r w:rsidRPr="00250D2A">
              <w:rPr>
                <w:rFonts w:eastAsia="Times New Roman" w:cs="Calibri"/>
                <w:b/>
                <w:bCs/>
                <w:sz w:val="14"/>
                <w:szCs w:val="14"/>
                <w:lang w:eastAsia="es-MX"/>
              </w:rPr>
              <w:t>Intereses, Comisiones y Otros Gastos de la Deuda</w:t>
            </w:r>
          </w:p>
        </w:tc>
        <w:tc>
          <w:tcPr>
            <w:tcW w:w="1701" w:type="dxa"/>
            <w:tcBorders>
              <w:top w:val="nil"/>
              <w:left w:val="nil"/>
              <w:bottom w:val="single" w:sz="4" w:space="0" w:color="auto"/>
              <w:right w:val="single" w:sz="4" w:space="0" w:color="auto"/>
            </w:tcBorders>
            <w:shd w:val="clear" w:color="000000" w:fill="BFBFBF"/>
            <w:noWrap/>
            <w:vAlign w:val="center"/>
            <w:hideMark/>
          </w:tcPr>
          <w:p w14:paraId="4C101C94" w14:textId="45D62ECE" w:rsidR="009B3320" w:rsidRPr="00250D2A" w:rsidRDefault="009B3320" w:rsidP="00EE0FFF">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1,215,937,12</w:t>
            </w:r>
            <w:r w:rsidR="00EE0FFF" w:rsidRPr="00250D2A">
              <w:rPr>
                <w:rFonts w:eastAsia="Times New Roman" w:cs="Calibri"/>
                <w:b/>
                <w:bCs/>
                <w:sz w:val="14"/>
                <w:szCs w:val="14"/>
                <w:lang w:eastAsia="es-MX"/>
              </w:rPr>
              <w:t>2</w:t>
            </w:r>
          </w:p>
        </w:tc>
        <w:tc>
          <w:tcPr>
            <w:tcW w:w="1559" w:type="dxa"/>
            <w:tcBorders>
              <w:top w:val="nil"/>
              <w:left w:val="nil"/>
              <w:bottom w:val="single" w:sz="4" w:space="0" w:color="auto"/>
              <w:right w:val="single" w:sz="4" w:space="0" w:color="auto"/>
            </w:tcBorders>
            <w:shd w:val="clear" w:color="000000" w:fill="BFBFBF"/>
            <w:noWrap/>
            <w:vAlign w:val="center"/>
            <w:hideMark/>
          </w:tcPr>
          <w:p w14:paraId="21254032"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1.96%</w:t>
            </w:r>
          </w:p>
        </w:tc>
      </w:tr>
      <w:tr w:rsidR="00250D2A" w:rsidRPr="00250D2A" w14:paraId="502877C9"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8FDFE35"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Intereses de la Deuda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030DF7B2"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1,191,534,474</w:t>
            </w:r>
          </w:p>
        </w:tc>
        <w:tc>
          <w:tcPr>
            <w:tcW w:w="1559" w:type="dxa"/>
            <w:tcBorders>
              <w:top w:val="nil"/>
              <w:left w:val="nil"/>
              <w:bottom w:val="single" w:sz="4" w:space="0" w:color="auto"/>
              <w:right w:val="single" w:sz="4" w:space="0" w:color="auto"/>
            </w:tcBorders>
            <w:shd w:val="clear" w:color="auto" w:fill="auto"/>
            <w:noWrap/>
            <w:vAlign w:val="center"/>
            <w:hideMark/>
          </w:tcPr>
          <w:p w14:paraId="49E4233B"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1.74%</w:t>
            </w:r>
          </w:p>
        </w:tc>
      </w:tr>
      <w:tr w:rsidR="00250D2A" w:rsidRPr="00250D2A" w14:paraId="5F97EDA0"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B883356"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Comisiones de la Deuda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7326317F"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2,507,164</w:t>
            </w:r>
          </w:p>
        </w:tc>
        <w:tc>
          <w:tcPr>
            <w:tcW w:w="1559" w:type="dxa"/>
            <w:tcBorders>
              <w:top w:val="nil"/>
              <w:left w:val="nil"/>
              <w:bottom w:val="single" w:sz="4" w:space="0" w:color="auto"/>
              <w:right w:val="single" w:sz="4" w:space="0" w:color="auto"/>
            </w:tcBorders>
            <w:shd w:val="clear" w:color="auto" w:fill="auto"/>
            <w:noWrap/>
            <w:vAlign w:val="center"/>
            <w:hideMark/>
          </w:tcPr>
          <w:p w14:paraId="1B45CB60"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0.00%</w:t>
            </w:r>
          </w:p>
        </w:tc>
      </w:tr>
      <w:tr w:rsidR="00250D2A" w:rsidRPr="00250D2A" w14:paraId="6DF146BA"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2840577"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Gastos de  la Deuda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7DD2871C"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14:paraId="1096380F"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 </w:t>
            </w:r>
          </w:p>
        </w:tc>
      </w:tr>
      <w:tr w:rsidR="00250D2A" w:rsidRPr="00250D2A" w14:paraId="6CF58C4D"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C333F03"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Costos por Cobertura</w:t>
            </w:r>
          </w:p>
        </w:tc>
        <w:tc>
          <w:tcPr>
            <w:tcW w:w="1701" w:type="dxa"/>
            <w:tcBorders>
              <w:top w:val="nil"/>
              <w:left w:val="nil"/>
              <w:bottom w:val="single" w:sz="4" w:space="0" w:color="auto"/>
              <w:right w:val="single" w:sz="4" w:space="0" w:color="auto"/>
            </w:tcBorders>
            <w:shd w:val="clear" w:color="000000" w:fill="FFFFFF"/>
            <w:noWrap/>
            <w:vAlign w:val="center"/>
            <w:hideMark/>
          </w:tcPr>
          <w:p w14:paraId="3505303B" w14:textId="29AA9296" w:rsidR="009B3320" w:rsidRPr="00250D2A" w:rsidRDefault="009B3320" w:rsidP="00EE0FFF">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21,895,48</w:t>
            </w:r>
            <w:r w:rsidR="00EE0FFF" w:rsidRPr="00250D2A">
              <w:rPr>
                <w:rFonts w:eastAsia="Times New Roman" w:cs="Calibri"/>
                <w:sz w:val="14"/>
                <w:szCs w:val="14"/>
                <w:lang w:eastAsia="es-MX"/>
              </w:rPr>
              <w:t>4</w:t>
            </w:r>
          </w:p>
        </w:tc>
        <w:tc>
          <w:tcPr>
            <w:tcW w:w="1559" w:type="dxa"/>
            <w:tcBorders>
              <w:top w:val="nil"/>
              <w:left w:val="nil"/>
              <w:bottom w:val="single" w:sz="4" w:space="0" w:color="auto"/>
              <w:right w:val="single" w:sz="4" w:space="0" w:color="auto"/>
            </w:tcBorders>
            <w:shd w:val="clear" w:color="auto" w:fill="auto"/>
            <w:noWrap/>
            <w:vAlign w:val="center"/>
            <w:hideMark/>
          </w:tcPr>
          <w:p w14:paraId="23180E9E"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0.03%</w:t>
            </w:r>
          </w:p>
        </w:tc>
      </w:tr>
      <w:tr w:rsidR="00250D2A" w:rsidRPr="00250D2A" w14:paraId="0B3F171C" w14:textId="77777777" w:rsidTr="00FB3ABB">
        <w:trPr>
          <w:trHeight w:val="284"/>
        </w:trPr>
        <w:tc>
          <w:tcPr>
            <w:tcW w:w="4957" w:type="dxa"/>
            <w:tcBorders>
              <w:top w:val="nil"/>
              <w:left w:val="single" w:sz="4" w:space="0" w:color="auto"/>
              <w:bottom w:val="single" w:sz="4" w:space="0" w:color="auto"/>
              <w:right w:val="single" w:sz="4" w:space="0" w:color="auto"/>
            </w:tcBorders>
            <w:shd w:val="clear" w:color="000000" w:fill="BFBFBF"/>
            <w:noWrap/>
            <w:vAlign w:val="center"/>
            <w:hideMark/>
          </w:tcPr>
          <w:p w14:paraId="23145C10" w14:textId="77777777" w:rsidR="009B3320" w:rsidRPr="00250D2A" w:rsidRDefault="009B3320" w:rsidP="009B3320">
            <w:pPr>
              <w:spacing w:after="0" w:line="240" w:lineRule="auto"/>
              <w:rPr>
                <w:rFonts w:eastAsia="Times New Roman" w:cs="Calibri"/>
                <w:b/>
                <w:bCs/>
                <w:sz w:val="14"/>
                <w:szCs w:val="14"/>
                <w:lang w:eastAsia="es-MX"/>
              </w:rPr>
            </w:pPr>
            <w:r w:rsidRPr="00250D2A">
              <w:rPr>
                <w:rFonts w:eastAsia="Times New Roman" w:cs="Calibri"/>
                <w:b/>
                <w:bCs/>
                <w:sz w:val="14"/>
                <w:szCs w:val="14"/>
                <w:lang w:eastAsia="es-MX"/>
              </w:rPr>
              <w:t>Otros Gastos y Partidas Extraordinarias</w:t>
            </w:r>
          </w:p>
        </w:tc>
        <w:tc>
          <w:tcPr>
            <w:tcW w:w="1701" w:type="dxa"/>
            <w:tcBorders>
              <w:top w:val="nil"/>
              <w:left w:val="nil"/>
              <w:bottom w:val="single" w:sz="4" w:space="0" w:color="auto"/>
              <w:right w:val="single" w:sz="4" w:space="0" w:color="auto"/>
            </w:tcBorders>
            <w:shd w:val="clear" w:color="000000" w:fill="BFBFBF"/>
            <w:noWrap/>
            <w:vAlign w:val="center"/>
            <w:hideMark/>
          </w:tcPr>
          <w:p w14:paraId="5F1C8F7A"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912,238,144</w:t>
            </w:r>
          </w:p>
        </w:tc>
        <w:tc>
          <w:tcPr>
            <w:tcW w:w="1559" w:type="dxa"/>
            <w:tcBorders>
              <w:top w:val="nil"/>
              <w:left w:val="nil"/>
              <w:bottom w:val="single" w:sz="4" w:space="0" w:color="auto"/>
              <w:right w:val="single" w:sz="4" w:space="0" w:color="auto"/>
            </w:tcBorders>
            <w:shd w:val="clear" w:color="000000" w:fill="BFBFBF"/>
            <w:noWrap/>
            <w:vAlign w:val="center"/>
            <w:hideMark/>
          </w:tcPr>
          <w:p w14:paraId="65B927F7"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0.77%</w:t>
            </w:r>
          </w:p>
        </w:tc>
      </w:tr>
      <w:tr w:rsidR="00250D2A" w:rsidRPr="00250D2A" w14:paraId="3C60417B"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E6641A0"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Estimaciones, Depreciaciones, Deterioros, Obsolescencia y Amortizaciones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03F0504D"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912,238,144</w:t>
            </w:r>
          </w:p>
        </w:tc>
        <w:tc>
          <w:tcPr>
            <w:tcW w:w="1559" w:type="dxa"/>
            <w:tcBorders>
              <w:top w:val="nil"/>
              <w:left w:val="nil"/>
              <w:bottom w:val="single" w:sz="4" w:space="0" w:color="auto"/>
              <w:right w:val="single" w:sz="4" w:space="0" w:color="auto"/>
            </w:tcBorders>
            <w:shd w:val="clear" w:color="auto" w:fill="auto"/>
            <w:noWrap/>
            <w:vAlign w:val="center"/>
            <w:hideMark/>
          </w:tcPr>
          <w:p w14:paraId="35453DCA"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1.33%</w:t>
            </w:r>
          </w:p>
        </w:tc>
      </w:tr>
      <w:tr w:rsidR="00250D2A" w:rsidRPr="00250D2A" w14:paraId="4F127D06" w14:textId="77777777" w:rsidTr="00FB3ABB">
        <w:trPr>
          <w:trHeight w:val="284"/>
        </w:trPr>
        <w:tc>
          <w:tcPr>
            <w:tcW w:w="4957" w:type="dxa"/>
            <w:tcBorders>
              <w:top w:val="nil"/>
              <w:left w:val="single" w:sz="4" w:space="0" w:color="auto"/>
              <w:bottom w:val="single" w:sz="4" w:space="0" w:color="auto"/>
              <w:right w:val="single" w:sz="4" w:space="0" w:color="auto"/>
            </w:tcBorders>
            <w:shd w:val="clear" w:color="000000" w:fill="BFBFBF"/>
            <w:noWrap/>
            <w:vAlign w:val="center"/>
            <w:hideMark/>
          </w:tcPr>
          <w:p w14:paraId="53BCD004" w14:textId="77777777" w:rsidR="009B3320" w:rsidRPr="00250D2A" w:rsidRDefault="009B3320" w:rsidP="009B3320">
            <w:pPr>
              <w:spacing w:after="0" w:line="240" w:lineRule="auto"/>
              <w:rPr>
                <w:rFonts w:eastAsia="Times New Roman" w:cs="Calibri"/>
                <w:b/>
                <w:bCs/>
                <w:sz w:val="14"/>
                <w:szCs w:val="14"/>
                <w:lang w:eastAsia="es-MX"/>
              </w:rPr>
            </w:pPr>
            <w:r w:rsidRPr="00250D2A">
              <w:rPr>
                <w:rFonts w:eastAsia="Times New Roman" w:cs="Calibri"/>
                <w:b/>
                <w:bCs/>
                <w:sz w:val="14"/>
                <w:szCs w:val="14"/>
                <w:lang w:eastAsia="es-MX"/>
              </w:rPr>
              <w:t>Inversión Pública</w:t>
            </w:r>
          </w:p>
        </w:tc>
        <w:tc>
          <w:tcPr>
            <w:tcW w:w="1701" w:type="dxa"/>
            <w:tcBorders>
              <w:top w:val="nil"/>
              <w:left w:val="nil"/>
              <w:bottom w:val="single" w:sz="4" w:space="0" w:color="auto"/>
              <w:right w:val="single" w:sz="4" w:space="0" w:color="auto"/>
            </w:tcBorders>
            <w:shd w:val="clear" w:color="000000" w:fill="BFBFBF"/>
            <w:noWrap/>
            <w:vAlign w:val="center"/>
            <w:hideMark/>
          </w:tcPr>
          <w:p w14:paraId="0D851C79"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3,181,249,352</w:t>
            </w:r>
          </w:p>
        </w:tc>
        <w:tc>
          <w:tcPr>
            <w:tcW w:w="1559" w:type="dxa"/>
            <w:tcBorders>
              <w:top w:val="nil"/>
              <w:left w:val="nil"/>
              <w:bottom w:val="single" w:sz="4" w:space="0" w:color="auto"/>
              <w:right w:val="single" w:sz="4" w:space="0" w:color="auto"/>
            </w:tcBorders>
            <w:shd w:val="clear" w:color="000000" w:fill="BFBFBF"/>
            <w:noWrap/>
            <w:vAlign w:val="center"/>
            <w:hideMark/>
          </w:tcPr>
          <w:p w14:paraId="46A1FA77"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4.65%</w:t>
            </w:r>
          </w:p>
        </w:tc>
      </w:tr>
      <w:tr w:rsidR="00250D2A" w:rsidRPr="00250D2A" w14:paraId="15B07E9F" w14:textId="77777777" w:rsidTr="00FB3ABB">
        <w:trPr>
          <w:trHeight w:val="284"/>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3532833" w14:textId="77777777" w:rsidR="009B3320" w:rsidRPr="00250D2A" w:rsidRDefault="009B3320" w:rsidP="009B3320">
            <w:pPr>
              <w:spacing w:after="0" w:line="240" w:lineRule="auto"/>
              <w:rPr>
                <w:rFonts w:eastAsia="Times New Roman" w:cs="Calibri"/>
                <w:sz w:val="14"/>
                <w:szCs w:val="14"/>
                <w:lang w:eastAsia="es-MX"/>
              </w:rPr>
            </w:pPr>
            <w:r w:rsidRPr="00250D2A">
              <w:rPr>
                <w:rFonts w:eastAsia="Times New Roman" w:cs="Calibri"/>
                <w:sz w:val="14"/>
                <w:szCs w:val="14"/>
                <w:lang w:eastAsia="es-MX"/>
              </w:rPr>
              <w:t>Inversión Pública  No Capitalizable</w:t>
            </w:r>
          </w:p>
        </w:tc>
        <w:tc>
          <w:tcPr>
            <w:tcW w:w="1701" w:type="dxa"/>
            <w:tcBorders>
              <w:top w:val="nil"/>
              <w:left w:val="nil"/>
              <w:bottom w:val="single" w:sz="4" w:space="0" w:color="auto"/>
              <w:right w:val="single" w:sz="4" w:space="0" w:color="auto"/>
            </w:tcBorders>
            <w:shd w:val="clear" w:color="000000" w:fill="FFFFFF"/>
            <w:noWrap/>
            <w:vAlign w:val="center"/>
            <w:hideMark/>
          </w:tcPr>
          <w:p w14:paraId="7839D7E8"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3,181,249,352</w:t>
            </w:r>
          </w:p>
        </w:tc>
        <w:tc>
          <w:tcPr>
            <w:tcW w:w="1559" w:type="dxa"/>
            <w:tcBorders>
              <w:top w:val="nil"/>
              <w:left w:val="nil"/>
              <w:bottom w:val="single" w:sz="4" w:space="0" w:color="auto"/>
              <w:right w:val="single" w:sz="4" w:space="0" w:color="auto"/>
            </w:tcBorders>
            <w:shd w:val="clear" w:color="auto" w:fill="auto"/>
            <w:noWrap/>
            <w:vAlign w:val="center"/>
            <w:hideMark/>
          </w:tcPr>
          <w:p w14:paraId="5E1CE600" w14:textId="77777777" w:rsidR="009B3320" w:rsidRPr="00250D2A" w:rsidRDefault="009B3320" w:rsidP="009B3320">
            <w:pPr>
              <w:spacing w:after="0" w:line="240" w:lineRule="auto"/>
              <w:jc w:val="right"/>
              <w:rPr>
                <w:rFonts w:eastAsia="Times New Roman" w:cs="Calibri"/>
                <w:sz w:val="14"/>
                <w:szCs w:val="14"/>
                <w:lang w:eastAsia="es-MX"/>
              </w:rPr>
            </w:pPr>
            <w:r w:rsidRPr="00250D2A">
              <w:rPr>
                <w:rFonts w:eastAsia="Times New Roman" w:cs="Calibri"/>
                <w:sz w:val="14"/>
                <w:szCs w:val="14"/>
                <w:lang w:eastAsia="es-MX"/>
              </w:rPr>
              <w:t>4.65%</w:t>
            </w:r>
          </w:p>
        </w:tc>
      </w:tr>
      <w:tr w:rsidR="00250D2A" w:rsidRPr="00250D2A" w14:paraId="3C805666" w14:textId="77777777" w:rsidTr="00FB3ABB">
        <w:trPr>
          <w:trHeight w:val="300"/>
        </w:trPr>
        <w:tc>
          <w:tcPr>
            <w:tcW w:w="4957" w:type="dxa"/>
            <w:tcBorders>
              <w:top w:val="nil"/>
              <w:left w:val="single" w:sz="4" w:space="0" w:color="auto"/>
              <w:bottom w:val="single" w:sz="4" w:space="0" w:color="auto"/>
              <w:right w:val="single" w:sz="4" w:space="0" w:color="auto"/>
            </w:tcBorders>
            <w:shd w:val="clear" w:color="000000" w:fill="DDC9A3"/>
            <w:noWrap/>
            <w:vAlign w:val="center"/>
            <w:hideMark/>
          </w:tcPr>
          <w:p w14:paraId="2EF64D77" w14:textId="77777777" w:rsidR="009B3320" w:rsidRPr="00250D2A" w:rsidRDefault="009B3320" w:rsidP="009B3320">
            <w:pPr>
              <w:spacing w:after="0" w:line="240" w:lineRule="auto"/>
              <w:jc w:val="center"/>
              <w:rPr>
                <w:rFonts w:eastAsia="Times New Roman" w:cs="Calibri"/>
                <w:b/>
                <w:bCs/>
                <w:sz w:val="14"/>
                <w:szCs w:val="14"/>
                <w:lang w:eastAsia="es-MX"/>
              </w:rPr>
            </w:pPr>
            <w:r w:rsidRPr="00250D2A">
              <w:rPr>
                <w:rFonts w:eastAsia="Times New Roman" w:cs="Calibri"/>
                <w:b/>
                <w:bCs/>
                <w:sz w:val="14"/>
                <w:szCs w:val="14"/>
                <w:lang w:eastAsia="es-MX"/>
              </w:rPr>
              <w:t>Total de Gastos y Otras Pérdidas</w:t>
            </w:r>
          </w:p>
        </w:tc>
        <w:tc>
          <w:tcPr>
            <w:tcW w:w="1701" w:type="dxa"/>
            <w:tcBorders>
              <w:top w:val="nil"/>
              <w:left w:val="nil"/>
              <w:bottom w:val="single" w:sz="4" w:space="0" w:color="auto"/>
              <w:right w:val="single" w:sz="4" w:space="0" w:color="auto"/>
            </w:tcBorders>
            <w:shd w:val="clear" w:color="000000" w:fill="DDC9A3"/>
            <w:noWrap/>
            <w:vAlign w:val="center"/>
            <w:hideMark/>
          </w:tcPr>
          <w:p w14:paraId="3A068E72" w14:textId="07C6D21B" w:rsidR="009B3320" w:rsidRPr="00250D2A" w:rsidRDefault="009B3320" w:rsidP="00EE0FFF">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68,365,947,9</w:t>
            </w:r>
            <w:r w:rsidR="00EE0FFF" w:rsidRPr="00250D2A">
              <w:rPr>
                <w:rFonts w:eastAsia="Times New Roman" w:cs="Calibri"/>
                <w:b/>
                <w:bCs/>
                <w:sz w:val="14"/>
                <w:szCs w:val="14"/>
                <w:lang w:eastAsia="es-MX"/>
              </w:rPr>
              <w:t>70</w:t>
            </w:r>
          </w:p>
        </w:tc>
        <w:tc>
          <w:tcPr>
            <w:tcW w:w="1559" w:type="dxa"/>
            <w:tcBorders>
              <w:top w:val="nil"/>
              <w:left w:val="nil"/>
              <w:bottom w:val="single" w:sz="4" w:space="0" w:color="auto"/>
              <w:right w:val="single" w:sz="4" w:space="0" w:color="auto"/>
            </w:tcBorders>
            <w:shd w:val="clear" w:color="000000" w:fill="DDC9A3"/>
            <w:noWrap/>
            <w:vAlign w:val="center"/>
            <w:hideMark/>
          </w:tcPr>
          <w:p w14:paraId="28937871" w14:textId="77777777" w:rsidR="009B3320" w:rsidRPr="00250D2A" w:rsidRDefault="009B3320" w:rsidP="009B3320">
            <w:pPr>
              <w:spacing w:after="0" w:line="240" w:lineRule="auto"/>
              <w:jc w:val="right"/>
              <w:rPr>
                <w:rFonts w:eastAsia="Times New Roman" w:cs="Calibri"/>
                <w:b/>
                <w:bCs/>
                <w:sz w:val="14"/>
                <w:szCs w:val="14"/>
                <w:lang w:eastAsia="es-MX"/>
              </w:rPr>
            </w:pPr>
            <w:r w:rsidRPr="00250D2A">
              <w:rPr>
                <w:rFonts w:eastAsia="Times New Roman" w:cs="Calibri"/>
                <w:b/>
                <w:bCs/>
                <w:sz w:val="14"/>
                <w:szCs w:val="14"/>
                <w:lang w:eastAsia="es-MX"/>
              </w:rPr>
              <w:t>100.00%</w:t>
            </w:r>
          </w:p>
        </w:tc>
      </w:tr>
    </w:tbl>
    <w:p w14:paraId="73C60268" w14:textId="77777777" w:rsidR="008E3DEE" w:rsidRPr="005F45A3" w:rsidRDefault="008E3DEE" w:rsidP="001E1630">
      <w:pPr>
        <w:spacing w:after="0" w:line="240" w:lineRule="auto"/>
        <w:ind w:left="1080"/>
        <w:rPr>
          <w:rFonts w:asciiTheme="minorHAnsi" w:hAnsiTheme="minorHAnsi" w:cstheme="minorHAnsi"/>
          <w:sz w:val="18"/>
          <w:lang w:val="es-ES" w:eastAsia="es-ES"/>
        </w:rPr>
      </w:pPr>
    </w:p>
    <w:p w14:paraId="15335355" w14:textId="4E68812E" w:rsidR="00EF6CE1" w:rsidRPr="005F45A3" w:rsidRDefault="00EF6CE1" w:rsidP="006E75F7">
      <w:pPr>
        <w:spacing w:after="0" w:line="240" w:lineRule="auto"/>
        <w:jc w:val="both"/>
        <w:rPr>
          <w:rFonts w:asciiTheme="minorHAnsi" w:eastAsia="Times New Roman" w:hAnsiTheme="minorHAnsi" w:cstheme="minorHAnsi"/>
          <w:sz w:val="17"/>
          <w:szCs w:val="17"/>
          <w:lang w:eastAsia="es-ES"/>
        </w:rPr>
      </w:pPr>
      <w:r w:rsidRPr="005F45A3">
        <w:rPr>
          <w:rFonts w:asciiTheme="minorHAnsi" w:eastAsia="Times New Roman" w:hAnsiTheme="minorHAnsi" w:cstheme="minorHAnsi"/>
          <w:sz w:val="17"/>
          <w:szCs w:val="17"/>
          <w:lang w:eastAsia="es-ES"/>
        </w:rPr>
        <w:t>El importe más significativo del apartado de Gastos y Otras pérdidas es el rubro de Servicios Personales, la cual acumula un monto de $</w:t>
      </w:r>
      <w:r w:rsidR="009B3320" w:rsidRPr="009B3320">
        <w:rPr>
          <w:rFonts w:asciiTheme="minorHAnsi" w:eastAsia="Times New Roman" w:hAnsiTheme="minorHAnsi" w:cstheme="minorHAnsi"/>
          <w:sz w:val="17"/>
          <w:szCs w:val="17"/>
          <w:lang w:eastAsia="es-ES"/>
        </w:rPr>
        <w:t>24,574,488,466</w:t>
      </w:r>
      <w:r w:rsidR="00867519">
        <w:rPr>
          <w:rFonts w:asciiTheme="minorHAnsi" w:eastAsia="Times New Roman" w:hAnsiTheme="minorHAnsi" w:cstheme="minorHAnsi"/>
          <w:sz w:val="17"/>
          <w:szCs w:val="17"/>
          <w:lang w:eastAsia="es-ES"/>
        </w:rPr>
        <w:t>,</w:t>
      </w:r>
      <w:r w:rsidR="005E73FF" w:rsidRPr="005F45A3">
        <w:rPr>
          <w:rFonts w:asciiTheme="minorHAnsi" w:eastAsia="Times New Roman" w:hAnsiTheme="minorHAnsi" w:cstheme="minorHAnsi"/>
          <w:sz w:val="17"/>
          <w:szCs w:val="17"/>
          <w:lang w:eastAsia="es-ES"/>
        </w:rPr>
        <w:t xml:space="preserve"> que representa el </w:t>
      </w:r>
      <w:r w:rsidR="009B3320">
        <w:rPr>
          <w:rFonts w:asciiTheme="minorHAnsi" w:eastAsia="Times New Roman" w:hAnsiTheme="minorHAnsi" w:cstheme="minorHAnsi"/>
          <w:sz w:val="17"/>
          <w:szCs w:val="17"/>
          <w:lang w:eastAsia="es-ES"/>
        </w:rPr>
        <w:t>35.95</w:t>
      </w:r>
      <w:r w:rsidR="00901096" w:rsidRPr="005F45A3">
        <w:rPr>
          <w:rFonts w:asciiTheme="minorHAnsi" w:eastAsia="Times New Roman" w:hAnsiTheme="minorHAnsi" w:cstheme="minorHAnsi"/>
          <w:sz w:val="17"/>
          <w:szCs w:val="17"/>
          <w:lang w:eastAsia="es-ES"/>
        </w:rPr>
        <w:t xml:space="preserve"> % del gasto total.</w:t>
      </w:r>
    </w:p>
    <w:p w14:paraId="6D10ADD5" w14:textId="77777777" w:rsidR="00EF6CE1" w:rsidRPr="005F45A3" w:rsidRDefault="00EF6CE1" w:rsidP="00EF6CE1">
      <w:pPr>
        <w:spacing w:after="0" w:line="240" w:lineRule="auto"/>
        <w:ind w:left="426"/>
        <w:jc w:val="both"/>
        <w:rPr>
          <w:rFonts w:asciiTheme="minorHAnsi" w:eastAsia="Times New Roman" w:hAnsiTheme="minorHAnsi" w:cstheme="minorHAnsi"/>
          <w:sz w:val="17"/>
          <w:szCs w:val="17"/>
          <w:lang w:eastAsia="es-ES"/>
        </w:rPr>
      </w:pPr>
    </w:p>
    <w:p w14:paraId="33E9A8EF" w14:textId="03963E7A" w:rsidR="00EF6CE1" w:rsidRPr="005F45A3" w:rsidRDefault="00EF6CE1" w:rsidP="006E75F7">
      <w:pPr>
        <w:spacing w:after="0" w:line="240" w:lineRule="auto"/>
        <w:jc w:val="both"/>
        <w:rPr>
          <w:rFonts w:asciiTheme="minorHAnsi" w:eastAsia="Times New Roman" w:hAnsiTheme="minorHAnsi" w:cstheme="minorHAnsi"/>
          <w:sz w:val="17"/>
          <w:szCs w:val="17"/>
          <w:lang w:eastAsia="es-ES"/>
        </w:rPr>
      </w:pPr>
      <w:r w:rsidRPr="005F45A3">
        <w:rPr>
          <w:rFonts w:asciiTheme="minorHAnsi" w:eastAsia="Times New Roman" w:hAnsiTheme="minorHAnsi" w:cstheme="minorHAnsi"/>
          <w:sz w:val="17"/>
          <w:szCs w:val="17"/>
          <w:lang w:eastAsia="es-ES"/>
        </w:rPr>
        <w:t xml:space="preserve">En segundo lugar, el rubro de Transferencias, </w:t>
      </w:r>
      <w:r w:rsidR="003F26E2" w:rsidRPr="005F45A3">
        <w:rPr>
          <w:rFonts w:asciiTheme="minorHAnsi" w:eastAsia="Times New Roman" w:hAnsiTheme="minorHAnsi" w:cstheme="minorHAnsi"/>
          <w:sz w:val="17"/>
          <w:szCs w:val="17"/>
          <w:lang w:eastAsia="es-ES"/>
        </w:rPr>
        <w:t>Asignaciones, Subsidios</w:t>
      </w:r>
      <w:r w:rsidRPr="005F45A3">
        <w:rPr>
          <w:rFonts w:asciiTheme="minorHAnsi" w:eastAsia="Times New Roman" w:hAnsiTheme="minorHAnsi" w:cstheme="minorHAnsi"/>
          <w:sz w:val="17"/>
          <w:szCs w:val="17"/>
          <w:lang w:eastAsia="es-ES"/>
        </w:rPr>
        <w:t xml:space="preserve"> y Otras Ayudas </w:t>
      </w:r>
      <w:r w:rsidR="004916CF" w:rsidRPr="005F45A3">
        <w:rPr>
          <w:rFonts w:asciiTheme="minorHAnsi" w:eastAsia="Times New Roman" w:hAnsiTheme="minorHAnsi" w:cstheme="minorHAnsi"/>
          <w:sz w:val="17"/>
          <w:szCs w:val="17"/>
          <w:lang w:eastAsia="es-ES"/>
        </w:rPr>
        <w:t>con un importe de</w:t>
      </w:r>
      <w:r w:rsidR="00C5273E">
        <w:rPr>
          <w:rFonts w:asciiTheme="minorHAnsi" w:eastAsia="Times New Roman" w:hAnsiTheme="minorHAnsi" w:cstheme="minorHAnsi"/>
          <w:sz w:val="17"/>
          <w:szCs w:val="17"/>
          <w:lang w:eastAsia="es-ES"/>
        </w:rPr>
        <w:t xml:space="preserve"> $</w:t>
      </w:r>
      <w:r w:rsidR="009B3320" w:rsidRPr="009B3320">
        <w:rPr>
          <w:rFonts w:asciiTheme="minorHAnsi" w:eastAsia="Times New Roman" w:hAnsiTheme="minorHAnsi" w:cstheme="minorHAnsi"/>
          <w:sz w:val="17"/>
          <w:szCs w:val="17"/>
          <w:lang w:eastAsia="es-ES"/>
        </w:rPr>
        <w:t>20,210,499,901</w:t>
      </w:r>
      <w:r w:rsidR="00F608DA" w:rsidRPr="005F45A3">
        <w:rPr>
          <w:rFonts w:asciiTheme="minorHAnsi" w:eastAsia="Times New Roman" w:hAnsiTheme="minorHAnsi" w:cstheme="minorHAnsi"/>
          <w:sz w:val="17"/>
          <w:szCs w:val="17"/>
          <w:lang w:eastAsia="es-ES"/>
        </w:rPr>
        <w:t>,</w:t>
      </w:r>
      <w:r w:rsidRPr="005F45A3">
        <w:rPr>
          <w:rFonts w:asciiTheme="minorHAnsi" w:eastAsia="Times New Roman" w:hAnsiTheme="minorHAnsi" w:cstheme="minorHAnsi"/>
          <w:sz w:val="17"/>
          <w:szCs w:val="17"/>
          <w:lang w:eastAsia="es-ES"/>
        </w:rPr>
        <w:t xml:space="preserve"> el cual comprende las Asignaciones Presupuestales al Poder Legislati</w:t>
      </w:r>
      <w:r w:rsidR="00703372" w:rsidRPr="005F45A3">
        <w:rPr>
          <w:rFonts w:asciiTheme="minorHAnsi" w:eastAsia="Times New Roman" w:hAnsiTheme="minorHAnsi" w:cstheme="minorHAnsi"/>
          <w:sz w:val="17"/>
          <w:szCs w:val="17"/>
          <w:lang w:eastAsia="es-ES"/>
        </w:rPr>
        <w:t xml:space="preserve">vo, Judicial, Órganos Autónomos, Organismos Públicos Descentralizados </w:t>
      </w:r>
      <w:r w:rsidR="00901096" w:rsidRPr="005F45A3">
        <w:rPr>
          <w:rFonts w:asciiTheme="minorHAnsi" w:eastAsia="Times New Roman" w:hAnsiTheme="minorHAnsi" w:cstheme="minorHAnsi"/>
          <w:sz w:val="17"/>
          <w:szCs w:val="17"/>
          <w:lang w:eastAsia="es-ES"/>
        </w:rPr>
        <w:t xml:space="preserve">y Entidades Paraestatales y representan el </w:t>
      </w:r>
      <w:r w:rsidR="009B3320">
        <w:rPr>
          <w:rFonts w:asciiTheme="minorHAnsi" w:eastAsia="Times New Roman" w:hAnsiTheme="minorHAnsi" w:cstheme="minorHAnsi"/>
          <w:sz w:val="17"/>
          <w:szCs w:val="17"/>
          <w:lang w:eastAsia="es-ES"/>
        </w:rPr>
        <w:t>29.56</w:t>
      </w:r>
      <w:r w:rsidR="00901096" w:rsidRPr="005F45A3">
        <w:rPr>
          <w:rFonts w:asciiTheme="minorHAnsi" w:eastAsia="Times New Roman" w:hAnsiTheme="minorHAnsi" w:cstheme="minorHAnsi"/>
          <w:sz w:val="17"/>
          <w:szCs w:val="17"/>
          <w:lang w:eastAsia="es-ES"/>
        </w:rPr>
        <w:t>% del total del gasto.</w:t>
      </w:r>
    </w:p>
    <w:p w14:paraId="2602A9AC" w14:textId="77777777" w:rsidR="003E6C19" w:rsidRPr="005F45A3" w:rsidRDefault="003E6C19" w:rsidP="00EF6CE1">
      <w:pPr>
        <w:spacing w:after="0" w:line="240" w:lineRule="auto"/>
        <w:jc w:val="both"/>
        <w:rPr>
          <w:rFonts w:asciiTheme="minorHAnsi" w:hAnsiTheme="minorHAnsi" w:cstheme="minorHAnsi"/>
          <w:sz w:val="20"/>
          <w:lang w:val="es-ES" w:eastAsia="es-ES"/>
        </w:rPr>
      </w:pPr>
    </w:p>
    <w:p w14:paraId="4F3404F3" w14:textId="77777777" w:rsidR="00ED0042" w:rsidRPr="005F45A3" w:rsidRDefault="00ED0042" w:rsidP="00EF6CE1">
      <w:pPr>
        <w:spacing w:after="0" w:line="240" w:lineRule="auto"/>
        <w:jc w:val="both"/>
        <w:rPr>
          <w:rFonts w:asciiTheme="minorHAnsi" w:hAnsiTheme="minorHAnsi" w:cstheme="minorHAnsi"/>
          <w:sz w:val="20"/>
          <w:lang w:val="es-ES" w:eastAsia="es-ES"/>
        </w:rPr>
      </w:pPr>
    </w:p>
    <w:p w14:paraId="3D459D35" w14:textId="77777777" w:rsidR="00265FD9" w:rsidRPr="005F45A3" w:rsidRDefault="00265FD9" w:rsidP="006E75F7">
      <w:pPr>
        <w:pStyle w:val="Prrafodelista"/>
        <w:numPr>
          <w:ilvl w:val="0"/>
          <w:numId w:val="29"/>
        </w:numPr>
        <w:spacing w:after="0" w:line="240" w:lineRule="auto"/>
        <w:ind w:left="0" w:hanging="142"/>
        <w:rPr>
          <w:rFonts w:asciiTheme="minorHAnsi" w:hAnsiTheme="minorHAnsi" w:cstheme="minorHAnsi"/>
          <w:b/>
          <w:lang w:val="es-ES" w:eastAsia="es-ES"/>
        </w:rPr>
      </w:pPr>
      <w:r w:rsidRPr="005F45A3">
        <w:rPr>
          <w:rFonts w:asciiTheme="minorHAnsi" w:hAnsiTheme="minorHAnsi" w:cstheme="minorHAnsi"/>
          <w:b/>
          <w:lang w:val="es-ES" w:eastAsia="es-ES"/>
        </w:rPr>
        <w:t>Notas al Estado de Variación en la Hacienda Pública</w:t>
      </w:r>
    </w:p>
    <w:p w14:paraId="32ACD79E" w14:textId="77777777" w:rsidR="00265FD9" w:rsidRPr="005F45A3" w:rsidRDefault="00265FD9" w:rsidP="0082143F">
      <w:pPr>
        <w:spacing w:after="0" w:line="240" w:lineRule="auto"/>
        <w:rPr>
          <w:rFonts w:asciiTheme="minorHAnsi" w:hAnsiTheme="minorHAnsi" w:cstheme="minorHAnsi"/>
          <w:b/>
          <w:sz w:val="18"/>
          <w:lang w:val="es-ES" w:eastAsia="es-ES"/>
        </w:rPr>
      </w:pPr>
    </w:p>
    <w:p w14:paraId="2BD88850" w14:textId="77777777" w:rsidR="00D931ED" w:rsidRPr="005F45A3" w:rsidRDefault="00D931ED" w:rsidP="006E75F7">
      <w:pPr>
        <w:numPr>
          <w:ilvl w:val="0"/>
          <w:numId w:val="17"/>
        </w:numPr>
        <w:spacing w:after="0" w:line="240" w:lineRule="auto"/>
        <w:ind w:left="284" w:hanging="284"/>
        <w:jc w:val="both"/>
        <w:rPr>
          <w:rFonts w:asciiTheme="minorHAnsi" w:eastAsia="Times New Roman" w:hAnsiTheme="minorHAnsi" w:cstheme="minorHAnsi"/>
          <w:sz w:val="17"/>
          <w:szCs w:val="17"/>
          <w:lang w:eastAsia="es-ES"/>
        </w:rPr>
      </w:pPr>
      <w:r w:rsidRPr="005F45A3">
        <w:rPr>
          <w:rFonts w:asciiTheme="minorHAnsi" w:eastAsia="Times New Roman" w:hAnsiTheme="minorHAnsi" w:cstheme="minorHAnsi"/>
          <w:sz w:val="17"/>
          <w:szCs w:val="17"/>
          <w:lang w:eastAsia="es-ES"/>
        </w:rPr>
        <w:t>En el Ejercicio se registró en la Hacienda Pública/Patrimonio Contribuido:</w:t>
      </w:r>
    </w:p>
    <w:p w14:paraId="2CF23C95" w14:textId="77777777" w:rsidR="00D931ED" w:rsidRPr="005F45A3" w:rsidRDefault="00D931ED" w:rsidP="00184072">
      <w:pPr>
        <w:spacing w:after="0" w:line="240" w:lineRule="auto"/>
        <w:ind w:left="720"/>
        <w:jc w:val="both"/>
        <w:rPr>
          <w:rFonts w:asciiTheme="minorHAnsi" w:hAnsiTheme="minorHAnsi" w:cstheme="minorHAnsi"/>
          <w:sz w:val="17"/>
          <w:szCs w:val="17"/>
        </w:rPr>
      </w:pPr>
    </w:p>
    <w:p w14:paraId="640AD999" w14:textId="15F1DB17" w:rsidR="00AB2B27" w:rsidRPr="005F45A3" w:rsidRDefault="00AB2B27" w:rsidP="006E75F7">
      <w:pPr>
        <w:spacing w:after="0" w:line="240" w:lineRule="auto"/>
        <w:ind w:left="284"/>
        <w:jc w:val="both"/>
        <w:rPr>
          <w:rFonts w:asciiTheme="minorHAnsi" w:hAnsiTheme="minorHAnsi" w:cstheme="minorHAnsi"/>
          <w:sz w:val="17"/>
          <w:szCs w:val="17"/>
        </w:rPr>
      </w:pPr>
      <w:r w:rsidRPr="005F45A3">
        <w:rPr>
          <w:rFonts w:asciiTheme="minorHAnsi" w:hAnsiTheme="minorHAnsi" w:cstheme="minorHAnsi"/>
          <w:sz w:val="17"/>
          <w:szCs w:val="17"/>
        </w:rPr>
        <w:t>Esta cuenta muestra un</w:t>
      </w:r>
      <w:r w:rsidR="00C407ED">
        <w:rPr>
          <w:rFonts w:asciiTheme="minorHAnsi" w:hAnsiTheme="minorHAnsi" w:cstheme="minorHAnsi"/>
          <w:sz w:val="17"/>
          <w:szCs w:val="17"/>
        </w:rPr>
        <w:t xml:space="preserve"> dec</w:t>
      </w:r>
      <w:r w:rsidR="00303D0D" w:rsidRPr="005F45A3">
        <w:rPr>
          <w:rFonts w:asciiTheme="minorHAnsi" w:hAnsiTheme="minorHAnsi" w:cstheme="minorHAnsi"/>
          <w:sz w:val="17"/>
          <w:szCs w:val="17"/>
        </w:rPr>
        <w:t>remento</w:t>
      </w:r>
      <w:r w:rsidRPr="005F45A3">
        <w:rPr>
          <w:rFonts w:asciiTheme="minorHAnsi" w:hAnsiTheme="minorHAnsi" w:cstheme="minorHAnsi"/>
          <w:sz w:val="17"/>
          <w:szCs w:val="17"/>
        </w:rPr>
        <w:t xml:space="preserve"> de Aportaciones po</w:t>
      </w:r>
      <w:r w:rsidR="00495FDA" w:rsidRPr="005F45A3">
        <w:rPr>
          <w:rFonts w:asciiTheme="minorHAnsi" w:hAnsiTheme="minorHAnsi" w:cstheme="minorHAnsi"/>
          <w:sz w:val="17"/>
          <w:szCs w:val="17"/>
        </w:rPr>
        <w:t>r la cantidad de $</w:t>
      </w:r>
      <w:r w:rsidR="008C65AA">
        <w:rPr>
          <w:rFonts w:asciiTheme="minorHAnsi" w:hAnsiTheme="minorHAnsi" w:cstheme="minorHAnsi"/>
          <w:sz w:val="17"/>
          <w:szCs w:val="17"/>
        </w:rPr>
        <w:t>47</w:t>
      </w:r>
      <w:proofErr w:type="gramStart"/>
      <w:r w:rsidR="008C65AA">
        <w:rPr>
          <w:rFonts w:asciiTheme="minorHAnsi" w:hAnsiTheme="minorHAnsi" w:cstheme="minorHAnsi"/>
          <w:sz w:val="17"/>
          <w:szCs w:val="17"/>
        </w:rPr>
        <w:t>,529,230</w:t>
      </w:r>
      <w:proofErr w:type="gramEnd"/>
      <w:r w:rsidR="00495FDA" w:rsidRPr="005F45A3">
        <w:rPr>
          <w:rFonts w:asciiTheme="minorHAnsi" w:hAnsiTheme="minorHAnsi" w:cstheme="minorHAnsi"/>
          <w:sz w:val="17"/>
          <w:szCs w:val="17"/>
        </w:rPr>
        <w:t xml:space="preserve">, </w:t>
      </w:r>
      <w:r w:rsidR="00303D0D" w:rsidRPr="005F45A3">
        <w:rPr>
          <w:rFonts w:asciiTheme="minorHAnsi" w:hAnsiTheme="minorHAnsi" w:cstheme="minorHAnsi"/>
          <w:sz w:val="17"/>
          <w:szCs w:val="17"/>
        </w:rPr>
        <w:t>dichas</w:t>
      </w:r>
      <w:r w:rsidR="00D85D48" w:rsidRPr="005F45A3">
        <w:rPr>
          <w:rFonts w:asciiTheme="minorHAnsi" w:hAnsiTheme="minorHAnsi" w:cstheme="minorHAnsi"/>
          <w:sz w:val="17"/>
          <w:szCs w:val="17"/>
        </w:rPr>
        <w:t xml:space="preserve"> </w:t>
      </w:r>
      <w:r w:rsidRPr="005F45A3">
        <w:rPr>
          <w:rFonts w:asciiTheme="minorHAnsi" w:hAnsiTheme="minorHAnsi" w:cstheme="minorHAnsi"/>
          <w:sz w:val="17"/>
          <w:szCs w:val="17"/>
        </w:rPr>
        <w:t>aportaciones registradas por el Fideicomiso del Puente Laredo III</w:t>
      </w:r>
      <w:r w:rsidR="00B04C2E">
        <w:rPr>
          <w:rFonts w:asciiTheme="minorHAnsi" w:hAnsiTheme="minorHAnsi" w:cstheme="minorHAnsi"/>
          <w:sz w:val="17"/>
          <w:szCs w:val="17"/>
        </w:rPr>
        <w:t xml:space="preserve"> por pagos efectuados a los fideicomitentes.</w:t>
      </w:r>
    </w:p>
    <w:p w14:paraId="0F4AA8A3" w14:textId="77777777" w:rsidR="00AB2B27" w:rsidRPr="005F45A3" w:rsidRDefault="00AB2B27" w:rsidP="006E75F7">
      <w:pPr>
        <w:spacing w:after="0" w:line="240" w:lineRule="auto"/>
        <w:ind w:left="284"/>
        <w:jc w:val="both"/>
        <w:rPr>
          <w:rFonts w:asciiTheme="minorHAnsi" w:hAnsiTheme="minorHAnsi" w:cstheme="minorHAnsi"/>
          <w:sz w:val="17"/>
          <w:szCs w:val="17"/>
          <w:highlight w:val="yellow"/>
        </w:rPr>
      </w:pPr>
    </w:p>
    <w:p w14:paraId="3E3437D4" w14:textId="5644E0DB" w:rsidR="003976FF" w:rsidRDefault="003976FF" w:rsidP="006E75F7">
      <w:pPr>
        <w:spacing w:after="0"/>
        <w:ind w:left="284"/>
        <w:jc w:val="both"/>
        <w:rPr>
          <w:rFonts w:asciiTheme="minorHAnsi" w:hAnsiTheme="minorHAnsi" w:cstheme="minorHAnsi"/>
          <w:sz w:val="17"/>
          <w:szCs w:val="17"/>
        </w:rPr>
      </w:pPr>
      <w:r w:rsidRPr="005F45A3">
        <w:rPr>
          <w:rFonts w:asciiTheme="minorHAnsi" w:hAnsiTheme="minorHAnsi" w:cstheme="minorHAnsi"/>
          <w:sz w:val="17"/>
          <w:szCs w:val="17"/>
        </w:rPr>
        <w:t>Se registraron</w:t>
      </w:r>
      <w:r w:rsidR="0022296C" w:rsidRPr="005F45A3">
        <w:rPr>
          <w:rFonts w:asciiTheme="minorHAnsi" w:hAnsiTheme="minorHAnsi" w:cstheme="minorHAnsi"/>
          <w:sz w:val="17"/>
          <w:szCs w:val="17"/>
        </w:rPr>
        <w:t xml:space="preserve"> Donativos por un total de </w:t>
      </w:r>
      <w:r w:rsidR="00C95058" w:rsidRPr="005F45A3">
        <w:rPr>
          <w:rFonts w:asciiTheme="minorHAnsi" w:hAnsiTheme="minorHAnsi" w:cstheme="minorHAnsi"/>
          <w:sz w:val="17"/>
          <w:szCs w:val="17"/>
        </w:rPr>
        <w:t>$</w:t>
      </w:r>
      <w:r w:rsidR="008C65AA">
        <w:rPr>
          <w:rFonts w:asciiTheme="minorHAnsi" w:hAnsiTheme="minorHAnsi" w:cstheme="minorHAnsi"/>
          <w:sz w:val="17"/>
          <w:szCs w:val="17"/>
        </w:rPr>
        <w:t>711</w:t>
      </w:r>
      <w:proofErr w:type="gramStart"/>
      <w:r w:rsidR="008C65AA">
        <w:rPr>
          <w:rFonts w:asciiTheme="minorHAnsi" w:hAnsiTheme="minorHAnsi" w:cstheme="minorHAnsi"/>
          <w:sz w:val="17"/>
          <w:szCs w:val="17"/>
        </w:rPr>
        <w:t>,617,826</w:t>
      </w:r>
      <w:proofErr w:type="gramEnd"/>
      <w:r w:rsidR="002A7F66" w:rsidRPr="005F45A3">
        <w:rPr>
          <w:rFonts w:asciiTheme="minorHAnsi" w:hAnsiTheme="minorHAnsi" w:cstheme="minorHAnsi"/>
          <w:sz w:val="17"/>
          <w:szCs w:val="17"/>
        </w:rPr>
        <w:t>, originado por el reconocimiento de bienes inmuebles realizada por la Dirección de Patrimonio</w:t>
      </w:r>
      <w:r w:rsidR="00D82AE5" w:rsidRPr="005F45A3">
        <w:rPr>
          <w:rFonts w:asciiTheme="minorHAnsi" w:hAnsiTheme="minorHAnsi" w:cstheme="minorHAnsi"/>
          <w:sz w:val="17"/>
          <w:szCs w:val="17"/>
        </w:rPr>
        <w:t xml:space="preserve"> derivado de su proceso de reconocimiento y registro de bienes</w:t>
      </w:r>
      <w:r w:rsidR="002A7F66" w:rsidRPr="005F45A3">
        <w:rPr>
          <w:rFonts w:asciiTheme="minorHAnsi" w:hAnsiTheme="minorHAnsi" w:cstheme="minorHAnsi"/>
          <w:sz w:val="17"/>
          <w:szCs w:val="17"/>
        </w:rPr>
        <w:t>.</w:t>
      </w:r>
    </w:p>
    <w:p w14:paraId="70231D7C" w14:textId="1667E1FA" w:rsidR="00277641" w:rsidRPr="005F45A3" w:rsidRDefault="00277641" w:rsidP="00184072">
      <w:pPr>
        <w:spacing w:after="0"/>
        <w:ind w:left="1068"/>
        <w:jc w:val="both"/>
        <w:rPr>
          <w:rFonts w:asciiTheme="minorHAnsi" w:hAnsiTheme="minorHAnsi" w:cstheme="minorHAnsi"/>
          <w:sz w:val="16"/>
          <w:szCs w:val="18"/>
        </w:rPr>
      </w:pPr>
    </w:p>
    <w:p w14:paraId="0371BAC4" w14:textId="253C0954" w:rsidR="00D931ED" w:rsidRDefault="00D931ED" w:rsidP="006E75F7">
      <w:pPr>
        <w:numPr>
          <w:ilvl w:val="0"/>
          <w:numId w:val="17"/>
        </w:numPr>
        <w:ind w:left="284" w:hanging="284"/>
        <w:jc w:val="both"/>
        <w:rPr>
          <w:rFonts w:asciiTheme="minorHAnsi" w:hAnsiTheme="minorHAnsi" w:cstheme="minorHAnsi"/>
          <w:sz w:val="18"/>
          <w:szCs w:val="18"/>
        </w:rPr>
      </w:pPr>
      <w:r w:rsidRPr="005F45A3">
        <w:rPr>
          <w:rFonts w:asciiTheme="minorHAnsi" w:hAnsiTheme="minorHAnsi" w:cstheme="minorHAnsi"/>
          <w:sz w:val="18"/>
          <w:szCs w:val="18"/>
        </w:rPr>
        <w:t>En Hacienda /Patrimonio Generado:</w:t>
      </w:r>
    </w:p>
    <w:p w14:paraId="3D169817" w14:textId="77777777" w:rsidR="005F5A90" w:rsidRPr="005F45A3" w:rsidRDefault="005F5A90" w:rsidP="000D15E5">
      <w:pPr>
        <w:ind w:left="284"/>
        <w:jc w:val="both"/>
        <w:rPr>
          <w:rFonts w:asciiTheme="minorHAnsi" w:hAnsiTheme="minorHAnsi" w:cstheme="minorHAnsi"/>
          <w:b/>
          <w:sz w:val="18"/>
          <w:szCs w:val="18"/>
        </w:rPr>
      </w:pPr>
      <w:r w:rsidRPr="005F45A3">
        <w:rPr>
          <w:rFonts w:asciiTheme="minorHAnsi" w:hAnsiTheme="minorHAnsi" w:cstheme="minorHAnsi"/>
          <w:b/>
          <w:sz w:val="18"/>
          <w:szCs w:val="18"/>
        </w:rPr>
        <w:t>Resultado del Ejercicio (Ahorro/Desahorro)</w:t>
      </w:r>
    </w:p>
    <w:p w14:paraId="26D58E9D" w14:textId="238E8E1B" w:rsidR="00A5485C" w:rsidRPr="005F45A3" w:rsidRDefault="0089028A" w:rsidP="000D15E5">
      <w:pPr>
        <w:spacing w:after="0"/>
        <w:ind w:left="284"/>
        <w:jc w:val="both"/>
        <w:rPr>
          <w:rFonts w:asciiTheme="minorHAnsi" w:hAnsiTheme="minorHAnsi" w:cstheme="minorHAnsi"/>
          <w:sz w:val="17"/>
          <w:szCs w:val="17"/>
        </w:rPr>
      </w:pPr>
      <w:r w:rsidRPr="005F45A3">
        <w:rPr>
          <w:rFonts w:asciiTheme="minorHAnsi" w:hAnsiTheme="minorHAnsi" w:cstheme="minorHAnsi"/>
          <w:sz w:val="17"/>
          <w:szCs w:val="17"/>
        </w:rPr>
        <w:t>Del</w:t>
      </w:r>
      <w:r w:rsidR="00D931ED" w:rsidRPr="005F45A3">
        <w:rPr>
          <w:rFonts w:asciiTheme="minorHAnsi" w:hAnsiTheme="minorHAnsi" w:cstheme="minorHAnsi"/>
          <w:sz w:val="17"/>
          <w:szCs w:val="17"/>
        </w:rPr>
        <w:t xml:space="preserve"> Patrimonio Generado del </w:t>
      </w:r>
      <w:r w:rsidR="00683D0A" w:rsidRPr="005F45A3">
        <w:rPr>
          <w:rFonts w:asciiTheme="minorHAnsi" w:hAnsiTheme="minorHAnsi" w:cstheme="minorHAnsi"/>
          <w:sz w:val="17"/>
          <w:szCs w:val="17"/>
        </w:rPr>
        <w:t>ejercicio 20</w:t>
      </w:r>
      <w:r w:rsidR="00303D0D" w:rsidRPr="005F45A3">
        <w:rPr>
          <w:rFonts w:asciiTheme="minorHAnsi" w:hAnsiTheme="minorHAnsi" w:cstheme="minorHAnsi"/>
          <w:sz w:val="17"/>
          <w:szCs w:val="17"/>
        </w:rPr>
        <w:t>21</w:t>
      </w:r>
      <w:r w:rsidR="0095719F" w:rsidRPr="005F45A3">
        <w:rPr>
          <w:rFonts w:asciiTheme="minorHAnsi" w:hAnsiTheme="minorHAnsi" w:cstheme="minorHAnsi"/>
          <w:sz w:val="17"/>
          <w:szCs w:val="17"/>
        </w:rPr>
        <w:t xml:space="preserve"> </w:t>
      </w:r>
      <w:r w:rsidR="00D931ED" w:rsidRPr="005F45A3">
        <w:rPr>
          <w:rFonts w:asciiTheme="minorHAnsi" w:hAnsiTheme="minorHAnsi" w:cstheme="minorHAnsi"/>
          <w:sz w:val="17"/>
          <w:szCs w:val="17"/>
        </w:rPr>
        <w:t>cuenta de Resultado del Ejercicio (Ahorro/De</w:t>
      </w:r>
      <w:r w:rsidR="00683D0A" w:rsidRPr="005F45A3">
        <w:rPr>
          <w:rFonts w:asciiTheme="minorHAnsi" w:hAnsiTheme="minorHAnsi" w:cstheme="minorHAnsi"/>
          <w:sz w:val="17"/>
          <w:szCs w:val="17"/>
        </w:rPr>
        <w:t>sahorro)</w:t>
      </w:r>
      <w:r w:rsidR="00D85D48" w:rsidRPr="005F45A3">
        <w:rPr>
          <w:rFonts w:asciiTheme="minorHAnsi" w:hAnsiTheme="minorHAnsi" w:cstheme="minorHAnsi"/>
          <w:sz w:val="17"/>
          <w:szCs w:val="17"/>
        </w:rPr>
        <w:t xml:space="preserve"> se </w:t>
      </w:r>
      <w:r w:rsidR="0095719F" w:rsidRPr="005F45A3">
        <w:rPr>
          <w:rFonts w:asciiTheme="minorHAnsi" w:hAnsiTheme="minorHAnsi" w:cstheme="minorHAnsi"/>
          <w:sz w:val="17"/>
          <w:szCs w:val="17"/>
        </w:rPr>
        <w:t>realizó</w:t>
      </w:r>
      <w:r w:rsidR="00D85D48" w:rsidRPr="005F45A3">
        <w:rPr>
          <w:rFonts w:asciiTheme="minorHAnsi" w:hAnsiTheme="minorHAnsi" w:cstheme="minorHAnsi"/>
          <w:sz w:val="17"/>
          <w:szCs w:val="17"/>
        </w:rPr>
        <w:t xml:space="preserve"> </w:t>
      </w:r>
      <w:r w:rsidR="000D15E5">
        <w:rPr>
          <w:rFonts w:asciiTheme="minorHAnsi" w:hAnsiTheme="minorHAnsi" w:cstheme="minorHAnsi"/>
          <w:sz w:val="17"/>
          <w:szCs w:val="17"/>
        </w:rPr>
        <w:t xml:space="preserve">el traslado a la cuenta de </w:t>
      </w:r>
      <w:r w:rsidR="00D85D48" w:rsidRPr="005F45A3">
        <w:rPr>
          <w:rFonts w:asciiTheme="minorHAnsi" w:hAnsiTheme="minorHAnsi" w:cstheme="minorHAnsi"/>
          <w:sz w:val="17"/>
          <w:szCs w:val="17"/>
        </w:rPr>
        <w:t>Resultado de Ejercicios Anteriores por  $</w:t>
      </w:r>
      <w:r w:rsidR="00303D0D" w:rsidRPr="005F45A3">
        <w:rPr>
          <w:rFonts w:asciiTheme="minorHAnsi" w:hAnsiTheme="minorHAnsi" w:cstheme="minorHAnsi"/>
          <w:sz w:val="17"/>
          <w:szCs w:val="17"/>
        </w:rPr>
        <w:t>94,522,599</w:t>
      </w:r>
      <w:r w:rsidR="00867519">
        <w:rPr>
          <w:rFonts w:asciiTheme="minorHAnsi" w:hAnsiTheme="minorHAnsi" w:cstheme="minorHAnsi"/>
          <w:sz w:val="17"/>
          <w:szCs w:val="17"/>
        </w:rPr>
        <w:t>,</w:t>
      </w:r>
      <w:r w:rsidR="0095719F" w:rsidRPr="005F45A3">
        <w:rPr>
          <w:rFonts w:asciiTheme="minorHAnsi" w:hAnsiTheme="minorHAnsi" w:cstheme="minorHAnsi"/>
          <w:sz w:val="17"/>
          <w:szCs w:val="17"/>
        </w:rPr>
        <w:t xml:space="preserve"> </w:t>
      </w:r>
      <w:r w:rsidR="003C1F50" w:rsidRPr="005F45A3">
        <w:rPr>
          <w:rFonts w:asciiTheme="minorHAnsi" w:hAnsiTheme="minorHAnsi" w:cstheme="minorHAnsi"/>
          <w:sz w:val="17"/>
          <w:szCs w:val="17"/>
        </w:rPr>
        <w:t>al cierre del</w:t>
      </w:r>
      <w:r w:rsidR="00B6177C" w:rsidRPr="005F45A3">
        <w:rPr>
          <w:rFonts w:asciiTheme="minorHAnsi" w:hAnsiTheme="minorHAnsi" w:cstheme="minorHAnsi"/>
          <w:sz w:val="17"/>
          <w:szCs w:val="17"/>
        </w:rPr>
        <w:t xml:space="preserve"> </w:t>
      </w:r>
      <w:r w:rsidR="008C65AA">
        <w:rPr>
          <w:rFonts w:asciiTheme="minorHAnsi" w:hAnsiTheme="minorHAnsi" w:cstheme="minorHAnsi"/>
          <w:sz w:val="17"/>
          <w:szCs w:val="17"/>
        </w:rPr>
        <w:t xml:space="preserve">cuarto </w:t>
      </w:r>
      <w:r w:rsidR="003C1F50" w:rsidRPr="005F45A3">
        <w:rPr>
          <w:rFonts w:asciiTheme="minorHAnsi" w:hAnsiTheme="minorHAnsi" w:cstheme="minorHAnsi"/>
          <w:sz w:val="17"/>
          <w:szCs w:val="17"/>
        </w:rPr>
        <w:t xml:space="preserve">trimestre </w:t>
      </w:r>
      <w:r w:rsidR="00DB1245" w:rsidRPr="005F45A3">
        <w:rPr>
          <w:rFonts w:asciiTheme="minorHAnsi" w:hAnsiTheme="minorHAnsi" w:cstheme="minorHAnsi"/>
          <w:sz w:val="17"/>
          <w:szCs w:val="17"/>
        </w:rPr>
        <w:t xml:space="preserve">se </w:t>
      </w:r>
      <w:r w:rsidR="0095719F" w:rsidRPr="005F45A3">
        <w:rPr>
          <w:rFonts w:asciiTheme="minorHAnsi" w:hAnsiTheme="minorHAnsi" w:cstheme="minorHAnsi"/>
          <w:sz w:val="17"/>
          <w:szCs w:val="17"/>
        </w:rPr>
        <w:t xml:space="preserve">refleja </w:t>
      </w:r>
      <w:r w:rsidR="00683D0A" w:rsidRPr="005F45A3">
        <w:rPr>
          <w:rFonts w:asciiTheme="minorHAnsi" w:hAnsiTheme="minorHAnsi" w:cstheme="minorHAnsi"/>
          <w:sz w:val="17"/>
          <w:szCs w:val="17"/>
        </w:rPr>
        <w:t xml:space="preserve"> </w:t>
      </w:r>
      <w:r w:rsidR="00DB1245" w:rsidRPr="005F45A3">
        <w:rPr>
          <w:rFonts w:asciiTheme="minorHAnsi" w:hAnsiTheme="minorHAnsi" w:cstheme="minorHAnsi"/>
          <w:sz w:val="17"/>
          <w:szCs w:val="17"/>
        </w:rPr>
        <w:t xml:space="preserve">en el Resultado del Ejercicio (Ahorro/Desahorro) </w:t>
      </w:r>
      <w:r w:rsidR="00683D0A" w:rsidRPr="005F45A3">
        <w:rPr>
          <w:rFonts w:asciiTheme="minorHAnsi" w:hAnsiTheme="minorHAnsi" w:cstheme="minorHAnsi"/>
          <w:sz w:val="17"/>
          <w:szCs w:val="17"/>
        </w:rPr>
        <w:t xml:space="preserve"> </w:t>
      </w:r>
      <w:r w:rsidR="0095719F" w:rsidRPr="005F45A3">
        <w:rPr>
          <w:rFonts w:asciiTheme="minorHAnsi" w:hAnsiTheme="minorHAnsi" w:cstheme="minorHAnsi"/>
          <w:sz w:val="17"/>
          <w:szCs w:val="17"/>
        </w:rPr>
        <w:t xml:space="preserve">por </w:t>
      </w:r>
      <w:r w:rsidR="00683D0A" w:rsidRPr="005F45A3">
        <w:rPr>
          <w:rFonts w:asciiTheme="minorHAnsi" w:hAnsiTheme="minorHAnsi" w:cstheme="minorHAnsi"/>
          <w:sz w:val="17"/>
          <w:szCs w:val="17"/>
        </w:rPr>
        <w:t>la cantidad de</w:t>
      </w:r>
      <w:r w:rsidR="00A9440C" w:rsidRPr="005F45A3">
        <w:rPr>
          <w:rFonts w:asciiTheme="minorHAnsi" w:hAnsiTheme="minorHAnsi" w:cstheme="minorHAnsi"/>
          <w:sz w:val="17"/>
          <w:szCs w:val="17"/>
        </w:rPr>
        <w:t xml:space="preserve"> $</w:t>
      </w:r>
      <w:r w:rsidR="008C65AA">
        <w:rPr>
          <w:rFonts w:asciiTheme="minorHAnsi" w:hAnsiTheme="minorHAnsi" w:cstheme="minorHAnsi"/>
          <w:sz w:val="17"/>
          <w:szCs w:val="17"/>
        </w:rPr>
        <w:t>1,641,391,406.</w:t>
      </w:r>
    </w:p>
    <w:p w14:paraId="4D05626E" w14:textId="77777777" w:rsidR="0098750F" w:rsidRPr="005F45A3" w:rsidRDefault="0098750F" w:rsidP="0098750F">
      <w:pPr>
        <w:spacing w:after="0"/>
        <w:ind w:left="1066"/>
        <w:jc w:val="both"/>
        <w:rPr>
          <w:rFonts w:asciiTheme="minorHAnsi" w:hAnsiTheme="minorHAnsi" w:cstheme="minorHAnsi"/>
          <w:sz w:val="14"/>
          <w:szCs w:val="17"/>
        </w:rPr>
      </w:pPr>
    </w:p>
    <w:p w14:paraId="22D3CC5D" w14:textId="77777777" w:rsidR="0098750F" w:rsidRPr="005F45A3" w:rsidRDefault="0098750F" w:rsidP="0098750F">
      <w:pPr>
        <w:spacing w:after="0"/>
        <w:ind w:left="1066"/>
        <w:jc w:val="both"/>
        <w:rPr>
          <w:rFonts w:asciiTheme="minorHAnsi" w:hAnsiTheme="minorHAnsi" w:cstheme="minorHAnsi"/>
          <w:b/>
          <w:sz w:val="14"/>
          <w:szCs w:val="18"/>
        </w:rPr>
      </w:pPr>
    </w:p>
    <w:p w14:paraId="69CCD1DB" w14:textId="73947EDD" w:rsidR="00D931ED" w:rsidRPr="005F45A3" w:rsidRDefault="00D931ED" w:rsidP="000D15E5">
      <w:pPr>
        <w:spacing w:after="0"/>
        <w:ind w:left="1066" w:hanging="782"/>
        <w:jc w:val="both"/>
        <w:rPr>
          <w:rFonts w:asciiTheme="minorHAnsi" w:hAnsiTheme="minorHAnsi" w:cstheme="minorHAnsi"/>
          <w:b/>
          <w:sz w:val="18"/>
          <w:szCs w:val="18"/>
        </w:rPr>
      </w:pPr>
      <w:r w:rsidRPr="005F45A3">
        <w:rPr>
          <w:rFonts w:asciiTheme="minorHAnsi" w:hAnsiTheme="minorHAnsi" w:cstheme="minorHAnsi"/>
          <w:b/>
          <w:sz w:val="18"/>
          <w:szCs w:val="18"/>
        </w:rPr>
        <w:t>Resultado de Ejercicios Anteriores las variaciones más significativas comprenden:</w:t>
      </w:r>
    </w:p>
    <w:p w14:paraId="719BC0EE" w14:textId="696C067C" w:rsidR="00C241B5" w:rsidRPr="005F45A3" w:rsidRDefault="00C241B5" w:rsidP="000D15E5">
      <w:pPr>
        <w:spacing w:after="0"/>
        <w:ind w:left="284"/>
        <w:jc w:val="both"/>
        <w:rPr>
          <w:rFonts w:asciiTheme="minorHAnsi" w:hAnsiTheme="minorHAnsi" w:cstheme="minorHAnsi"/>
          <w:sz w:val="18"/>
          <w:szCs w:val="18"/>
        </w:rPr>
      </w:pPr>
      <w:r w:rsidRPr="005F45A3">
        <w:rPr>
          <w:rFonts w:asciiTheme="minorHAnsi" w:hAnsiTheme="minorHAnsi" w:cstheme="minorHAnsi"/>
          <w:sz w:val="18"/>
          <w:szCs w:val="18"/>
        </w:rPr>
        <w:t>Fue registrado la cantidad de $</w:t>
      </w:r>
      <w:r w:rsidR="006120D1">
        <w:rPr>
          <w:rFonts w:asciiTheme="minorHAnsi" w:hAnsiTheme="minorHAnsi" w:cstheme="minorHAnsi"/>
          <w:sz w:val="18"/>
          <w:szCs w:val="18"/>
        </w:rPr>
        <w:t>152,865,713</w:t>
      </w:r>
      <w:r w:rsidRPr="005F45A3">
        <w:rPr>
          <w:rFonts w:asciiTheme="minorHAnsi" w:hAnsiTheme="minorHAnsi" w:cstheme="minorHAnsi"/>
          <w:sz w:val="18"/>
          <w:szCs w:val="18"/>
        </w:rPr>
        <w:t>, correspondiente a la Devolución de Rendimientos</w:t>
      </w:r>
      <w:r w:rsidR="00DB1245" w:rsidRPr="005F45A3">
        <w:rPr>
          <w:rFonts w:asciiTheme="minorHAnsi" w:hAnsiTheme="minorHAnsi" w:cstheme="minorHAnsi"/>
          <w:sz w:val="18"/>
          <w:szCs w:val="18"/>
        </w:rPr>
        <w:t xml:space="preserve"> Financieros</w:t>
      </w:r>
      <w:r w:rsidRPr="005F45A3">
        <w:rPr>
          <w:rFonts w:asciiTheme="minorHAnsi" w:hAnsiTheme="minorHAnsi" w:cstheme="minorHAnsi"/>
          <w:sz w:val="18"/>
          <w:szCs w:val="18"/>
        </w:rPr>
        <w:t xml:space="preserve"> y Recursos No Ejercidos de Convenios Federales,</w:t>
      </w:r>
      <w:r w:rsidR="009C7E47" w:rsidRPr="005F45A3">
        <w:rPr>
          <w:rFonts w:asciiTheme="minorHAnsi" w:hAnsiTheme="minorHAnsi" w:cstheme="minorHAnsi"/>
          <w:sz w:val="18"/>
          <w:szCs w:val="18"/>
        </w:rPr>
        <w:t xml:space="preserve"> </w:t>
      </w:r>
      <w:r w:rsidR="00412D50" w:rsidRPr="005F45A3">
        <w:rPr>
          <w:rFonts w:asciiTheme="minorHAnsi" w:hAnsiTheme="minorHAnsi" w:cstheme="minorHAnsi"/>
          <w:sz w:val="18"/>
          <w:szCs w:val="18"/>
        </w:rPr>
        <w:t xml:space="preserve">recibimos </w:t>
      </w:r>
      <w:r w:rsidR="009C7E47" w:rsidRPr="005F45A3">
        <w:rPr>
          <w:rFonts w:asciiTheme="minorHAnsi" w:hAnsiTheme="minorHAnsi" w:cstheme="minorHAnsi"/>
          <w:sz w:val="18"/>
          <w:szCs w:val="18"/>
        </w:rPr>
        <w:t>devolucion</w:t>
      </w:r>
      <w:r w:rsidR="009E6F8E">
        <w:rPr>
          <w:rFonts w:asciiTheme="minorHAnsi" w:hAnsiTheme="minorHAnsi" w:cstheme="minorHAnsi"/>
          <w:sz w:val="18"/>
          <w:szCs w:val="18"/>
        </w:rPr>
        <w:t>es diversas</w:t>
      </w:r>
      <w:r w:rsidR="003C73E8">
        <w:rPr>
          <w:rFonts w:asciiTheme="minorHAnsi" w:hAnsiTheme="minorHAnsi" w:cstheme="minorHAnsi"/>
          <w:sz w:val="18"/>
          <w:szCs w:val="18"/>
        </w:rPr>
        <w:t xml:space="preserve"> de las dependencias y de los organismos descentralizados </w:t>
      </w:r>
      <w:r w:rsidR="009E6F8E">
        <w:rPr>
          <w:rFonts w:asciiTheme="minorHAnsi" w:hAnsiTheme="minorHAnsi" w:cstheme="minorHAnsi"/>
          <w:sz w:val="18"/>
          <w:szCs w:val="18"/>
        </w:rPr>
        <w:t xml:space="preserve"> por la cantidad de $ </w:t>
      </w:r>
      <w:r w:rsidR="00C94957">
        <w:rPr>
          <w:rFonts w:asciiTheme="minorHAnsi" w:hAnsiTheme="minorHAnsi" w:cstheme="minorHAnsi"/>
          <w:sz w:val="18"/>
          <w:szCs w:val="18"/>
        </w:rPr>
        <w:t>96,163,</w:t>
      </w:r>
      <w:r w:rsidR="003C73E8">
        <w:rPr>
          <w:rFonts w:asciiTheme="minorHAnsi" w:hAnsiTheme="minorHAnsi" w:cstheme="minorHAnsi"/>
          <w:sz w:val="18"/>
          <w:szCs w:val="18"/>
        </w:rPr>
        <w:t>555</w:t>
      </w:r>
      <w:r w:rsidR="00B04C2E">
        <w:rPr>
          <w:rFonts w:asciiTheme="minorHAnsi" w:hAnsiTheme="minorHAnsi" w:cstheme="minorHAnsi"/>
          <w:sz w:val="18"/>
          <w:szCs w:val="18"/>
        </w:rPr>
        <w:t xml:space="preserve">, </w:t>
      </w:r>
      <w:r w:rsidRPr="005F45A3">
        <w:rPr>
          <w:rFonts w:asciiTheme="minorHAnsi" w:hAnsiTheme="minorHAnsi" w:cstheme="minorHAnsi"/>
          <w:sz w:val="18"/>
          <w:szCs w:val="18"/>
        </w:rPr>
        <w:t>el registro de $</w:t>
      </w:r>
      <w:r w:rsidR="00FB7DB5" w:rsidRPr="005F45A3">
        <w:rPr>
          <w:rFonts w:asciiTheme="minorHAnsi" w:hAnsiTheme="minorHAnsi" w:cstheme="minorHAnsi"/>
          <w:sz w:val="18"/>
          <w:szCs w:val="18"/>
        </w:rPr>
        <w:t>585,754,526</w:t>
      </w:r>
      <w:r w:rsidR="00867519">
        <w:rPr>
          <w:rFonts w:asciiTheme="minorHAnsi" w:hAnsiTheme="minorHAnsi" w:cstheme="minorHAnsi"/>
          <w:sz w:val="18"/>
          <w:szCs w:val="18"/>
        </w:rPr>
        <w:t xml:space="preserve">, </w:t>
      </w:r>
      <w:r w:rsidRPr="005F45A3">
        <w:rPr>
          <w:rFonts w:asciiTheme="minorHAnsi" w:hAnsiTheme="minorHAnsi" w:cstheme="minorHAnsi"/>
          <w:sz w:val="18"/>
          <w:szCs w:val="18"/>
        </w:rPr>
        <w:t>solicitado por Secretaría de Obras Públicas por la Identificación de proyectos como OBRA-GASTO</w:t>
      </w:r>
      <w:r w:rsidR="00222093" w:rsidRPr="005F45A3">
        <w:rPr>
          <w:rFonts w:asciiTheme="minorHAnsi" w:hAnsiTheme="minorHAnsi" w:cstheme="minorHAnsi"/>
          <w:sz w:val="18"/>
          <w:szCs w:val="18"/>
        </w:rPr>
        <w:t xml:space="preserve"> </w:t>
      </w:r>
      <w:r w:rsidR="00CB6213" w:rsidRPr="005F45A3">
        <w:rPr>
          <w:rFonts w:asciiTheme="minorHAnsi" w:hAnsiTheme="minorHAnsi" w:cstheme="minorHAnsi"/>
          <w:sz w:val="18"/>
          <w:szCs w:val="18"/>
        </w:rPr>
        <w:t>,</w:t>
      </w:r>
      <w:r w:rsidR="00D82AE5" w:rsidRPr="005F45A3">
        <w:rPr>
          <w:rFonts w:asciiTheme="minorHAnsi" w:hAnsiTheme="minorHAnsi" w:cstheme="minorHAnsi"/>
          <w:sz w:val="18"/>
          <w:szCs w:val="18"/>
        </w:rPr>
        <w:t xml:space="preserve"> así como</w:t>
      </w:r>
      <w:r w:rsidR="00CB6213" w:rsidRPr="005F45A3">
        <w:rPr>
          <w:rFonts w:asciiTheme="minorHAnsi" w:hAnsiTheme="minorHAnsi" w:cstheme="minorHAnsi"/>
          <w:sz w:val="18"/>
          <w:szCs w:val="18"/>
        </w:rPr>
        <w:t xml:space="preserve"> reclasificaciones por cheques cancelados</w:t>
      </w:r>
      <w:r w:rsidR="009E6F8E">
        <w:rPr>
          <w:rFonts w:asciiTheme="minorHAnsi" w:hAnsiTheme="minorHAnsi" w:cstheme="minorHAnsi"/>
          <w:sz w:val="18"/>
          <w:szCs w:val="18"/>
        </w:rPr>
        <w:t xml:space="preserve"> de $</w:t>
      </w:r>
      <w:r w:rsidR="005D334F">
        <w:rPr>
          <w:rFonts w:asciiTheme="minorHAnsi" w:hAnsiTheme="minorHAnsi" w:cstheme="minorHAnsi"/>
          <w:sz w:val="18"/>
          <w:szCs w:val="18"/>
        </w:rPr>
        <w:t>2,237,169</w:t>
      </w:r>
      <w:r w:rsidR="00867519">
        <w:rPr>
          <w:rFonts w:asciiTheme="minorHAnsi" w:hAnsiTheme="minorHAnsi" w:cstheme="minorHAnsi"/>
          <w:sz w:val="18"/>
          <w:szCs w:val="18"/>
        </w:rPr>
        <w:t>,</w:t>
      </w:r>
      <w:r w:rsidR="00CB6213" w:rsidRPr="005F45A3">
        <w:rPr>
          <w:rFonts w:asciiTheme="minorHAnsi" w:hAnsiTheme="minorHAnsi" w:cstheme="minorHAnsi"/>
          <w:sz w:val="18"/>
          <w:szCs w:val="18"/>
        </w:rPr>
        <w:t xml:space="preserve"> </w:t>
      </w:r>
      <w:r w:rsidR="009E6F8E">
        <w:rPr>
          <w:rFonts w:asciiTheme="minorHAnsi" w:hAnsiTheme="minorHAnsi" w:cstheme="minorHAnsi"/>
          <w:sz w:val="18"/>
          <w:szCs w:val="18"/>
        </w:rPr>
        <w:t>ajuste del IS</w:t>
      </w:r>
      <w:r w:rsidR="00C407ED">
        <w:rPr>
          <w:rFonts w:asciiTheme="minorHAnsi" w:hAnsiTheme="minorHAnsi" w:cstheme="minorHAnsi"/>
          <w:sz w:val="18"/>
          <w:szCs w:val="18"/>
        </w:rPr>
        <w:t>P</w:t>
      </w:r>
      <w:r w:rsidR="009E6F8E">
        <w:rPr>
          <w:rFonts w:asciiTheme="minorHAnsi" w:hAnsiTheme="minorHAnsi" w:cstheme="minorHAnsi"/>
          <w:sz w:val="18"/>
          <w:szCs w:val="18"/>
        </w:rPr>
        <w:t>T 2021 por la cantidad de $5,281,113</w:t>
      </w:r>
      <w:r w:rsidR="00BC7783" w:rsidRPr="005F45A3">
        <w:rPr>
          <w:rFonts w:asciiTheme="minorHAnsi" w:hAnsiTheme="minorHAnsi" w:cstheme="minorHAnsi"/>
          <w:sz w:val="18"/>
          <w:szCs w:val="18"/>
        </w:rPr>
        <w:t xml:space="preserve">, y el reconocimiento de </w:t>
      </w:r>
      <w:r w:rsidR="005D334F">
        <w:rPr>
          <w:rFonts w:asciiTheme="minorHAnsi" w:hAnsiTheme="minorHAnsi" w:cstheme="minorHAnsi"/>
          <w:sz w:val="18"/>
          <w:szCs w:val="18"/>
        </w:rPr>
        <w:t>biene</w:t>
      </w:r>
      <w:r w:rsidR="00BC7783" w:rsidRPr="005F45A3">
        <w:rPr>
          <w:rFonts w:asciiTheme="minorHAnsi" w:hAnsiTheme="minorHAnsi" w:cstheme="minorHAnsi"/>
          <w:sz w:val="18"/>
          <w:szCs w:val="18"/>
        </w:rPr>
        <w:t>s por la Direcci</w:t>
      </w:r>
      <w:r w:rsidR="00AB5D67" w:rsidRPr="005F45A3">
        <w:rPr>
          <w:rFonts w:asciiTheme="minorHAnsi" w:hAnsiTheme="minorHAnsi" w:cstheme="minorHAnsi"/>
          <w:sz w:val="18"/>
          <w:szCs w:val="18"/>
        </w:rPr>
        <w:t xml:space="preserve">ón de Patrimonio por </w:t>
      </w:r>
      <w:r w:rsidR="00867519">
        <w:rPr>
          <w:rFonts w:asciiTheme="minorHAnsi" w:hAnsiTheme="minorHAnsi" w:cstheme="minorHAnsi"/>
          <w:sz w:val="18"/>
          <w:szCs w:val="18"/>
        </w:rPr>
        <w:t>$</w:t>
      </w:r>
      <w:r w:rsidR="005D334F">
        <w:rPr>
          <w:rFonts w:asciiTheme="minorHAnsi" w:hAnsiTheme="minorHAnsi" w:cstheme="minorHAnsi"/>
          <w:sz w:val="18"/>
          <w:szCs w:val="18"/>
        </w:rPr>
        <w:t>397,208,062</w:t>
      </w:r>
      <w:r w:rsidR="00AB5D67" w:rsidRPr="005F45A3">
        <w:rPr>
          <w:rFonts w:asciiTheme="minorHAnsi" w:hAnsiTheme="minorHAnsi" w:cstheme="minorHAnsi"/>
          <w:sz w:val="18"/>
          <w:szCs w:val="18"/>
        </w:rPr>
        <w:t>.</w:t>
      </w:r>
    </w:p>
    <w:p w14:paraId="5FF4071E" w14:textId="77777777" w:rsidR="00B04C2E" w:rsidRDefault="00B04C2E" w:rsidP="00B04C2E">
      <w:pPr>
        <w:spacing w:after="0"/>
        <w:jc w:val="both"/>
        <w:rPr>
          <w:rFonts w:asciiTheme="minorHAnsi" w:hAnsiTheme="minorHAnsi" w:cstheme="minorHAnsi"/>
          <w:sz w:val="18"/>
          <w:szCs w:val="18"/>
        </w:rPr>
      </w:pPr>
      <w:r>
        <w:rPr>
          <w:rFonts w:asciiTheme="minorHAnsi" w:hAnsiTheme="minorHAnsi" w:cstheme="minorHAnsi"/>
          <w:sz w:val="18"/>
          <w:szCs w:val="18"/>
        </w:rPr>
        <w:t xml:space="preserve">       U</w:t>
      </w:r>
      <w:r w:rsidRPr="005F45A3">
        <w:rPr>
          <w:rFonts w:asciiTheme="minorHAnsi" w:hAnsiTheme="minorHAnsi" w:cstheme="minorHAnsi"/>
          <w:sz w:val="18"/>
          <w:szCs w:val="18"/>
        </w:rPr>
        <w:t>na afectación acumulada</w:t>
      </w:r>
      <w:r>
        <w:rPr>
          <w:rFonts w:asciiTheme="minorHAnsi" w:hAnsiTheme="minorHAnsi" w:cstheme="minorHAnsi"/>
          <w:sz w:val="18"/>
          <w:szCs w:val="18"/>
        </w:rPr>
        <w:t xml:space="preserve"> por parte de los</w:t>
      </w:r>
      <w:r w:rsidRPr="005F45A3">
        <w:rPr>
          <w:rFonts w:asciiTheme="minorHAnsi" w:hAnsiTheme="minorHAnsi" w:cstheme="minorHAnsi"/>
          <w:sz w:val="18"/>
          <w:szCs w:val="18"/>
        </w:rPr>
        <w:t xml:space="preserve"> </w:t>
      </w:r>
      <w:r>
        <w:rPr>
          <w:rFonts w:asciiTheme="minorHAnsi" w:hAnsiTheme="minorHAnsi" w:cstheme="minorHAnsi"/>
          <w:sz w:val="18"/>
          <w:szCs w:val="18"/>
        </w:rPr>
        <w:t>f</w:t>
      </w:r>
      <w:r w:rsidRPr="005F45A3">
        <w:rPr>
          <w:rFonts w:asciiTheme="minorHAnsi" w:hAnsiTheme="minorHAnsi" w:cstheme="minorHAnsi"/>
          <w:sz w:val="18"/>
          <w:szCs w:val="18"/>
        </w:rPr>
        <w:t>ideicomisos por $</w:t>
      </w:r>
      <w:r>
        <w:rPr>
          <w:rFonts w:asciiTheme="minorHAnsi" w:hAnsiTheme="minorHAnsi" w:cstheme="minorHAnsi"/>
          <w:sz w:val="18"/>
          <w:szCs w:val="18"/>
        </w:rPr>
        <w:t>452</w:t>
      </w:r>
      <w:proofErr w:type="gramStart"/>
      <w:r>
        <w:rPr>
          <w:rFonts w:asciiTheme="minorHAnsi" w:hAnsiTheme="minorHAnsi" w:cstheme="minorHAnsi"/>
          <w:sz w:val="18"/>
          <w:szCs w:val="18"/>
        </w:rPr>
        <w:t>,564,718</w:t>
      </w:r>
      <w:proofErr w:type="gramEnd"/>
      <w:r w:rsidRPr="005F45A3">
        <w:rPr>
          <w:rFonts w:asciiTheme="minorHAnsi" w:hAnsiTheme="minorHAnsi" w:cstheme="minorHAnsi"/>
          <w:sz w:val="18"/>
          <w:szCs w:val="18"/>
        </w:rPr>
        <w:t>,</w:t>
      </w:r>
      <w:r>
        <w:rPr>
          <w:rFonts w:asciiTheme="minorHAnsi" w:hAnsiTheme="minorHAnsi" w:cstheme="minorHAnsi"/>
          <w:sz w:val="18"/>
          <w:szCs w:val="18"/>
        </w:rPr>
        <w:t xml:space="preserve"> derivado de condonaciones de intereses en el          </w:t>
      </w:r>
    </w:p>
    <w:p w14:paraId="0A7A4C0C" w14:textId="6848EABC" w:rsidR="00B04C2E" w:rsidRDefault="00B04C2E" w:rsidP="00B04C2E">
      <w:pPr>
        <w:spacing w:after="0"/>
        <w:jc w:val="both"/>
        <w:rPr>
          <w:rFonts w:asciiTheme="minorHAnsi" w:hAnsiTheme="minorHAnsi" w:cstheme="minorHAnsi"/>
          <w:sz w:val="18"/>
          <w:szCs w:val="18"/>
        </w:rPr>
      </w:pPr>
      <w:r>
        <w:rPr>
          <w:rFonts w:asciiTheme="minorHAnsi" w:hAnsiTheme="minorHAnsi" w:cstheme="minorHAnsi"/>
          <w:sz w:val="18"/>
          <w:szCs w:val="18"/>
        </w:rPr>
        <w:t xml:space="preserve">       Fideicomiso FITABEC, así como el reflejo de la cancelación de cuentas por la extinción de los fideicomisos de Justicia Penal y</w:t>
      </w:r>
    </w:p>
    <w:p w14:paraId="28B4AC2E" w14:textId="60908254" w:rsidR="000B2F9A" w:rsidRDefault="00B04C2E" w:rsidP="00B04C2E">
      <w:pPr>
        <w:spacing w:after="0"/>
        <w:jc w:val="both"/>
        <w:rPr>
          <w:rFonts w:asciiTheme="minorHAnsi" w:hAnsiTheme="minorHAnsi" w:cstheme="minorHAnsi"/>
          <w:sz w:val="18"/>
          <w:szCs w:val="18"/>
        </w:rPr>
      </w:pPr>
      <w:r>
        <w:rPr>
          <w:rFonts w:asciiTheme="minorHAnsi" w:hAnsiTheme="minorHAnsi" w:cstheme="minorHAnsi"/>
          <w:sz w:val="18"/>
          <w:szCs w:val="18"/>
        </w:rPr>
        <w:t xml:space="preserve">       FISETAM, cancelación de ventas en el fideicomiso Santander y algunos reintegros derivada de la extinción de los fideicomisos </w:t>
      </w:r>
    </w:p>
    <w:p w14:paraId="4E1DBAEA" w14:textId="7B951E28" w:rsidR="00B04C2E" w:rsidRDefault="00B04C2E" w:rsidP="00B04C2E">
      <w:pPr>
        <w:spacing w:after="0"/>
        <w:jc w:val="both"/>
        <w:rPr>
          <w:rFonts w:asciiTheme="minorHAnsi" w:hAnsiTheme="minorHAnsi" w:cstheme="minorHAnsi"/>
          <w:sz w:val="18"/>
          <w:szCs w:val="18"/>
        </w:rPr>
      </w:pPr>
      <w:r>
        <w:rPr>
          <w:rFonts w:asciiTheme="minorHAnsi" w:hAnsiTheme="minorHAnsi" w:cstheme="minorHAnsi"/>
          <w:sz w:val="18"/>
          <w:szCs w:val="18"/>
        </w:rPr>
        <w:t xml:space="preserve">       </w:t>
      </w:r>
      <w:proofErr w:type="gramStart"/>
      <w:r>
        <w:rPr>
          <w:rFonts w:asciiTheme="minorHAnsi" w:hAnsiTheme="minorHAnsi" w:cstheme="minorHAnsi"/>
          <w:sz w:val="18"/>
          <w:szCs w:val="18"/>
        </w:rPr>
        <w:t>antes</w:t>
      </w:r>
      <w:proofErr w:type="gramEnd"/>
      <w:r>
        <w:rPr>
          <w:rFonts w:asciiTheme="minorHAnsi" w:hAnsiTheme="minorHAnsi" w:cstheme="minorHAnsi"/>
          <w:sz w:val="18"/>
          <w:szCs w:val="18"/>
        </w:rPr>
        <w:t xml:space="preserve"> mencionados.</w:t>
      </w:r>
    </w:p>
    <w:p w14:paraId="6044EA2D" w14:textId="77777777" w:rsidR="006E75F7" w:rsidRPr="005F45A3" w:rsidRDefault="006E75F7" w:rsidP="00C241B5">
      <w:pPr>
        <w:spacing w:after="0"/>
        <w:ind w:left="1069"/>
        <w:jc w:val="both"/>
        <w:rPr>
          <w:rFonts w:asciiTheme="minorHAnsi" w:hAnsiTheme="minorHAnsi" w:cstheme="minorHAnsi"/>
          <w:sz w:val="18"/>
          <w:szCs w:val="18"/>
        </w:rPr>
      </w:pPr>
    </w:p>
    <w:p w14:paraId="363E20DA" w14:textId="2F2C8EF3" w:rsidR="000B2F9A" w:rsidRPr="005F45A3" w:rsidRDefault="001823C5" w:rsidP="000D15E5">
      <w:pPr>
        <w:spacing w:after="0"/>
        <w:ind w:left="1069" w:hanging="785"/>
        <w:jc w:val="both"/>
        <w:rPr>
          <w:rFonts w:asciiTheme="minorHAnsi" w:hAnsiTheme="minorHAnsi" w:cstheme="minorHAnsi"/>
          <w:b/>
          <w:sz w:val="18"/>
          <w:szCs w:val="18"/>
        </w:rPr>
      </w:pPr>
      <w:proofErr w:type="spellStart"/>
      <w:r>
        <w:rPr>
          <w:rFonts w:asciiTheme="minorHAnsi" w:hAnsiTheme="minorHAnsi" w:cstheme="minorHAnsi"/>
          <w:b/>
          <w:sz w:val="18"/>
          <w:szCs w:val="18"/>
        </w:rPr>
        <w:t>Revalúos</w:t>
      </w:r>
      <w:proofErr w:type="spellEnd"/>
      <w:r>
        <w:rPr>
          <w:rFonts w:asciiTheme="minorHAnsi" w:hAnsiTheme="minorHAnsi" w:cstheme="minorHAnsi"/>
          <w:b/>
          <w:sz w:val="18"/>
          <w:szCs w:val="18"/>
        </w:rPr>
        <w:t>:</w:t>
      </w:r>
    </w:p>
    <w:p w14:paraId="32495DFF" w14:textId="3522FEF6" w:rsidR="000B2F9A" w:rsidRPr="005F45A3" w:rsidRDefault="001823C5" w:rsidP="000D15E5">
      <w:pPr>
        <w:spacing w:after="0"/>
        <w:ind w:left="284"/>
        <w:jc w:val="both"/>
        <w:rPr>
          <w:rFonts w:asciiTheme="minorHAnsi" w:hAnsiTheme="minorHAnsi" w:cstheme="minorHAnsi"/>
          <w:sz w:val="18"/>
          <w:szCs w:val="18"/>
        </w:rPr>
      </w:pPr>
      <w:r>
        <w:rPr>
          <w:rFonts w:asciiTheme="minorHAnsi" w:hAnsiTheme="minorHAnsi" w:cstheme="minorHAnsi"/>
          <w:sz w:val="18"/>
          <w:szCs w:val="18"/>
        </w:rPr>
        <w:t>Durante los meses de marzo y junio se realizaron revaluaciones de 5 terrenos por parte de la Dirección de Patr</w:t>
      </w:r>
      <w:r w:rsidR="00277641">
        <w:rPr>
          <w:rFonts w:asciiTheme="minorHAnsi" w:hAnsiTheme="minorHAnsi" w:cstheme="minorHAnsi"/>
          <w:sz w:val="18"/>
          <w:szCs w:val="18"/>
        </w:rPr>
        <w:t>imonio por la cantidad de $246</w:t>
      </w:r>
      <w:proofErr w:type="gramStart"/>
      <w:r w:rsidR="00277641">
        <w:rPr>
          <w:rFonts w:asciiTheme="minorHAnsi" w:hAnsiTheme="minorHAnsi" w:cstheme="minorHAnsi"/>
          <w:sz w:val="18"/>
          <w:szCs w:val="18"/>
        </w:rPr>
        <w:t>,</w:t>
      </w:r>
      <w:r>
        <w:rPr>
          <w:rFonts w:asciiTheme="minorHAnsi" w:hAnsiTheme="minorHAnsi" w:cstheme="minorHAnsi"/>
          <w:sz w:val="18"/>
          <w:szCs w:val="18"/>
        </w:rPr>
        <w:t>920,054</w:t>
      </w:r>
      <w:proofErr w:type="gramEnd"/>
      <w:r>
        <w:rPr>
          <w:rFonts w:asciiTheme="minorHAnsi" w:hAnsiTheme="minorHAnsi" w:cstheme="minorHAnsi"/>
          <w:sz w:val="18"/>
          <w:szCs w:val="18"/>
        </w:rPr>
        <w:t>, así como la revaluación de 3 edificios no habitaciones por la cantidad de $7,559,953.</w:t>
      </w:r>
    </w:p>
    <w:p w14:paraId="7F456CC2" w14:textId="11A240E7" w:rsidR="0023660A" w:rsidRPr="005F45A3" w:rsidRDefault="0023660A" w:rsidP="0023660A">
      <w:pPr>
        <w:spacing w:after="0"/>
        <w:ind w:left="1069"/>
        <w:jc w:val="both"/>
        <w:rPr>
          <w:rFonts w:asciiTheme="minorHAnsi" w:hAnsiTheme="minorHAnsi" w:cstheme="minorHAnsi"/>
          <w:sz w:val="18"/>
          <w:szCs w:val="18"/>
        </w:rPr>
      </w:pPr>
    </w:p>
    <w:p w14:paraId="18A095E4" w14:textId="77777777" w:rsidR="0098750F" w:rsidRPr="005F45A3" w:rsidRDefault="0098750F" w:rsidP="0023660A">
      <w:pPr>
        <w:spacing w:after="0"/>
        <w:ind w:left="1069"/>
        <w:jc w:val="both"/>
        <w:rPr>
          <w:rFonts w:asciiTheme="minorHAnsi" w:hAnsiTheme="minorHAnsi" w:cstheme="minorHAnsi"/>
          <w:sz w:val="18"/>
          <w:szCs w:val="18"/>
        </w:rPr>
      </w:pPr>
    </w:p>
    <w:p w14:paraId="256A49E3" w14:textId="77777777" w:rsidR="00EF6CE1" w:rsidRPr="005F45A3" w:rsidRDefault="002C5479" w:rsidP="006E75F7">
      <w:pPr>
        <w:spacing w:after="0" w:line="240" w:lineRule="auto"/>
        <w:ind w:left="-142"/>
        <w:rPr>
          <w:rFonts w:asciiTheme="minorHAnsi" w:hAnsiTheme="minorHAnsi" w:cstheme="minorHAnsi"/>
          <w:b/>
          <w:lang w:val="es-ES" w:eastAsia="es-ES"/>
        </w:rPr>
      </w:pPr>
      <w:r w:rsidRPr="005F45A3">
        <w:rPr>
          <w:rFonts w:asciiTheme="minorHAnsi" w:hAnsiTheme="minorHAnsi" w:cstheme="minorHAnsi"/>
          <w:b/>
          <w:lang w:val="es-ES" w:eastAsia="es-ES"/>
        </w:rPr>
        <w:t>IV.</w:t>
      </w:r>
      <w:r w:rsidR="00551568" w:rsidRPr="005F45A3">
        <w:rPr>
          <w:rFonts w:asciiTheme="minorHAnsi" w:hAnsiTheme="minorHAnsi" w:cstheme="minorHAnsi"/>
          <w:b/>
          <w:lang w:val="es-ES" w:eastAsia="es-ES"/>
        </w:rPr>
        <w:t xml:space="preserve">  </w:t>
      </w:r>
      <w:r w:rsidR="00D931ED" w:rsidRPr="005F45A3">
        <w:rPr>
          <w:rFonts w:asciiTheme="minorHAnsi" w:hAnsiTheme="minorHAnsi" w:cstheme="minorHAnsi"/>
          <w:b/>
          <w:lang w:val="es-ES" w:eastAsia="es-ES"/>
        </w:rPr>
        <w:t>Notas al Estado de Flujo de Efectivo</w:t>
      </w:r>
      <w:r w:rsidR="000B02D6" w:rsidRPr="005F45A3">
        <w:rPr>
          <w:rFonts w:asciiTheme="minorHAnsi" w:hAnsiTheme="minorHAnsi" w:cstheme="minorHAnsi"/>
          <w:b/>
          <w:lang w:val="es-ES" w:eastAsia="es-ES"/>
        </w:rPr>
        <w:t xml:space="preserve">                                                                                                                                                                                                                                                                                                                                                                                                                                                                                                                                                                                                                                                                                                                                                                                                                                                                       </w:t>
      </w:r>
    </w:p>
    <w:p w14:paraId="79A1433B" w14:textId="77777777" w:rsidR="00D931ED" w:rsidRPr="005F45A3" w:rsidRDefault="00D931ED" w:rsidP="0082143F">
      <w:pPr>
        <w:spacing w:after="0" w:line="240" w:lineRule="auto"/>
        <w:rPr>
          <w:rFonts w:asciiTheme="minorHAnsi" w:hAnsiTheme="minorHAnsi" w:cstheme="minorHAnsi"/>
          <w:sz w:val="18"/>
          <w:lang w:val="es-ES" w:eastAsia="es-ES"/>
        </w:rPr>
      </w:pPr>
    </w:p>
    <w:p w14:paraId="3A9D305C" w14:textId="77777777" w:rsidR="00D931ED" w:rsidRPr="000D15E5" w:rsidRDefault="00D931ED" w:rsidP="000D15E5">
      <w:pPr>
        <w:pStyle w:val="ROMANOS"/>
        <w:tabs>
          <w:tab w:val="left" w:pos="426"/>
        </w:tabs>
        <w:spacing w:after="0" w:line="240" w:lineRule="exact"/>
        <w:ind w:left="284" w:firstLine="0"/>
        <w:rPr>
          <w:rFonts w:asciiTheme="minorHAnsi" w:hAnsiTheme="minorHAnsi" w:cstheme="minorHAnsi"/>
          <w:b/>
        </w:rPr>
      </w:pPr>
      <w:r w:rsidRPr="000D15E5">
        <w:rPr>
          <w:rFonts w:asciiTheme="minorHAnsi" w:hAnsiTheme="minorHAnsi" w:cstheme="minorHAnsi"/>
          <w:b/>
        </w:rPr>
        <w:t>EFECTIVO O EQUIVALENTES</w:t>
      </w:r>
    </w:p>
    <w:p w14:paraId="3B551210" w14:textId="77777777" w:rsidR="00D931ED" w:rsidRPr="000D15E5" w:rsidRDefault="00D931ED" w:rsidP="00D931ED">
      <w:pPr>
        <w:pStyle w:val="ROMANOS"/>
        <w:tabs>
          <w:tab w:val="left" w:pos="426"/>
        </w:tabs>
        <w:spacing w:after="0" w:line="240" w:lineRule="exact"/>
        <w:ind w:firstLine="0"/>
        <w:rPr>
          <w:rFonts w:asciiTheme="minorHAnsi" w:hAnsiTheme="minorHAnsi" w:cstheme="minorHAnsi"/>
          <w:b/>
        </w:rPr>
      </w:pPr>
    </w:p>
    <w:p w14:paraId="49A2C515" w14:textId="77777777" w:rsidR="00D931ED" w:rsidRPr="000D15E5" w:rsidRDefault="00D931ED" w:rsidP="006E75F7">
      <w:pPr>
        <w:numPr>
          <w:ilvl w:val="0"/>
          <w:numId w:val="18"/>
        </w:numPr>
        <w:spacing w:after="0" w:line="240" w:lineRule="auto"/>
        <w:ind w:left="567" w:hanging="283"/>
        <w:jc w:val="both"/>
        <w:rPr>
          <w:rFonts w:asciiTheme="minorHAnsi" w:hAnsiTheme="minorHAnsi" w:cstheme="minorHAnsi"/>
          <w:sz w:val="18"/>
          <w:szCs w:val="18"/>
        </w:rPr>
      </w:pPr>
      <w:r w:rsidRPr="000D15E5">
        <w:rPr>
          <w:rFonts w:asciiTheme="minorHAnsi" w:hAnsiTheme="minorHAnsi" w:cstheme="minorHAnsi"/>
          <w:sz w:val="18"/>
          <w:szCs w:val="18"/>
        </w:rPr>
        <w:t>El análisis de los saldos inicial y final que figuran en la última parte del Estado de Flujo de Efectivo en la cuenta de Efectivo o Equivalentes es como sigue:</w:t>
      </w:r>
    </w:p>
    <w:p w14:paraId="046F853C" w14:textId="77777777" w:rsidR="00852B94" w:rsidRPr="005F45A3" w:rsidRDefault="00852B94"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8"/>
        </w:rPr>
        <w:t xml:space="preserve">                                  </w:t>
      </w:r>
    </w:p>
    <w:p w14:paraId="4556F0AA" w14:textId="2BDD964C" w:rsidR="008B32B3" w:rsidRPr="005F45A3" w:rsidRDefault="008B32B3"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p>
    <w:p w14:paraId="1670DAF2" w14:textId="3EF455C6" w:rsidR="004B4D76" w:rsidRPr="005F45A3" w:rsidRDefault="001E1630"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r w:rsidR="004B4D76">
        <w:rPr>
          <w:rFonts w:asciiTheme="minorHAnsi" w:hAnsiTheme="minorHAnsi" w:cstheme="minorHAnsi"/>
          <w:sz w:val="14"/>
          <w:szCs w:val="14"/>
        </w:rPr>
        <w:t xml:space="preserve">                       </w:t>
      </w:r>
    </w:p>
    <w:tbl>
      <w:tblPr>
        <w:tblW w:w="5940" w:type="dxa"/>
        <w:tblInd w:w="354" w:type="dxa"/>
        <w:tblCellMar>
          <w:left w:w="70" w:type="dxa"/>
          <w:right w:w="70" w:type="dxa"/>
        </w:tblCellMar>
        <w:tblLook w:val="04A0" w:firstRow="1" w:lastRow="0" w:firstColumn="1" w:lastColumn="0" w:noHBand="0" w:noVBand="1"/>
      </w:tblPr>
      <w:tblGrid>
        <w:gridCol w:w="3220"/>
        <w:gridCol w:w="1360"/>
        <w:gridCol w:w="1360"/>
      </w:tblGrid>
      <w:tr w:rsidR="009B3320" w:rsidRPr="009B3320" w14:paraId="2445BB97" w14:textId="77777777" w:rsidTr="00277641">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0D958E5"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C U E N T A</w:t>
            </w:r>
          </w:p>
        </w:tc>
        <w:tc>
          <w:tcPr>
            <w:tcW w:w="1360" w:type="dxa"/>
            <w:tcBorders>
              <w:top w:val="single" w:sz="4" w:space="0" w:color="auto"/>
              <w:left w:val="nil"/>
              <w:bottom w:val="single" w:sz="4" w:space="0" w:color="auto"/>
              <w:right w:val="single" w:sz="4" w:space="0" w:color="auto"/>
            </w:tcBorders>
            <w:shd w:val="clear" w:color="000000" w:fill="AB0033"/>
            <w:vAlign w:val="center"/>
            <w:hideMark/>
          </w:tcPr>
          <w:p w14:paraId="5D34499E"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2022</w:t>
            </w:r>
          </w:p>
        </w:tc>
        <w:tc>
          <w:tcPr>
            <w:tcW w:w="1360" w:type="dxa"/>
            <w:tcBorders>
              <w:top w:val="single" w:sz="4" w:space="0" w:color="auto"/>
              <w:left w:val="nil"/>
              <w:bottom w:val="single" w:sz="4" w:space="0" w:color="auto"/>
              <w:right w:val="single" w:sz="4" w:space="0" w:color="auto"/>
            </w:tcBorders>
            <w:shd w:val="clear" w:color="000000" w:fill="AB0033"/>
            <w:vAlign w:val="center"/>
            <w:hideMark/>
          </w:tcPr>
          <w:p w14:paraId="39F91920"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2021</w:t>
            </w:r>
          </w:p>
        </w:tc>
      </w:tr>
      <w:tr w:rsidR="009B3320" w:rsidRPr="009B3320" w14:paraId="61140962" w14:textId="77777777" w:rsidTr="00250D2A">
        <w:trPr>
          <w:trHeight w:val="284"/>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23A56F7" w14:textId="77777777" w:rsidR="009B3320" w:rsidRPr="009B3320" w:rsidRDefault="009B3320" w:rsidP="009B3320">
            <w:pPr>
              <w:spacing w:after="0" w:line="240" w:lineRule="auto"/>
              <w:jc w:val="both"/>
              <w:rPr>
                <w:rFonts w:eastAsia="Times New Roman" w:cs="Calibri"/>
                <w:color w:val="000000"/>
                <w:sz w:val="14"/>
                <w:szCs w:val="14"/>
                <w:lang w:eastAsia="es-MX"/>
              </w:rPr>
            </w:pPr>
            <w:r w:rsidRPr="009B3320">
              <w:rPr>
                <w:rFonts w:eastAsia="Times New Roman" w:cs="Calibri"/>
                <w:color w:val="000000"/>
                <w:sz w:val="14"/>
                <w:szCs w:val="14"/>
                <w:lang w:eastAsia="es-MX"/>
              </w:rPr>
              <w:t>Efectivo en Bancos / Tesorería</w:t>
            </w:r>
          </w:p>
        </w:tc>
        <w:tc>
          <w:tcPr>
            <w:tcW w:w="1360" w:type="dxa"/>
            <w:tcBorders>
              <w:top w:val="nil"/>
              <w:left w:val="nil"/>
              <w:bottom w:val="single" w:sz="4" w:space="0" w:color="auto"/>
              <w:right w:val="single" w:sz="4" w:space="0" w:color="auto"/>
            </w:tcBorders>
            <w:shd w:val="clear" w:color="auto" w:fill="auto"/>
            <w:noWrap/>
            <w:vAlign w:val="bottom"/>
            <w:hideMark/>
          </w:tcPr>
          <w:p w14:paraId="332703AB"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1,553,249,405</w:t>
            </w:r>
          </w:p>
        </w:tc>
        <w:tc>
          <w:tcPr>
            <w:tcW w:w="1360" w:type="dxa"/>
            <w:tcBorders>
              <w:top w:val="nil"/>
              <w:left w:val="nil"/>
              <w:bottom w:val="single" w:sz="4" w:space="0" w:color="auto"/>
              <w:right w:val="single" w:sz="4" w:space="0" w:color="auto"/>
            </w:tcBorders>
            <w:shd w:val="clear" w:color="auto" w:fill="auto"/>
            <w:vAlign w:val="center"/>
            <w:hideMark/>
          </w:tcPr>
          <w:p w14:paraId="7AC48AF6"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1,919,633,273</w:t>
            </w:r>
          </w:p>
        </w:tc>
      </w:tr>
      <w:tr w:rsidR="009B3320" w:rsidRPr="009B3320" w14:paraId="43A288A3" w14:textId="77777777" w:rsidTr="00250D2A">
        <w:trPr>
          <w:trHeight w:val="284"/>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8B8E4EB" w14:textId="77777777" w:rsidR="009B3320" w:rsidRPr="009B3320" w:rsidRDefault="009B3320" w:rsidP="009B3320">
            <w:pPr>
              <w:spacing w:after="0" w:line="240" w:lineRule="auto"/>
              <w:jc w:val="both"/>
              <w:rPr>
                <w:rFonts w:eastAsia="Times New Roman" w:cs="Calibri"/>
                <w:color w:val="000000"/>
                <w:sz w:val="14"/>
                <w:szCs w:val="14"/>
                <w:lang w:eastAsia="es-MX"/>
              </w:rPr>
            </w:pPr>
            <w:r w:rsidRPr="009B3320">
              <w:rPr>
                <w:rFonts w:eastAsia="Times New Roman" w:cs="Calibri"/>
                <w:color w:val="000000"/>
                <w:sz w:val="14"/>
                <w:szCs w:val="14"/>
                <w:lang w:eastAsia="es-MX"/>
              </w:rPr>
              <w:t>Inversiones Temporales (hasta 3 meses)</w:t>
            </w:r>
          </w:p>
        </w:tc>
        <w:tc>
          <w:tcPr>
            <w:tcW w:w="1360" w:type="dxa"/>
            <w:tcBorders>
              <w:top w:val="nil"/>
              <w:left w:val="nil"/>
              <w:bottom w:val="single" w:sz="4" w:space="0" w:color="auto"/>
              <w:right w:val="single" w:sz="4" w:space="0" w:color="auto"/>
            </w:tcBorders>
            <w:shd w:val="clear" w:color="auto" w:fill="auto"/>
            <w:noWrap/>
            <w:vAlign w:val="bottom"/>
            <w:hideMark/>
          </w:tcPr>
          <w:p w14:paraId="4832EFED"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823,594,227</w:t>
            </w:r>
          </w:p>
        </w:tc>
        <w:tc>
          <w:tcPr>
            <w:tcW w:w="1360" w:type="dxa"/>
            <w:tcBorders>
              <w:top w:val="nil"/>
              <w:left w:val="nil"/>
              <w:bottom w:val="single" w:sz="4" w:space="0" w:color="auto"/>
              <w:right w:val="single" w:sz="4" w:space="0" w:color="auto"/>
            </w:tcBorders>
            <w:shd w:val="clear" w:color="auto" w:fill="auto"/>
            <w:vAlign w:val="center"/>
            <w:hideMark/>
          </w:tcPr>
          <w:p w14:paraId="652B27CB"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396,100,162</w:t>
            </w:r>
          </w:p>
        </w:tc>
      </w:tr>
      <w:tr w:rsidR="009B3320" w:rsidRPr="009B3320" w14:paraId="70ACA09B" w14:textId="77777777" w:rsidTr="00250D2A">
        <w:trPr>
          <w:trHeight w:val="284"/>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D60B2A6" w14:textId="77777777" w:rsidR="009B3320" w:rsidRPr="009B3320" w:rsidRDefault="009B3320" w:rsidP="009B3320">
            <w:pPr>
              <w:spacing w:after="0" w:line="240" w:lineRule="auto"/>
              <w:jc w:val="both"/>
              <w:rPr>
                <w:rFonts w:eastAsia="Times New Roman" w:cs="Calibri"/>
                <w:color w:val="000000"/>
                <w:sz w:val="14"/>
                <w:szCs w:val="14"/>
                <w:lang w:eastAsia="es-MX"/>
              </w:rPr>
            </w:pPr>
            <w:r w:rsidRPr="009B3320">
              <w:rPr>
                <w:rFonts w:eastAsia="Times New Roman" w:cs="Calibri"/>
                <w:color w:val="000000"/>
                <w:sz w:val="14"/>
                <w:szCs w:val="14"/>
                <w:lang w:eastAsia="es-MX"/>
              </w:rPr>
              <w:t>Fondos con Afectación Específica</w:t>
            </w:r>
          </w:p>
        </w:tc>
        <w:tc>
          <w:tcPr>
            <w:tcW w:w="1360" w:type="dxa"/>
            <w:tcBorders>
              <w:top w:val="nil"/>
              <w:left w:val="nil"/>
              <w:bottom w:val="single" w:sz="4" w:space="0" w:color="auto"/>
              <w:right w:val="single" w:sz="4" w:space="0" w:color="auto"/>
            </w:tcBorders>
            <w:shd w:val="clear" w:color="auto" w:fill="auto"/>
            <w:noWrap/>
            <w:vAlign w:val="bottom"/>
            <w:hideMark/>
          </w:tcPr>
          <w:p w14:paraId="11B2778E"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6,794,030</w:t>
            </w:r>
          </w:p>
        </w:tc>
        <w:tc>
          <w:tcPr>
            <w:tcW w:w="1360" w:type="dxa"/>
            <w:tcBorders>
              <w:top w:val="nil"/>
              <w:left w:val="nil"/>
              <w:bottom w:val="single" w:sz="4" w:space="0" w:color="auto"/>
              <w:right w:val="single" w:sz="4" w:space="0" w:color="auto"/>
            </w:tcBorders>
            <w:shd w:val="clear" w:color="auto" w:fill="auto"/>
            <w:vAlign w:val="center"/>
            <w:hideMark/>
          </w:tcPr>
          <w:p w14:paraId="06A12F9F"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673,831</w:t>
            </w:r>
          </w:p>
        </w:tc>
      </w:tr>
      <w:tr w:rsidR="009B3320" w:rsidRPr="009B3320" w14:paraId="4F1AB1C1" w14:textId="77777777" w:rsidTr="00250D2A">
        <w:trPr>
          <w:trHeight w:val="284"/>
        </w:trPr>
        <w:tc>
          <w:tcPr>
            <w:tcW w:w="3220" w:type="dxa"/>
            <w:tcBorders>
              <w:top w:val="nil"/>
              <w:left w:val="single" w:sz="4" w:space="0" w:color="auto"/>
              <w:bottom w:val="single" w:sz="4" w:space="0" w:color="auto"/>
              <w:right w:val="single" w:sz="4" w:space="0" w:color="auto"/>
            </w:tcBorders>
            <w:shd w:val="clear" w:color="000000" w:fill="DDC9A3"/>
            <w:vAlign w:val="center"/>
            <w:hideMark/>
          </w:tcPr>
          <w:p w14:paraId="299A3CD7" w14:textId="77777777" w:rsidR="009B3320" w:rsidRPr="009B3320" w:rsidRDefault="009B3320" w:rsidP="009B3320">
            <w:pPr>
              <w:spacing w:after="0" w:line="240" w:lineRule="auto"/>
              <w:rPr>
                <w:rFonts w:eastAsia="Times New Roman" w:cs="Calibri"/>
                <w:b/>
                <w:bCs/>
                <w:color w:val="000000"/>
                <w:sz w:val="14"/>
                <w:szCs w:val="14"/>
                <w:lang w:eastAsia="es-MX"/>
              </w:rPr>
            </w:pPr>
            <w:r w:rsidRPr="009B3320">
              <w:rPr>
                <w:rFonts w:eastAsia="Times New Roman" w:cs="Calibri"/>
                <w:b/>
                <w:bCs/>
                <w:color w:val="000000"/>
                <w:sz w:val="14"/>
                <w:szCs w:val="14"/>
                <w:lang w:eastAsia="es-MX"/>
              </w:rPr>
              <w:t>Total de Efectivo o Equivalentes</w:t>
            </w:r>
          </w:p>
        </w:tc>
        <w:tc>
          <w:tcPr>
            <w:tcW w:w="1360" w:type="dxa"/>
            <w:tcBorders>
              <w:top w:val="nil"/>
              <w:left w:val="nil"/>
              <w:bottom w:val="single" w:sz="4" w:space="0" w:color="auto"/>
              <w:right w:val="single" w:sz="4" w:space="0" w:color="auto"/>
            </w:tcBorders>
            <w:shd w:val="clear" w:color="000000" w:fill="DDC9A3"/>
            <w:vAlign w:val="center"/>
            <w:hideMark/>
          </w:tcPr>
          <w:p w14:paraId="1D1CD88D" w14:textId="77777777" w:rsidR="009B3320" w:rsidRPr="009B3320" w:rsidRDefault="009B3320" w:rsidP="009B3320">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2,383,637,662</w:t>
            </w:r>
          </w:p>
        </w:tc>
        <w:tc>
          <w:tcPr>
            <w:tcW w:w="1360" w:type="dxa"/>
            <w:tcBorders>
              <w:top w:val="nil"/>
              <w:left w:val="nil"/>
              <w:bottom w:val="single" w:sz="4" w:space="0" w:color="auto"/>
              <w:right w:val="single" w:sz="4" w:space="0" w:color="auto"/>
            </w:tcBorders>
            <w:shd w:val="clear" w:color="000000" w:fill="DDC9A3"/>
            <w:vAlign w:val="center"/>
            <w:hideMark/>
          </w:tcPr>
          <w:p w14:paraId="76AC67E5" w14:textId="77777777" w:rsidR="009B3320" w:rsidRPr="009B3320" w:rsidRDefault="009B3320" w:rsidP="009B3320">
            <w:pPr>
              <w:spacing w:after="0" w:line="240" w:lineRule="auto"/>
              <w:jc w:val="right"/>
              <w:rPr>
                <w:rFonts w:eastAsia="Times New Roman" w:cs="Calibri"/>
                <w:b/>
                <w:bCs/>
                <w:color w:val="000000"/>
                <w:sz w:val="14"/>
                <w:szCs w:val="14"/>
                <w:lang w:eastAsia="es-MX"/>
              </w:rPr>
            </w:pPr>
            <w:r w:rsidRPr="009B3320">
              <w:rPr>
                <w:rFonts w:eastAsia="Times New Roman" w:cs="Calibri"/>
                <w:b/>
                <w:bCs/>
                <w:color w:val="000000"/>
                <w:sz w:val="14"/>
                <w:szCs w:val="14"/>
                <w:lang w:eastAsia="es-MX"/>
              </w:rPr>
              <w:t>2,316,407,266</w:t>
            </w:r>
          </w:p>
        </w:tc>
      </w:tr>
    </w:tbl>
    <w:p w14:paraId="40EADBE2" w14:textId="5662B825" w:rsidR="008E3DEE" w:rsidRDefault="008E3DEE" w:rsidP="00437C61">
      <w:pPr>
        <w:spacing w:after="0" w:line="240" w:lineRule="auto"/>
        <w:jc w:val="both"/>
        <w:rPr>
          <w:rFonts w:asciiTheme="minorHAnsi" w:hAnsiTheme="minorHAnsi" w:cstheme="minorHAnsi"/>
          <w:sz w:val="14"/>
          <w:szCs w:val="14"/>
        </w:rPr>
      </w:pPr>
      <w:r w:rsidRPr="005F45A3">
        <w:rPr>
          <w:rFonts w:asciiTheme="minorHAnsi" w:hAnsiTheme="minorHAnsi" w:cstheme="minorHAnsi"/>
          <w:sz w:val="14"/>
          <w:szCs w:val="14"/>
        </w:rPr>
        <w:t xml:space="preserve">       </w:t>
      </w:r>
    </w:p>
    <w:p w14:paraId="243F46E0" w14:textId="77777777" w:rsidR="00867519" w:rsidRDefault="00867519" w:rsidP="00437C61">
      <w:pPr>
        <w:spacing w:after="0" w:line="240" w:lineRule="auto"/>
        <w:jc w:val="both"/>
        <w:rPr>
          <w:rFonts w:asciiTheme="minorHAnsi" w:hAnsiTheme="minorHAnsi" w:cstheme="minorHAnsi"/>
          <w:sz w:val="14"/>
          <w:szCs w:val="14"/>
        </w:rPr>
      </w:pPr>
    </w:p>
    <w:p w14:paraId="1B9FABAD" w14:textId="77777777" w:rsidR="008C65AA" w:rsidRPr="005F45A3" w:rsidRDefault="008C65AA" w:rsidP="00437C61">
      <w:pPr>
        <w:spacing w:after="0" w:line="240" w:lineRule="auto"/>
        <w:jc w:val="both"/>
        <w:rPr>
          <w:rFonts w:asciiTheme="minorHAnsi" w:hAnsiTheme="minorHAnsi" w:cstheme="minorHAnsi"/>
          <w:sz w:val="14"/>
          <w:szCs w:val="14"/>
        </w:rPr>
      </w:pPr>
    </w:p>
    <w:p w14:paraId="3071D15C" w14:textId="1EBC8299" w:rsidR="00437C61" w:rsidRPr="000D15E5" w:rsidRDefault="00437C61" w:rsidP="00437C61">
      <w:pPr>
        <w:spacing w:after="0" w:line="240" w:lineRule="auto"/>
        <w:jc w:val="both"/>
        <w:rPr>
          <w:rFonts w:asciiTheme="minorHAnsi" w:hAnsiTheme="minorHAnsi" w:cstheme="minorHAnsi"/>
          <w:sz w:val="18"/>
          <w:szCs w:val="18"/>
        </w:rPr>
      </w:pPr>
    </w:p>
    <w:p w14:paraId="66E2748C" w14:textId="77777777" w:rsidR="00D931ED" w:rsidRPr="000D15E5" w:rsidRDefault="00990AC7" w:rsidP="006E75F7">
      <w:pPr>
        <w:pStyle w:val="Prrafodelista"/>
        <w:numPr>
          <w:ilvl w:val="0"/>
          <w:numId w:val="18"/>
        </w:numPr>
        <w:spacing w:after="0" w:line="240" w:lineRule="auto"/>
        <w:ind w:left="567"/>
        <w:jc w:val="both"/>
        <w:rPr>
          <w:rFonts w:asciiTheme="minorHAnsi" w:hAnsiTheme="minorHAnsi" w:cstheme="minorHAnsi"/>
          <w:b/>
          <w:sz w:val="18"/>
          <w:szCs w:val="18"/>
          <w:lang w:val="es-ES" w:eastAsia="es-ES"/>
        </w:rPr>
      </w:pPr>
      <w:r w:rsidRPr="000D15E5">
        <w:rPr>
          <w:rFonts w:asciiTheme="minorHAnsi" w:hAnsiTheme="minorHAnsi" w:cstheme="minorHAnsi"/>
          <w:sz w:val="18"/>
          <w:szCs w:val="18"/>
          <w:lang w:val="es-ES" w:eastAsia="es-ES"/>
        </w:rPr>
        <w:t xml:space="preserve">Adquisición de Bienes Muebles e Inmuebles </w:t>
      </w:r>
      <w:r w:rsidRPr="000D15E5">
        <w:rPr>
          <w:rFonts w:asciiTheme="minorHAnsi" w:hAnsiTheme="minorHAnsi" w:cstheme="minorHAnsi"/>
          <w:sz w:val="18"/>
          <w:szCs w:val="18"/>
        </w:rPr>
        <w:t xml:space="preserve">con subsidio de capital del sector central:   </w:t>
      </w:r>
      <w:r w:rsidRPr="000D15E5">
        <w:rPr>
          <w:rFonts w:asciiTheme="minorHAnsi" w:hAnsiTheme="minorHAnsi" w:cstheme="minorHAnsi"/>
          <w:b/>
          <w:sz w:val="18"/>
          <w:szCs w:val="18"/>
        </w:rPr>
        <w:t>No Aplica</w:t>
      </w:r>
    </w:p>
    <w:p w14:paraId="189DFBB3" w14:textId="32C2BE37" w:rsidR="009E07CB" w:rsidRPr="005F45A3" w:rsidRDefault="009E07CB" w:rsidP="009E07CB">
      <w:pPr>
        <w:pStyle w:val="Prrafodelista"/>
        <w:spacing w:after="0" w:line="240" w:lineRule="auto"/>
        <w:jc w:val="both"/>
        <w:rPr>
          <w:rFonts w:asciiTheme="minorHAnsi" w:hAnsiTheme="minorHAnsi" w:cstheme="minorHAnsi"/>
          <w:b/>
          <w:sz w:val="17"/>
          <w:szCs w:val="17"/>
          <w:lang w:val="es-ES" w:eastAsia="es-ES"/>
        </w:rPr>
      </w:pPr>
    </w:p>
    <w:p w14:paraId="7D304353" w14:textId="144693DC" w:rsidR="00867519" w:rsidRDefault="00867519" w:rsidP="00277641">
      <w:pPr>
        <w:spacing w:after="0" w:line="240" w:lineRule="auto"/>
        <w:jc w:val="both"/>
        <w:rPr>
          <w:rFonts w:asciiTheme="minorHAnsi" w:hAnsiTheme="minorHAnsi" w:cstheme="minorHAnsi"/>
          <w:b/>
          <w:sz w:val="17"/>
          <w:szCs w:val="17"/>
          <w:lang w:val="es-ES" w:eastAsia="es-ES"/>
        </w:rPr>
      </w:pPr>
    </w:p>
    <w:p w14:paraId="72A32534" w14:textId="77777777" w:rsidR="00250D2A" w:rsidRPr="00277641" w:rsidRDefault="00250D2A" w:rsidP="00277641">
      <w:pPr>
        <w:spacing w:after="0" w:line="240" w:lineRule="auto"/>
        <w:jc w:val="both"/>
        <w:rPr>
          <w:rFonts w:asciiTheme="minorHAnsi" w:hAnsiTheme="minorHAnsi" w:cstheme="minorHAnsi"/>
          <w:b/>
          <w:sz w:val="17"/>
          <w:szCs w:val="17"/>
          <w:lang w:val="es-ES" w:eastAsia="es-ES"/>
        </w:rPr>
      </w:pPr>
    </w:p>
    <w:p w14:paraId="7FCDB786" w14:textId="413114B0" w:rsidR="00712AD2" w:rsidRPr="008C65AA" w:rsidRDefault="008307ED" w:rsidP="006E75F7">
      <w:pPr>
        <w:pStyle w:val="Prrafodelista"/>
        <w:numPr>
          <w:ilvl w:val="0"/>
          <w:numId w:val="18"/>
        </w:numPr>
        <w:spacing w:after="0" w:line="240" w:lineRule="auto"/>
        <w:ind w:left="567"/>
        <w:jc w:val="both"/>
        <w:rPr>
          <w:rFonts w:asciiTheme="minorHAnsi" w:hAnsiTheme="minorHAnsi" w:cstheme="minorHAnsi"/>
          <w:sz w:val="18"/>
          <w:szCs w:val="20"/>
          <w:lang w:val="es-ES" w:eastAsia="es-ES"/>
        </w:rPr>
      </w:pPr>
      <w:r w:rsidRPr="005F45A3">
        <w:rPr>
          <w:rFonts w:asciiTheme="minorHAnsi" w:hAnsiTheme="minorHAnsi" w:cstheme="minorHAnsi"/>
          <w:sz w:val="17"/>
          <w:szCs w:val="17"/>
          <w:lang w:val="es-ES" w:eastAsia="es-ES"/>
        </w:rPr>
        <w:t xml:space="preserve">Conciliación de los Flujos de Efectivo </w:t>
      </w:r>
      <w:r w:rsidRPr="005F45A3">
        <w:rPr>
          <w:rFonts w:asciiTheme="minorHAnsi" w:hAnsiTheme="minorHAnsi" w:cstheme="minorHAnsi"/>
          <w:sz w:val="17"/>
          <w:szCs w:val="17"/>
        </w:rPr>
        <w:t>Netos de las Actividades de Operación y la cuenta de</w:t>
      </w:r>
      <w:r w:rsidR="00DA197F">
        <w:rPr>
          <w:rFonts w:asciiTheme="minorHAnsi" w:hAnsiTheme="minorHAnsi" w:cstheme="minorHAnsi"/>
          <w:sz w:val="17"/>
          <w:szCs w:val="17"/>
        </w:rPr>
        <w:t xml:space="preserve"> Resultado del Ejercicio </w:t>
      </w:r>
      <w:r w:rsidRPr="005F45A3">
        <w:rPr>
          <w:rFonts w:asciiTheme="minorHAnsi" w:hAnsiTheme="minorHAnsi" w:cstheme="minorHAnsi"/>
          <w:sz w:val="17"/>
          <w:szCs w:val="17"/>
        </w:rPr>
        <w:t xml:space="preserve"> </w:t>
      </w:r>
      <w:r w:rsidR="00DA197F">
        <w:rPr>
          <w:rFonts w:asciiTheme="minorHAnsi" w:hAnsiTheme="minorHAnsi" w:cstheme="minorHAnsi"/>
          <w:sz w:val="17"/>
          <w:szCs w:val="17"/>
        </w:rPr>
        <w:t>(</w:t>
      </w:r>
      <w:r w:rsidRPr="005F45A3">
        <w:rPr>
          <w:rFonts w:asciiTheme="minorHAnsi" w:hAnsiTheme="minorHAnsi" w:cstheme="minorHAnsi"/>
          <w:sz w:val="17"/>
          <w:szCs w:val="17"/>
        </w:rPr>
        <w:t>Ahorro/Desahorro</w:t>
      </w:r>
      <w:r w:rsidR="00DA197F">
        <w:rPr>
          <w:rFonts w:asciiTheme="minorHAnsi" w:hAnsiTheme="minorHAnsi" w:cstheme="minorHAnsi"/>
          <w:sz w:val="17"/>
          <w:szCs w:val="17"/>
        </w:rPr>
        <w:t>)</w:t>
      </w:r>
      <w:r w:rsidR="005E5558" w:rsidRPr="005F45A3">
        <w:rPr>
          <w:rFonts w:asciiTheme="minorHAnsi" w:hAnsiTheme="minorHAnsi" w:cstheme="minorHAnsi"/>
          <w:sz w:val="17"/>
          <w:szCs w:val="17"/>
        </w:rPr>
        <w:t>.</w:t>
      </w:r>
    </w:p>
    <w:p w14:paraId="5853FDE8" w14:textId="1BB169A8" w:rsidR="00277641" w:rsidRPr="005F45A3" w:rsidRDefault="00277641" w:rsidP="008C65AA">
      <w:pPr>
        <w:pStyle w:val="Prrafodelista"/>
        <w:spacing w:after="0" w:line="240" w:lineRule="auto"/>
        <w:ind w:left="567"/>
        <w:jc w:val="both"/>
        <w:rPr>
          <w:rFonts w:asciiTheme="minorHAnsi" w:hAnsiTheme="minorHAnsi" w:cstheme="minorHAnsi"/>
          <w:sz w:val="18"/>
          <w:szCs w:val="20"/>
          <w:lang w:val="es-ES" w:eastAsia="es-ES"/>
        </w:rPr>
      </w:pPr>
    </w:p>
    <w:p w14:paraId="1206840C" w14:textId="0E76699E" w:rsidR="008B32B3" w:rsidRPr="005F45A3" w:rsidRDefault="008B32B3" w:rsidP="00712AD2">
      <w:pPr>
        <w:spacing w:after="0" w:line="240" w:lineRule="auto"/>
        <w:jc w:val="both"/>
        <w:rPr>
          <w:rFonts w:asciiTheme="minorHAnsi" w:hAnsiTheme="minorHAnsi" w:cstheme="minorHAnsi"/>
          <w:sz w:val="18"/>
          <w:szCs w:val="20"/>
          <w:lang w:val="es-ES" w:eastAsia="es-ES"/>
        </w:rPr>
      </w:pPr>
      <w:r w:rsidRPr="005F45A3">
        <w:rPr>
          <w:rFonts w:asciiTheme="minorHAnsi" w:hAnsiTheme="minorHAnsi" w:cstheme="minorHAnsi"/>
          <w:sz w:val="18"/>
          <w:szCs w:val="20"/>
          <w:lang w:val="es-ES" w:eastAsia="es-ES"/>
        </w:rPr>
        <w:t xml:space="preserve">                     </w:t>
      </w:r>
    </w:p>
    <w:tbl>
      <w:tblPr>
        <w:tblW w:w="7732" w:type="dxa"/>
        <w:tblInd w:w="70" w:type="dxa"/>
        <w:tblCellMar>
          <w:left w:w="70" w:type="dxa"/>
          <w:right w:w="70" w:type="dxa"/>
        </w:tblCellMar>
        <w:tblLook w:val="04A0" w:firstRow="1" w:lastRow="0" w:firstColumn="1" w:lastColumn="0" w:noHBand="0" w:noVBand="1"/>
      </w:tblPr>
      <w:tblGrid>
        <w:gridCol w:w="4178"/>
        <w:gridCol w:w="1842"/>
        <w:gridCol w:w="1701"/>
        <w:gridCol w:w="11"/>
      </w:tblGrid>
      <w:tr w:rsidR="008C65AA" w:rsidRPr="008C65AA" w14:paraId="7FE394F4" w14:textId="77777777" w:rsidTr="009566E6">
        <w:trPr>
          <w:trHeight w:val="240"/>
        </w:trPr>
        <w:tc>
          <w:tcPr>
            <w:tcW w:w="7732" w:type="dxa"/>
            <w:gridSpan w:val="4"/>
            <w:tcBorders>
              <w:top w:val="single" w:sz="4" w:space="0" w:color="auto"/>
              <w:left w:val="single" w:sz="4" w:space="0" w:color="auto"/>
              <w:right w:val="single" w:sz="4" w:space="0" w:color="000000"/>
            </w:tcBorders>
            <w:shd w:val="clear" w:color="000000" w:fill="AB0033"/>
            <w:vAlign w:val="center"/>
            <w:hideMark/>
          </w:tcPr>
          <w:p w14:paraId="53EE814F" w14:textId="77777777" w:rsidR="008C65AA" w:rsidRPr="008C65AA" w:rsidRDefault="008C65AA" w:rsidP="008C65AA">
            <w:pPr>
              <w:spacing w:after="0" w:line="240" w:lineRule="auto"/>
              <w:jc w:val="center"/>
              <w:rPr>
                <w:rFonts w:eastAsia="Times New Roman" w:cs="Calibri"/>
                <w:b/>
                <w:bCs/>
                <w:color w:val="FFFFFF"/>
                <w:sz w:val="16"/>
                <w:szCs w:val="16"/>
                <w:lang w:eastAsia="es-MX"/>
              </w:rPr>
            </w:pPr>
            <w:r w:rsidRPr="008C65AA">
              <w:rPr>
                <w:rFonts w:eastAsia="Times New Roman" w:cs="Calibri"/>
                <w:b/>
                <w:bCs/>
                <w:color w:val="FFFFFF"/>
                <w:sz w:val="16"/>
                <w:szCs w:val="16"/>
                <w:lang w:eastAsia="es-MX"/>
              </w:rPr>
              <w:t>Conciliación de Flujos de Efectivo Netos de las Actividades de Operación</w:t>
            </w:r>
          </w:p>
        </w:tc>
      </w:tr>
      <w:tr w:rsidR="008C65AA" w:rsidRPr="008C65AA" w14:paraId="302E837A" w14:textId="77777777" w:rsidTr="009566E6">
        <w:trPr>
          <w:trHeight w:val="240"/>
        </w:trPr>
        <w:tc>
          <w:tcPr>
            <w:tcW w:w="7732" w:type="dxa"/>
            <w:gridSpan w:val="4"/>
            <w:tcBorders>
              <w:left w:val="single" w:sz="4" w:space="0" w:color="auto"/>
              <w:right w:val="single" w:sz="4" w:space="0" w:color="000000"/>
            </w:tcBorders>
            <w:shd w:val="clear" w:color="000000" w:fill="AB0033"/>
            <w:vAlign w:val="center"/>
            <w:hideMark/>
          </w:tcPr>
          <w:p w14:paraId="58D64C00" w14:textId="77777777" w:rsidR="008C65AA" w:rsidRPr="008C65AA" w:rsidRDefault="008C65AA" w:rsidP="008C65AA">
            <w:pPr>
              <w:spacing w:after="0" w:line="240" w:lineRule="auto"/>
              <w:jc w:val="center"/>
              <w:rPr>
                <w:rFonts w:eastAsia="Times New Roman" w:cs="Calibri"/>
                <w:b/>
                <w:bCs/>
                <w:color w:val="FFFFFF"/>
                <w:sz w:val="16"/>
                <w:szCs w:val="16"/>
                <w:lang w:eastAsia="es-MX"/>
              </w:rPr>
            </w:pPr>
            <w:r w:rsidRPr="008C65AA">
              <w:rPr>
                <w:rFonts w:eastAsia="Times New Roman" w:cs="Calibri"/>
                <w:b/>
                <w:bCs/>
                <w:color w:val="FFFFFF"/>
                <w:sz w:val="16"/>
                <w:szCs w:val="16"/>
                <w:lang w:eastAsia="es-MX"/>
              </w:rPr>
              <w:t>y los saldos de Resultados del Ejercicio (Ahorro/Desahorro)</w:t>
            </w:r>
          </w:p>
        </w:tc>
      </w:tr>
      <w:tr w:rsidR="008C65AA" w:rsidRPr="008C65AA" w14:paraId="7BC715C8" w14:textId="77777777" w:rsidTr="009566E6">
        <w:trPr>
          <w:trHeight w:val="240"/>
        </w:trPr>
        <w:tc>
          <w:tcPr>
            <w:tcW w:w="7732" w:type="dxa"/>
            <w:gridSpan w:val="4"/>
            <w:tcBorders>
              <w:left w:val="single" w:sz="4" w:space="0" w:color="auto"/>
              <w:bottom w:val="single" w:sz="4" w:space="0" w:color="auto"/>
              <w:right w:val="single" w:sz="4" w:space="0" w:color="000000"/>
            </w:tcBorders>
            <w:shd w:val="clear" w:color="000000" w:fill="AB0033"/>
            <w:vAlign w:val="center"/>
            <w:hideMark/>
          </w:tcPr>
          <w:p w14:paraId="0376B33E" w14:textId="77777777" w:rsidR="008C65AA" w:rsidRPr="008C65AA" w:rsidRDefault="008C65AA" w:rsidP="008C65AA">
            <w:pPr>
              <w:spacing w:after="0" w:line="240" w:lineRule="auto"/>
              <w:jc w:val="center"/>
              <w:rPr>
                <w:rFonts w:eastAsia="Times New Roman" w:cs="Calibri"/>
                <w:b/>
                <w:bCs/>
                <w:color w:val="FFFFFF"/>
                <w:sz w:val="16"/>
                <w:szCs w:val="16"/>
                <w:lang w:eastAsia="es-MX"/>
              </w:rPr>
            </w:pPr>
            <w:r w:rsidRPr="008C65AA">
              <w:rPr>
                <w:rFonts w:eastAsia="Times New Roman" w:cs="Calibri"/>
                <w:b/>
                <w:bCs/>
                <w:color w:val="FFFFFF"/>
                <w:sz w:val="16"/>
                <w:szCs w:val="16"/>
                <w:lang w:eastAsia="es-MX"/>
              </w:rPr>
              <w:t>al 31 de Diciembre 2022</w:t>
            </w:r>
          </w:p>
        </w:tc>
      </w:tr>
      <w:tr w:rsidR="008C65AA" w:rsidRPr="008C65AA" w14:paraId="0A1BAA23" w14:textId="77777777" w:rsidTr="009566E6">
        <w:trPr>
          <w:gridAfter w:val="1"/>
          <w:wAfter w:w="11" w:type="dxa"/>
          <w:trHeight w:val="240"/>
        </w:trPr>
        <w:tc>
          <w:tcPr>
            <w:tcW w:w="4178"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F9B85B5" w14:textId="77777777" w:rsidR="008C65AA" w:rsidRPr="008C65AA" w:rsidRDefault="008C65AA" w:rsidP="008C65AA">
            <w:pPr>
              <w:spacing w:after="0" w:line="240" w:lineRule="auto"/>
              <w:jc w:val="center"/>
              <w:rPr>
                <w:rFonts w:eastAsia="Times New Roman" w:cs="Calibri"/>
                <w:b/>
                <w:bCs/>
                <w:color w:val="FFFFFF"/>
                <w:sz w:val="16"/>
                <w:szCs w:val="16"/>
                <w:lang w:eastAsia="es-MX"/>
              </w:rPr>
            </w:pPr>
            <w:r w:rsidRPr="008C65AA">
              <w:rPr>
                <w:rFonts w:eastAsia="Times New Roman" w:cs="Calibri"/>
                <w:b/>
                <w:bCs/>
                <w:color w:val="FFFFFF"/>
                <w:sz w:val="16"/>
                <w:szCs w:val="16"/>
                <w:lang w:eastAsia="es-MX"/>
              </w:rPr>
              <w:t>C O N C E P T O</w:t>
            </w:r>
          </w:p>
        </w:tc>
        <w:tc>
          <w:tcPr>
            <w:tcW w:w="1842" w:type="dxa"/>
            <w:tcBorders>
              <w:top w:val="single" w:sz="4" w:space="0" w:color="auto"/>
              <w:left w:val="nil"/>
              <w:bottom w:val="single" w:sz="4" w:space="0" w:color="auto"/>
              <w:right w:val="single" w:sz="4" w:space="0" w:color="auto"/>
            </w:tcBorders>
            <w:shd w:val="clear" w:color="000000" w:fill="AB0033"/>
            <w:vAlign w:val="center"/>
            <w:hideMark/>
          </w:tcPr>
          <w:p w14:paraId="2C652189" w14:textId="77777777" w:rsidR="008C65AA" w:rsidRPr="008C65AA" w:rsidRDefault="008C65AA" w:rsidP="008C65AA">
            <w:pPr>
              <w:spacing w:after="0" w:line="240" w:lineRule="auto"/>
              <w:jc w:val="center"/>
              <w:rPr>
                <w:rFonts w:eastAsia="Times New Roman" w:cs="Calibri"/>
                <w:b/>
                <w:bCs/>
                <w:color w:val="FFFFFF"/>
                <w:sz w:val="16"/>
                <w:szCs w:val="16"/>
                <w:lang w:eastAsia="es-MX"/>
              </w:rPr>
            </w:pPr>
            <w:r w:rsidRPr="008C65AA">
              <w:rPr>
                <w:rFonts w:eastAsia="Times New Roman" w:cs="Calibri"/>
                <w:b/>
                <w:bCs/>
                <w:color w:val="FFFFFF"/>
                <w:sz w:val="16"/>
                <w:szCs w:val="16"/>
                <w:lang w:eastAsia="es-MX"/>
              </w:rPr>
              <w:t>2022</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3EC441C3" w14:textId="77777777" w:rsidR="008C65AA" w:rsidRPr="008C65AA" w:rsidRDefault="008C65AA" w:rsidP="008C65AA">
            <w:pPr>
              <w:spacing w:after="0" w:line="240" w:lineRule="auto"/>
              <w:jc w:val="center"/>
              <w:rPr>
                <w:rFonts w:eastAsia="Times New Roman" w:cs="Calibri"/>
                <w:b/>
                <w:bCs/>
                <w:color w:val="FFFFFF"/>
                <w:sz w:val="16"/>
                <w:szCs w:val="16"/>
                <w:lang w:eastAsia="es-MX"/>
              </w:rPr>
            </w:pPr>
            <w:r w:rsidRPr="008C65AA">
              <w:rPr>
                <w:rFonts w:eastAsia="Times New Roman" w:cs="Calibri"/>
                <w:b/>
                <w:bCs/>
                <w:color w:val="FFFFFF"/>
                <w:sz w:val="16"/>
                <w:szCs w:val="16"/>
                <w:lang w:eastAsia="es-MX"/>
              </w:rPr>
              <w:t>2021</w:t>
            </w:r>
          </w:p>
        </w:tc>
      </w:tr>
      <w:tr w:rsidR="008C65AA" w:rsidRPr="008C65AA" w14:paraId="36DF7C73" w14:textId="77777777" w:rsidTr="009566E6">
        <w:trPr>
          <w:gridAfter w:val="1"/>
          <w:wAfter w:w="11" w:type="dxa"/>
          <w:trHeight w:val="300"/>
        </w:trPr>
        <w:tc>
          <w:tcPr>
            <w:tcW w:w="4178" w:type="dxa"/>
            <w:tcBorders>
              <w:top w:val="nil"/>
              <w:left w:val="single" w:sz="4" w:space="0" w:color="auto"/>
              <w:bottom w:val="single" w:sz="4" w:space="0" w:color="auto"/>
              <w:right w:val="single" w:sz="4" w:space="0" w:color="auto"/>
            </w:tcBorders>
            <w:shd w:val="clear" w:color="000000" w:fill="D9D9D9"/>
            <w:vAlign w:val="center"/>
            <w:hideMark/>
          </w:tcPr>
          <w:p w14:paraId="625AC173" w14:textId="77777777" w:rsidR="008C65AA" w:rsidRPr="008C65AA" w:rsidRDefault="008C65AA" w:rsidP="008C65AA">
            <w:pPr>
              <w:spacing w:after="0" w:line="240" w:lineRule="auto"/>
              <w:jc w:val="both"/>
              <w:rPr>
                <w:rFonts w:eastAsia="Times New Roman" w:cs="Calibri"/>
                <w:b/>
                <w:bCs/>
                <w:color w:val="000000"/>
                <w:sz w:val="14"/>
                <w:szCs w:val="14"/>
                <w:lang w:eastAsia="es-MX"/>
              </w:rPr>
            </w:pPr>
            <w:r w:rsidRPr="008C65AA">
              <w:rPr>
                <w:rFonts w:eastAsia="Times New Roman" w:cs="Calibri"/>
                <w:b/>
                <w:bCs/>
                <w:color w:val="000000"/>
                <w:sz w:val="14"/>
                <w:szCs w:val="14"/>
                <w:lang w:eastAsia="es-MX"/>
              </w:rPr>
              <w:t>Resultados del Ejercicio (Ahorro/ Desahorro)</w:t>
            </w:r>
          </w:p>
        </w:tc>
        <w:tc>
          <w:tcPr>
            <w:tcW w:w="1842" w:type="dxa"/>
            <w:tcBorders>
              <w:top w:val="nil"/>
              <w:left w:val="nil"/>
              <w:bottom w:val="single" w:sz="4" w:space="0" w:color="auto"/>
              <w:right w:val="single" w:sz="4" w:space="0" w:color="auto"/>
            </w:tcBorders>
            <w:shd w:val="clear" w:color="000000" w:fill="D9D9D9"/>
            <w:vAlign w:val="center"/>
            <w:hideMark/>
          </w:tcPr>
          <w:p w14:paraId="4EBC5695" w14:textId="77777777" w:rsidR="008C65AA" w:rsidRPr="008C65AA" w:rsidRDefault="008C65AA" w:rsidP="008C65AA">
            <w:pPr>
              <w:spacing w:after="0" w:line="240" w:lineRule="auto"/>
              <w:jc w:val="right"/>
              <w:rPr>
                <w:rFonts w:eastAsia="Times New Roman" w:cs="Calibri"/>
                <w:b/>
                <w:bCs/>
                <w:color w:val="000000"/>
                <w:sz w:val="14"/>
                <w:szCs w:val="14"/>
                <w:lang w:eastAsia="es-MX"/>
              </w:rPr>
            </w:pPr>
            <w:r w:rsidRPr="008C65AA">
              <w:rPr>
                <w:rFonts w:eastAsia="Times New Roman" w:cs="Calibri"/>
                <w:b/>
                <w:bCs/>
                <w:color w:val="000000"/>
                <w:sz w:val="14"/>
                <w:szCs w:val="14"/>
                <w:lang w:eastAsia="es-MX"/>
              </w:rPr>
              <w:t>1,641,391,406</w:t>
            </w:r>
          </w:p>
        </w:tc>
        <w:tc>
          <w:tcPr>
            <w:tcW w:w="1701" w:type="dxa"/>
            <w:tcBorders>
              <w:top w:val="nil"/>
              <w:left w:val="nil"/>
              <w:bottom w:val="single" w:sz="4" w:space="0" w:color="auto"/>
              <w:right w:val="single" w:sz="4" w:space="0" w:color="auto"/>
            </w:tcBorders>
            <w:shd w:val="clear" w:color="000000" w:fill="D9D9D9"/>
            <w:vAlign w:val="center"/>
            <w:hideMark/>
          </w:tcPr>
          <w:p w14:paraId="2A526AFF" w14:textId="77777777" w:rsidR="008C65AA" w:rsidRPr="008C65AA" w:rsidRDefault="008C65AA" w:rsidP="008C65AA">
            <w:pPr>
              <w:spacing w:after="0" w:line="240" w:lineRule="auto"/>
              <w:jc w:val="right"/>
              <w:rPr>
                <w:rFonts w:eastAsia="Times New Roman" w:cs="Calibri"/>
                <w:b/>
                <w:bCs/>
                <w:color w:val="000000"/>
                <w:sz w:val="14"/>
                <w:szCs w:val="14"/>
                <w:lang w:eastAsia="es-MX"/>
              </w:rPr>
            </w:pPr>
            <w:r w:rsidRPr="008C65AA">
              <w:rPr>
                <w:rFonts w:eastAsia="Times New Roman" w:cs="Calibri"/>
                <w:b/>
                <w:bCs/>
                <w:color w:val="000000"/>
                <w:sz w:val="14"/>
                <w:szCs w:val="14"/>
                <w:lang w:eastAsia="es-MX"/>
              </w:rPr>
              <w:t>94,522,599</w:t>
            </w:r>
          </w:p>
        </w:tc>
      </w:tr>
      <w:tr w:rsidR="008C65AA" w:rsidRPr="008C65AA" w14:paraId="4052A3D1" w14:textId="77777777" w:rsidTr="009566E6">
        <w:trPr>
          <w:gridAfter w:val="1"/>
          <w:wAfter w:w="11" w:type="dxa"/>
          <w:trHeight w:val="375"/>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36B60A04"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Movimientos de partidas (o rubros) que no afectan al Efectivo</w:t>
            </w:r>
          </w:p>
        </w:tc>
        <w:tc>
          <w:tcPr>
            <w:tcW w:w="1842" w:type="dxa"/>
            <w:tcBorders>
              <w:top w:val="nil"/>
              <w:left w:val="nil"/>
              <w:bottom w:val="single" w:sz="4" w:space="0" w:color="auto"/>
              <w:right w:val="single" w:sz="4" w:space="0" w:color="auto"/>
            </w:tcBorders>
            <w:shd w:val="clear" w:color="auto" w:fill="auto"/>
            <w:vAlign w:val="center"/>
            <w:hideMark/>
          </w:tcPr>
          <w:p w14:paraId="00AB04D0"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3BE44C5F"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r>
      <w:tr w:rsidR="008C65AA" w:rsidRPr="008C65AA" w14:paraId="4492D99D" w14:textId="77777777" w:rsidTr="009566E6">
        <w:trPr>
          <w:gridAfter w:val="1"/>
          <w:wAfter w:w="11" w:type="dxa"/>
          <w:trHeight w:val="240"/>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3D635CEC"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Estimaciones</w:t>
            </w:r>
          </w:p>
        </w:tc>
        <w:tc>
          <w:tcPr>
            <w:tcW w:w="1842" w:type="dxa"/>
            <w:tcBorders>
              <w:top w:val="nil"/>
              <w:left w:val="nil"/>
              <w:bottom w:val="single" w:sz="4" w:space="0" w:color="auto"/>
              <w:right w:val="single" w:sz="4" w:space="0" w:color="auto"/>
            </w:tcBorders>
            <w:shd w:val="clear" w:color="auto" w:fill="auto"/>
            <w:vAlign w:val="center"/>
            <w:hideMark/>
          </w:tcPr>
          <w:p w14:paraId="27F094F7"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538F894B"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r>
      <w:tr w:rsidR="008C65AA" w:rsidRPr="008C65AA" w14:paraId="75CB137B" w14:textId="77777777" w:rsidTr="009566E6">
        <w:trPr>
          <w:gridAfter w:val="1"/>
          <w:wAfter w:w="11" w:type="dxa"/>
          <w:trHeight w:val="240"/>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50B32DEE"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Depreciación</w:t>
            </w:r>
          </w:p>
        </w:tc>
        <w:tc>
          <w:tcPr>
            <w:tcW w:w="1842" w:type="dxa"/>
            <w:tcBorders>
              <w:top w:val="nil"/>
              <w:left w:val="nil"/>
              <w:bottom w:val="single" w:sz="4" w:space="0" w:color="auto"/>
              <w:right w:val="single" w:sz="4" w:space="0" w:color="auto"/>
            </w:tcBorders>
            <w:shd w:val="clear" w:color="auto" w:fill="auto"/>
            <w:vAlign w:val="center"/>
            <w:hideMark/>
          </w:tcPr>
          <w:p w14:paraId="04F5F1C2"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912,238,144</w:t>
            </w:r>
          </w:p>
        </w:tc>
        <w:tc>
          <w:tcPr>
            <w:tcW w:w="1701" w:type="dxa"/>
            <w:tcBorders>
              <w:top w:val="nil"/>
              <w:left w:val="nil"/>
              <w:bottom w:val="single" w:sz="4" w:space="0" w:color="auto"/>
              <w:right w:val="single" w:sz="4" w:space="0" w:color="auto"/>
            </w:tcBorders>
            <w:shd w:val="clear" w:color="auto" w:fill="auto"/>
            <w:vAlign w:val="center"/>
            <w:hideMark/>
          </w:tcPr>
          <w:p w14:paraId="6A486156"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457,424,442</w:t>
            </w:r>
          </w:p>
        </w:tc>
      </w:tr>
      <w:tr w:rsidR="008C65AA" w:rsidRPr="008C65AA" w14:paraId="700C88D2" w14:textId="77777777" w:rsidTr="009566E6">
        <w:trPr>
          <w:gridAfter w:val="1"/>
          <w:wAfter w:w="11" w:type="dxa"/>
          <w:trHeight w:val="240"/>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0AB73D76"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Amortización</w:t>
            </w:r>
          </w:p>
        </w:tc>
        <w:tc>
          <w:tcPr>
            <w:tcW w:w="1842" w:type="dxa"/>
            <w:tcBorders>
              <w:top w:val="nil"/>
              <w:left w:val="nil"/>
              <w:bottom w:val="single" w:sz="4" w:space="0" w:color="auto"/>
              <w:right w:val="single" w:sz="4" w:space="0" w:color="auto"/>
            </w:tcBorders>
            <w:shd w:val="clear" w:color="auto" w:fill="auto"/>
            <w:vAlign w:val="center"/>
            <w:hideMark/>
          </w:tcPr>
          <w:p w14:paraId="32BDA15F"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2FE49A9F"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r>
      <w:tr w:rsidR="008C65AA" w:rsidRPr="008C65AA" w14:paraId="5CA6A508" w14:textId="77777777" w:rsidTr="009566E6">
        <w:trPr>
          <w:gridAfter w:val="1"/>
          <w:wAfter w:w="11" w:type="dxa"/>
          <w:trHeight w:val="240"/>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2BE9CFEF"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Pasivos (Adeudos por pagar)</w:t>
            </w:r>
          </w:p>
        </w:tc>
        <w:tc>
          <w:tcPr>
            <w:tcW w:w="1842" w:type="dxa"/>
            <w:tcBorders>
              <w:top w:val="nil"/>
              <w:left w:val="nil"/>
              <w:bottom w:val="single" w:sz="4" w:space="0" w:color="auto"/>
              <w:right w:val="single" w:sz="4" w:space="0" w:color="auto"/>
            </w:tcBorders>
            <w:shd w:val="clear" w:color="auto" w:fill="auto"/>
            <w:vAlign w:val="center"/>
            <w:hideMark/>
          </w:tcPr>
          <w:p w14:paraId="43DAD02D"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3,778,171,898</w:t>
            </w:r>
          </w:p>
        </w:tc>
        <w:tc>
          <w:tcPr>
            <w:tcW w:w="1701" w:type="dxa"/>
            <w:tcBorders>
              <w:top w:val="nil"/>
              <w:left w:val="nil"/>
              <w:bottom w:val="single" w:sz="4" w:space="0" w:color="auto"/>
              <w:right w:val="single" w:sz="4" w:space="0" w:color="auto"/>
            </w:tcBorders>
            <w:shd w:val="clear" w:color="auto" w:fill="auto"/>
            <w:vAlign w:val="center"/>
            <w:hideMark/>
          </w:tcPr>
          <w:p w14:paraId="3C712BB5"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2,535,624,567</w:t>
            </w:r>
          </w:p>
        </w:tc>
      </w:tr>
      <w:tr w:rsidR="008C65AA" w:rsidRPr="008C65AA" w14:paraId="3707BFAF" w14:textId="77777777" w:rsidTr="009566E6">
        <w:trPr>
          <w:gridAfter w:val="1"/>
          <w:wAfter w:w="11" w:type="dxa"/>
          <w:trHeight w:val="435"/>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0015FB6D"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Incremento en Inversiones Producido por Revaluaciones</w:t>
            </w:r>
          </w:p>
        </w:tc>
        <w:tc>
          <w:tcPr>
            <w:tcW w:w="1842" w:type="dxa"/>
            <w:tcBorders>
              <w:top w:val="nil"/>
              <w:left w:val="nil"/>
              <w:bottom w:val="single" w:sz="4" w:space="0" w:color="auto"/>
              <w:right w:val="single" w:sz="4" w:space="0" w:color="auto"/>
            </w:tcBorders>
            <w:shd w:val="clear" w:color="auto" w:fill="auto"/>
            <w:vAlign w:val="center"/>
            <w:hideMark/>
          </w:tcPr>
          <w:p w14:paraId="665B3E11"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5568F83B"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r>
      <w:tr w:rsidR="008C65AA" w:rsidRPr="008C65AA" w14:paraId="3AFF1B9E" w14:textId="77777777" w:rsidTr="009566E6">
        <w:trPr>
          <w:gridAfter w:val="1"/>
          <w:wAfter w:w="11" w:type="dxa"/>
          <w:trHeight w:val="397"/>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3F5164A8"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Ganancia/pérdida en venta de Bienes muebles, inmuebles e intangibles</w:t>
            </w:r>
          </w:p>
        </w:tc>
        <w:tc>
          <w:tcPr>
            <w:tcW w:w="1842" w:type="dxa"/>
            <w:tcBorders>
              <w:top w:val="nil"/>
              <w:left w:val="nil"/>
              <w:bottom w:val="single" w:sz="4" w:space="0" w:color="auto"/>
              <w:right w:val="single" w:sz="4" w:space="0" w:color="auto"/>
            </w:tcBorders>
            <w:shd w:val="clear" w:color="auto" w:fill="auto"/>
            <w:vAlign w:val="center"/>
            <w:hideMark/>
          </w:tcPr>
          <w:p w14:paraId="308F50D5"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051CC004"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r>
      <w:tr w:rsidR="008C65AA" w:rsidRPr="008C65AA" w14:paraId="60A68353" w14:textId="77777777" w:rsidTr="009566E6">
        <w:trPr>
          <w:gridAfter w:val="1"/>
          <w:wAfter w:w="11" w:type="dxa"/>
          <w:trHeight w:val="240"/>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67D33EC8"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Incremento en Cuentas por Cobrar </w:t>
            </w:r>
          </w:p>
        </w:tc>
        <w:tc>
          <w:tcPr>
            <w:tcW w:w="1842" w:type="dxa"/>
            <w:tcBorders>
              <w:top w:val="nil"/>
              <w:left w:val="nil"/>
              <w:bottom w:val="single" w:sz="4" w:space="0" w:color="auto"/>
              <w:right w:val="single" w:sz="4" w:space="0" w:color="auto"/>
            </w:tcBorders>
            <w:shd w:val="clear" w:color="auto" w:fill="auto"/>
            <w:vAlign w:val="center"/>
            <w:hideMark/>
          </w:tcPr>
          <w:p w14:paraId="2E1C7C50"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49,916,398</w:t>
            </w:r>
          </w:p>
        </w:tc>
        <w:tc>
          <w:tcPr>
            <w:tcW w:w="1701" w:type="dxa"/>
            <w:tcBorders>
              <w:top w:val="nil"/>
              <w:left w:val="nil"/>
              <w:bottom w:val="single" w:sz="4" w:space="0" w:color="auto"/>
              <w:right w:val="single" w:sz="4" w:space="0" w:color="auto"/>
            </w:tcBorders>
            <w:shd w:val="clear" w:color="auto" w:fill="auto"/>
            <w:vAlign w:val="center"/>
            <w:hideMark/>
          </w:tcPr>
          <w:p w14:paraId="15D9D3FE"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4,710,973</w:t>
            </w:r>
          </w:p>
        </w:tc>
      </w:tr>
      <w:tr w:rsidR="008C65AA" w:rsidRPr="008C65AA" w14:paraId="333B865A" w14:textId="77777777" w:rsidTr="009566E6">
        <w:trPr>
          <w:gridAfter w:val="1"/>
          <w:wAfter w:w="11" w:type="dxa"/>
          <w:trHeight w:val="240"/>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6F08EF00"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Donativos</w:t>
            </w:r>
          </w:p>
        </w:tc>
        <w:tc>
          <w:tcPr>
            <w:tcW w:w="1842" w:type="dxa"/>
            <w:tcBorders>
              <w:top w:val="nil"/>
              <w:left w:val="nil"/>
              <w:bottom w:val="single" w:sz="4" w:space="0" w:color="auto"/>
              <w:right w:val="single" w:sz="4" w:space="0" w:color="auto"/>
            </w:tcBorders>
            <w:shd w:val="clear" w:color="auto" w:fill="auto"/>
            <w:vAlign w:val="center"/>
            <w:hideMark/>
          </w:tcPr>
          <w:p w14:paraId="44C5C9C3"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72DA13EE"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 </w:t>
            </w:r>
          </w:p>
        </w:tc>
      </w:tr>
      <w:tr w:rsidR="008C65AA" w:rsidRPr="008C65AA" w14:paraId="7CF297D7" w14:textId="77777777" w:rsidTr="009566E6">
        <w:trPr>
          <w:gridAfter w:val="1"/>
          <w:wAfter w:w="11" w:type="dxa"/>
          <w:trHeight w:val="240"/>
        </w:trPr>
        <w:tc>
          <w:tcPr>
            <w:tcW w:w="4178" w:type="dxa"/>
            <w:tcBorders>
              <w:top w:val="nil"/>
              <w:left w:val="single" w:sz="4" w:space="0" w:color="auto"/>
              <w:bottom w:val="single" w:sz="4" w:space="0" w:color="auto"/>
              <w:right w:val="single" w:sz="4" w:space="0" w:color="auto"/>
            </w:tcBorders>
            <w:shd w:val="clear" w:color="auto" w:fill="auto"/>
            <w:vAlign w:val="center"/>
            <w:hideMark/>
          </w:tcPr>
          <w:p w14:paraId="0D9DEBF6" w14:textId="77777777" w:rsidR="008C65AA" w:rsidRPr="008C65AA" w:rsidRDefault="008C65AA" w:rsidP="008C65AA">
            <w:pPr>
              <w:spacing w:after="0" w:line="240" w:lineRule="auto"/>
              <w:jc w:val="both"/>
              <w:rPr>
                <w:rFonts w:eastAsia="Times New Roman" w:cs="Calibri"/>
                <w:color w:val="000000"/>
                <w:sz w:val="14"/>
                <w:szCs w:val="14"/>
                <w:lang w:eastAsia="es-MX"/>
              </w:rPr>
            </w:pPr>
            <w:r w:rsidRPr="008C65AA">
              <w:rPr>
                <w:rFonts w:eastAsia="Times New Roman" w:cs="Calibri"/>
                <w:color w:val="000000"/>
                <w:sz w:val="14"/>
                <w:szCs w:val="14"/>
                <w:lang w:eastAsia="es-MX"/>
              </w:rPr>
              <w:t xml:space="preserve">     Perdidas Extraordinarias</w:t>
            </w:r>
          </w:p>
        </w:tc>
        <w:tc>
          <w:tcPr>
            <w:tcW w:w="1842" w:type="dxa"/>
            <w:tcBorders>
              <w:top w:val="nil"/>
              <w:left w:val="nil"/>
              <w:bottom w:val="single" w:sz="4" w:space="0" w:color="auto"/>
              <w:right w:val="single" w:sz="4" w:space="0" w:color="auto"/>
            </w:tcBorders>
            <w:shd w:val="clear" w:color="auto" w:fill="auto"/>
            <w:vAlign w:val="center"/>
            <w:hideMark/>
          </w:tcPr>
          <w:p w14:paraId="7E71F7DB" w14:textId="22BCC680" w:rsidR="008C65AA" w:rsidRPr="008C65AA" w:rsidRDefault="008C65AA" w:rsidP="00DA197F">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1,215,937,12</w:t>
            </w:r>
            <w:r w:rsidR="00DA197F">
              <w:rPr>
                <w:rFonts w:eastAsia="Times New Roman" w:cs="Calibri"/>
                <w:color w:val="000000"/>
                <w:sz w:val="14"/>
                <w:szCs w:val="14"/>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14:paraId="753E954D" w14:textId="77777777" w:rsidR="008C65AA" w:rsidRPr="008C65AA" w:rsidRDefault="008C65AA" w:rsidP="008C65AA">
            <w:pPr>
              <w:spacing w:after="0" w:line="240" w:lineRule="auto"/>
              <w:jc w:val="right"/>
              <w:rPr>
                <w:rFonts w:eastAsia="Times New Roman" w:cs="Calibri"/>
                <w:color w:val="000000"/>
                <w:sz w:val="14"/>
                <w:szCs w:val="14"/>
                <w:lang w:eastAsia="es-MX"/>
              </w:rPr>
            </w:pPr>
            <w:r w:rsidRPr="008C65AA">
              <w:rPr>
                <w:rFonts w:eastAsia="Times New Roman" w:cs="Calibri"/>
                <w:color w:val="000000"/>
                <w:sz w:val="14"/>
                <w:szCs w:val="14"/>
                <w:lang w:eastAsia="es-MX"/>
              </w:rPr>
              <w:t>1,092,418,733</w:t>
            </w:r>
          </w:p>
        </w:tc>
      </w:tr>
      <w:tr w:rsidR="008C65AA" w:rsidRPr="008C65AA" w14:paraId="3CEAED55" w14:textId="77777777" w:rsidTr="009566E6">
        <w:trPr>
          <w:gridAfter w:val="1"/>
          <w:wAfter w:w="11" w:type="dxa"/>
          <w:trHeight w:val="350"/>
        </w:trPr>
        <w:tc>
          <w:tcPr>
            <w:tcW w:w="4178" w:type="dxa"/>
            <w:tcBorders>
              <w:top w:val="nil"/>
              <w:left w:val="single" w:sz="4" w:space="0" w:color="auto"/>
              <w:bottom w:val="single" w:sz="4" w:space="0" w:color="auto"/>
              <w:right w:val="single" w:sz="4" w:space="0" w:color="auto"/>
            </w:tcBorders>
            <w:shd w:val="clear" w:color="000000" w:fill="DDC9A3"/>
            <w:vAlign w:val="center"/>
            <w:hideMark/>
          </w:tcPr>
          <w:p w14:paraId="01B81077" w14:textId="77777777" w:rsidR="008C65AA" w:rsidRPr="008C65AA" w:rsidRDefault="008C65AA" w:rsidP="008C65AA">
            <w:pPr>
              <w:spacing w:after="0" w:line="240" w:lineRule="auto"/>
              <w:jc w:val="both"/>
              <w:rPr>
                <w:rFonts w:eastAsia="Times New Roman" w:cs="Calibri"/>
                <w:b/>
                <w:bCs/>
                <w:color w:val="000000"/>
                <w:sz w:val="14"/>
                <w:szCs w:val="14"/>
                <w:lang w:eastAsia="es-MX"/>
              </w:rPr>
            </w:pPr>
            <w:r w:rsidRPr="008C65AA">
              <w:rPr>
                <w:rFonts w:eastAsia="Times New Roman" w:cs="Calibri"/>
                <w:b/>
                <w:bCs/>
                <w:color w:val="000000"/>
                <w:sz w:val="14"/>
                <w:szCs w:val="14"/>
                <w:lang w:eastAsia="es-MX"/>
              </w:rPr>
              <w:t>Flujos de Efectivo Netos de las Actividades de Operación.</w:t>
            </w:r>
          </w:p>
        </w:tc>
        <w:tc>
          <w:tcPr>
            <w:tcW w:w="1842" w:type="dxa"/>
            <w:tcBorders>
              <w:top w:val="nil"/>
              <w:left w:val="nil"/>
              <w:bottom w:val="single" w:sz="4" w:space="0" w:color="auto"/>
              <w:right w:val="single" w:sz="4" w:space="0" w:color="auto"/>
            </w:tcBorders>
            <w:shd w:val="clear" w:color="000000" w:fill="DDC9A3"/>
            <w:vAlign w:val="center"/>
            <w:hideMark/>
          </w:tcPr>
          <w:p w14:paraId="0D5C545D" w14:textId="131ED2A1" w:rsidR="008C65AA" w:rsidRPr="008C65AA" w:rsidRDefault="00DA197F" w:rsidP="008C65AA">
            <w:pPr>
              <w:spacing w:after="0" w:line="240" w:lineRule="auto"/>
              <w:jc w:val="right"/>
              <w:rPr>
                <w:rFonts w:eastAsia="Times New Roman" w:cs="Calibri"/>
                <w:b/>
                <w:bCs/>
                <w:color w:val="000000"/>
                <w:sz w:val="14"/>
                <w:szCs w:val="14"/>
                <w:lang w:eastAsia="es-MX"/>
              </w:rPr>
            </w:pPr>
            <w:r>
              <w:rPr>
                <w:rFonts w:eastAsia="Times New Roman" w:cs="Calibri"/>
                <w:b/>
                <w:bCs/>
                <w:color w:val="000000"/>
                <w:sz w:val="14"/>
                <w:szCs w:val="14"/>
                <w:lang w:eastAsia="es-MX"/>
              </w:rPr>
              <w:t>7,497,822,172</w:t>
            </w:r>
          </w:p>
        </w:tc>
        <w:tc>
          <w:tcPr>
            <w:tcW w:w="1701" w:type="dxa"/>
            <w:tcBorders>
              <w:top w:val="nil"/>
              <w:left w:val="nil"/>
              <w:bottom w:val="single" w:sz="4" w:space="0" w:color="auto"/>
              <w:right w:val="single" w:sz="4" w:space="0" w:color="auto"/>
            </w:tcBorders>
            <w:shd w:val="clear" w:color="000000" w:fill="DDC9A3"/>
            <w:vAlign w:val="center"/>
            <w:hideMark/>
          </w:tcPr>
          <w:p w14:paraId="2A1D30EE" w14:textId="77777777" w:rsidR="008C65AA" w:rsidRPr="008C65AA" w:rsidRDefault="008C65AA" w:rsidP="008C65AA">
            <w:pPr>
              <w:spacing w:after="0" w:line="240" w:lineRule="auto"/>
              <w:jc w:val="right"/>
              <w:rPr>
                <w:rFonts w:eastAsia="Times New Roman" w:cs="Calibri"/>
                <w:b/>
                <w:bCs/>
                <w:color w:val="000000"/>
                <w:sz w:val="14"/>
                <w:szCs w:val="14"/>
                <w:lang w:eastAsia="es-MX"/>
              </w:rPr>
            </w:pPr>
            <w:r w:rsidRPr="008C65AA">
              <w:rPr>
                <w:rFonts w:eastAsia="Times New Roman" w:cs="Calibri"/>
                <w:b/>
                <w:bCs/>
                <w:color w:val="000000"/>
                <w:sz w:val="14"/>
                <w:szCs w:val="14"/>
                <w:lang w:eastAsia="es-MX"/>
              </w:rPr>
              <w:t>4,175,279,368</w:t>
            </w:r>
          </w:p>
        </w:tc>
      </w:tr>
    </w:tbl>
    <w:p w14:paraId="386804B4" w14:textId="434046D4" w:rsidR="0098750F" w:rsidRPr="005F45A3" w:rsidRDefault="0098750F" w:rsidP="00712AD2">
      <w:pPr>
        <w:spacing w:after="0" w:line="240" w:lineRule="auto"/>
        <w:jc w:val="both"/>
        <w:rPr>
          <w:rFonts w:asciiTheme="minorHAnsi" w:hAnsiTheme="minorHAnsi" w:cstheme="minorHAnsi"/>
          <w:sz w:val="18"/>
          <w:szCs w:val="20"/>
          <w:lang w:val="es-ES" w:eastAsia="es-ES"/>
        </w:rPr>
      </w:pPr>
    </w:p>
    <w:p w14:paraId="13EA0284" w14:textId="2F287D19" w:rsidR="0098750F" w:rsidRPr="005F45A3" w:rsidRDefault="0098750F" w:rsidP="00712AD2">
      <w:pPr>
        <w:spacing w:after="0" w:line="240" w:lineRule="auto"/>
        <w:jc w:val="both"/>
        <w:rPr>
          <w:rFonts w:asciiTheme="minorHAnsi" w:hAnsiTheme="minorHAnsi" w:cstheme="minorHAnsi"/>
          <w:sz w:val="18"/>
          <w:szCs w:val="20"/>
          <w:lang w:val="es-ES" w:eastAsia="es-ES"/>
        </w:rPr>
      </w:pPr>
    </w:p>
    <w:p w14:paraId="26385AE3" w14:textId="77777777" w:rsidR="00B37511" w:rsidRPr="005F45A3" w:rsidRDefault="00B37511" w:rsidP="007F04E0">
      <w:pPr>
        <w:spacing w:after="0" w:line="240" w:lineRule="auto"/>
        <w:jc w:val="both"/>
        <w:rPr>
          <w:rFonts w:asciiTheme="minorHAnsi" w:hAnsiTheme="minorHAnsi" w:cstheme="minorHAnsi"/>
          <w:b/>
          <w:sz w:val="14"/>
          <w:szCs w:val="18"/>
          <w:lang w:val="es-ES" w:eastAsia="es-ES"/>
        </w:rPr>
      </w:pPr>
    </w:p>
    <w:p w14:paraId="5B038B48" w14:textId="77777777" w:rsidR="007F04E0" w:rsidRPr="005F45A3" w:rsidRDefault="007F04E0" w:rsidP="007F04E0">
      <w:pPr>
        <w:spacing w:after="0" w:line="240" w:lineRule="auto"/>
        <w:jc w:val="both"/>
        <w:rPr>
          <w:rFonts w:asciiTheme="minorHAnsi" w:hAnsiTheme="minorHAnsi" w:cstheme="minorHAnsi"/>
          <w:b/>
          <w:sz w:val="18"/>
          <w:szCs w:val="18"/>
          <w:lang w:eastAsia="es-ES"/>
        </w:rPr>
      </w:pPr>
      <w:r w:rsidRPr="005F45A3">
        <w:rPr>
          <w:rFonts w:asciiTheme="minorHAnsi" w:hAnsiTheme="minorHAnsi" w:cstheme="minorHAnsi"/>
          <w:b/>
          <w:sz w:val="18"/>
          <w:szCs w:val="18"/>
          <w:lang w:val="es-ES" w:eastAsia="es-ES"/>
        </w:rPr>
        <w:t xml:space="preserve">Conciliación entre los Ingresos Presupuestarios </w:t>
      </w:r>
      <w:r w:rsidRPr="005F45A3">
        <w:rPr>
          <w:rFonts w:asciiTheme="minorHAnsi" w:hAnsiTheme="minorHAnsi" w:cstheme="minorHAnsi"/>
          <w:b/>
          <w:sz w:val="18"/>
          <w:szCs w:val="18"/>
          <w:lang w:eastAsia="es-ES"/>
        </w:rPr>
        <w:t>y Contables, así como entre los Egresos Presupuestarios y los Gastos Contables</w:t>
      </w:r>
    </w:p>
    <w:p w14:paraId="3EC82FDC" w14:textId="1BE8DCAC" w:rsidR="007A6501" w:rsidRPr="005F45A3" w:rsidRDefault="00B73312" w:rsidP="007F04E0">
      <w:pPr>
        <w:spacing w:after="0" w:line="240" w:lineRule="auto"/>
        <w:jc w:val="both"/>
        <w:rPr>
          <w:rFonts w:asciiTheme="minorHAnsi" w:hAnsiTheme="minorHAnsi" w:cstheme="minorHAnsi"/>
          <w:b/>
          <w:sz w:val="18"/>
          <w:szCs w:val="18"/>
          <w:lang w:eastAsia="es-ES"/>
        </w:rPr>
      </w:pPr>
      <w:r w:rsidRPr="005F45A3">
        <w:rPr>
          <w:rFonts w:asciiTheme="minorHAnsi" w:hAnsiTheme="minorHAnsi" w:cstheme="minorHAnsi"/>
          <w:b/>
          <w:sz w:val="18"/>
          <w:szCs w:val="18"/>
          <w:lang w:eastAsia="es-ES"/>
        </w:rPr>
        <w:t xml:space="preserve">          </w:t>
      </w:r>
      <w:r w:rsidR="00855C55" w:rsidRPr="005F45A3">
        <w:rPr>
          <w:rFonts w:asciiTheme="minorHAnsi" w:hAnsiTheme="minorHAnsi" w:cstheme="minorHAnsi"/>
          <w:b/>
          <w:sz w:val="18"/>
          <w:szCs w:val="18"/>
          <w:lang w:eastAsia="es-ES"/>
        </w:rPr>
        <w:t xml:space="preserve">           </w:t>
      </w:r>
      <w:r w:rsidR="007A6501">
        <w:rPr>
          <w:rFonts w:asciiTheme="minorHAnsi" w:hAnsiTheme="minorHAnsi" w:cstheme="minorHAnsi"/>
          <w:b/>
          <w:sz w:val="18"/>
          <w:szCs w:val="18"/>
          <w:lang w:eastAsia="es-ES"/>
        </w:rPr>
        <w:t xml:space="preserve">                     </w:t>
      </w:r>
    </w:p>
    <w:tbl>
      <w:tblPr>
        <w:tblW w:w="7687" w:type="dxa"/>
        <w:tblInd w:w="75" w:type="dxa"/>
        <w:tblCellMar>
          <w:left w:w="70" w:type="dxa"/>
          <w:right w:w="70" w:type="dxa"/>
        </w:tblCellMar>
        <w:tblLook w:val="04A0" w:firstRow="1" w:lastRow="0" w:firstColumn="1" w:lastColumn="0" w:noHBand="0" w:noVBand="1"/>
      </w:tblPr>
      <w:tblGrid>
        <w:gridCol w:w="4315"/>
        <w:gridCol w:w="1701"/>
        <w:gridCol w:w="1671"/>
      </w:tblGrid>
      <w:tr w:rsidR="001E734D" w:rsidRPr="001E734D" w14:paraId="3C7788AC" w14:textId="77777777" w:rsidTr="009566E6">
        <w:trPr>
          <w:trHeight w:val="420"/>
        </w:trPr>
        <w:tc>
          <w:tcPr>
            <w:tcW w:w="7687" w:type="dxa"/>
            <w:gridSpan w:val="3"/>
            <w:tcBorders>
              <w:top w:val="single" w:sz="4" w:space="0" w:color="auto"/>
              <w:left w:val="single" w:sz="4" w:space="0" w:color="auto"/>
              <w:bottom w:val="single" w:sz="4" w:space="0" w:color="auto"/>
              <w:right w:val="single" w:sz="4" w:space="0" w:color="000000"/>
            </w:tcBorders>
            <w:shd w:val="clear" w:color="000000" w:fill="AB0033"/>
            <w:vAlign w:val="center"/>
            <w:hideMark/>
          </w:tcPr>
          <w:p w14:paraId="601FBBE1" w14:textId="77777777" w:rsidR="001E734D" w:rsidRPr="001E734D" w:rsidRDefault="001E734D" w:rsidP="001E734D">
            <w:pPr>
              <w:spacing w:after="0" w:line="240" w:lineRule="auto"/>
              <w:jc w:val="center"/>
              <w:rPr>
                <w:rFonts w:eastAsia="Times New Roman" w:cs="Calibri"/>
                <w:b/>
                <w:bCs/>
                <w:color w:val="FFFFFF"/>
                <w:sz w:val="16"/>
                <w:szCs w:val="16"/>
                <w:lang w:eastAsia="es-MX"/>
              </w:rPr>
            </w:pPr>
            <w:r w:rsidRPr="001E734D">
              <w:rPr>
                <w:rFonts w:eastAsia="Times New Roman" w:cs="Calibri"/>
                <w:b/>
                <w:bCs/>
                <w:color w:val="FFFFFF"/>
                <w:sz w:val="16"/>
                <w:szCs w:val="16"/>
                <w:lang w:eastAsia="es-MX"/>
              </w:rPr>
              <w:t>Conciliación de Ingresos Presupuestarios / Contables</w:t>
            </w:r>
          </w:p>
        </w:tc>
      </w:tr>
      <w:tr w:rsidR="001E734D" w:rsidRPr="001E734D" w14:paraId="1AFAAF61" w14:textId="77777777" w:rsidTr="009566E6">
        <w:trPr>
          <w:trHeight w:val="454"/>
        </w:trPr>
        <w:tc>
          <w:tcPr>
            <w:tcW w:w="4315" w:type="dxa"/>
            <w:tcBorders>
              <w:top w:val="nil"/>
              <w:left w:val="single" w:sz="4" w:space="0" w:color="auto"/>
              <w:bottom w:val="single" w:sz="4" w:space="0" w:color="auto"/>
              <w:right w:val="single" w:sz="4" w:space="0" w:color="auto"/>
            </w:tcBorders>
            <w:shd w:val="clear" w:color="000000" w:fill="D9D9D9"/>
            <w:vAlign w:val="center"/>
            <w:hideMark/>
          </w:tcPr>
          <w:p w14:paraId="50C2F178" w14:textId="77777777" w:rsidR="001E734D" w:rsidRPr="001E734D" w:rsidRDefault="001E734D" w:rsidP="001E734D">
            <w:pPr>
              <w:spacing w:after="0" w:line="240" w:lineRule="auto"/>
              <w:rPr>
                <w:rFonts w:eastAsia="Times New Roman" w:cs="Calibri"/>
                <w:b/>
                <w:bCs/>
                <w:color w:val="000000"/>
                <w:sz w:val="16"/>
                <w:szCs w:val="16"/>
                <w:lang w:eastAsia="es-MX"/>
              </w:rPr>
            </w:pPr>
            <w:r w:rsidRPr="001E734D">
              <w:rPr>
                <w:rFonts w:eastAsia="Times New Roman" w:cs="Calibri"/>
                <w:b/>
                <w:bCs/>
                <w:color w:val="000000"/>
                <w:sz w:val="16"/>
                <w:szCs w:val="16"/>
                <w:lang w:eastAsia="es-MX"/>
              </w:rPr>
              <w:t>1.</w:t>
            </w:r>
            <w:r w:rsidRPr="001E734D">
              <w:rPr>
                <w:rFonts w:eastAsia="Times New Roman" w:cs="Calibri"/>
                <w:b/>
                <w:bCs/>
                <w:color w:val="000000"/>
                <w:sz w:val="14"/>
                <w:szCs w:val="14"/>
                <w:lang w:eastAsia="es-MX"/>
              </w:rPr>
              <w:t xml:space="preserve">      </w:t>
            </w:r>
            <w:r w:rsidRPr="001E734D">
              <w:rPr>
                <w:rFonts w:eastAsia="Times New Roman" w:cs="Calibri"/>
                <w:b/>
                <w:bCs/>
                <w:color w:val="000000"/>
                <w:sz w:val="16"/>
                <w:szCs w:val="16"/>
                <w:lang w:eastAsia="es-MX"/>
              </w:rPr>
              <w:t>Ingresos Presupuestarios</w:t>
            </w:r>
          </w:p>
        </w:tc>
        <w:tc>
          <w:tcPr>
            <w:tcW w:w="1701" w:type="dxa"/>
            <w:tcBorders>
              <w:top w:val="nil"/>
              <w:left w:val="nil"/>
              <w:bottom w:val="single" w:sz="4" w:space="0" w:color="auto"/>
              <w:right w:val="single" w:sz="4" w:space="0" w:color="auto"/>
            </w:tcBorders>
            <w:shd w:val="clear" w:color="000000" w:fill="D9D9D9"/>
            <w:vAlign w:val="center"/>
            <w:hideMark/>
          </w:tcPr>
          <w:p w14:paraId="61B67144" w14:textId="77777777" w:rsidR="001E734D" w:rsidRPr="001E734D" w:rsidRDefault="001E734D" w:rsidP="001E734D">
            <w:pPr>
              <w:spacing w:after="0" w:line="240" w:lineRule="auto"/>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c>
          <w:tcPr>
            <w:tcW w:w="1671" w:type="dxa"/>
            <w:tcBorders>
              <w:top w:val="nil"/>
              <w:left w:val="nil"/>
              <w:bottom w:val="single" w:sz="4" w:space="0" w:color="auto"/>
              <w:right w:val="single" w:sz="4" w:space="0" w:color="auto"/>
            </w:tcBorders>
            <w:shd w:val="clear" w:color="000000" w:fill="D9D9D9"/>
            <w:vAlign w:val="center"/>
            <w:hideMark/>
          </w:tcPr>
          <w:p w14:paraId="2F243464"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71,820,422,977</w:t>
            </w:r>
          </w:p>
        </w:tc>
      </w:tr>
      <w:tr w:rsidR="001E734D" w:rsidRPr="001E734D" w14:paraId="305473AB" w14:textId="77777777" w:rsidTr="009566E6">
        <w:trPr>
          <w:trHeight w:val="135"/>
        </w:trPr>
        <w:tc>
          <w:tcPr>
            <w:tcW w:w="4315" w:type="dxa"/>
            <w:tcBorders>
              <w:top w:val="nil"/>
              <w:left w:val="nil"/>
              <w:bottom w:val="nil"/>
              <w:right w:val="nil"/>
            </w:tcBorders>
            <w:shd w:val="clear" w:color="auto" w:fill="auto"/>
            <w:vAlign w:val="center"/>
            <w:hideMark/>
          </w:tcPr>
          <w:p w14:paraId="1E26E7EB" w14:textId="77777777" w:rsidR="001E734D" w:rsidRPr="001E734D" w:rsidRDefault="001E734D" w:rsidP="001E734D">
            <w:pPr>
              <w:spacing w:after="0" w:line="240" w:lineRule="auto"/>
              <w:jc w:val="right"/>
              <w:rPr>
                <w:rFonts w:eastAsia="Times New Roman" w:cs="Calibri"/>
                <w:b/>
                <w:bCs/>
                <w:color w:val="000000"/>
                <w:sz w:val="16"/>
                <w:szCs w:val="16"/>
                <w:lang w:eastAsia="es-MX"/>
              </w:rPr>
            </w:pPr>
          </w:p>
        </w:tc>
        <w:tc>
          <w:tcPr>
            <w:tcW w:w="1701" w:type="dxa"/>
            <w:tcBorders>
              <w:top w:val="nil"/>
              <w:left w:val="nil"/>
              <w:bottom w:val="nil"/>
              <w:right w:val="nil"/>
            </w:tcBorders>
            <w:shd w:val="clear" w:color="auto" w:fill="auto"/>
            <w:vAlign w:val="center"/>
            <w:hideMark/>
          </w:tcPr>
          <w:p w14:paraId="559BE761" w14:textId="77777777" w:rsidR="001E734D" w:rsidRPr="001E734D" w:rsidRDefault="001E734D" w:rsidP="001E734D">
            <w:pPr>
              <w:spacing w:after="0" w:line="240" w:lineRule="auto"/>
              <w:rPr>
                <w:rFonts w:ascii="Times New Roman" w:eastAsia="Times New Roman" w:hAnsi="Times New Roman"/>
                <w:sz w:val="20"/>
                <w:szCs w:val="20"/>
                <w:lang w:eastAsia="es-MX"/>
              </w:rPr>
            </w:pPr>
          </w:p>
        </w:tc>
        <w:tc>
          <w:tcPr>
            <w:tcW w:w="1671" w:type="dxa"/>
            <w:tcBorders>
              <w:top w:val="nil"/>
              <w:left w:val="nil"/>
              <w:bottom w:val="nil"/>
              <w:right w:val="nil"/>
            </w:tcBorders>
            <w:shd w:val="clear" w:color="auto" w:fill="auto"/>
            <w:vAlign w:val="center"/>
            <w:hideMark/>
          </w:tcPr>
          <w:p w14:paraId="5908593E" w14:textId="77777777" w:rsidR="001E734D" w:rsidRPr="001E734D" w:rsidRDefault="001E734D" w:rsidP="001E734D">
            <w:pPr>
              <w:spacing w:after="0" w:line="240" w:lineRule="auto"/>
              <w:rPr>
                <w:rFonts w:ascii="Times New Roman" w:eastAsia="Times New Roman" w:hAnsi="Times New Roman"/>
                <w:sz w:val="20"/>
                <w:szCs w:val="20"/>
                <w:lang w:eastAsia="es-MX"/>
              </w:rPr>
            </w:pPr>
          </w:p>
        </w:tc>
      </w:tr>
      <w:tr w:rsidR="001E734D" w:rsidRPr="001E734D" w14:paraId="2FA37302" w14:textId="77777777" w:rsidTr="009566E6">
        <w:trPr>
          <w:trHeight w:val="345"/>
        </w:trPr>
        <w:tc>
          <w:tcPr>
            <w:tcW w:w="601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2E64049" w14:textId="77777777" w:rsidR="001E734D" w:rsidRPr="001E734D" w:rsidRDefault="001E734D" w:rsidP="001E734D">
            <w:pPr>
              <w:spacing w:after="0" w:line="240" w:lineRule="auto"/>
              <w:rPr>
                <w:rFonts w:eastAsia="Times New Roman" w:cs="Calibri"/>
                <w:b/>
                <w:bCs/>
                <w:color w:val="000000"/>
                <w:sz w:val="16"/>
                <w:szCs w:val="16"/>
                <w:lang w:eastAsia="es-MX"/>
              </w:rPr>
            </w:pPr>
            <w:r w:rsidRPr="001E734D">
              <w:rPr>
                <w:rFonts w:eastAsia="Times New Roman" w:cs="Calibri"/>
                <w:b/>
                <w:bCs/>
                <w:color w:val="000000"/>
                <w:sz w:val="16"/>
                <w:szCs w:val="16"/>
                <w:lang w:eastAsia="es-MX"/>
              </w:rPr>
              <w:t>2.      Más Ingresos Contables no Presupuestarios</w:t>
            </w:r>
          </w:p>
        </w:tc>
        <w:tc>
          <w:tcPr>
            <w:tcW w:w="1671" w:type="dxa"/>
            <w:tcBorders>
              <w:top w:val="single" w:sz="4" w:space="0" w:color="auto"/>
              <w:left w:val="nil"/>
              <w:bottom w:val="single" w:sz="4" w:space="0" w:color="auto"/>
              <w:right w:val="single" w:sz="4" w:space="0" w:color="auto"/>
            </w:tcBorders>
            <w:shd w:val="clear" w:color="000000" w:fill="D9D9D9"/>
            <w:vAlign w:val="center"/>
            <w:hideMark/>
          </w:tcPr>
          <w:p w14:paraId="463D1034"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49,916,397</w:t>
            </w:r>
          </w:p>
        </w:tc>
      </w:tr>
      <w:tr w:rsidR="001E734D" w:rsidRPr="001E734D" w14:paraId="2D2A7EE1" w14:textId="77777777" w:rsidTr="009566E6">
        <w:trPr>
          <w:trHeight w:val="300"/>
        </w:trPr>
        <w:tc>
          <w:tcPr>
            <w:tcW w:w="4315" w:type="dxa"/>
            <w:tcBorders>
              <w:top w:val="nil"/>
              <w:left w:val="single" w:sz="4" w:space="0" w:color="auto"/>
              <w:bottom w:val="single" w:sz="4" w:space="0" w:color="auto"/>
              <w:right w:val="nil"/>
            </w:tcBorders>
            <w:shd w:val="clear" w:color="auto" w:fill="auto"/>
            <w:vAlign w:val="center"/>
            <w:hideMark/>
          </w:tcPr>
          <w:p w14:paraId="2C7FDE95"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Ingresos Financieros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08ABF37"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25D66697"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57FF50AE" w14:textId="77777777" w:rsidTr="009566E6">
        <w:trPr>
          <w:trHeight w:val="300"/>
        </w:trPr>
        <w:tc>
          <w:tcPr>
            <w:tcW w:w="4315" w:type="dxa"/>
            <w:tcBorders>
              <w:top w:val="nil"/>
              <w:left w:val="single" w:sz="4" w:space="0" w:color="auto"/>
              <w:bottom w:val="single" w:sz="4" w:space="0" w:color="auto"/>
              <w:right w:val="nil"/>
            </w:tcBorders>
            <w:shd w:val="clear" w:color="auto" w:fill="auto"/>
            <w:vAlign w:val="center"/>
            <w:hideMark/>
          </w:tcPr>
          <w:p w14:paraId="52525747"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Incremento por variación de inventarios.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BEB1AF5"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4575EC84"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557F1498" w14:textId="77777777" w:rsidTr="009566E6">
        <w:trPr>
          <w:trHeight w:val="454"/>
        </w:trPr>
        <w:tc>
          <w:tcPr>
            <w:tcW w:w="4315" w:type="dxa"/>
            <w:tcBorders>
              <w:top w:val="nil"/>
              <w:left w:val="single" w:sz="4" w:space="0" w:color="auto"/>
              <w:bottom w:val="single" w:sz="4" w:space="0" w:color="auto"/>
              <w:right w:val="nil"/>
            </w:tcBorders>
            <w:shd w:val="clear" w:color="auto" w:fill="auto"/>
            <w:vAlign w:val="center"/>
            <w:hideMark/>
          </w:tcPr>
          <w:p w14:paraId="78C6FD0C"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Disminución del exceso de estimaciones por pérdida o deterioro     u obsolescencia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4E6AD66"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2096D53C"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56A67849" w14:textId="77777777" w:rsidTr="009566E6">
        <w:trPr>
          <w:trHeight w:val="300"/>
        </w:trPr>
        <w:tc>
          <w:tcPr>
            <w:tcW w:w="4315" w:type="dxa"/>
            <w:tcBorders>
              <w:top w:val="nil"/>
              <w:left w:val="single" w:sz="4" w:space="0" w:color="auto"/>
              <w:bottom w:val="single" w:sz="4" w:space="0" w:color="auto"/>
              <w:right w:val="nil"/>
            </w:tcBorders>
            <w:shd w:val="clear" w:color="auto" w:fill="auto"/>
            <w:vAlign w:val="center"/>
            <w:hideMark/>
          </w:tcPr>
          <w:p w14:paraId="0745F519"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Disminución del exceso de provisiones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1D86673"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05DEFD42"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31F62642" w14:textId="77777777" w:rsidTr="009566E6">
        <w:trPr>
          <w:trHeight w:val="300"/>
        </w:trPr>
        <w:tc>
          <w:tcPr>
            <w:tcW w:w="4315" w:type="dxa"/>
            <w:tcBorders>
              <w:top w:val="nil"/>
              <w:left w:val="single" w:sz="4" w:space="0" w:color="auto"/>
              <w:bottom w:val="single" w:sz="4" w:space="0" w:color="auto"/>
              <w:right w:val="nil"/>
            </w:tcBorders>
            <w:shd w:val="clear" w:color="auto" w:fill="auto"/>
            <w:vAlign w:val="center"/>
            <w:hideMark/>
          </w:tcPr>
          <w:p w14:paraId="4B6161E9"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Otros Ingresos y Beneficios Varios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F5F5DE"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03E637C5"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448A6CC8" w14:textId="77777777" w:rsidTr="009566E6">
        <w:trPr>
          <w:trHeight w:val="34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B267377"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Otros Ingresos Contables no Presupuestarios</w:t>
            </w:r>
          </w:p>
        </w:tc>
        <w:tc>
          <w:tcPr>
            <w:tcW w:w="1701" w:type="dxa"/>
            <w:tcBorders>
              <w:top w:val="nil"/>
              <w:left w:val="nil"/>
              <w:bottom w:val="single" w:sz="4" w:space="0" w:color="auto"/>
              <w:right w:val="single" w:sz="4" w:space="0" w:color="auto"/>
            </w:tcBorders>
            <w:shd w:val="clear" w:color="auto" w:fill="auto"/>
            <w:vAlign w:val="center"/>
            <w:hideMark/>
          </w:tcPr>
          <w:p w14:paraId="1D286CA2" w14:textId="75778FE9" w:rsidR="001E734D" w:rsidRPr="001E734D" w:rsidRDefault="001E734D" w:rsidP="00DD102C">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49,916,39</w:t>
            </w:r>
            <w:r w:rsidR="00DD102C">
              <w:rPr>
                <w:rFonts w:eastAsia="Times New Roman" w:cs="Calibri"/>
                <w:color w:val="000000"/>
                <w:sz w:val="14"/>
                <w:szCs w:val="14"/>
                <w:lang w:eastAsia="es-MX"/>
              </w:rPr>
              <w:t>9</w:t>
            </w:r>
          </w:p>
        </w:tc>
        <w:tc>
          <w:tcPr>
            <w:tcW w:w="1671" w:type="dxa"/>
            <w:tcBorders>
              <w:top w:val="nil"/>
              <w:left w:val="nil"/>
              <w:bottom w:val="nil"/>
              <w:right w:val="single" w:sz="4" w:space="0" w:color="auto"/>
            </w:tcBorders>
            <w:shd w:val="clear" w:color="auto" w:fill="auto"/>
            <w:vAlign w:val="center"/>
            <w:hideMark/>
          </w:tcPr>
          <w:p w14:paraId="32DC3282"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426D8D75" w14:textId="77777777" w:rsidTr="009566E6">
        <w:trPr>
          <w:trHeight w:val="403"/>
        </w:trPr>
        <w:tc>
          <w:tcPr>
            <w:tcW w:w="601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D7C2068" w14:textId="77777777" w:rsidR="001E734D" w:rsidRPr="001E734D" w:rsidRDefault="001E734D" w:rsidP="001E734D">
            <w:pPr>
              <w:spacing w:after="0" w:line="240" w:lineRule="auto"/>
              <w:rPr>
                <w:rFonts w:eastAsia="Times New Roman" w:cs="Calibri"/>
                <w:b/>
                <w:bCs/>
                <w:color w:val="000000"/>
                <w:sz w:val="16"/>
                <w:szCs w:val="16"/>
                <w:lang w:eastAsia="es-MX"/>
              </w:rPr>
            </w:pPr>
            <w:r w:rsidRPr="001E734D">
              <w:rPr>
                <w:rFonts w:eastAsia="Times New Roman" w:cs="Calibri"/>
                <w:b/>
                <w:bCs/>
                <w:color w:val="000000"/>
                <w:sz w:val="16"/>
                <w:szCs w:val="16"/>
                <w:lang w:eastAsia="es-MX"/>
              </w:rPr>
              <w:t>3.</w:t>
            </w:r>
            <w:r w:rsidRPr="001E734D">
              <w:rPr>
                <w:rFonts w:eastAsia="Times New Roman" w:cs="Calibri"/>
                <w:b/>
                <w:bCs/>
                <w:color w:val="000000"/>
                <w:sz w:val="14"/>
                <w:szCs w:val="14"/>
                <w:lang w:eastAsia="es-MX"/>
              </w:rPr>
              <w:t xml:space="preserve">      </w:t>
            </w:r>
            <w:r w:rsidRPr="001E734D">
              <w:rPr>
                <w:rFonts w:eastAsia="Times New Roman" w:cs="Calibri"/>
                <w:b/>
                <w:bCs/>
                <w:color w:val="000000"/>
                <w:sz w:val="16"/>
                <w:szCs w:val="16"/>
                <w:lang w:eastAsia="es-MX"/>
              </w:rPr>
              <w:t>Menos Ingresos Presupuestarios no Contables</w:t>
            </w:r>
          </w:p>
        </w:tc>
        <w:tc>
          <w:tcPr>
            <w:tcW w:w="1671" w:type="dxa"/>
            <w:tcBorders>
              <w:top w:val="nil"/>
              <w:left w:val="nil"/>
              <w:bottom w:val="single" w:sz="4" w:space="0" w:color="auto"/>
              <w:right w:val="single" w:sz="4" w:space="0" w:color="auto"/>
            </w:tcBorders>
            <w:shd w:val="clear" w:color="000000" w:fill="D9D9D9"/>
            <w:vAlign w:val="center"/>
            <w:hideMark/>
          </w:tcPr>
          <w:p w14:paraId="6DF3F0E6"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1,863,000,000</w:t>
            </w:r>
          </w:p>
        </w:tc>
      </w:tr>
      <w:tr w:rsidR="001E734D" w:rsidRPr="001E734D" w14:paraId="6D17C74D"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FD89C8A"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lastRenderedPageBreak/>
              <w:t xml:space="preserve">                 Aprovechamientos Patrimoniales</w:t>
            </w:r>
          </w:p>
        </w:tc>
        <w:tc>
          <w:tcPr>
            <w:tcW w:w="1701" w:type="dxa"/>
            <w:tcBorders>
              <w:top w:val="nil"/>
              <w:left w:val="nil"/>
              <w:bottom w:val="single" w:sz="4" w:space="0" w:color="auto"/>
              <w:right w:val="single" w:sz="4" w:space="0" w:color="auto"/>
            </w:tcBorders>
            <w:shd w:val="clear" w:color="auto" w:fill="auto"/>
            <w:vAlign w:val="center"/>
            <w:hideMark/>
          </w:tcPr>
          <w:p w14:paraId="33FA4E93"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24A51B5F"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22B2D21A"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445D33A"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Ingresos Derivados de Financiamientos </w:t>
            </w:r>
          </w:p>
        </w:tc>
        <w:tc>
          <w:tcPr>
            <w:tcW w:w="1701" w:type="dxa"/>
            <w:tcBorders>
              <w:top w:val="nil"/>
              <w:left w:val="nil"/>
              <w:bottom w:val="single" w:sz="4" w:space="0" w:color="auto"/>
              <w:right w:val="single" w:sz="4" w:space="0" w:color="auto"/>
            </w:tcBorders>
            <w:shd w:val="clear" w:color="auto" w:fill="auto"/>
            <w:vAlign w:val="center"/>
            <w:hideMark/>
          </w:tcPr>
          <w:p w14:paraId="45C53475"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1,863,000,000</w:t>
            </w:r>
          </w:p>
        </w:tc>
        <w:tc>
          <w:tcPr>
            <w:tcW w:w="1671" w:type="dxa"/>
            <w:tcBorders>
              <w:top w:val="nil"/>
              <w:left w:val="nil"/>
              <w:bottom w:val="single" w:sz="4" w:space="0" w:color="auto"/>
              <w:right w:val="single" w:sz="4" w:space="0" w:color="auto"/>
            </w:tcBorders>
            <w:shd w:val="clear" w:color="auto" w:fill="auto"/>
            <w:vAlign w:val="center"/>
            <w:hideMark/>
          </w:tcPr>
          <w:p w14:paraId="397A44EC"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2770BD41"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132E40C"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Otros Ingresos Presupuestarios no Contables  </w:t>
            </w:r>
          </w:p>
        </w:tc>
        <w:tc>
          <w:tcPr>
            <w:tcW w:w="1701" w:type="dxa"/>
            <w:tcBorders>
              <w:top w:val="nil"/>
              <w:left w:val="nil"/>
              <w:bottom w:val="single" w:sz="4" w:space="0" w:color="auto"/>
              <w:right w:val="single" w:sz="4" w:space="0" w:color="auto"/>
            </w:tcBorders>
            <w:shd w:val="clear" w:color="auto" w:fill="auto"/>
            <w:vAlign w:val="center"/>
            <w:hideMark/>
          </w:tcPr>
          <w:p w14:paraId="58636777"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78852887"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125B10E4" w14:textId="77777777" w:rsidTr="009566E6">
        <w:trPr>
          <w:trHeight w:val="240"/>
        </w:trPr>
        <w:tc>
          <w:tcPr>
            <w:tcW w:w="4315" w:type="dxa"/>
            <w:tcBorders>
              <w:top w:val="nil"/>
              <w:left w:val="single" w:sz="4" w:space="0" w:color="auto"/>
              <w:bottom w:val="single" w:sz="4" w:space="0" w:color="auto"/>
              <w:right w:val="single" w:sz="4" w:space="0" w:color="auto"/>
            </w:tcBorders>
            <w:shd w:val="clear" w:color="000000" w:fill="DDC9A3"/>
            <w:vAlign w:val="center"/>
            <w:hideMark/>
          </w:tcPr>
          <w:p w14:paraId="2B1923FB" w14:textId="77777777" w:rsidR="001E734D" w:rsidRPr="001E734D" w:rsidRDefault="001E734D" w:rsidP="001E734D">
            <w:pPr>
              <w:spacing w:after="0" w:line="240" w:lineRule="auto"/>
              <w:jc w:val="center"/>
              <w:rPr>
                <w:rFonts w:eastAsia="Times New Roman" w:cs="Calibri"/>
                <w:b/>
                <w:bCs/>
                <w:color w:val="000000"/>
                <w:sz w:val="14"/>
                <w:szCs w:val="14"/>
                <w:lang w:eastAsia="es-MX"/>
              </w:rPr>
            </w:pPr>
            <w:r w:rsidRPr="001E734D">
              <w:rPr>
                <w:rFonts w:eastAsia="Times New Roman" w:cs="Calibri"/>
                <w:b/>
                <w:bCs/>
                <w:color w:val="000000"/>
                <w:sz w:val="14"/>
                <w:szCs w:val="14"/>
                <w:lang w:eastAsia="es-MX"/>
              </w:rPr>
              <w:t>4.      Ingresos Contables (4 = 1 + 2 – 3)</w:t>
            </w:r>
          </w:p>
        </w:tc>
        <w:tc>
          <w:tcPr>
            <w:tcW w:w="1701" w:type="dxa"/>
            <w:tcBorders>
              <w:top w:val="nil"/>
              <w:left w:val="nil"/>
              <w:bottom w:val="single" w:sz="4" w:space="0" w:color="auto"/>
              <w:right w:val="single" w:sz="4" w:space="0" w:color="auto"/>
            </w:tcBorders>
            <w:shd w:val="clear" w:color="000000" w:fill="DDC9A3"/>
            <w:vAlign w:val="center"/>
            <w:hideMark/>
          </w:tcPr>
          <w:p w14:paraId="7E8624F4" w14:textId="77777777" w:rsidR="001E734D" w:rsidRPr="001E734D" w:rsidRDefault="001E734D" w:rsidP="001E734D">
            <w:pPr>
              <w:spacing w:after="0" w:line="240" w:lineRule="auto"/>
              <w:jc w:val="center"/>
              <w:rPr>
                <w:rFonts w:eastAsia="Times New Roman" w:cs="Calibri"/>
                <w:b/>
                <w:bCs/>
                <w:color w:val="000000"/>
                <w:sz w:val="14"/>
                <w:szCs w:val="14"/>
                <w:lang w:eastAsia="es-MX"/>
              </w:rPr>
            </w:pPr>
            <w:r w:rsidRPr="001E734D">
              <w:rPr>
                <w:rFonts w:eastAsia="Times New Roman" w:cs="Calibri"/>
                <w:b/>
                <w:bCs/>
                <w:color w:val="000000"/>
                <w:sz w:val="14"/>
                <w:szCs w:val="14"/>
                <w:lang w:eastAsia="es-MX"/>
              </w:rPr>
              <w:t> </w:t>
            </w:r>
          </w:p>
        </w:tc>
        <w:tc>
          <w:tcPr>
            <w:tcW w:w="1671" w:type="dxa"/>
            <w:tcBorders>
              <w:top w:val="nil"/>
              <w:left w:val="nil"/>
              <w:bottom w:val="single" w:sz="4" w:space="0" w:color="auto"/>
              <w:right w:val="single" w:sz="4" w:space="0" w:color="auto"/>
            </w:tcBorders>
            <w:shd w:val="clear" w:color="000000" w:fill="DDC9A3"/>
            <w:vAlign w:val="center"/>
            <w:hideMark/>
          </w:tcPr>
          <w:p w14:paraId="7B449D7F" w14:textId="77777777" w:rsidR="001E734D" w:rsidRPr="001E734D" w:rsidRDefault="001E734D" w:rsidP="001E734D">
            <w:pPr>
              <w:spacing w:after="0" w:line="240" w:lineRule="auto"/>
              <w:jc w:val="right"/>
              <w:rPr>
                <w:rFonts w:eastAsia="Times New Roman" w:cs="Calibri"/>
                <w:b/>
                <w:bCs/>
                <w:color w:val="000000"/>
                <w:sz w:val="14"/>
                <w:szCs w:val="14"/>
                <w:lang w:eastAsia="es-MX"/>
              </w:rPr>
            </w:pPr>
            <w:r w:rsidRPr="001E734D">
              <w:rPr>
                <w:rFonts w:eastAsia="Times New Roman" w:cs="Calibri"/>
                <w:b/>
                <w:bCs/>
                <w:color w:val="000000"/>
                <w:sz w:val="14"/>
                <w:szCs w:val="14"/>
                <w:lang w:eastAsia="es-MX"/>
              </w:rPr>
              <w:t>70,007,339,374</w:t>
            </w:r>
          </w:p>
        </w:tc>
      </w:tr>
      <w:tr w:rsidR="001E734D" w:rsidRPr="001E734D" w14:paraId="1A8EBBB7" w14:textId="77777777" w:rsidTr="009566E6">
        <w:trPr>
          <w:trHeight w:val="290"/>
        </w:trPr>
        <w:tc>
          <w:tcPr>
            <w:tcW w:w="4315" w:type="dxa"/>
            <w:tcBorders>
              <w:top w:val="nil"/>
              <w:left w:val="nil"/>
              <w:bottom w:val="nil"/>
              <w:right w:val="nil"/>
            </w:tcBorders>
            <w:shd w:val="clear" w:color="auto" w:fill="auto"/>
            <w:noWrap/>
            <w:vAlign w:val="bottom"/>
            <w:hideMark/>
          </w:tcPr>
          <w:p w14:paraId="4AA3C921" w14:textId="77777777" w:rsidR="001E734D" w:rsidRPr="001E734D" w:rsidRDefault="001E734D" w:rsidP="001E734D">
            <w:pPr>
              <w:spacing w:after="0" w:line="240" w:lineRule="auto"/>
              <w:jc w:val="right"/>
              <w:rPr>
                <w:rFonts w:eastAsia="Times New Roman" w:cs="Calibri"/>
                <w:b/>
                <w:bCs/>
                <w:color w:val="000000"/>
                <w:sz w:val="14"/>
                <w:szCs w:val="14"/>
                <w:lang w:eastAsia="es-MX"/>
              </w:rPr>
            </w:pPr>
          </w:p>
        </w:tc>
        <w:tc>
          <w:tcPr>
            <w:tcW w:w="1701" w:type="dxa"/>
            <w:tcBorders>
              <w:top w:val="nil"/>
              <w:left w:val="nil"/>
              <w:bottom w:val="nil"/>
              <w:right w:val="nil"/>
            </w:tcBorders>
            <w:shd w:val="clear" w:color="auto" w:fill="auto"/>
            <w:noWrap/>
            <w:vAlign w:val="bottom"/>
            <w:hideMark/>
          </w:tcPr>
          <w:p w14:paraId="0867C9B6" w14:textId="77777777" w:rsidR="001E734D" w:rsidRPr="001E734D" w:rsidRDefault="001E734D" w:rsidP="001E734D">
            <w:pPr>
              <w:spacing w:after="0" w:line="240" w:lineRule="auto"/>
              <w:rPr>
                <w:rFonts w:ascii="Times New Roman" w:eastAsia="Times New Roman" w:hAnsi="Times New Roman"/>
                <w:sz w:val="20"/>
                <w:szCs w:val="20"/>
                <w:lang w:eastAsia="es-MX"/>
              </w:rPr>
            </w:pPr>
          </w:p>
        </w:tc>
        <w:tc>
          <w:tcPr>
            <w:tcW w:w="1671" w:type="dxa"/>
            <w:tcBorders>
              <w:top w:val="nil"/>
              <w:left w:val="nil"/>
              <w:bottom w:val="nil"/>
              <w:right w:val="nil"/>
            </w:tcBorders>
            <w:shd w:val="clear" w:color="auto" w:fill="auto"/>
            <w:noWrap/>
            <w:vAlign w:val="bottom"/>
            <w:hideMark/>
          </w:tcPr>
          <w:p w14:paraId="10B212FA" w14:textId="77777777" w:rsidR="001E734D" w:rsidRPr="001E734D" w:rsidRDefault="001E734D" w:rsidP="001E734D">
            <w:pPr>
              <w:spacing w:after="0" w:line="240" w:lineRule="auto"/>
              <w:rPr>
                <w:rFonts w:ascii="Times New Roman" w:eastAsia="Times New Roman" w:hAnsi="Times New Roman"/>
                <w:sz w:val="20"/>
                <w:szCs w:val="20"/>
                <w:lang w:eastAsia="es-MX"/>
              </w:rPr>
            </w:pPr>
          </w:p>
        </w:tc>
      </w:tr>
      <w:tr w:rsidR="001E734D" w:rsidRPr="001E734D" w14:paraId="19135E47" w14:textId="77777777" w:rsidTr="009566E6">
        <w:trPr>
          <w:trHeight w:val="290"/>
        </w:trPr>
        <w:tc>
          <w:tcPr>
            <w:tcW w:w="4315" w:type="dxa"/>
            <w:tcBorders>
              <w:top w:val="nil"/>
              <w:left w:val="nil"/>
              <w:bottom w:val="nil"/>
              <w:right w:val="nil"/>
            </w:tcBorders>
            <w:shd w:val="clear" w:color="auto" w:fill="auto"/>
            <w:noWrap/>
            <w:vAlign w:val="bottom"/>
            <w:hideMark/>
          </w:tcPr>
          <w:p w14:paraId="4B5F7C2D" w14:textId="77777777" w:rsidR="001E734D" w:rsidRDefault="001E734D" w:rsidP="001E734D">
            <w:pPr>
              <w:spacing w:after="0" w:line="240" w:lineRule="auto"/>
              <w:rPr>
                <w:rFonts w:ascii="Times New Roman" w:eastAsia="Times New Roman" w:hAnsi="Times New Roman"/>
                <w:sz w:val="20"/>
                <w:szCs w:val="20"/>
                <w:lang w:eastAsia="es-MX"/>
              </w:rPr>
            </w:pPr>
          </w:p>
          <w:p w14:paraId="08BFA8B4" w14:textId="77777777" w:rsidR="00A869D5" w:rsidRDefault="00A869D5" w:rsidP="001E734D">
            <w:pPr>
              <w:spacing w:after="0" w:line="240" w:lineRule="auto"/>
              <w:rPr>
                <w:rFonts w:ascii="Times New Roman" w:eastAsia="Times New Roman" w:hAnsi="Times New Roman"/>
                <w:sz w:val="20"/>
                <w:szCs w:val="20"/>
                <w:lang w:eastAsia="es-MX"/>
              </w:rPr>
            </w:pPr>
          </w:p>
          <w:p w14:paraId="0F5254F7" w14:textId="77777777" w:rsidR="00A869D5" w:rsidRDefault="00A869D5" w:rsidP="001E734D">
            <w:pPr>
              <w:spacing w:after="0" w:line="240" w:lineRule="auto"/>
              <w:rPr>
                <w:rFonts w:ascii="Times New Roman" w:eastAsia="Times New Roman" w:hAnsi="Times New Roman"/>
                <w:sz w:val="20"/>
                <w:szCs w:val="20"/>
                <w:lang w:eastAsia="es-MX"/>
              </w:rPr>
            </w:pPr>
          </w:p>
          <w:p w14:paraId="70C42C7A" w14:textId="3BB7A56F" w:rsidR="00A869D5" w:rsidRPr="001E734D" w:rsidRDefault="00A869D5" w:rsidP="001E734D">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30EB2BB9" w14:textId="77777777" w:rsidR="001E734D" w:rsidRPr="001E734D" w:rsidRDefault="001E734D" w:rsidP="001E734D">
            <w:pPr>
              <w:spacing w:after="0" w:line="240" w:lineRule="auto"/>
              <w:rPr>
                <w:rFonts w:ascii="Times New Roman" w:eastAsia="Times New Roman" w:hAnsi="Times New Roman"/>
                <w:sz w:val="20"/>
                <w:szCs w:val="20"/>
                <w:lang w:eastAsia="es-MX"/>
              </w:rPr>
            </w:pPr>
          </w:p>
        </w:tc>
        <w:tc>
          <w:tcPr>
            <w:tcW w:w="1671" w:type="dxa"/>
            <w:tcBorders>
              <w:top w:val="nil"/>
              <w:left w:val="nil"/>
              <w:bottom w:val="nil"/>
              <w:right w:val="nil"/>
            </w:tcBorders>
            <w:shd w:val="clear" w:color="auto" w:fill="auto"/>
            <w:noWrap/>
            <w:vAlign w:val="bottom"/>
            <w:hideMark/>
          </w:tcPr>
          <w:p w14:paraId="48F92528" w14:textId="77777777" w:rsidR="001E734D" w:rsidRPr="001E734D" w:rsidRDefault="001E734D" w:rsidP="001E734D">
            <w:pPr>
              <w:spacing w:after="0" w:line="240" w:lineRule="auto"/>
              <w:rPr>
                <w:rFonts w:ascii="Times New Roman" w:eastAsia="Times New Roman" w:hAnsi="Times New Roman"/>
                <w:sz w:val="20"/>
                <w:szCs w:val="20"/>
                <w:lang w:eastAsia="es-MX"/>
              </w:rPr>
            </w:pPr>
          </w:p>
        </w:tc>
      </w:tr>
      <w:tr w:rsidR="001E734D" w:rsidRPr="001E734D" w14:paraId="0AC2B2F6" w14:textId="77777777" w:rsidTr="009566E6">
        <w:trPr>
          <w:trHeight w:val="420"/>
        </w:trPr>
        <w:tc>
          <w:tcPr>
            <w:tcW w:w="7687" w:type="dxa"/>
            <w:gridSpan w:val="3"/>
            <w:tcBorders>
              <w:top w:val="single" w:sz="4" w:space="0" w:color="auto"/>
              <w:left w:val="single" w:sz="4" w:space="0" w:color="auto"/>
              <w:bottom w:val="single" w:sz="4" w:space="0" w:color="auto"/>
              <w:right w:val="single" w:sz="4" w:space="0" w:color="auto"/>
            </w:tcBorders>
            <w:shd w:val="clear" w:color="000000" w:fill="AB0033"/>
            <w:vAlign w:val="center"/>
            <w:hideMark/>
          </w:tcPr>
          <w:p w14:paraId="17148F1B" w14:textId="77777777" w:rsidR="001E734D" w:rsidRPr="001E734D" w:rsidRDefault="001E734D" w:rsidP="001E734D">
            <w:pPr>
              <w:spacing w:after="0" w:line="240" w:lineRule="auto"/>
              <w:jc w:val="center"/>
              <w:rPr>
                <w:rFonts w:eastAsia="Times New Roman" w:cs="Calibri"/>
                <w:b/>
                <w:bCs/>
                <w:color w:val="FFFFFF"/>
                <w:sz w:val="14"/>
                <w:szCs w:val="14"/>
                <w:lang w:eastAsia="es-MX"/>
              </w:rPr>
            </w:pPr>
            <w:r w:rsidRPr="001E734D">
              <w:rPr>
                <w:rFonts w:eastAsia="Times New Roman" w:cs="Calibri"/>
                <w:b/>
                <w:bCs/>
                <w:color w:val="FFFFFF"/>
                <w:sz w:val="14"/>
                <w:szCs w:val="14"/>
                <w:lang w:eastAsia="es-MX"/>
              </w:rPr>
              <w:t>Conciliación de Egresos Presupuestarios / Contables</w:t>
            </w:r>
          </w:p>
        </w:tc>
      </w:tr>
      <w:tr w:rsidR="001E734D" w:rsidRPr="001E734D" w14:paraId="231D90DA" w14:textId="77777777" w:rsidTr="009566E6">
        <w:trPr>
          <w:trHeight w:val="403"/>
        </w:trPr>
        <w:tc>
          <w:tcPr>
            <w:tcW w:w="601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A584B06" w14:textId="77777777" w:rsidR="001E734D" w:rsidRPr="001E734D" w:rsidRDefault="001E734D" w:rsidP="00A438A4">
            <w:pPr>
              <w:spacing w:after="0" w:line="240" w:lineRule="auto"/>
              <w:ind w:firstLineChars="400" w:firstLine="643"/>
              <w:rPr>
                <w:rFonts w:eastAsia="Times New Roman" w:cs="Calibri"/>
                <w:b/>
                <w:bCs/>
                <w:color w:val="000000"/>
                <w:sz w:val="16"/>
                <w:szCs w:val="16"/>
                <w:lang w:eastAsia="es-MX"/>
              </w:rPr>
            </w:pPr>
            <w:r w:rsidRPr="001E734D">
              <w:rPr>
                <w:rFonts w:eastAsia="Times New Roman" w:cs="Calibri"/>
                <w:b/>
                <w:bCs/>
                <w:color w:val="000000"/>
                <w:sz w:val="16"/>
                <w:szCs w:val="16"/>
                <w:lang w:eastAsia="es-MX"/>
              </w:rPr>
              <w:t>1.     Total de Egresos (presupuestarios)</w:t>
            </w:r>
          </w:p>
        </w:tc>
        <w:tc>
          <w:tcPr>
            <w:tcW w:w="1671" w:type="dxa"/>
            <w:tcBorders>
              <w:top w:val="nil"/>
              <w:left w:val="nil"/>
              <w:bottom w:val="single" w:sz="4" w:space="0" w:color="auto"/>
              <w:right w:val="single" w:sz="4" w:space="0" w:color="auto"/>
            </w:tcBorders>
            <w:shd w:val="clear" w:color="000000" w:fill="D9D9D9"/>
            <w:vAlign w:val="center"/>
            <w:hideMark/>
          </w:tcPr>
          <w:p w14:paraId="58432634"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71,693,963,011</w:t>
            </w:r>
          </w:p>
        </w:tc>
      </w:tr>
      <w:tr w:rsidR="001E734D" w:rsidRPr="001E734D" w14:paraId="095982C5" w14:textId="77777777" w:rsidTr="009566E6">
        <w:trPr>
          <w:trHeight w:val="170"/>
        </w:trPr>
        <w:tc>
          <w:tcPr>
            <w:tcW w:w="6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ACD9E"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10BEF8BF"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6CA7EA99" w14:textId="77777777" w:rsidTr="009566E6">
        <w:trPr>
          <w:trHeight w:val="403"/>
        </w:trPr>
        <w:tc>
          <w:tcPr>
            <w:tcW w:w="601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9FA68B4" w14:textId="77777777" w:rsidR="001E734D" w:rsidRPr="001E734D" w:rsidRDefault="001E734D" w:rsidP="00A438A4">
            <w:pPr>
              <w:spacing w:after="0" w:line="240" w:lineRule="auto"/>
              <w:ind w:firstLineChars="400" w:firstLine="643"/>
              <w:rPr>
                <w:rFonts w:eastAsia="Times New Roman" w:cs="Calibri"/>
                <w:b/>
                <w:bCs/>
                <w:color w:val="000000"/>
                <w:sz w:val="16"/>
                <w:szCs w:val="16"/>
                <w:lang w:eastAsia="es-MX"/>
              </w:rPr>
            </w:pPr>
            <w:r w:rsidRPr="001E734D">
              <w:rPr>
                <w:rFonts w:eastAsia="Times New Roman" w:cs="Calibri"/>
                <w:b/>
                <w:bCs/>
                <w:color w:val="000000"/>
                <w:sz w:val="16"/>
                <w:szCs w:val="16"/>
                <w:lang w:eastAsia="es-MX"/>
              </w:rPr>
              <w:t>2.     Menos Egresos Presupuestarios no Contables</w:t>
            </w:r>
          </w:p>
        </w:tc>
        <w:tc>
          <w:tcPr>
            <w:tcW w:w="1671" w:type="dxa"/>
            <w:tcBorders>
              <w:top w:val="nil"/>
              <w:left w:val="nil"/>
              <w:bottom w:val="single" w:sz="4" w:space="0" w:color="auto"/>
              <w:right w:val="single" w:sz="4" w:space="0" w:color="auto"/>
            </w:tcBorders>
            <w:shd w:val="clear" w:color="000000" w:fill="D9D9D9"/>
            <w:vAlign w:val="center"/>
            <w:hideMark/>
          </w:tcPr>
          <w:p w14:paraId="268F9084"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4,774,125,597</w:t>
            </w:r>
          </w:p>
        </w:tc>
      </w:tr>
      <w:tr w:rsidR="001E734D" w:rsidRPr="001E734D" w14:paraId="6ED57E49" w14:textId="77777777" w:rsidTr="009566E6">
        <w:trPr>
          <w:trHeight w:val="403"/>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0DFD6D6"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Materias Primas y Materiales de Producción y Comercialización</w:t>
            </w:r>
          </w:p>
        </w:tc>
        <w:tc>
          <w:tcPr>
            <w:tcW w:w="1701" w:type="dxa"/>
            <w:tcBorders>
              <w:top w:val="nil"/>
              <w:left w:val="nil"/>
              <w:bottom w:val="single" w:sz="4" w:space="0" w:color="auto"/>
              <w:right w:val="single" w:sz="4" w:space="0" w:color="auto"/>
            </w:tcBorders>
            <w:shd w:val="clear" w:color="auto" w:fill="auto"/>
            <w:vAlign w:val="center"/>
            <w:hideMark/>
          </w:tcPr>
          <w:p w14:paraId="26418EE9"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0</w:t>
            </w:r>
          </w:p>
        </w:tc>
        <w:tc>
          <w:tcPr>
            <w:tcW w:w="1671" w:type="dxa"/>
            <w:tcBorders>
              <w:top w:val="nil"/>
              <w:left w:val="nil"/>
              <w:bottom w:val="single" w:sz="4" w:space="0" w:color="auto"/>
              <w:right w:val="single" w:sz="4" w:space="0" w:color="auto"/>
            </w:tcBorders>
            <w:shd w:val="clear" w:color="auto" w:fill="auto"/>
            <w:vAlign w:val="center"/>
            <w:hideMark/>
          </w:tcPr>
          <w:p w14:paraId="3C1438D8"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2AAABC0E" w14:textId="77777777" w:rsidTr="009566E6">
        <w:trPr>
          <w:trHeight w:val="403"/>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F5AA784"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Materiales y Suministros</w:t>
            </w:r>
          </w:p>
        </w:tc>
        <w:tc>
          <w:tcPr>
            <w:tcW w:w="1701" w:type="dxa"/>
            <w:tcBorders>
              <w:top w:val="nil"/>
              <w:left w:val="nil"/>
              <w:bottom w:val="single" w:sz="4" w:space="0" w:color="auto"/>
              <w:right w:val="single" w:sz="4" w:space="0" w:color="auto"/>
            </w:tcBorders>
            <w:shd w:val="clear" w:color="auto" w:fill="auto"/>
            <w:vAlign w:val="center"/>
            <w:hideMark/>
          </w:tcPr>
          <w:p w14:paraId="23D92322"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0</w:t>
            </w:r>
          </w:p>
        </w:tc>
        <w:tc>
          <w:tcPr>
            <w:tcW w:w="1671" w:type="dxa"/>
            <w:tcBorders>
              <w:top w:val="nil"/>
              <w:left w:val="nil"/>
              <w:bottom w:val="single" w:sz="4" w:space="0" w:color="auto"/>
              <w:right w:val="single" w:sz="4" w:space="0" w:color="auto"/>
            </w:tcBorders>
            <w:shd w:val="clear" w:color="auto" w:fill="auto"/>
            <w:vAlign w:val="center"/>
            <w:hideMark/>
          </w:tcPr>
          <w:p w14:paraId="5C25A152"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12D90224"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2FD22D3"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Mobiliario y Equipo de Administración </w:t>
            </w:r>
          </w:p>
        </w:tc>
        <w:tc>
          <w:tcPr>
            <w:tcW w:w="1701" w:type="dxa"/>
            <w:tcBorders>
              <w:top w:val="nil"/>
              <w:left w:val="nil"/>
              <w:bottom w:val="single" w:sz="4" w:space="0" w:color="auto"/>
              <w:right w:val="single" w:sz="4" w:space="0" w:color="auto"/>
            </w:tcBorders>
            <w:shd w:val="clear" w:color="auto" w:fill="auto"/>
            <w:vAlign w:val="center"/>
            <w:hideMark/>
          </w:tcPr>
          <w:p w14:paraId="742DEC44"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55,337,997</w:t>
            </w:r>
          </w:p>
        </w:tc>
        <w:tc>
          <w:tcPr>
            <w:tcW w:w="1671" w:type="dxa"/>
            <w:tcBorders>
              <w:top w:val="nil"/>
              <w:left w:val="nil"/>
              <w:bottom w:val="single" w:sz="4" w:space="0" w:color="auto"/>
              <w:right w:val="single" w:sz="4" w:space="0" w:color="auto"/>
            </w:tcBorders>
            <w:shd w:val="clear" w:color="auto" w:fill="auto"/>
            <w:vAlign w:val="center"/>
            <w:hideMark/>
          </w:tcPr>
          <w:p w14:paraId="20CDD109"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35B245F6"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A33D793"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Mobiliario y Equipo Educacional y recreativo</w:t>
            </w:r>
          </w:p>
        </w:tc>
        <w:tc>
          <w:tcPr>
            <w:tcW w:w="1701" w:type="dxa"/>
            <w:tcBorders>
              <w:top w:val="nil"/>
              <w:left w:val="nil"/>
              <w:bottom w:val="single" w:sz="4" w:space="0" w:color="auto"/>
              <w:right w:val="single" w:sz="4" w:space="0" w:color="auto"/>
            </w:tcBorders>
            <w:shd w:val="clear" w:color="auto" w:fill="auto"/>
            <w:vAlign w:val="center"/>
            <w:hideMark/>
          </w:tcPr>
          <w:p w14:paraId="21E1FA98"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12,748,050</w:t>
            </w:r>
          </w:p>
        </w:tc>
        <w:tc>
          <w:tcPr>
            <w:tcW w:w="1671" w:type="dxa"/>
            <w:tcBorders>
              <w:top w:val="nil"/>
              <w:left w:val="nil"/>
              <w:bottom w:val="single" w:sz="4" w:space="0" w:color="auto"/>
              <w:right w:val="single" w:sz="4" w:space="0" w:color="auto"/>
            </w:tcBorders>
            <w:shd w:val="clear" w:color="auto" w:fill="auto"/>
            <w:vAlign w:val="center"/>
            <w:hideMark/>
          </w:tcPr>
          <w:p w14:paraId="75576B0A"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7B90D71A"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332B46E"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Equipo e 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1B408D12"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1,113,600</w:t>
            </w:r>
          </w:p>
        </w:tc>
        <w:tc>
          <w:tcPr>
            <w:tcW w:w="1671" w:type="dxa"/>
            <w:tcBorders>
              <w:top w:val="nil"/>
              <w:left w:val="nil"/>
              <w:bottom w:val="single" w:sz="4" w:space="0" w:color="auto"/>
              <w:right w:val="single" w:sz="4" w:space="0" w:color="auto"/>
            </w:tcBorders>
            <w:shd w:val="clear" w:color="auto" w:fill="auto"/>
            <w:vAlign w:val="center"/>
            <w:hideMark/>
          </w:tcPr>
          <w:p w14:paraId="1670AC5B"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3681EAD1"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E98FB8D"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Vehículos y Equipos de Transporte</w:t>
            </w:r>
          </w:p>
        </w:tc>
        <w:tc>
          <w:tcPr>
            <w:tcW w:w="1701" w:type="dxa"/>
            <w:tcBorders>
              <w:top w:val="nil"/>
              <w:left w:val="nil"/>
              <w:bottom w:val="single" w:sz="4" w:space="0" w:color="auto"/>
              <w:right w:val="single" w:sz="4" w:space="0" w:color="auto"/>
            </w:tcBorders>
            <w:shd w:val="clear" w:color="auto" w:fill="auto"/>
            <w:vAlign w:val="center"/>
            <w:hideMark/>
          </w:tcPr>
          <w:p w14:paraId="4DF73AD8"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307,902,547</w:t>
            </w:r>
          </w:p>
        </w:tc>
        <w:tc>
          <w:tcPr>
            <w:tcW w:w="1671" w:type="dxa"/>
            <w:tcBorders>
              <w:top w:val="nil"/>
              <w:left w:val="nil"/>
              <w:bottom w:val="single" w:sz="4" w:space="0" w:color="auto"/>
              <w:right w:val="single" w:sz="4" w:space="0" w:color="auto"/>
            </w:tcBorders>
            <w:shd w:val="clear" w:color="auto" w:fill="auto"/>
            <w:vAlign w:val="center"/>
            <w:hideMark/>
          </w:tcPr>
          <w:p w14:paraId="20995C98"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30018950"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11A2539"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Equipo de Defensa y Seguridad</w:t>
            </w:r>
          </w:p>
        </w:tc>
        <w:tc>
          <w:tcPr>
            <w:tcW w:w="1701" w:type="dxa"/>
            <w:tcBorders>
              <w:top w:val="nil"/>
              <w:left w:val="nil"/>
              <w:bottom w:val="single" w:sz="4" w:space="0" w:color="auto"/>
              <w:right w:val="single" w:sz="4" w:space="0" w:color="auto"/>
            </w:tcBorders>
            <w:shd w:val="clear" w:color="auto" w:fill="auto"/>
            <w:vAlign w:val="center"/>
            <w:hideMark/>
          </w:tcPr>
          <w:p w14:paraId="5312D89E"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4,238,090</w:t>
            </w:r>
          </w:p>
        </w:tc>
        <w:tc>
          <w:tcPr>
            <w:tcW w:w="1671" w:type="dxa"/>
            <w:tcBorders>
              <w:top w:val="nil"/>
              <w:left w:val="nil"/>
              <w:bottom w:val="single" w:sz="4" w:space="0" w:color="auto"/>
              <w:right w:val="single" w:sz="4" w:space="0" w:color="auto"/>
            </w:tcBorders>
            <w:shd w:val="clear" w:color="auto" w:fill="auto"/>
            <w:vAlign w:val="center"/>
            <w:hideMark/>
          </w:tcPr>
          <w:p w14:paraId="150D083B"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4E3A6940"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5FD9FA6"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Maquinaria, otros Equipos y Herramientas</w:t>
            </w:r>
          </w:p>
        </w:tc>
        <w:tc>
          <w:tcPr>
            <w:tcW w:w="1701" w:type="dxa"/>
            <w:tcBorders>
              <w:top w:val="nil"/>
              <w:left w:val="nil"/>
              <w:bottom w:val="single" w:sz="4" w:space="0" w:color="auto"/>
              <w:right w:val="single" w:sz="4" w:space="0" w:color="auto"/>
            </w:tcBorders>
            <w:shd w:val="clear" w:color="auto" w:fill="auto"/>
            <w:vAlign w:val="center"/>
            <w:hideMark/>
          </w:tcPr>
          <w:p w14:paraId="2DE27820"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100,804,589</w:t>
            </w:r>
          </w:p>
        </w:tc>
        <w:tc>
          <w:tcPr>
            <w:tcW w:w="1671" w:type="dxa"/>
            <w:tcBorders>
              <w:top w:val="nil"/>
              <w:left w:val="nil"/>
              <w:bottom w:val="single" w:sz="4" w:space="0" w:color="auto"/>
              <w:right w:val="single" w:sz="4" w:space="0" w:color="auto"/>
            </w:tcBorders>
            <w:shd w:val="clear" w:color="auto" w:fill="auto"/>
            <w:vAlign w:val="center"/>
            <w:hideMark/>
          </w:tcPr>
          <w:p w14:paraId="64272EC7"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766A0682"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1E497BD"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Activos Biológicos</w:t>
            </w:r>
          </w:p>
        </w:tc>
        <w:tc>
          <w:tcPr>
            <w:tcW w:w="1701" w:type="dxa"/>
            <w:tcBorders>
              <w:top w:val="nil"/>
              <w:left w:val="nil"/>
              <w:bottom w:val="single" w:sz="4" w:space="0" w:color="auto"/>
              <w:right w:val="single" w:sz="4" w:space="0" w:color="auto"/>
            </w:tcBorders>
            <w:shd w:val="clear" w:color="auto" w:fill="auto"/>
            <w:vAlign w:val="center"/>
            <w:hideMark/>
          </w:tcPr>
          <w:p w14:paraId="299DFF2F"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285,360</w:t>
            </w:r>
          </w:p>
        </w:tc>
        <w:tc>
          <w:tcPr>
            <w:tcW w:w="1671" w:type="dxa"/>
            <w:tcBorders>
              <w:top w:val="nil"/>
              <w:left w:val="nil"/>
              <w:bottom w:val="single" w:sz="4" w:space="0" w:color="auto"/>
              <w:right w:val="single" w:sz="4" w:space="0" w:color="auto"/>
            </w:tcBorders>
            <w:shd w:val="clear" w:color="auto" w:fill="auto"/>
            <w:vAlign w:val="center"/>
            <w:hideMark/>
          </w:tcPr>
          <w:p w14:paraId="2D537987"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1820DC7F"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C889A97"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Bienes Inmuebles</w:t>
            </w:r>
          </w:p>
        </w:tc>
        <w:tc>
          <w:tcPr>
            <w:tcW w:w="1701" w:type="dxa"/>
            <w:tcBorders>
              <w:top w:val="nil"/>
              <w:left w:val="nil"/>
              <w:bottom w:val="single" w:sz="4" w:space="0" w:color="auto"/>
              <w:right w:val="single" w:sz="4" w:space="0" w:color="auto"/>
            </w:tcBorders>
            <w:shd w:val="clear" w:color="auto" w:fill="auto"/>
            <w:vAlign w:val="center"/>
            <w:hideMark/>
          </w:tcPr>
          <w:p w14:paraId="7F9F8C50"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61,918,958</w:t>
            </w:r>
          </w:p>
        </w:tc>
        <w:tc>
          <w:tcPr>
            <w:tcW w:w="1671" w:type="dxa"/>
            <w:tcBorders>
              <w:top w:val="nil"/>
              <w:left w:val="nil"/>
              <w:bottom w:val="single" w:sz="4" w:space="0" w:color="auto"/>
              <w:right w:val="single" w:sz="4" w:space="0" w:color="auto"/>
            </w:tcBorders>
            <w:shd w:val="clear" w:color="auto" w:fill="auto"/>
            <w:vAlign w:val="center"/>
            <w:hideMark/>
          </w:tcPr>
          <w:p w14:paraId="26D6C3C3"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5F6406CF"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FB7A0A5"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Activos Intangibles</w:t>
            </w:r>
          </w:p>
        </w:tc>
        <w:tc>
          <w:tcPr>
            <w:tcW w:w="1701" w:type="dxa"/>
            <w:tcBorders>
              <w:top w:val="nil"/>
              <w:left w:val="nil"/>
              <w:bottom w:val="single" w:sz="4" w:space="0" w:color="auto"/>
              <w:right w:val="single" w:sz="4" w:space="0" w:color="auto"/>
            </w:tcBorders>
            <w:shd w:val="clear" w:color="auto" w:fill="auto"/>
            <w:vAlign w:val="center"/>
            <w:hideMark/>
          </w:tcPr>
          <w:p w14:paraId="029AAFBD"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57,504,809</w:t>
            </w:r>
          </w:p>
        </w:tc>
        <w:tc>
          <w:tcPr>
            <w:tcW w:w="1671" w:type="dxa"/>
            <w:tcBorders>
              <w:top w:val="nil"/>
              <w:left w:val="nil"/>
              <w:bottom w:val="single" w:sz="4" w:space="0" w:color="auto"/>
              <w:right w:val="single" w:sz="4" w:space="0" w:color="auto"/>
            </w:tcBorders>
            <w:shd w:val="clear" w:color="auto" w:fill="auto"/>
            <w:vAlign w:val="center"/>
            <w:hideMark/>
          </w:tcPr>
          <w:p w14:paraId="03549851"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672AC3D1"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B662A8F"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Obra Pública en Bienes de Dominio Público*</w:t>
            </w:r>
          </w:p>
        </w:tc>
        <w:tc>
          <w:tcPr>
            <w:tcW w:w="1701" w:type="dxa"/>
            <w:tcBorders>
              <w:top w:val="nil"/>
              <w:left w:val="nil"/>
              <w:bottom w:val="single" w:sz="4" w:space="0" w:color="auto"/>
              <w:right w:val="single" w:sz="4" w:space="0" w:color="auto"/>
            </w:tcBorders>
            <w:shd w:val="clear" w:color="auto" w:fill="auto"/>
            <w:vAlign w:val="center"/>
            <w:hideMark/>
          </w:tcPr>
          <w:p w14:paraId="397B6958"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710,515,067</w:t>
            </w:r>
          </w:p>
        </w:tc>
        <w:tc>
          <w:tcPr>
            <w:tcW w:w="1671" w:type="dxa"/>
            <w:tcBorders>
              <w:top w:val="nil"/>
              <w:left w:val="nil"/>
              <w:bottom w:val="single" w:sz="4" w:space="0" w:color="auto"/>
              <w:right w:val="single" w:sz="4" w:space="0" w:color="auto"/>
            </w:tcBorders>
            <w:shd w:val="clear" w:color="auto" w:fill="auto"/>
            <w:vAlign w:val="center"/>
            <w:hideMark/>
          </w:tcPr>
          <w:p w14:paraId="4E85340D"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08B659D6"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EA714BF"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Obra Pública en Bienes Propios *</w:t>
            </w:r>
          </w:p>
        </w:tc>
        <w:tc>
          <w:tcPr>
            <w:tcW w:w="1701" w:type="dxa"/>
            <w:tcBorders>
              <w:top w:val="nil"/>
              <w:left w:val="nil"/>
              <w:bottom w:val="single" w:sz="4" w:space="0" w:color="auto"/>
              <w:right w:val="single" w:sz="4" w:space="0" w:color="auto"/>
            </w:tcBorders>
            <w:shd w:val="clear" w:color="auto" w:fill="auto"/>
            <w:vAlign w:val="center"/>
            <w:hideMark/>
          </w:tcPr>
          <w:p w14:paraId="1AD3CBD7"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460,666,214</w:t>
            </w:r>
          </w:p>
        </w:tc>
        <w:tc>
          <w:tcPr>
            <w:tcW w:w="1671" w:type="dxa"/>
            <w:tcBorders>
              <w:top w:val="nil"/>
              <w:left w:val="nil"/>
              <w:bottom w:val="single" w:sz="4" w:space="0" w:color="auto"/>
              <w:right w:val="single" w:sz="4" w:space="0" w:color="auto"/>
            </w:tcBorders>
            <w:shd w:val="clear" w:color="auto" w:fill="auto"/>
            <w:vAlign w:val="center"/>
            <w:hideMark/>
          </w:tcPr>
          <w:p w14:paraId="4A3FB2AC"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2CFC86EB"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6A1290D"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Acciones y Participaciones de Capital</w:t>
            </w:r>
          </w:p>
        </w:tc>
        <w:tc>
          <w:tcPr>
            <w:tcW w:w="1701" w:type="dxa"/>
            <w:tcBorders>
              <w:top w:val="nil"/>
              <w:left w:val="nil"/>
              <w:bottom w:val="single" w:sz="4" w:space="0" w:color="auto"/>
              <w:right w:val="single" w:sz="4" w:space="0" w:color="auto"/>
            </w:tcBorders>
            <w:shd w:val="clear" w:color="auto" w:fill="auto"/>
            <w:vAlign w:val="center"/>
            <w:hideMark/>
          </w:tcPr>
          <w:p w14:paraId="7FB0CE68"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48,060,795</w:t>
            </w:r>
          </w:p>
        </w:tc>
        <w:tc>
          <w:tcPr>
            <w:tcW w:w="1671" w:type="dxa"/>
            <w:tcBorders>
              <w:top w:val="nil"/>
              <w:left w:val="nil"/>
              <w:bottom w:val="single" w:sz="4" w:space="0" w:color="auto"/>
              <w:right w:val="single" w:sz="4" w:space="0" w:color="auto"/>
            </w:tcBorders>
            <w:shd w:val="clear" w:color="auto" w:fill="auto"/>
            <w:vAlign w:val="center"/>
            <w:hideMark/>
          </w:tcPr>
          <w:p w14:paraId="3CEB6132"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55021203"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ED0B159"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Compra de Títulos y Valores</w:t>
            </w:r>
          </w:p>
        </w:tc>
        <w:tc>
          <w:tcPr>
            <w:tcW w:w="1701" w:type="dxa"/>
            <w:tcBorders>
              <w:top w:val="nil"/>
              <w:left w:val="nil"/>
              <w:bottom w:val="single" w:sz="4" w:space="0" w:color="auto"/>
              <w:right w:val="single" w:sz="4" w:space="0" w:color="auto"/>
            </w:tcBorders>
            <w:shd w:val="clear" w:color="auto" w:fill="auto"/>
            <w:vAlign w:val="center"/>
            <w:hideMark/>
          </w:tcPr>
          <w:p w14:paraId="57308437"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0</w:t>
            </w:r>
          </w:p>
        </w:tc>
        <w:tc>
          <w:tcPr>
            <w:tcW w:w="1671" w:type="dxa"/>
            <w:tcBorders>
              <w:top w:val="nil"/>
              <w:left w:val="nil"/>
              <w:bottom w:val="single" w:sz="4" w:space="0" w:color="auto"/>
              <w:right w:val="single" w:sz="4" w:space="0" w:color="auto"/>
            </w:tcBorders>
            <w:shd w:val="clear" w:color="auto" w:fill="auto"/>
            <w:vAlign w:val="center"/>
            <w:hideMark/>
          </w:tcPr>
          <w:p w14:paraId="7B4D0692"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2723D2F8"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B79EA69"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Concesión de Préstamos</w:t>
            </w:r>
          </w:p>
        </w:tc>
        <w:tc>
          <w:tcPr>
            <w:tcW w:w="1701" w:type="dxa"/>
            <w:tcBorders>
              <w:top w:val="nil"/>
              <w:left w:val="nil"/>
              <w:bottom w:val="single" w:sz="4" w:space="0" w:color="auto"/>
              <w:right w:val="single" w:sz="4" w:space="0" w:color="auto"/>
            </w:tcBorders>
            <w:shd w:val="clear" w:color="auto" w:fill="auto"/>
            <w:vAlign w:val="center"/>
            <w:hideMark/>
          </w:tcPr>
          <w:p w14:paraId="1F229883"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0</w:t>
            </w:r>
          </w:p>
        </w:tc>
        <w:tc>
          <w:tcPr>
            <w:tcW w:w="1671" w:type="dxa"/>
            <w:tcBorders>
              <w:top w:val="nil"/>
              <w:left w:val="nil"/>
              <w:bottom w:val="single" w:sz="4" w:space="0" w:color="auto"/>
              <w:right w:val="single" w:sz="4" w:space="0" w:color="auto"/>
            </w:tcBorders>
            <w:shd w:val="clear" w:color="auto" w:fill="auto"/>
            <w:vAlign w:val="center"/>
            <w:hideMark/>
          </w:tcPr>
          <w:p w14:paraId="0D418F51"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752DE0EF"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46144F2"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Inversiones en Fideicomisos, mandatos y otros Análogos</w:t>
            </w:r>
          </w:p>
        </w:tc>
        <w:tc>
          <w:tcPr>
            <w:tcW w:w="1701" w:type="dxa"/>
            <w:tcBorders>
              <w:top w:val="nil"/>
              <w:left w:val="nil"/>
              <w:bottom w:val="single" w:sz="4" w:space="0" w:color="auto"/>
              <w:right w:val="single" w:sz="4" w:space="0" w:color="auto"/>
            </w:tcBorders>
            <w:shd w:val="clear" w:color="auto" w:fill="auto"/>
            <w:vAlign w:val="center"/>
            <w:hideMark/>
          </w:tcPr>
          <w:p w14:paraId="429EAB04"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140,206,412</w:t>
            </w:r>
          </w:p>
        </w:tc>
        <w:tc>
          <w:tcPr>
            <w:tcW w:w="1671" w:type="dxa"/>
            <w:tcBorders>
              <w:top w:val="nil"/>
              <w:left w:val="nil"/>
              <w:bottom w:val="single" w:sz="4" w:space="0" w:color="auto"/>
              <w:right w:val="single" w:sz="4" w:space="0" w:color="auto"/>
            </w:tcBorders>
            <w:shd w:val="clear" w:color="auto" w:fill="auto"/>
            <w:vAlign w:val="center"/>
            <w:hideMark/>
          </w:tcPr>
          <w:p w14:paraId="5C138DA5"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5A688E00"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C1B2389"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Provisiones para contingencias y otras Erogaciones Especiales</w:t>
            </w:r>
          </w:p>
        </w:tc>
        <w:tc>
          <w:tcPr>
            <w:tcW w:w="1701" w:type="dxa"/>
            <w:tcBorders>
              <w:top w:val="nil"/>
              <w:left w:val="nil"/>
              <w:bottom w:val="single" w:sz="4" w:space="0" w:color="auto"/>
              <w:right w:val="single" w:sz="4" w:space="0" w:color="auto"/>
            </w:tcBorders>
            <w:shd w:val="clear" w:color="auto" w:fill="auto"/>
            <w:vAlign w:val="center"/>
            <w:hideMark/>
          </w:tcPr>
          <w:p w14:paraId="382F4292"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0819A200"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0B41C8F6"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81C7215"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Amortización de la Deuda Pública</w:t>
            </w:r>
          </w:p>
        </w:tc>
        <w:tc>
          <w:tcPr>
            <w:tcW w:w="1701" w:type="dxa"/>
            <w:tcBorders>
              <w:top w:val="nil"/>
              <w:left w:val="nil"/>
              <w:bottom w:val="single" w:sz="4" w:space="0" w:color="auto"/>
              <w:right w:val="single" w:sz="4" w:space="0" w:color="auto"/>
            </w:tcBorders>
            <w:shd w:val="clear" w:color="auto" w:fill="auto"/>
            <w:vAlign w:val="center"/>
            <w:hideMark/>
          </w:tcPr>
          <w:p w14:paraId="765198E5"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2,078,830,036</w:t>
            </w:r>
          </w:p>
        </w:tc>
        <w:tc>
          <w:tcPr>
            <w:tcW w:w="1671" w:type="dxa"/>
            <w:tcBorders>
              <w:top w:val="nil"/>
              <w:left w:val="nil"/>
              <w:bottom w:val="single" w:sz="4" w:space="0" w:color="auto"/>
              <w:right w:val="single" w:sz="4" w:space="0" w:color="auto"/>
            </w:tcBorders>
            <w:shd w:val="clear" w:color="auto" w:fill="auto"/>
            <w:vAlign w:val="center"/>
            <w:hideMark/>
          </w:tcPr>
          <w:p w14:paraId="33638067"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27C2AE0D"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5C73B2A"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Adeudos de Ejercicios Fiscales anteriores (ADEFAS)</w:t>
            </w:r>
          </w:p>
        </w:tc>
        <w:tc>
          <w:tcPr>
            <w:tcW w:w="1701" w:type="dxa"/>
            <w:tcBorders>
              <w:top w:val="nil"/>
              <w:left w:val="nil"/>
              <w:bottom w:val="single" w:sz="4" w:space="0" w:color="auto"/>
              <w:right w:val="single" w:sz="4" w:space="0" w:color="auto"/>
            </w:tcBorders>
            <w:shd w:val="clear" w:color="auto" w:fill="auto"/>
            <w:vAlign w:val="center"/>
            <w:hideMark/>
          </w:tcPr>
          <w:p w14:paraId="7735A421"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733,993,073</w:t>
            </w:r>
          </w:p>
        </w:tc>
        <w:tc>
          <w:tcPr>
            <w:tcW w:w="1671" w:type="dxa"/>
            <w:tcBorders>
              <w:top w:val="nil"/>
              <w:left w:val="nil"/>
              <w:bottom w:val="single" w:sz="4" w:space="0" w:color="auto"/>
              <w:right w:val="single" w:sz="4" w:space="0" w:color="auto"/>
            </w:tcBorders>
            <w:shd w:val="clear" w:color="auto" w:fill="auto"/>
            <w:vAlign w:val="center"/>
            <w:hideMark/>
          </w:tcPr>
          <w:p w14:paraId="5FE67927"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1E734D" w:rsidRPr="001E734D" w14:paraId="67C269E3" w14:textId="77777777" w:rsidTr="009566E6">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29BFD3D" w14:textId="77777777" w:rsidR="001E734D" w:rsidRPr="001E734D" w:rsidRDefault="001E734D" w:rsidP="001E734D">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Otros Egresos Presupuestarios no Contables</w:t>
            </w:r>
          </w:p>
        </w:tc>
        <w:tc>
          <w:tcPr>
            <w:tcW w:w="1701" w:type="dxa"/>
            <w:tcBorders>
              <w:top w:val="nil"/>
              <w:left w:val="nil"/>
              <w:bottom w:val="single" w:sz="4" w:space="0" w:color="auto"/>
              <w:right w:val="single" w:sz="4" w:space="0" w:color="auto"/>
            </w:tcBorders>
            <w:shd w:val="clear" w:color="auto" w:fill="auto"/>
            <w:vAlign w:val="center"/>
            <w:hideMark/>
          </w:tcPr>
          <w:p w14:paraId="654F092A" w14:textId="77777777" w:rsidR="001E734D" w:rsidRPr="001E734D" w:rsidRDefault="001E734D" w:rsidP="001E734D">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241F81C7" w14:textId="77777777" w:rsidR="001E734D" w:rsidRPr="001E734D" w:rsidRDefault="001E734D" w:rsidP="001E734D">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r>
      <w:tr w:rsidR="001E734D" w:rsidRPr="001E734D" w14:paraId="34942096" w14:textId="77777777" w:rsidTr="009566E6">
        <w:trPr>
          <w:trHeight w:val="13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86504F4"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467BD62A"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17D3D4B7" w14:textId="77777777" w:rsidR="001E734D" w:rsidRPr="001E734D" w:rsidRDefault="001E734D" w:rsidP="001E734D">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bl>
    <w:p w14:paraId="75615EA8" w14:textId="45649580" w:rsidR="007A6501" w:rsidRPr="005F45A3" w:rsidRDefault="007A6501" w:rsidP="007F04E0">
      <w:pPr>
        <w:spacing w:after="0" w:line="240" w:lineRule="auto"/>
        <w:jc w:val="both"/>
        <w:rPr>
          <w:rFonts w:asciiTheme="minorHAnsi" w:hAnsiTheme="minorHAnsi" w:cstheme="minorHAnsi"/>
          <w:b/>
          <w:sz w:val="18"/>
          <w:szCs w:val="18"/>
          <w:lang w:eastAsia="es-ES"/>
        </w:rPr>
      </w:pPr>
    </w:p>
    <w:p w14:paraId="73338569" w14:textId="409F23FE" w:rsidR="0049640B" w:rsidRPr="005F45A3" w:rsidRDefault="00855C55" w:rsidP="001B03F0">
      <w:pPr>
        <w:spacing w:after="0" w:line="240" w:lineRule="auto"/>
        <w:jc w:val="both"/>
        <w:rPr>
          <w:rFonts w:asciiTheme="minorHAnsi" w:hAnsiTheme="minorHAnsi" w:cstheme="minorHAnsi"/>
          <w:sz w:val="17"/>
          <w:szCs w:val="17"/>
          <w:lang w:val="es-ES" w:eastAsia="es-ES"/>
        </w:rPr>
      </w:pPr>
      <w:r w:rsidRPr="005F45A3">
        <w:rPr>
          <w:rFonts w:asciiTheme="minorHAnsi" w:hAnsiTheme="minorHAnsi" w:cstheme="minorHAnsi"/>
          <w:b/>
          <w:sz w:val="18"/>
          <w:szCs w:val="18"/>
          <w:lang w:eastAsia="es-ES"/>
        </w:rPr>
        <w:t xml:space="preserve">           </w:t>
      </w:r>
    </w:p>
    <w:p w14:paraId="487C6797" w14:textId="30CAAEE0" w:rsidR="00A75C19" w:rsidRDefault="00A75C19" w:rsidP="007320A7">
      <w:pPr>
        <w:spacing w:after="0" w:line="240" w:lineRule="auto"/>
        <w:rPr>
          <w:rFonts w:asciiTheme="minorHAnsi" w:eastAsia="Times New Roman" w:hAnsiTheme="minorHAnsi" w:cstheme="minorHAnsi"/>
          <w:sz w:val="14"/>
          <w:szCs w:val="14"/>
          <w:lang w:val="es-ES" w:eastAsia="es-ES"/>
        </w:rPr>
      </w:pPr>
    </w:p>
    <w:p w14:paraId="6AA39E70" w14:textId="271350D4" w:rsidR="00A869D5" w:rsidRDefault="00A869D5" w:rsidP="007320A7">
      <w:pPr>
        <w:spacing w:after="0" w:line="240" w:lineRule="auto"/>
        <w:rPr>
          <w:rFonts w:asciiTheme="minorHAnsi" w:eastAsia="Times New Roman" w:hAnsiTheme="minorHAnsi" w:cstheme="minorHAnsi"/>
          <w:sz w:val="14"/>
          <w:szCs w:val="14"/>
          <w:lang w:val="es-ES" w:eastAsia="es-ES"/>
        </w:rPr>
      </w:pPr>
    </w:p>
    <w:p w14:paraId="2B10911C" w14:textId="359BAC93" w:rsidR="00A869D5" w:rsidRDefault="00A869D5" w:rsidP="007320A7">
      <w:pPr>
        <w:spacing w:after="0" w:line="240" w:lineRule="auto"/>
        <w:rPr>
          <w:rFonts w:asciiTheme="minorHAnsi" w:eastAsia="Times New Roman" w:hAnsiTheme="minorHAnsi" w:cstheme="minorHAnsi"/>
          <w:sz w:val="14"/>
          <w:szCs w:val="14"/>
          <w:lang w:val="es-ES" w:eastAsia="es-ES"/>
        </w:rPr>
      </w:pPr>
    </w:p>
    <w:p w14:paraId="30384F3B" w14:textId="7B445D60" w:rsidR="00A869D5" w:rsidRDefault="00A869D5" w:rsidP="007320A7">
      <w:pPr>
        <w:spacing w:after="0" w:line="240" w:lineRule="auto"/>
        <w:rPr>
          <w:rFonts w:asciiTheme="minorHAnsi" w:eastAsia="Times New Roman" w:hAnsiTheme="minorHAnsi" w:cstheme="minorHAnsi"/>
          <w:sz w:val="14"/>
          <w:szCs w:val="14"/>
          <w:lang w:val="es-ES" w:eastAsia="es-ES"/>
        </w:rPr>
      </w:pPr>
    </w:p>
    <w:p w14:paraId="08BF2F01" w14:textId="297AE80C" w:rsidR="00A869D5" w:rsidRDefault="00A869D5" w:rsidP="007320A7">
      <w:pPr>
        <w:spacing w:after="0" w:line="240" w:lineRule="auto"/>
        <w:rPr>
          <w:rFonts w:asciiTheme="minorHAnsi" w:eastAsia="Times New Roman" w:hAnsiTheme="minorHAnsi" w:cstheme="minorHAnsi"/>
          <w:sz w:val="14"/>
          <w:szCs w:val="14"/>
          <w:lang w:val="es-ES" w:eastAsia="es-ES"/>
        </w:rPr>
      </w:pPr>
    </w:p>
    <w:p w14:paraId="6B24CE0D" w14:textId="7E01C3AD" w:rsidR="00A869D5" w:rsidRDefault="00A869D5" w:rsidP="007320A7">
      <w:pPr>
        <w:spacing w:after="0" w:line="240" w:lineRule="auto"/>
        <w:rPr>
          <w:rFonts w:asciiTheme="minorHAnsi" w:eastAsia="Times New Roman" w:hAnsiTheme="minorHAnsi" w:cstheme="minorHAnsi"/>
          <w:sz w:val="14"/>
          <w:szCs w:val="14"/>
          <w:lang w:val="es-ES" w:eastAsia="es-ES"/>
        </w:rPr>
      </w:pPr>
    </w:p>
    <w:p w14:paraId="24BCC6E6" w14:textId="7927338D" w:rsidR="00A869D5" w:rsidRDefault="00A869D5" w:rsidP="007320A7">
      <w:pPr>
        <w:spacing w:after="0" w:line="240" w:lineRule="auto"/>
        <w:rPr>
          <w:rFonts w:asciiTheme="minorHAnsi" w:eastAsia="Times New Roman" w:hAnsiTheme="minorHAnsi" w:cstheme="minorHAnsi"/>
          <w:sz w:val="14"/>
          <w:szCs w:val="14"/>
          <w:lang w:val="es-ES" w:eastAsia="es-ES"/>
        </w:rPr>
      </w:pPr>
    </w:p>
    <w:p w14:paraId="6FF1ABCB" w14:textId="25588974" w:rsidR="00A869D5" w:rsidRDefault="00A869D5" w:rsidP="007320A7">
      <w:pPr>
        <w:spacing w:after="0" w:line="240" w:lineRule="auto"/>
        <w:rPr>
          <w:rFonts w:asciiTheme="minorHAnsi" w:eastAsia="Times New Roman" w:hAnsiTheme="minorHAnsi" w:cstheme="minorHAnsi"/>
          <w:sz w:val="14"/>
          <w:szCs w:val="14"/>
          <w:lang w:val="es-ES" w:eastAsia="es-ES"/>
        </w:rPr>
      </w:pPr>
    </w:p>
    <w:p w14:paraId="509DE09C" w14:textId="53BEA6B9" w:rsidR="00A869D5" w:rsidRDefault="00A869D5" w:rsidP="007320A7">
      <w:pPr>
        <w:spacing w:after="0" w:line="240" w:lineRule="auto"/>
        <w:rPr>
          <w:rFonts w:asciiTheme="minorHAnsi" w:eastAsia="Times New Roman" w:hAnsiTheme="minorHAnsi" w:cstheme="minorHAnsi"/>
          <w:sz w:val="14"/>
          <w:szCs w:val="14"/>
          <w:lang w:val="es-ES" w:eastAsia="es-ES"/>
        </w:rPr>
      </w:pPr>
    </w:p>
    <w:p w14:paraId="540EF02E" w14:textId="5C2100E8" w:rsidR="00A869D5" w:rsidRDefault="00A869D5" w:rsidP="007320A7">
      <w:pPr>
        <w:spacing w:after="0" w:line="240" w:lineRule="auto"/>
        <w:rPr>
          <w:rFonts w:asciiTheme="minorHAnsi" w:eastAsia="Times New Roman" w:hAnsiTheme="minorHAnsi" w:cstheme="minorHAnsi"/>
          <w:sz w:val="14"/>
          <w:szCs w:val="14"/>
          <w:lang w:val="es-ES" w:eastAsia="es-ES"/>
        </w:rPr>
      </w:pPr>
    </w:p>
    <w:p w14:paraId="792CA935" w14:textId="416449CB" w:rsidR="00A869D5" w:rsidRDefault="00A869D5" w:rsidP="007320A7">
      <w:pPr>
        <w:spacing w:after="0" w:line="240" w:lineRule="auto"/>
        <w:rPr>
          <w:rFonts w:asciiTheme="minorHAnsi" w:eastAsia="Times New Roman" w:hAnsiTheme="minorHAnsi" w:cstheme="minorHAnsi"/>
          <w:sz w:val="14"/>
          <w:szCs w:val="14"/>
          <w:lang w:val="es-ES" w:eastAsia="es-ES"/>
        </w:rPr>
      </w:pPr>
    </w:p>
    <w:p w14:paraId="3F6FCE2F" w14:textId="3F45A7F5" w:rsidR="00A869D5" w:rsidRDefault="00A869D5" w:rsidP="007320A7">
      <w:pPr>
        <w:spacing w:after="0" w:line="240" w:lineRule="auto"/>
        <w:rPr>
          <w:rFonts w:asciiTheme="minorHAnsi" w:eastAsia="Times New Roman" w:hAnsiTheme="minorHAnsi" w:cstheme="minorHAnsi"/>
          <w:sz w:val="14"/>
          <w:szCs w:val="14"/>
          <w:lang w:val="es-ES" w:eastAsia="es-ES"/>
        </w:rPr>
      </w:pPr>
    </w:p>
    <w:p w14:paraId="6E493566" w14:textId="2EA1BAF5" w:rsidR="00A869D5" w:rsidRDefault="00A869D5" w:rsidP="007320A7">
      <w:pPr>
        <w:spacing w:after="0" w:line="240" w:lineRule="auto"/>
        <w:rPr>
          <w:rFonts w:asciiTheme="minorHAnsi" w:eastAsia="Times New Roman" w:hAnsiTheme="minorHAnsi" w:cstheme="minorHAnsi"/>
          <w:sz w:val="14"/>
          <w:szCs w:val="14"/>
          <w:lang w:val="es-ES" w:eastAsia="es-ES"/>
        </w:rPr>
      </w:pPr>
    </w:p>
    <w:p w14:paraId="0D8E1FA0" w14:textId="205FEFB4" w:rsidR="00A869D5" w:rsidRDefault="00A869D5" w:rsidP="007320A7">
      <w:pPr>
        <w:spacing w:after="0" w:line="240" w:lineRule="auto"/>
        <w:rPr>
          <w:rFonts w:asciiTheme="minorHAnsi" w:eastAsia="Times New Roman" w:hAnsiTheme="minorHAnsi" w:cstheme="minorHAnsi"/>
          <w:sz w:val="14"/>
          <w:szCs w:val="14"/>
          <w:lang w:val="es-ES" w:eastAsia="es-ES"/>
        </w:rPr>
      </w:pPr>
    </w:p>
    <w:p w14:paraId="1B7B972C" w14:textId="77777777" w:rsidR="00A869D5" w:rsidRDefault="00A869D5" w:rsidP="007320A7">
      <w:pPr>
        <w:spacing w:after="0" w:line="240" w:lineRule="auto"/>
        <w:rPr>
          <w:rFonts w:asciiTheme="minorHAnsi" w:eastAsia="Times New Roman" w:hAnsiTheme="minorHAnsi" w:cstheme="minorHAnsi"/>
          <w:sz w:val="14"/>
          <w:szCs w:val="14"/>
          <w:lang w:val="es-ES" w:eastAsia="es-ES"/>
        </w:rPr>
      </w:pPr>
    </w:p>
    <w:p w14:paraId="51036EDF" w14:textId="0BC13562" w:rsidR="00A869D5" w:rsidRDefault="00A869D5" w:rsidP="007320A7">
      <w:pPr>
        <w:spacing w:after="0" w:line="240" w:lineRule="auto"/>
        <w:rPr>
          <w:rFonts w:asciiTheme="minorHAnsi" w:eastAsia="Times New Roman" w:hAnsiTheme="minorHAnsi" w:cstheme="minorHAnsi"/>
          <w:sz w:val="14"/>
          <w:szCs w:val="14"/>
          <w:lang w:val="es-ES" w:eastAsia="es-ES"/>
        </w:rPr>
      </w:pPr>
    </w:p>
    <w:p w14:paraId="0E29B850" w14:textId="71908204" w:rsidR="00A869D5" w:rsidRDefault="00A869D5" w:rsidP="007320A7">
      <w:pPr>
        <w:spacing w:after="0" w:line="240" w:lineRule="auto"/>
        <w:rPr>
          <w:rFonts w:asciiTheme="minorHAnsi" w:eastAsia="Times New Roman" w:hAnsiTheme="minorHAnsi" w:cstheme="minorHAnsi"/>
          <w:sz w:val="14"/>
          <w:szCs w:val="14"/>
          <w:lang w:val="es-ES" w:eastAsia="es-ES"/>
        </w:rPr>
      </w:pPr>
    </w:p>
    <w:p w14:paraId="5B7D5486" w14:textId="77777777" w:rsidR="00A869D5" w:rsidRDefault="00A869D5" w:rsidP="007320A7">
      <w:pPr>
        <w:spacing w:after="0" w:line="240" w:lineRule="auto"/>
        <w:rPr>
          <w:rFonts w:asciiTheme="minorHAnsi" w:eastAsia="Times New Roman" w:hAnsiTheme="minorHAnsi" w:cstheme="minorHAnsi"/>
          <w:sz w:val="14"/>
          <w:szCs w:val="14"/>
          <w:lang w:val="es-ES" w:eastAsia="es-ES"/>
        </w:rPr>
      </w:pPr>
    </w:p>
    <w:p w14:paraId="492F6E1A" w14:textId="3B9FC22C" w:rsidR="00A869D5" w:rsidRDefault="00A869D5" w:rsidP="007320A7">
      <w:pPr>
        <w:spacing w:after="0" w:line="240" w:lineRule="auto"/>
        <w:rPr>
          <w:rFonts w:asciiTheme="minorHAnsi" w:eastAsia="Times New Roman" w:hAnsiTheme="minorHAnsi" w:cstheme="minorHAnsi"/>
          <w:sz w:val="14"/>
          <w:szCs w:val="14"/>
          <w:lang w:val="es-ES" w:eastAsia="es-ES"/>
        </w:rPr>
      </w:pPr>
    </w:p>
    <w:tbl>
      <w:tblPr>
        <w:tblW w:w="7687" w:type="dxa"/>
        <w:tblInd w:w="75" w:type="dxa"/>
        <w:tblCellMar>
          <w:left w:w="70" w:type="dxa"/>
          <w:right w:w="70" w:type="dxa"/>
        </w:tblCellMar>
        <w:tblLook w:val="04A0" w:firstRow="1" w:lastRow="0" w:firstColumn="1" w:lastColumn="0" w:noHBand="0" w:noVBand="1"/>
      </w:tblPr>
      <w:tblGrid>
        <w:gridCol w:w="4315"/>
        <w:gridCol w:w="1701"/>
        <w:gridCol w:w="1671"/>
      </w:tblGrid>
      <w:tr w:rsidR="00A869D5" w:rsidRPr="001E734D" w14:paraId="4AE37AA9" w14:textId="77777777" w:rsidTr="00A869D5">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51BF34" w14:textId="77777777" w:rsidR="00A869D5" w:rsidRPr="001E734D" w:rsidRDefault="00A869D5" w:rsidP="00A438A4">
            <w:pPr>
              <w:spacing w:after="0" w:line="240" w:lineRule="auto"/>
              <w:ind w:firstLineChars="400" w:firstLine="643"/>
              <w:rPr>
                <w:rFonts w:eastAsia="Times New Roman" w:cs="Calibri"/>
                <w:b/>
                <w:bCs/>
                <w:color w:val="000000"/>
                <w:sz w:val="16"/>
                <w:szCs w:val="16"/>
                <w:lang w:eastAsia="es-MX"/>
              </w:rPr>
            </w:pPr>
            <w:r w:rsidRPr="001E734D">
              <w:rPr>
                <w:rFonts w:eastAsia="Times New Roman" w:cs="Calibri"/>
                <w:b/>
                <w:bCs/>
                <w:color w:val="000000"/>
                <w:sz w:val="16"/>
                <w:szCs w:val="16"/>
                <w:lang w:eastAsia="es-MX"/>
              </w:rPr>
              <w:t>3.     Más Gastos Contables no Presupuestarios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921046E" w14:textId="77777777" w:rsidR="00A869D5" w:rsidRPr="001E734D" w:rsidRDefault="00A869D5" w:rsidP="00A438A4">
            <w:pPr>
              <w:spacing w:after="0" w:line="240" w:lineRule="auto"/>
              <w:ind w:firstLineChars="400" w:firstLine="643"/>
              <w:rPr>
                <w:rFonts w:eastAsia="Times New Roman" w:cs="Calibri"/>
                <w:b/>
                <w:bCs/>
                <w:color w:val="000000"/>
                <w:sz w:val="16"/>
                <w:szCs w:val="16"/>
                <w:lang w:eastAsia="es-MX"/>
              </w:rPr>
            </w:pPr>
            <w:r w:rsidRPr="001E734D">
              <w:rPr>
                <w:rFonts w:eastAsia="Times New Roman" w:cs="Calibri"/>
                <w:b/>
                <w:bCs/>
                <w:color w:val="000000"/>
                <w:sz w:val="16"/>
                <w:szCs w:val="16"/>
                <w:lang w:eastAsia="es-MX"/>
              </w:rPr>
              <w:t> </w:t>
            </w:r>
          </w:p>
        </w:tc>
        <w:tc>
          <w:tcPr>
            <w:tcW w:w="1671" w:type="dxa"/>
            <w:tcBorders>
              <w:top w:val="single" w:sz="4" w:space="0" w:color="auto"/>
              <w:left w:val="nil"/>
              <w:bottom w:val="single" w:sz="4" w:space="0" w:color="auto"/>
              <w:right w:val="single" w:sz="4" w:space="0" w:color="auto"/>
            </w:tcBorders>
            <w:shd w:val="clear" w:color="000000" w:fill="D9D9D9"/>
            <w:vAlign w:val="center"/>
            <w:hideMark/>
          </w:tcPr>
          <w:p w14:paraId="02B3E84D" w14:textId="77777777" w:rsidR="00A869D5" w:rsidRPr="001E734D" w:rsidRDefault="00A869D5" w:rsidP="003E1E4C">
            <w:pPr>
              <w:spacing w:after="0" w:line="240" w:lineRule="auto"/>
              <w:jc w:val="right"/>
              <w:rPr>
                <w:rFonts w:eastAsia="Times New Roman" w:cs="Calibri"/>
                <w:b/>
                <w:bCs/>
                <w:color w:val="000000"/>
                <w:sz w:val="16"/>
                <w:szCs w:val="16"/>
                <w:lang w:eastAsia="es-MX"/>
              </w:rPr>
            </w:pPr>
            <w:r w:rsidRPr="001E734D">
              <w:rPr>
                <w:rFonts w:eastAsia="Times New Roman" w:cs="Calibri"/>
                <w:b/>
                <w:bCs/>
                <w:color w:val="000000"/>
                <w:sz w:val="16"/>
                <w:szCs w:val="16"/>
                <w:lang w:eastAsia="es-MX"/>
              </w:rPr>
              <w:t>1,446,110,554</w:t>
            </w:r>
          </w:p>
        </w:tc>
      </w:tr>
      <w:tr w:rsidR="00A869D5" w:rsidRPr="001E734D" w14:paraId="029D5DE3" w14:textId="77777777" w:rsidTr="003E1E4C">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3E57114" w14:textId="77777777" w:rsidR="00A869D5" w:rsidRPr="001E734D" w:rsidRDefault="00A869D5" w:rsidP="003E1E4C">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Estimaciones, depreciaciones, deterioro, Obsolescencia y Amortizaciones</w:t>
            </w:r>
          </w:p>
        </w:tc>
        <w:tc>
          <w:tcPr>
            <w:tcW w:w="1701" w:type="dxa"/>
            <w:tcBorders>
              <w:top w:val="nil"/>
              <w:left w:val="nil"/>
              <w:bottom w:val="single" w:sz="4" w:space="0" w:color="auto"/>
              <w:right w:val="single" w:sz="4" w:space="0" w:color="auto"/>
            </w:tcBorders>
            <w:shd w:val="clear" w:color="auto" w:fill="auto"/>
            <w:vAlign w:val="center"/>
            <w:hideMark/>
          </w:tcPr>
          <w:p w14:paraId="642FC1EA" w14:textId="77777777" w:rsidR="00A869D5" w:rsidRPr="001E734D" w:rsidRDefault="00A869D5" w:rsidP="003E1E4C">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912,238,144</w:t>
            </w:r>
          </w:p>
        </w:tc>
        <w:tc>
          <w:tcPr>
            <w:tcW w:w="1671" w:type="dxa"/>
            <w:tcBorders>
              <w:top w:val="nil"/>
              <w:left w:val="nil"/>
              <w:bottom w:val="single" w:sz="4" w:space="0" w:color="auto"/>
              <w:right w:val="single" w:sz="4" w:space="0" w:color="auto"/>
            </w:tcBorders>
            <w:shd w:val="clear" w:color="auto" w:fill="auto"/>
            <w:vAlign w:val="center"/>
            <w:hideMark/>
          </w:tcPr>
          <w:p w14:paraId="172F09F3"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A869D5" w:rsidRPr="001E734D" w14:paraId="3AC95E94" w14:textId="77777777" w:rsidTr="003E1E4C">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A278030" w14:textId="77777777" w:rsidR="00A869D5" w:rsidRPr="001E734D" w:rsidRDefault="00A869D5" w:rsidP="003E1E4C">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Provisiones</w:t>
            </w:r>
          </w:p>
        </w:tc>
        <w:tc>
          <w:tcPr>
            <w:tcW w:w="1701" w:type="dxa"/>
            <w:tcBorders>
              <w:top w:val="nil"/>
              <w:left w:val="nil"/>
              <w:bottom w:val="single" w:sz="4" w:space="0" w:color="auto"/>
              <w:right w:val="single" w:sz="4" w:space="0" w:color="auto"/>
            </w:tcBorders>
            <w:shd w:val="clear" w:color="auto" w:fill="auto"/>
            <w:vAlign w:val="center"/>
            <w:hideMark/>
          </w:tcPr>
          <w:p w14:paraId="086DB086"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7319AB31"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A869D5" w:rsidRPr="001E734D" w14:paraId="38C9EB6D" w14:textId="77777777" w:rsidTr="003E1E4C">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A3E1D45" w14:textId="77777777" w:rsidR="00A869D5" w:rsidRPr="001E734D" w:rsidRDefault="00A869D5" w:rsidP="003E1E4C">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Disminución de Inventarios</w:t>
            </w:r>
          </w:p>
        </w:tc>
        <w:tc>
          <w:tcPr>
            <w:tcW w:w="1701" w:type="dxa"/>
            <w:tcBorders>
              <w:top w:val="nil"/>
              <w:left w:val="nil"/>
              <w:bottom w:val="single" w:sz="4" w:space="0" w:color="auto"/>
              <w:right w:val="single" w:sz="4" w:space="0" w:color="auto"/>
            </w:tcBorders>
            <w:shd w:val="clear" w:color="auto" w:fill="auto"/>
            <w:vAlign w:val="center"/>
            <w:hideMark/>
          </w:tcPr>
          <w:p w14:paraId="1BF5C12D"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3E009E69"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A869D5" w:rsidRPr="001E734D" w14:paraId="26437EE3" w14:textId="77777777" w:rsidTr="003E1E4C">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55980CD" w14:textId="77777777" w:rsidR="00A869D5" w:rsidRPr="001E734D" w:rsidRDefault="00A869D5" w:rsidP="003E1E4C">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Aumento por Insuficiencia de Estimaciones por Pérdida o Deterioro u Obsolescencia</w:t>
            </w:r>
          </w:p>
        </w:tc>
        <w:tc>
          <w:tcPr>
            <w:tcW w:w="1701" w:type="dxa"/>
            <w:tcBorders>
              <w:top w:val="nil"/>
              <w:left w:val="nil"/>
              <w:bottom w:val="single" w:sz="4" w:space="0" w:color="auto"/>
              <w:right w:val="single" w:sz="4" w:space="0" w:color="auto"/>
            </w:tcBorders>
            <w:shd w:val="clear" w:color="auto" w:fill="auto"/>
            <w:vAlign w:val="center"/>
            <w:hideMark/>
          </w:tcPr>
          <w:p w14:paraId="45AF07E6"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66CECAB5"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A869D5" w:rsidRPr="001E734D" w14:paraId="28187C97" w14:textId="77777777" w:rsidTr="003E1E4C">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6678AFB" w14:textId="77777777" w:rsidR="00A869D5" w:rsidRPr="001E734D" w:rsidRDefault="00A869D5" w:rsidP="003E1E4C">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Aumento por insuficiencia por provisiones</w:t>
            </w:r>
          </w:p>
        </w:tc>
        <w:tc>
          <w:tcPr>
            <w:tcW w:w="1701" w:type="dxa"/>
            <w:tcBorders>
              <w:top w:val="nil"/>
              <w:left w:val="nil"/>
              <w:bottom w:val="single" w:sz="4" w:space="0" w:color="auto"/>
              <w:right w:val="single" w:sz="4" w:space="0" w:color="auto"/>
            </w:tcBorders>
            <w:shd w:val="clear" w:color="auto" w:fill="auto"/>
            <w:vAlign w:val="center"/>
            <w:hideMark/>
          </w:tcPr>
          <w:p w14:paraId="4D4B81B8"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64BC5512"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A869D5" w:rsidRPr="001E734D" w14:paraId="667269CB" w14:textId="77777777" w:rsidTr="003E1E4C">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E7079A8" w14:textId="77777777" w:rsidR="00A869D5" w:rsidRPr="001E734D" w:rsidRDefault="00A869D5" w:rsidP="003E1E4C">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Otros Gastos </w:t>
            </w:r>
          </w:p>
        </w:tc>
        <w:tc>
          <w:tcPr>
            <w:tcW w:w="1701" w:type="dxa"/>
            <w:tcBorders>
              <w:top w:val="nil"/>
              <w:left w:val="nil"/>
              <w:bottom w:val="single" w:sz="4" w:space="0" w:color="auto"/>
              <w:right w:val="single" w:sz="4" w:space="0" w:color="auto"/>
            </w:tcBorders>
            <w:shd w:val="clear" w:color="auto" w:fill="auto"/>
            <w:vAlign w:val="center"/>
            <w:hideMark/>
          </w:tcPr>
          <w:p w14:paraId="4BF802D7" w14:textId="77777777" w:rsidR="00A869D5" w:rsidRPr="001E734D" w:rsidRDefault="00A869D5" w:rsidP="003E1E4C">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 </w:t>
            </w:r>
          </w:p>
        </w:tc>
        <w:tc>
          <w:tcPr>
            <w:tcW w:w="1671" w:type="dxa"/>
            <w:tcBorders>
              <w:top w:val="nil"/>
              <w:left w:val="nil"/>
              <w:bottom w:val="single" w:sz="4" w:space="0" w:color="auto"/>
              <w:right w:val="single" w:sz="4" w:space="0" w:color="auto"/>
            </w:tcBorders>
            <w:shd w:val="clear" w:color="auto" w:fill="auto"/>
            <w:vAlign w:val="center"/>
            <w:hideMark/>
          </w:tcPr>
          <w:p w14:paraId="0491BFA9"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A869D5" w:rsidRPr="001E734D" w14:paraId="59149F63" w14:textId="77777777" w:rsidTr="003E1E4C">
        <w:trPr>
          <w:trHeight w:val="3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E5181D0" w14:textId="77777777" w:rsidR="00A869D5" w:rsidRPr="001E734D" w:rsidRDefault="00A869D5" w:rsidP="003E1E4C">
            <w:pPr>
              <w:spacing w:after="0" w:line="240" w:lineRule="auto"/>
              <w:rPr>
                <w:rFonts w:eastAsia="Times New Roman" w:cs="Calibri"/>
                <w:color w:val="000000"/>
                <w:sz w:val="14"/>
                <w:szCs w:val="14"/>
                <w:lang w:eastAsia="es-MX"/>
              </w:rPr>
            </w:pPr>
            <w:r w:rsidRPr="001E734D">
              <w:rPr>
                <w:rFonts w:eastAsia="Times New Roman" w:cs="Calibri"/>
                <w:color w:val="000000"/>
                <w:sz w:val="14"/>
                <w:szCs w:val="14"/>
                <w:lang w:eastAsia="es-MX"/>
              </w:rPr>
              <w:t xml:space="preserve">        Otros Gastos Contables no Presupuestales</w:t>
            </w:r>
          </w:p>
        </w:tc>
        <w:tc>
          <w:tcPr>
            <w:tcW w:w="1701" w:type="dxa"/>
            <w:tcBorders>
              <w:top w:val="nil"/>
              <w:left w:val="nil"/>
              <w:bottom w:val="single" w:sz="4" w:space="0" w:color="auto"/>
              <w:right w:val="single" w:sz="4" w:space="0" w:color="auto"/>
            </w:tcBorders>
            <w:shd w:val="clear" w:color="auto" w:fill="auto"/>
            <w:vAlign w:val="center"/>
            <w:hideMark/>
          </w:tcPr>
          <w:p w14:paraId="27EDE613" w14:textId="77777777" w:rsidR="00A869D5" w:rsidRPr="001E734D" w:rsidRDefault="00A869D5" w:rsidP="003E1E4C">
            <w:pPr>
              <w:spacing w:after="0" w:line="240" w:lineRule="auto"/>
              <w:jc w:val="right"/>
              <w:rPr>
                <w:rFonts w:eastAsia="Times New Roman" w:cs="Calibri"/>
                <w:color w:val="000000"/>
                <w:sz w:val="14"/>
                <w:szCs w:val="14"/>
                <w:lang w:eastAsia="es-MX"/>
              </w:rPr>
            </w:pPr>
            <w:r w:rsidRPr="001E734D">
              <w:rPr>
                <w:rFonts w:eastAsia="Times New Roman" w:cs="Calibri"/>
                <w:color w:val="000000"/>
                <w:sz w:val="14"/>
                <w:szCs w:val="14"/>
                <w:lang w:eastAsia="es-MX"/>
              </w:rPr>
              <w:t>533,872,41</w:t>
            </w:r>
            <w:r>
              <w:rPr>
                <w:rFonts w:eastAsia="Times New Roman" w:cs="Calibri"/>
                <w:color w:val="000000"/>
                <w:sz w:val="14"/>
                <w:szCs w:val="14"/>
                <w:lang w:eastAsia="es-MX"/>
              </w:rPr>
              <w:t>2</w:t>
            </w:r>
          </w:p>
        </w:tc>
        <w:tc>
          <w:tcPr>
            <w:tcW w:w="1671" w:type="dxa"/>
            <w:tcBorders>
              <w:top w:val="nil"/>
              <w:left w:val="nil"/>
              <w:bottom w:val="single" w:sz="4" w:space="0" w:color="auto"/>
              <w:right w:val="single" w:sz="4" w:space="0" w:color="auto"/>
            </w:tcBorders>
            <w:shd w:val="clear" w:color="auto" w:fill="auto"/>
            <w:vAlign w:val="center"/>
            <w:hideMark/>
          </w:tcPr>
          <w:p w14:paraId="6CA034C0" w14:textId="77777777" w:rsidR="00A869D5" w:rsidRPr="001E734D" w:rsidRDefault="00A869D5" w:rsidP="003E1E4C">
            <w:pPr>
              <w:spacing w:after="0" w:line="240" w:lineRule="auto"/>
              <w:rPr>
                <w:rFonts w:eastAsia="Times New Roman" w:cs="Calibri"/>
                <w:color w:val="000000"/>
                <w:sz w:val="20"/>
                <w:szCs w:val="20"/>
                <w:lang w:eastAsia="es-MX"/>
              </w:rPr>
            </w:pPr>
            <w:r w:rsidRPr="001E734D">
              <w:rPr>
                <w:rFonts w:eastAsia="Times New Roman" w:cs="Calibri"/>
                <w:color w:val="000000"/>
                <w:sz w:val="20"/>
                <w:szCs w:val="20"/>
                <w:lang w:eastAsia="es-MX"/>
              </w:rPr>
              <w:t> </w:t>
            </w:r>
          </w:p>
        </w:tc>
      </w:tr>
      <w:tr w:rsidR="00A869D5" w:rsidRPr="001E734D" w14:paraId="23163C48" w14:textId="77777777" w:rsidTr="003E1E4C">
        <w:trPr>
          <w:trHeight w:val="360"/>
        </w:trPr>
        <w:tc>
          <w:tcPr>
            <w:tcW w:w="4315" w:type="dxa"/>
            <w:tcBorders>
              <w:top w:val="nil"/>
              <w:left w:val="single" w:sz="4" w:space="0" w:color="auto"/>
              <w:bottom w:val="single" w:sz="4" w:space="0" w:color="auto"/>
              <w:right w:val="single" w:sz="4" w:space="0" w:color="auto"/>
            </w:tcBorders>
            <w:shd w:val="clear" w:color="000000" w:fill="DDC9A3"/>
            <w:vAlign w:val="center"/>
            <w:hideMark/>
          </w:tcPr>
          <w:p w14:paraId="073379B3" w14:textId="77777777" w:rsidR="00A869D5" w:rsidRPr="001E734D" w:rsidRDefault="00A869D5" w:rsidP="003E1E4C">
            <w:pPr>
              <w:spacing w:after="0" w:line="240" w:lineRule="auto"/>
              <w:jc w:val="center"/>
              <w:rPr>
                <w:rFonts w:eastAsia="Times New Roman" w:cs="Calibri"/>
                <w:b/>
                <w:bCs/>
                <w:color w:val="000000"/>
                <w:sz w:val="14"/>
                <w:szCs w:val="14"/>
                <w:lang w:eastAsia="es-MX"/>
              </w:rPr>
            </w:pPr>
            <w:r w:rsidRPr="001E734D">
              <w:rPr>
                <w:rFonts w:eastAsia="Times New Roman" w:cs="Calibri"/>
                <w:b/>
                <w:bCs/>
                <w:color w:val="000000"/>
                <w:sz w:val="14"/>
                <w:szCs w:val="14"/>
                <w:lang w:eastAsia="es-MX"/>
              </w:rPr>
              <w:t>4.      Total de Gastos Contables (4 = 1- 2 + 3)</w:t>
            </w:r>
          </w:p>
        </w:tc>
        <w:tc>
          <w:tcPr>
            <w:tcW w:w="1701" w:type="dxa"/>
            <w:tcBorders>
              <w:top w:val="nil"/>
              <w:left w:val="nil"/>
              <w:bottom w:val="single" w:sz="4" w:space="0" w:color="auto"/>
              <w:right w:val="single" w:sz="4" w:space="0" w:color="auto"/>
            </w:tcBorders>
            <w:shd w:val="clear" w:color="000000" w:fill="DDC9A3"/>
            <w:vAlign w:val="center"/>
            <w:hideMark/>
          </w:tcPr>
          <w:p w14:paraId="5CD08E9C" w14:textId="77777777" w:rsidR="00A869D5" w:rsidRPr="001E734D" w:rsidRDefault="00A869D5" w:rsidP="003E1E4C">
            <w:pPr>
              <w:spacing w:after="0" w:line="240" w:lineRule="auto"/>
              <w:jc w:val="center"/>
              <w:rPr>
                <w:rFonts w:eastAsia="Times New Roman" w:cs="Calibri"/>
                <w:b/>
                <w:bCs/>
                <w:color w:val="000000"/>
                <w:sz w:val="14"/>
                <w:szCs w:val="14"/>
                <w:lang w:eastAsia="es-MX"/>
              </w:rPr>
            </w:pPr>
            <w:r w:rsidRPr="001E734D">
              <w:rPr>
                <w:rFonts w:eastAsia="Times New Roman" w:cs="Calibri"/>
                <w:b/>
                <w:bCs/>
                <w:color w:val="000000"/>
                <w:sz w:val="14"/>
                <w:szCs w:val="14"/>
                <w:lang w:eastAsia="es-MX"/>
              </w:rPr>
              <w:t> </w:t>
            </w:r>
          </w:p>
        </w:tc>
        <w:tc>
          <w:tcPr>
            <w:tcW w:w="1671" w:type="dxa"/>
            <w:tcBorders>
              <w:top w:val="nil"/>
              <w:left w:val="nil"/>
              <w:bottom w:val="single" w:sz="4" w:space="0" w:color="auto"/>
              <w:right w:val="single" w:sz="4" w:space="0" w:color="auto"/>
            </w:tcBorders>
            <w:shd w:val="clear" w:color="000000" w:fill="DDC9A3"/>
            <w:vAlign w:val="center"/>
            <w:hideMark/>
          </w:tcPr>
          <w:p w14:paraId="47FBD48F" w14:textId="77777777" w:rsidR="00A869D5" w:rsidRPr="001E734D" w:rsidRDefault="00A869D5" w:rsidP="003E1E4C">
            <w:pPr>
              <w:spacing w:after="0" w:line="240" w:lineRule="auto"/>
              <w:jc w:val="right"/>
              <w:rPr>
                <w:rFonts w:eastAsia="Times New Roman" w:cs="Calibri"/>
                <w:b/>
                <w:bCs/>
                <w:color w:val="000000"/>
                <w:sz w:val="14"/>
                <w:szCs w:val="14"/>
                <w:lang w:eastAsia="es-MX"/>
              </w:rPr>
            </w:pPr>
            <w:r w:rsidRPr="001E734D">
              <w:rPr>
                <w:rFonts w:eastAsia="Times New Roman" w:cs="Calibri"/>
                <w:b/>
                <w:bCs/>
                <w:color w:val="000000"/>
                <w:sz w:val="14"/>
                <w:szCs w:val="14"/>
                <w:lang w:eastAsia="es-MX"/>
              </w:rPr>
              <w:t>68,365,947,9</w:t>
            </w:r>
            <w:r>
              <w:rPr>
                <w:rFonts w:eastAsia="Times New Roman" w:cs="Calibri"/>
                <w:b/>
                <w:bCs/>
                <w:color w:val="000000"/>
                <w:sz w:val="14"/>
                <w:szCs w:val="14"/>
                <w:lang w:eastAsia="es-MX"/>
              </w:rPr>
              <w:t>70</w:t>
            </w:r>
          </w:p>
        </w:tc>
      </w:tr>
    </w:tbl>
    <w:p w14:paraId="7AE8ECF2" w14:textId="54D6ED62" w:rsidR="00A869D5" w:rsidRDefault="00A869D5" w:rsidP="007320A7">
      <w:pPr>
        <w:spacing w:after="0" w:line="240" w:lineRule="auto"/>
        <w:rPr>
          <w:rFonts w:asciiTheme="minorHAnsi" w:eastAsia="Times New Roman" w:hAnsiTheme="minorHAnsi" w:cstheme="minorHAnsi"/>
          <w:sz w:val="14"/>
          <w:szCs w:val="14"/>
          <w:lang w:val="es-ES" w:eastAsia="es-ES"/>
        </w:rPr>
      </w:pPr>
    </w:p>
    <w:p w14:paraId="545DB0FA" w14:textId="295B41A3" w:rsidR="00A869D5" w:rsidRDefault="00A869D5" w:rsidP="007320A7">
      <w:pPr>
        <w:spacing w:after="0" w:line="240" w:lineRule="auto"/>
        <w:rPr>
          <w:rFonts w:asciiTheme="minorHAnsi" w:eastAsia="Times New Roman" w:hAnsiTheme="minorHAnsi" w:cstheme="minorHAnsi"/>
          <w:sz w:val="14"/>
          <w:szCs w:val="14"/>
          <w:lang w:val="es-ES" w:eastAsia="es-ES"/>
        </w:rPr>
      </w:pPr>
    </w:p>
    <w:p w14:paraId="4C2607A7" w14:textId="77777777" w:rsidR="00A869D5" w:rsidRPr="005F45A3" w:rsidRDefault="00A869D5" w:rsidP="00A869D5">
      <w:pPr>
        <w:spacing w:after="0" w:line="240" w:lineRule="auto"/>
        <w:jc w:val="both"/>
        <w:rPr>
          <w:rFonts w:asciiTheme="minorHAnsi" w:eastAsia="Times New Roman" w:hAnsiTheme="minorHAnsi" w:cstheme="minorHAnsi"/>
          <w:sz w:val="14"/>
          <w:szCs w:val="14"/>
          <w:lang w:val="es-ES" w:eastAsia="es-ES"/>
        </w:rPr>
      </w:pPr>
      <w:r w:rsidRPr="005F45A3">
        <w:rPr>
          <w:rFonts w:asciiTheme="minorHAnsi" w:hAnsiTheme="minorHAnsi" w:cstheme="minorHAnsi"/>
          <w:sz w:val="14"/>
          <w:szCs w:val="14"/>
          <w:lang w:val="es-ES" w:eastAsia="es-ES"/>
        </w:rPr>
        <w:t xml:space="preserve">* El monto del concepto de Obra pública </w:t>
      </w:r>
      <w:r w:rsidRPr="005F45A3">
        <w:rPr>
          <w:rFonts w:asciiTheme="minorHAnsi" w:eastAsia="Times New Roman" w:hAnsiTheme="minorHAnsi" w:cstheme="minorHAnsi"/>
          <w:sz w:val="14"/>
          <w:szCs w:val="14"/>
          <w:lang w:val="es-ES" w:eastAsia="es-ES"/>
        </w:rPr>
        <w:t>corresponde a la suma- resta del importe de recursos ejercidos en Inversión Pública en el Estado Analítico del Presupuesto de Egresos Clasificación por Objeto del Gasto (Capítulo y Concepto) y el reporte financiero contable del Estado de Actividades en el renglón de Inversión Pública.</w:t>
      </w:r>
    </w:p>
    <w:p w14:paraId="6A007552" w14:textId="77777777" w:rsidR="00A869D5" w:rsidRDefault="00A869D5" w:rsidP="00A869D5">
      <w:pPr>
        <w:spacing w:after="0" w:line="240" w:lineRule="auto"/>
        <w:rPr>
          <w:rFonts w:asciiTheme="minorHAnsi" w:eastAsia="Times New Roman" w:hAnsiTheme="minorHAnsi" w:cstheme="minorHAnsi"/>
          <w:sz w:val="14"/>
          <w:szCs w:val="14"/>
          <w:lang w:val="es-ES" w:eastAsia="es-ES"/>
        </w:rPr>
      </w:pPr>
    </w:p>
    <w:p w14:paraId="2CF1C363" w14:textId="51E17725" w:rsidR="00A869D5" w:rsidRDefault="00A869D5" w:rsidP="007320A7">
      <w:pPr>
        <w:spacing w:after="0" w:line="240" w:lineRule="auto"/>
        <w:rPr>
          <w:rFonts w:asciiTheme="minorHAnsi" w:eastAsia="Times New Roman" w:hAnsiTheme="minorHAnsi" w:cstheme="minorHAnsi"/>
          <w:sz w:val="14"/>
          <w:szCs w:val="14"/>
          <w:lang w:val="es-ES" w:eastAsia="es-ES"/>
        </w:rPr>
      </w:pPr>
    </w:p>
    <w:p w14:paraId="51A49989" w14:textId="32A30778" w:rsidR="00A869D5" w:rsidRDefault="00A869D5" w:rsidP="007320A7">
      <w:pPr>
        <w:spacing w:after="0" w:line="240" w:lineRule="auto"/>
        <w:rPr>
          <w:rFonts w:asciiTheme="minorHAnsi" w:eastAsia="Times New Roman" w:hAnsiTheme="minorHAnsi" w:cstheme="minorHAnsi"/>
          <w:sz w:val="14"/>
          <w:szCs w:val="14"/>
          <w:lang w:val="es-ES" w:eastAsia="es-ES"/>
        </w:rPr>
      </w:pPr>
    </w:p>
    <w:p w14:paraId="3362533F" w14:textId="5E206AC2" w:rsidR="00A869D5" w:rsidRDefault="00A869D5" w:rsidP="007320A7">
      <w:pPr>
        <w:spacing w:after="0" w:line="240" w:lineRule="auto"/>
        <w:rPr>
          <w:rFonts w:asciiTheme="minorHAnsi" w:eastAsia="Times New Roman" w:hAnsiTheme="minorHAnsi" w:cstheme="minorHAnsi"/>
          <w:sz w:val="14"/>
          <w:szCs w:val="14"/>
          <w:lang w:val="es-ES" w:eastAsia="es-ES"/>
        </w:rPr>
      </w:pPr>
    </w:p>
    <w:p w14:paraId="1CAC6A46" w14:textId="1D75B215" w:rsidR="00A869D5" w:rsidRDefault="00A869D5" w:rsidP="007320A7">
      <w:pPr>
        <w:spacing w:after="0" w:line="240" w:lineRule="auto"/>
        <w:rPr>
          <w:rFonts w:asciiTheme="minorHAnsi" w:eastAsia="Times New Roman" w:hAnsiTheme="minorHAnsi" w:cstheme="minorHAnsi"/>
          <w:sz w:val="14"/>
          <w:szCs w:val="14"/>
          <w:lang w:val="es-ES" w:eastAsia="es-ES"/>
        </w:rPr>
      </w:pPr>
    </w:p>
    <w:p w14:paraId="473DA160" w14:textId="2264C03C" w:rsidR="00A869D5" w:rsidRDefault="00A869D5" w:rsidP="007320A7">
      <w:pPr>
        <w:spacing w:after="0" w:line="240" w:lineRule="auto"/>
        <w:rPr>
          <w:rFonts w:asciiTheme="minorHAnsi" w:eastAsia="Times New Roman" w:hAnsiTheme="minorHAnsi" w:cstheme="minorHAnsi"/>
          <w:sz w:val="14"/>
          <w:szCs w:val="14"/>
          <w:lang w:val="es-ES" w:eastAsia="es-ES"/>
        </w:rPr>
      </w:pPr>
    </w:p>
    <w:p w14:paraId="0E2F87E8" w14:textId="507D750B" w:rsidR="00A869D5" w:rsidRDefault="00A869D5" w:rsidP="007320A7">
      <w:pPr>
        <w:spacing w:after="0" w:line="240" w:lineRule="auto"/>
        <w:rPr>
          <w:rFonts w:asciiTheme="minorHAnsi" w:eastAsia="Times New Roman" w:hAnsiTheme="minorHAnsi" w:cstheme="minorHAnsi"/>
          <w:sz w:val="14"/>
          <w:szCs w:val="14"/>
          <w:lang w:val="es-ES" w:eastAsia="es-ES"/>
        </w:rPr>
      </w:pPr>
    </w:p>
    <w:p w14:paraId="780015D0" w14:textId="77777777" w:rsidR="00A869D5" w:rsidRDefault="00A869D5" w:rsidP="007320A7">
      <w:pPr>
        <w:spacing w:after="0" w:line="240" w:lineRule="auto"/>
        <w:rPr>
          <w:rFonts w:asciiTheme="minorHAnsi" w:eastAsia="Times New Roman" w:hAnsiTheme="minorHAnsi" w:cstheme="minorHAnsi"/>
          <w:sz w:val="14"/>
          <w:szCs w:val="14"/>
          <w:lang w:val="es-ES" w:eastAsia="es-ES"/>
        </w:rPr>
      </w:pPr>
    </w:p>
    <w:p w14:paraId="569986EE" w14:textId="77777777" w:rsidR="00A75C19" w:rsidRPr="005F45A3" w:rsidRDefault="00A75C19" w:rsidP="007320A7">
      <w:pPr>
        <w:spacing w:after="0" w:line="240" w:lineRule="auto"/>
        <w:rPr>
          <w:rFonts w:asciiTheme="minorHAnsi" w:eastAsia="Times New Roman" w:hAnsiTheme="minorHAnsi" w:cstheme="minorHAnsi"/>
          <w:sz w:val="14"/>
          <w:szCs w:val="14"/>
          <w:lang w:val="es-ES" w:eastAsia="es-ES"/>
        </w:rPr>
      </w:pPr>
    </w:p>
    <w:p w14:paraId="1B839107" w14:textId="66AC2EDF" w:rsidR="000E7075" w:rsidRPr="005F45A3" w:rsidRDefault="006261BD" w:rsidP="00AC7D32">
      <w:pPr>
        <w:spacing w:after="0" w:line="240" w:lineRule="auto"/>
        <w:rPr>
          <w:rFonts w:asciiTheme="minorHAnsi" w:eastAsia="Times New Roman" w:hAnsiTheme="minorHAnsi" w:cstheme="minorHAnsi"/>
          <w:sz w:val="14"/>
          <w:szCs w:val="14"/>
          <w:lang w:val="es-ES" w:eastAsia="es-ES"/>
        </w:rPr>
      </w:pPr>
      <w:proofErr w:type="gramStart"/>
      <w:r w:rsidRPr="005F45A3">
        <w:rPr>
          <w:rFonts w:asciiTheme="minorHAnsi" w:eastAsia="Times New Roman" w:hAnsiTheme="minorHAnsi" w:cstheme="minorHAnsi"/>
          <w:sz w:val="14"/>
          <w:szCs w:val="14"/>
          <w:lang w:val="es-ES" w:eastAsia="es-ES"/>
        </w:rPr>
        <w:t xml:space="preserve">“ </w:t>
      </w:r>
      <w:r w:rsidR="00A00E5E" w:rsidRPr="005F45A3">
        <w:rPr>
          <w:rFonts w:asciiTheme="minorHAnsi" w:eastAsia="Times New Roman" w:hAnsiTheme="minorHAnsi" w:cstheme="minorHAnsi"/>
          <w:sz w:val="14"/>
          <w:szCs w:val="14"/>
          <w:lang w:val="es-ES" w:eastAsia="es-ES"/>
        </w:rPr>
        <w:t>Bajo</w:t>
      </w:r>
      <w:proofErr w:type="gramEnd"/>
      <w:r w:rsidR="00A00E5E" w:rsidRPr="005F45A3">
        <w:rPr>
          <w:rFonts w:asciiTheme="minorHAnsi" w:eastAsia="Times New Roman" w:hAnsiTheme="minorHAnsi" w:cstheme="minorHAnsi"/>
          <w:sz w:val="14"/>
          <w:szCs w:val="14"/>
          <w:lang w:val="es-ES" w:eastAsia="es-ES"/>
        </w:rPr>
        <w:t xml:space="preserve"> protesta de decir verdad declaramos que los Estados Financieros y sus Notas</w:t>
      </w:r>
      <w:r w:rsidR="008913B6">
        <w:rPr>
          <w:rFonts w:asciiTheme="minorHAnsi" w:eastAsia="Times New Roman" w:hAnsiTheme="minorHAnsi" w:cstheme="minorHAnsi"/>
          <w:sz w:val="14"/>
          <w:szCs w:val="14"/>
          <w:lang w:val="es-ES" w:eastAsia="es-ES"/>
        </w:rPr>
        <w:t>,</w:t>
      </w:r>
      <w:r w:rsidR="00A00E5E" w:rsidRPr="005F45A3">
        <w:rPr>
          <w:rFonts w:asciiTheme="minorHAnsi" w:eastAsia="Times New Roman" w:hAnsiTheme="minorHAnsi" w:cstheme="minorHAnsi"/>
          <w:sz w:val="14"/>
          <w:szCs w:val="14"/>
          <w:lang w:val="es-ES" w:eastAsia="es-ES"/>
        </w:rPr>
        <w:t xml:space="preserve"> son razonablemente correctos y son responsabilidad del emisor</w:t>
      </w:r>
      <w:r w:rsidRPr="005F45A3">
        <w:rPr>
          <w:rFonts w:asciiTheme="minorHAnsi" w:eastAsia="Times New Roman" w:hAnsiTheme="minorHAnsi" w:cstheme="minorHAnsi"/>
          <w:sz w:val="14"/>
          <w:szCs w:val="14"/>
          <w:lang w:val="es-ES" w:eastAsia="es-ES"/>
        </w:rPr>
        <w:t xml:space="preserve"> “</w:t>
      </w:r>
    </w:p>
    <w:p w14:paraId="215F71D1" w14:textId="7062E31F" w:rsidR="000E7075" w:rsidRPr="005F45A3" w:rsidRDefault="000E7075" w:rsidP="00AC7D32">
      <w:pPr>
        <w:spacing w:after="0" w:line="240" w:lineRule="auto"/>
        <w:rPr>
          <w:rFonts w:asciiTheme="minorHAnsi" w:eastAsia="Times New Roman" w:hAnsiTheme="minorHAnsi" w:cstheme="minorHAnsi"/>
          <w:sz w:val="14"/>
          <w:szCs w:val="14"/>
          <w:lang w:val="es-ES" w:eastAsia="es-ES"/>
        </w:rPr>
      </w:pPr>
    </w:p>
    <w:p w14:paraId="659E2236" w14:textId="6ACE35CB" w:rsidR="000E7075" w:rsidRPr="005F45A3" w:rsidRDefault="000E7075" w:rsidP="00AC7D32">
      <w:pPr>
        <w:spacing w:after="0" w:line="240" w:lineRule="auto"/>
        <w:rPr>
          <w:rFonts w:asciiTheme="minorHAnsi" w:eastAsia="Times New Roman" w:hAnsiTheme="minorHAnsi" w:cstheme="minorHAnsi"/>
          <w:sz w:val="14"/>
          <w:szCs w:val="14"/>
          <w:lang w:val="es-ES" w:eastAsia="es-ES"/>
        </w:rPr>
      </w:pPr>
    </w:p>
    <w:p w14:paraId="7E934FCC" w14:textId="1CDD4B0A" w:rsidR="00D30FA3" w:rsidRDefault="00D30FA3" w:rsidP="00AC7D32">
      <w:pPr>
        <w:spacing w:after="0" w:line="240" w:lineRule="auto"/>
        <w:rPr>
          <w:rFonts w:asciiTheme="minorHAnsi" w:eastAsia="Times New Roman" w:hAnsiTheme="minorHAnsi" w:cstheme="minorHAnsi"/>
          <w:sz w:val="14"/>
          <w:szCs w:val="14"/>
          <w:lang w:val="es-ES" w:eastAsia="es-ES"/>
        </w:rPr>
      </w:pPr>
    </w:p>
    <w:p w14:paraId="70948643" w14:textId="785B4F19" w:rsidR="00F60415" w:rsidRDefault="00F60415" w:rsidP="00AC7D32">
      <w:pPr>
        <w:spacing w:after="0" w:line="240" w:lineRule="auto"/>
        <w:rPr>
          <w:rFonts w:asciiTheme="minorHAnsi" w:eastAsia="Times New Roman" w:hAnsiTheme="minorHAnsi" w:cstheme="minorHAnsi"/>
          <w:sz w:val="14"/>
          <w:szCs w:val="14"/>
          <w:lang w:val="es-ES" w:eastAsia="es-ES"/>
        </w:rPr>
      </w:pPr>
    </w:p>
    <w:p w14:paraId="61F675E1" w14:textId="4715260F" w:rsidR="00B04353" w:rsidRDefault="00B04353" w:rsidP="00AC7D32">
      <w:pPr>
        <w:spacing w:after="0" w:line="240" w:lineRule="auto"/>
        <w:rPr>
          <w:rFonts w:asciiTheme="minorHAnsi" w:eastAsia="Times New Roman" w:hAnsiTheme="minorHAnsi" w:cstheme="minorHAnsi"/>
          <w:sz w:val="14"/>
          <w:szCs w:val="14"/>
          <w:lang w:val="es-ES" w:eastAsia="es-ES"/>
        </w:rPr>
      </w:pPr>
    </w:p>
    <w:p w14:paraId="1161E7D1" w14:textId="77777777" w:rsidR="00B04353" w:rsidRDefault="00B04353" w:rsidP="00AC7D32">
      <w:pPr>
        <w:spacing w:after="0" w:line="240" w:lineRule="auto"/>
        <w:rPr>
          <w:rFonts w:asciiTheme="minorHAnsi" w:eastAsia="Times New Roman" w:hAnsiTheme="minorHAnsi" w:cstheme="minorHAnsi"/>
          <w:sz w:val="14"/>
          <w:szCs w:val="14"/>
          <w:lang w:val="es-ES" w:eastAsia="es-ES"/>
        </w:rPr>
      </w:pPr>
    </w:p>
    <w:p w14:paraId="61821585" w14:textId="77777777" w:rsidR="00F60415" w:rsidRPr="005F45A3" w:rsidRDefault="00F60415" w:rsidP="00AC7D32">
      <w:pPr>
        <w:spacing w:after="0" w:line="240" w:lineRule="auto"/>
        <w:rPr>
          <w:rFonts w:asciiTheme="minorHAnsi" w:eastAsia="Times New Roman" w:hAnsiTheme="minorHAnsi" w:cstheme="minorHAnsi"/>
          <w:sz w:val="14"/>
          <w:szCs w:val="14"/>
          <w:lang w:val="es-ES" w:eastAsia="es-ES"/>
        </w:rPr>
      </w:pPr>
    </w:p>
    <w:p w14:paraId="746951AC" w14:textId="33298FF7" w:rsidR="00A91EC6" w:rsidRPr="005F45A3" w:rsidRDefault="00A91EC6" w:rsidP="00AC7D32">
      <w:pPr>
        <w:spacing w:after="0" w:line="240" w:lineRule="auto"/>
        <w:rPr>
          <w:rFonts w:asciiTheme="minorHAnsi" w:eastAsia="Times New Roman" w:hAnsiTheme="minorHAnsi" w:cstheme="minorHAnsi"/>
          <w:sz w:val="14"/>
          <w:szCs w:val="14"/>
          <w:lang w:val="es-ES" w:eastAsia="es-ES"/>
        </w:rPr>
      </w:pPr>
    </w:p>
    <w:p w14:paraId="5B2CD3DE" w14:textId="1405720D" w:rsidR="006D40BE" w:rsidRPr="005F45A3" w:rsidRDefault="006D40BE" w:rsidP="00AC7D32">
      <w:pPr>
        <w:spacing w:after="0" w:line="240" w:lineRule="auto"/>
        <w:rPr>
          <w:rFonts w:asciiTheme="minorHAnsi" w:eastAsia="Times New Roman" w:hAnsiTheme="minorHAnsi" w:cstheme="minorHAnsi"/>
          <w:sz w:val="14"/>
          <w:szCs w:val="14"/>
          <w:lang w:val="es-ES" w:eastAsia="es-ES"/>
        </w:rPr>
      </w:pPr>
    </w:p>
    <w:p w14:paraId="67075AAC" w14:textId="2F2702AC" w:rsidR="00742AD7" w:rsidRPr="005F45A3" w:rsidRDefault="00742AD7" w:rsidP="00AC7D32">
      <w:pPr>
        <w:spacing w:after="0" w:line="240" w:lineRule="auto"/>
        <w:rPr>
          <w:rFonts w:asciiTheme="minorHAnsi" w:eastAsia="Times New Roman" w:hAnsiTheme="minorHAnsi" w:cstheme="minorHAnsi"/>
          <w:sz w:val="14"/>
          <w:szCs w:val="14"/>
          <w:lang w:val="es-ES" w:eastAsia="es-ES"/>
        </w:rPr>
      </w:pPr>
    </w:p>
    <w:p w14:paraId="31C78A63" w14:textId="5BBCDB32" w:rsidR="00742AD7" w:rsidRPr="005F45A3" w:rsidRDefault="00742AD7" w:rsidP="00AC7D32">
      <w:pPr>
        <w:spacing w:after="0" w:line="240" w:lineRule="auto"/>
        <w:rPr>
          <w:rFonts w:asciiTheme="minorHAnsi" w:eastAsia="Times New Roman" w:hAnsiTheme="minorHAnsi" w:cstheme="minorHAnsi"/>
          <w:sz w:val="14"/>
          <w:szCs w:val="14"/>
          <w:lang w:val="es-ES" w:eastAsia="es-ES"/>
        </w:rPr>
      </w:pPr>
    </w:p>
    <w:p w14:paraId="6AA535D2" w14:textId="1F94B93D" w:rsidR="00742AD7" w:rsidRPr="005F45A3" w:rsidRDefault="00742AD7" w:rsidP="00AC7D32">
      <w:pPr>
        <w:spacing w:after="0" w:line="240" w:lineRule="auto"/>
        <w:rPr>
          <w:rFonts w:asciiTheme="minorHAnsi" w:eastAsia="Times New Roman" w:hAnsiTheme="minorHAnsi" w:cstheme="minorHAnsi"/>
          <w:sz w:val="14"/>
          <w:szCs w:val="14"/>
          <w:lang w:val="es-ES" w:eastAsia="es-ES"/>
        </w:rPr>
      </w:pPr>
    </w:p>
    <w:p w14:paraId="4E3D5E81" w14:textId="186073DF" w:rsidR="00742AD7" w:rsidRPr="005F45A3" w:rsidRDefault="00742AD7" w:rsidP="00AC7D32">
      <w:pPr>
        <w:spacing w:after="0" w:line="240" w:lineRule="auto"/>
        <w:rPr>
          <w:rFonts w:asciiTheme="minorHAnsi" w:eastAsia="Times New Roman" w:hAnsiTheme="minorHAnsi" w:cstheme="minorHAnsi"/>
          <w:sz w:val="14"/>
          <w:szCs w:val="14"/>
          <w:lang w:val="es-ES" w:eastAsia="es-ES"/>
        </w:rPr>
      </w:pPr>
    </w:p>
    <w:p w14:paraId="7BEC2077" w14:textId="3B1FECEE" w:rsidR="006D40BE" w:rsidRPr="005F45A3" w:rsidRDefault="006D40BE" w:rsidP="00AC7D32">
      <w:pPr>
        <w:spacing w:after="0" w:line="240" w:lineRule="auto"/>
        <w:rPr>
          <w:rFonts w:asciiTheme="minorHAnsi" w:eastAsia="Times New Roman" w:hAnsiTheme="minorHAnsi" w:cstheme="minorHAnsi"/>
          <w:sz w:val="14"/>
          <w:szCs w:val="14"/>
          <w:lang w:val="es-ES" w:eastAsia="es-ES"/>
        </w:rPr>
      </w:pPr>
    </w:p>
    <w:p w14:paraId="076F2A66" w14:textId="77777777" w:rsidR="00D30FA3" w:rsidRPr="005F45A3" w:rsidRDefault="00D30FA3" w:rsidP="00AC7D32">
      <w:pPr>
        <w:spacing w:after="0" w:line="240" w:lineRule="auto"/>
        <w:rPr>
          <w:rFonts w:asciiTheme="minorHAnsi" w:eastAsia="Times New Roman" w:hAnsiTheme="minorHAnsi" w:cstheme="minorHAnsi"/>
          <w:sz w:val="14"/>
          <w:szCs w:val="14"/>
          <w:lang w:val="es-ES" w:eastAsia="es-ES"/>
        </w:rPr>
      </w:pPr>
    </w:p>
    <w:p w14:paraId="4EBA48B8" w14:textId="77777777" w:rsidR="00D30FA3" w:rsidRPr="005F45A3" w:rsidRDefault="00D30FA3" w:rsidP="00AC7D32">
      <w:pPr>
        <w:spacing w:after="0" w:line="240" w:lineRule="auto"/>
        <w:rPr>
          <w:rFonts w:asciiTheme="minorHAnsi" w:eastAsia="Times New Roman" w:hAnsiTheme="minorHAnsi" w:cstheme="minorHAnsi"/>
          <w:sz w:val="14"/>
          <w:szCs w:val="14"/>
          <w:lang w:val="es-ES" w:eastAsia="es-ES"/>
        </w:rPr>
      </w:pPr>
    </w:p>
    <w:p w14:paraId="5B84A77D" w14:textId="77777777" w:rsidR="00D30FA3" w:rsidRPr="005F45A3" w:rsidRDefault="00D30FA3" w:rsidP="00AC7D32">
      <w:pPr>
        <w:spacing w:after="0" w:line="240" w:lineRule="auto"/>
        <w:rPr>
          <w:rFonts w:asciiTheme="minorHAnsi" w:eastAsia="Times New Roman" w:hAnsiTheme="minorHAnsi" w:cstheme="minorHAnsi"/>
          <w:sz w:val="14"/>
          <w:szCs w:val="14"/>
          <w:lang w:val="es-ES" w:eastAsia="es-ES"/>
        </w:rPr>
      </w:pPr>
    </w:p>
    <w:p w14:paraId="6E7FB888" w14:textId="43E8A046" w:rsidR="00A91EC6" w:rsidRPr="005F45A3" w:rsidRDefault="00A91EC6" w:rsidP="00A70C47">
      <w:pPr>
        <w:spacing w:after="0" w:line="240" w:lineRule="auto"/>
        <w:jc w:val="center"/>
        <w:rPr>
          <w:rFonts w:asciiTheme="minorHAnsi" w:eastAsia="Times New Roman" w:hAnsiTheme="minorHAnsi" w:cstheme="minorHAnsi"/>
          <w:sz w:val="14"/>
          <w:szCs w:val="14"/>
          <w:lang w:val="es-ES" w:eastAsia="es-ES"/>
        </w:rPr>
      </w:pPr>
    </w:p>
    <w:p w14:paraId="34D7241B" w14:textId="05526DEE" w:rsidR="002136C1" w:rsidRPr="005F45A3" w:rsidRDefault="002136C1" w:rsidP="00D30FA3">
      <w:pPr>
        <w:spacing w:after="0" w:line="240" w:lineRule="auto"/>
        <w:jc w:val="center"/>
        <w:rPr>
          <w:rFonts w:asciiTheme="minorHAnsi" w:eastAsia="Times New Roman" w:hAnsiTheme="minorHAnsi" w:cstheme="minorHAnsi"/>
          <w:b/>
          <w:szCs w:val="14"/>
          <w:lang w:val="es-ES" w:eastAsia="es-ES"/>
        </w:rPr>
      </w:pPr>
    </w:p>
    <w:p w14:paraId="465005D9" w14:textId="1F038FC9"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66AFDC92" w14:textId="30DE9C98"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672A4D5B" w14:textId="21B0A6F5"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1101BD34" w14:textId="7F194DE0"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08CD857C" w14:textId="591E2067"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73CDE4C2" w14:textId="0B7CE125"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50D5F6D2" w14:textId="22B40629"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6F5D2790" w14:textId="227D811D"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43CEF05B" w14:textId="77856EE5"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54FC3915" w14:textId="6217E606" w:rsidR="000D5252" w:rsidRPr="005F45A3" w:rsidRDefault="000D5252" w:rsidP="00D30FA3">
      <w:pPr>
        <w:spacing w:after="0" w:line="240" w:lineRule="auto"/>
        <w:jc w:val="center"/>
        <w:rPr>
          <w:rFonts w:asciiTheme="minorHAnsi" w:eastAsia="Times New Roman" w:hAnsiTheme="minorHAnsi" w:cstheme="minorHAnsi"/>
          <w:b/>
          <w:szCs w:val="14"/>
          <w:lang w:val="es-ES" w:eastAsia="es-ES"/>
        </w:rPr>
      </w:pPr>
    </w:p>
    <w:p w14:paraId="3C90EC76" w14:textId="77777777" w:rsidR="00D30FA3" w:rsidRPr="005F45A3" w:rsidRDefault="00D30FA3" w:rsidP="00D30FA3">
      <w:pPr>
        <w:spacing w:after="0" w:line="240" w:lineRule="auto"/>
        <w:jc w:val="center"/>
        <w:rPr>
          <w:rFonts w:asciiTheme="minorHAnsi" w:eastAsia="Times New Roman" w:hAnsiTheme="minorHAnsi" w:cstheme="minorHAnsi"/>
          <w:b/>
          <w:szCs w:val="14"/>
          <w:lang w:val="es-ES" w:eastAsia="es-ES"/>
        </w:rPr>
      </w:pPr>
      <w:r w:rsidRPr="005F45A3">
        <w:rPr>
          <w:rFonts w:asciiTheme="minorHAnsi" w:eastAsia="Times New Roman" w:hAnsiTheme="minorHAnsi" w:cstheme="minorHAnsi"/>
          <w:b/>
          <w:szCs w:val="14"/>
          <w:lang w:val="es-ES" w:eastAsia="es-ES"/>
        </w:rPr>
        <w:t>NOTAS A LOS ESTADOS FINANCIEROS</w:t>
      </w:r>
    </w:p>
    <w:p w14:paraId="1ECC3DBD" w14:textId="77777777" w:rsidR="00643961" w:rsidRPr="005F45A3" w:rsidRDefault="00643961" w:rsidP="00D30FA3">
      <w:pPr>
        <w:spacing w:after="0" w:line="240" w:lineRule="auto"/>
        <w:jc w:val="center"/>
        <w:rPr>
          <w:rFonts w:asciiTheme="minorHAnsi" w:eastAsia="Times New Roman" w:hAnsiTheme="minorHAnsi" w:cstheme="minorHAnsi"/>
          <w:b/>
          <w:szCs w:val="14"/>
          <w:lang w:val="es-ES" w:eastAsia="es-ES"/>
        </w:rPr>
      </w:pPr>
    </w:p>
    <w:p w14:paraId="1C695175" w14:textId="77777777" w:rsidR="00D30FA3" w:rsidRPr="005F45A3" w:rsidRDefault="00D30FA3" w:rsidP="00E96120">
      <w:pPr>
        <w:pStyle w:val="Prrafodelista"/>
        <w:numPr>
          <w:ilvl w:val="0"/>
          <w:numId w:val="20"/>
        </w:numPr>
        <w:ind w:left="284" w:hanging="284"/>
        <w:jc w:val="center"/>
        <w:rPr>
          <w:rFonts w:asciiTheme="minorHAnsi" w:eastAsia="Times New Roman" w:hAnsiTheme="minorHAnsi" w:cstheme="minorHAnsi"/>
          <w:b/>
          <w:szCs w:val="18"/>
          <w:lang w:eastAsia="es-ES"/>
        </w:rPr>
      </w:pPr>
      <w:r w:rsidRPr="005F45A3">
        <w:rPr>
          <w:rFonts w:asciiTheme="minorHAnsi" w:eastAsia="Times New Roman" w:hAnsiTheme="minorHAnsi" w:cstheme="minorHAnsi"/>
          <w:b/>
          <w:szCs w:val="18"/>
          <w:lang w:eastAsia="es-ES"/>
        </w:rPr>
        <w:t>Notas de Memoria (Cuentas de Orden)</w:t>
      </w:r>
    </w:p>
    <w:p w14:paraId="0F66A829" w14:textId="77777777" w:rsidR="00D30FA3" w:rsidRPr="005F45A3" w:rsidRDefault="00D30FA3" w:rsidP="00D30FA3">
      <w:pPr>
        <w:pStyle w:val="Texto"/>
        <w:spacing w:after="0" w:line="240" w:lineRule="exact"/>
        <w:ind w:firstLine="0"/>
        <w:rPr>
          <w:rFonts w:asciiTheme="minorHAnsi" w:hAnsiTheme="minorHAnsi" w:cstheme="minorHAnsi"/>
          <w:szCs w:val="18"/>
          <w:lang w:val="es-MX"/>
        </w:rPr>
      </w:pPr>
      <w:r w:rsidRPr="005F45A3">
        <w:rPr>
          <w:rFonts w:asciiTheme="minorHAnsi" w:hAnsiTheme="minorHAnsi" w:cstheme="minorHAnsi"/>
        </w:rPr>
        <w:t xml:space="preserve">Las Cuentas de Orden se utilizan </w:t>
      </w:r>
      <w:r w:rsidRPr="005F45A3">
        <w:rPr>
          <w:rFonts w:asciiTheme="minorHAnsi" w:hAnsiTheme="minorHAnsi" w:cstheme="minorHAnsi"/>
          <w:szCs w:val="18"/>
          <w:lang w:val="es-MX"/>
        </w:rPr>
        <w:t>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04DD847" w14:textId="77777777" w:rsidR="00D30FA3" w:rsidRPr="005F45A3" w:rsidRDefault="00D30FA3" w:rsidP="00D30FA3">
      <w:pPr>
        <w:pStyle w:val="Texto"/>
        <w:spacing w:after="0" w:line="240" w:lineRule="exact"/>
        <w:ind w:firstLine="0"/>
        <w:rPr>
          <w:rFonts w:asciiTheme="minorHAnsi" w:hAnsiTheme="minorHAnsi" w:cstheme="minorHAnsi"/>
          <w:szCs w:val="18"/>
          <w:lang w:val="es-MX"/>
        </w:rPr>
      </w:pPr>
    </w:p>
    <w:p w14:paraId="756EFC26" w14:textId="77777777" w:rsidR="00D30FA3" w:rsidRPr="005F45A3" w:rsidRDefault="00D30FA3" w:rsidP="006D5D62">
      <w:pPr>
        <w:spacing w:after="0"/>
        <w:rPr>
          <w:rFonts w:asciiTheme="minorHAnsi" w:hAnsiTheme="minorHAnsi" w:cstheme="minorHAnsi"/>
          <w:sz w:val="18"/>
          <w:szCs w:val="18"/>
        </w:rPr>
      </w:pPr>
      <w:r w:rsidRPr="005F45A3">
        <w:rPr>
          <w:rFonts w:asciiTheme="minorHAnsi" w:hAnsiTheme="minorHAnsi" w:cstheme="minorHAnsi"/>
          <w:sz w:val="18"/>
          <w:szCs w:val="18"/>
        </w:rPr>
        <w:t>Las cuentas que se manejan para efectos de este documento son las siguientes:</w:t>
      </w:r>
    </w:p>
    <w:p w14:paraId="3DCC2E6C" w14:textId="77777777" w:rsidR="006D5D62" w:rsidRPr="005F45A3" w:rsidRDefault="006D5D62" w:rsidP="006D5D62">
      <w:pPr>
        <w:spacing w:after="0"/>
        <w:rPr>
          <w:rFonts w:asciiTheme="minorHAnsi" w:hAnsiTheme="minorHAnsi" w:cstheme="minorHAnsi"/>
          <w:sz w:val="18"/>
          <w:szCs w:val="18"/>
        </w:rPr>
      </w:pPr>
    </w:p>
    <w:p w14:paraId="5D1DBF5F" w14:textId="77777777" w:rsidR="00D30FA3" w:rsidRPr="005F45A3" w:rsidRDefault="00D30FA3" w:rsidP="006D5D62">
      <w:pPr>
        <w:spacing w:after="0"/>
        <w:rPr>
          <w:rFonts w:asciiTheme="minorHAnsi" w:hAnsiTheme="minorHAnsi" w:cstheme="minorHAnsi"/>
          <w:b/>
          <w:sz w:val="20"/>
          <w:szCs w:val="18"/>
        </w:rPr>
      </w:pPr>
      <w:r w:rsidRPr="005F45A3">
        <w:rPr>
          <w:rFonts w:asciiTheme="minorHAnsi" w:hAnsiTheme="minorHAnsi" w:cstheme="minorHAnsi"/>
          <w:b/>
          <w:sz w:val="20"/>
          <w:szCs w:val="18"/>
        </w:rPr>
        <w:t>Cuentas de Orden Contables y Presupu</w:t>
      </w:r>
      <w:r w:rsidR="004F5A6E" w:rsidRPr="005F45A3">
        <w:rPr>
          <w:rFonts w:asciiTheme="minorHAnsi" w:hAnsiTheme="minorHAnsi" w:cstheme="minorHAnsi"/>
          <w:b/>
          <w:sz w:val="20"/>
          <w:szCs w:val="18"/>
        </w:rPr>
        <w:t>estarias</w:t>
      </w:r>
    </w:p>
    <w:p w14:paraId="59438D0E" w14:textId="77777777" w:rsidR="006D5D62" w:rsidRPr="005F45A3" w:rsidRDefault="006D5D62" w:rsidP="006D5D62">
      <w:pPr>
        <w:spacing w:after="0"/>
        <w:rPr>
          <w:rFonts w:asciiTheme="minorHAnsi" w:hAnsiTheme="minorHAnsi" w:cstheme="minorHAnsi"/>
          <w:b/>
          <w:sz w:val="20"/>
          <w:szCs w:val="18"/>
        </w:rPr>
      </w:pPr>
    </w:p>
    <w:tbl>
      <w:tblPr>
        <w:tblW w:w="6516" w:type="dxa"/>
        <w:tblCellMar>
          <w:left w:w="70" w:type="dxa"/>
          <w:right w:w="70" w:type="dxa"/>
        </w:tblCellMar>
        <w:tblLook w:val="04A0" w:firstRow="1" w:lastRow="0" w:firstColumn="1" w:lastColumn="0" w:noHBand="0" w:noVBand="1"/>
      </w:tblPr>
      <w:tblGrid>
        <w:gridCol w:w="4531"/>
        <w:gridCol w:w="1985"/>
      </w:tblGrid>
      <w:tr w:rsidR="00BB51AD" w:rsidRPr="00BB51AD" w14:paraId="6CD9883B" w14:textId="77777777" w:rsidTr="00E1039C">
        <w:trPr>
          <w:trHeight w:val="300"/>
        </w:trPr>
        <w:tc>
          <w:tcPr>
            <w:tcW w:w="4531"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BE6E632"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Cuentas de Orden Contable</w:t>
            </w:r>
          </w:p>
        </w:tc>
        <w:tc>
          <w:tcPr>
            <w:tcW w:w="1985" w:type="dxa"/>
            <w:tcBorders>
              <w:top w:val="single" w:sz="4" w:space="0" w:color="auto"/>
              <w:left w:val="nil"/>
              <w:bottom w:val="single" w:sz="4" w:space="0" w:color="auto"/>
              <w:right w:val="single" w:sz="4" w:space="0" w:color="auto"/>
            </w:tcBorders>
            <w:shd w:val="clear" w:color="000000" w:fill="AB0033"/>
            <w:vAlign w:val="center"/>
            <w:hideMark/>
          </w:tcPr>
          <w:p w14:paraId="0419CCFC"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Importes</w:t>
            </w:r>
          </w:p>
        </w:tc>
      </w:tr>
      <w:tr w:rsidR="00BB51AD" w:rsidRPr="00BB51AD" w14:paraId="3612DA7B" w14:textId="77777777" w:rsidTr="00E1039C">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C3179" w14:textId="77777777" w:rsidR="00BB51AD" w:rsidRPr="00BB51AD" w:rsidRDefault="00BB51AD" w:rsidP="00BB51AD">
            <w:pPr>
              <w:spacing w:after="0" w:line="240" w:lineRule="auto"/>
              <w:rPr>
                <w:rFonts w:eastAsia="Times New Roman" w:cs="Calibri"/>
                <w:b/>
                <w:bCs/>
                <w:color w:val="000000"/>
                <w:sz w:val="16"/>
                <w:szCs w:val="16"/>
                <w:lang w:eastAsia="es-MX"/>
              </w:rPr>
            </w:pPr>
            <w:r w:rsidRPr="00BB51AD">
              <w:rPr>
                <w:rFonts w:eastAsia="Times New Roman" w:cs="Calibri"/>
                <w:b/>
                <w:bCs/>
                <w:color w:val="000000"/>
                <w:sz w:val="16"/>
                <w:szCs w:val="16"/>
                <w:lang w:eastAsia="es-MX"/>
              </w:rPr>
              <w:t>Avales y Garantías</w:t>
            </w:r>
          </w:p>
        </w:tc>
      </w:tr>
      <w:tr w:rsidR="00BB51AD" w:rsidRPr="00BB51AD" w14:paraId="1A2EE155"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C546D57"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Avales Autorizados</w:t>
            </w:r>
          </w:p>
        </w:tc>
        <w:tc>
          <w:tcPr>
            <w:tcW w:w="1985" w:type="dxa"/>
            <w:tcBorders>
              <w:top w:val="nil"/>
              <w:left w:val="nil"/>
              <w:bottom w:val="single" w:sz="4" w:space="0" w:color="auto"/>
              <w:right w:val="single" w:sz="4" w:space="0" w:color="auto"/>
            </w:tcBorders>
            <w:shd w:val="clear" w:color="auto" w:fill="auto"/>
            <w:noWrap/>
            <w:vAlign w:val="bottom"/>
            <w:hideMark/>
          </w:tcPr>
          <w:p w14:paraId="1DF34F1E"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231,059,275</w:t>
            </w:r>
          </w:p>
        </w:tc>
      </w:tr>
      <w:tr w:rsidR="00BB51AD" w:rsidRPr="00BB51AD" w14:paraId="5851CB86"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3872C89"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Avales Firmados</w:t>
            </w:r>
          </w:p>
        </w:tc>
        <w:tc>
          <w:tcPr>
            <w:tcW w:w="1985" w:type="dxa"/>
            <w:tcBorders>
              <w:top w:val="nil"/>
              <w:left w:val="nil"/>
              <w:bottom w:val="single" w:sz="4" w:space="0" w:color="auto"/>
              <w:right w:val="single" w:sz="4" w:space="0" w:color="auto"/>
            </w:tcBorders>
            <w:shd w:val="clear" w:color="auto" w:fill="auto"/>
            <w:noWrap/>
            <w:vAlign w:val="bottom"/>
            <w:hideMark/>
          </w:tcPr>
          <w:p w14:paraId="43C42F27"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-231,059,275</w:t>
            </w:r>
          </w:p>
        </w:tc>
      </w:tr>
      <w:tr w:rsidR="00BB51AD" w:rsidRPr="00BB51AD" w14:paraId="0CE6B1EF" w14:textId="77777777" w:rsidTr="00E1039C">
        <w:trPr>
          <w:trHeight w:val="36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9C425" w14:textId="77777777" w:rsidR="00BB51AD" w:rsidRPr="00BB51AD" w:rsidRDefault="00BB51AD" w:rsidP="00BB51AD">
            <w:pPr>
              <w:spacing w:after="0" w:line="240" w:lineRule="auto"/>
              <w:rPr>
                <w:rFonts w:eastAsia="Times New Roman" w:cs="Calibri"/>
                <w:b/>
                <w:bCs/>
                <w:color w:val="000000"/>
                <w:sz w:val="16"/>
                <w:szCs w:val="16"/>
                <w:lang w:eastAsia="es-MX"/>
              </w:rPr>
            </w:pPr>
            <w:r w:rsidRPr="00BB51AD">
              <w:rPr>
                <w:rFonts w:eastAsia="Times New Roman" w:cs="Calibri"/>
                <w:b/>
                <w:bCs/>
                <w:color w:val="000000"/>
                <w:sz w:val="16"/>
                <w:szCs w:val="16"/>
                <w:lang w:eastAsia="es-MX"/>
              </w:rPr>
              <w:t xml:space="preserve">Inversión </w:t>
            </w:r>
            <w:proofErr w:type="spellStart"/>
            <w:r w:rsidRPr="00BB51AD">
              <w:rPr>
                <w:rFonts w:eastAsia="Times New Roman" w:cs="Calibri"/>
                <w:b/>
                <w:bCs/>
                <w:color w:val="000000"/>
                <w:sz w:val="16"/>
                <w:szCs w:val="16"/>
                <w:lang w:eastAsia="es-MX"/>
              </w:rPr>
              <w:t>Med</w:t>
            </w:r>
            <w:proofErr w:type="spellEnd"/>
            <w:r w:rsidRPr="00BB51AD">
              <w:rPr>
                <w:rFonts w:eastAsia="Times New Roman" w:cs="Calibri"/>
                <w:b/>
                <w:bCs/>
                <w:color w:val="000000"/>
                <w:sz w:val="16"/>
                <w:szCs w:val="16"/>
                <w:lang w:eastAsia="es-MX"/>
              </w:rPr>
              <w:t>. Proyectos para Prest. De Servicios</w:t>
            </w:r>
          </w:p>
        </w:tc>
      </w:tr>
      <w:tr w:rsidR="00BB51AD" w:rsidRPr="00BB51AD" w14:paraId="31D98CB8" w14:textId="77777777" w:rsidTr="00E1039C">
        <w:trPr>
          <w:trHeight w:val="27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944E649"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Contrato APP Tres Diez, S.A. de C.V. ( Inversión y Servicios)</w:t>
            </w:r>
          </w:p>
        </w:tc>
        <w:tc>
          <w:tcPr>
            <w:tcW w:w="1985" w:type="dxa"/>
            <w:tcBorders>
              <w:top w:val="nil"/>
              <w:left w:val="nil"/>
              <w:bottom w:val="single" w:sz="4" w:space="0" w:color="auto"/>
              <w:right w:val="single" w:sz="4" w:space="0" w:color="auto"/>
            </w:tcBorders>
            <w:shd w:val="clear" w:color="auto" w:fill="auto"/>
            <w:vAlign w:val="center"/>
            <w:hideMark/>
          </w:tcPr>
          <w:p w14:paraId="3343246F"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1,838,180,336</w:t>
            </w:r>
          </w:p>
        </w:tc>
      </w:tr>
      <w:tr w:rsidR="00BB51AD" w:rsidRPr="00BB51AD" w14:paraId="7AF57318" w14:textId="77777777" w:rsidTr="00E1039C">
        <w:trPr>
          <w:trHeight w:val="27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1F832E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Contrato APP Tres Diez, S.A. de C.V. ( Inversión y Servicios)</w:t>
            </w:r>
          </w:p>
        </w:tc>
        <w:tc>
          <w:tcPr>
            <w:tcW w:w="1985" w:type="dxa"/>
            <w:tcBorders>
              <w:top w:val="nil"/>
              <w:left w:val="nil"/>
              <w:bottom w:val="single" w:sz="4" w:space="0" w:color="auto"/>
              <w:right w:val="single" w:sz="4" w:space="0" w:color="auto"/>
            </w:tcBorders>
            <w:shd w:val="clear" w:color="auto" w:fill="auto"/>
            <w:vAlign w:val="center"/>
            <w:hideMark/>
          </w:tcPr>
          <w:p w14:paraId="29C4B8E2"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-1,838,180,336</w:t>
            </w:r>
          </w:p>
        </w:tc>
      </w:tr>
      <w:tr w:rsidR="00BB51AD" w:rsidRPr="00BB51AD" w14:paraId="4DBCB1AD" w14:textId="77777777" w:rsidTr="00E1039C">
        <w:trPr>
          <w:trHeight w:val="27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54D4B04"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Contratos para Inversión </w:t>
            </w:r>
            <w:proofErr w:type="spellStart"/>
            <w:r w:rsidRPr="00BB51AD">
              <w:rPr>
                <w:rFonts w:eastAsia="Times New Roman" w:cs="Calibri"/>
                <w:color w:val="000000"/>
                <w:sz w:val="14"/>
                <w:szCs w:val="14"/>
                <w:lang w:eastAsia="es-MX"/>
              </w:rPr>
              <w:t>Med</w:t>
            </w:r>
            <w:proofErr w:type="spellEnd"/>
            <w:r w:rsidRPr="00BB51AD">
              <w:rPr>
                <w:rFonts w:eastAsia="Times New Roman" w:cs="Calibri"/>
                <w:color w:val="000000"/>
                <w:sz w:val="14"/>
                <w:szCs w:val="14"/>
                <w:lang w:eastAsia="es-MX"/>
              </w:rPr>
              <w:t xml:space="preserve">. </w:t>
            </w:r>
            <w:proofErr w:type="spellStart"/>
            <w:r w:rsidRPr="00BB51AD">
              <w:rPr>
                <w:rFonts w:eastAsia="Times New Roman" w:cs="Calibri"/>
                <w:color w:val="000000"/>
                <w:sz w:val="14"/>
                <w:szCs w:val="14"/>
                <w:lang w:eastAsia="es-MX"/>
              </w:rPr>
              <w:t>Proy</w:t>
            </w:r>
            <w:proofErr w:type="spellEnd"/>
            <w:r w:rsidRPr="00BB51AD">
              <w:rPr>
                <w:rFonts w:eastAsia="Times New Roman" w:cs="Calibri"/>
                <w:color w:val="000000"/>
                <w:sz w:val="14"/>
                <w:szCs w:val="14"/>
                <w:lang w:eastAsia="es-MX"/>
              </w:rPr>
              <w:t>. para Prest Servicios</w:t>
            </w:r>
          </w:p>
        </w:tc>
        <w:tc>
          <w:tcPr>
            <w:tcW w:w="1985" w:type="dxa"/>
            <w:tcBorders>
              <w:top w:val="nil"/>
              <w:left w:val="nil"/>
              <w:bottom w:val="single" w:sz="4" w:space="0" w:color="auto"/>
              <w:right w:val="single" w:sz="4" w:space="0" w:color="auto"/>
            </w:tcBorders>
            <w:shd w:val="clear" w:color="auto" w:fill="auto"/>
            <w:vAlign w:val="center"/>
            <w:hideMark/>
          </w:tcPr>
          <w:p w14:paraId="7143B67C"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759,315,432</w:t>
            </w:r>
          </w:p>
        </w:tc>
      </w:tr>
      <w:tr w:rsidR="00BB51AD" w:rsidRPr="00BB51AD" w14:paraId="1BF0FB60" w14:textId="77777777" w:rsidTr="00E1039C">
        <w:trPr>
          <w:trHeight w:val="27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AF912C9"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Inversión Pública Contratada </w:t>
            </w:r>
            <w:proofErr w:type="spellStart"/>
            <w:r w:rsidRPr="00BB51AD">
              <w:rPr>
                <w:rFonts w:eastAsia="Times New Roman" w:cs="Calibri"/>
                <w:color w:val="000000"/>
                <w:sz w:val="14"/>
                <w:szCs w:val="14"/>
                <w:lang w:eastAsia="es-MX"/>
              </w:rPr>
              <w:t>Med</w:t>
            </w:r>
            <w:proofErr w:type="spellEnd"/>
            <w:r w:rsidRPr="00BB51AD">
              <w:rPr>
                <w:rFonts w:eastAsia="Times New Roman" w:cs="Calibri"/>
                <w:color w:val="000000"/>
                <w:sz w:val="14"/>
                <w:szCs w:val="14"/>
                <w:lang w:eastAsia="es-MX"/>
              </w:rPr>
              <w:t xml:space="preserve">. </w:t>
            </w:r>
            <w:proofErr w:type="spellStart"/>
            <w:r w:rsidRPr="00BB51AD">
              <w:rPr>
                <w:rFonts w:eastAsia="Times New Roman" w:cs="Calibri"/>
                <w:color w:val="000000"/>
                <w:sz w:val="14"/>
                <w:szCs w:val="14"/>
                <w:lang w:eastAsia="es-MX"/>
              </w:rPr>
              <w:t>Proy</w:t>
            </w:r>
            <w:proofErr w:type="spellEnd"/>
            <w:r w:rsidRPr="00BB51AD">
              <w:rPr>
                <w:rFonts w:eastAsia="Times New Roman" w:cs="Calibri"/>
                <w:color w:val="000000"/>
                <w:sz w:val="14"/>
                <w:szCs w:val="14"/>
                <w:lang w:eastAsia="es-MX"/>
              </w:rPr>
              <w:t xml:space="preserve"> de Prest. Servicios</w:t>
            </w:r>
          </w:p>
        </w:tc>
        <w:tc>
          <w:tcPr>
            <w:tcW w:w="1985" w:type="dxa"/>
            <w:tcBorders>
              <w:top w:val="nil"/>
              <w:left w:val="nil"/>
              <w:bottom w:val="single" w:sz="4" w:space="0" w:color="auto"/>
              <w:right w:val="single" w:sz="4" w:space="0" w:color="auto"/>
            </w:tcBorders>
            <w:shd w:val="clear" w:color="auto" w:fill="auto"/>
            <w:vAlign w:val="center"/>
            <w:hideMark/>
          </w:tcPr>
          <w:p w14:paraId="20529A2A"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-759,315,432</w:t>
            </w:r>
          </w:p>
        </w:tc>
      </w:tr>
      <w:tr w:rsidR="00BB51AD" w:rsidRPr="00BB51AD" w14:paraId="2D3D4C11" w14:textId="77777777" w:rsidTr="00E1039C">
        <w:trPr>
          <w:trHeight w:val="27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6E85B9C"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Contrato de APP Autopista Mante-Tula S.A. de C.V.</w:t>
            </w:r>
          </w:p>
        </w:tc>
        <w:tc>
          <w:tcPr>
            <w:tcW w:w="1985" w:type="dxa"/>
            <w:tcBorders>
              <w:top w:val="nil"/>
              <w:left w:val="nil"/>
              <w:bottom w:val="single" w:sz="4" w:space="0" w:color="auto"/>
              <w:right w:val="single" w:sz="4" w:space="0" w:color="auto"/>
            </w:tcBorders>
            <w:shd w:val="clear" w:color="auto" w:fill="auto"/>
            <w:vAlign w:val="center"/>
            <w:hideMark/>
          </w:tcPr>
          <w:p w14:paraId="1B0F18F6"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6,300,000,000</w:t>
            </w:r>
          </w:p>
        </w:tc>
      </w:tr>
      <w:tr w:rsidR="00BB51AD" w:rsidRPr="00BB51AD" w14:paraId="5121E08A" w14:textId="77777777" w:rsidTr="00E1039C">
        <w:trPr>
          <w:trHeight w:val="27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39BF295"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Contrato de APP Autopista Mante-Tula S.A. de C.V.</w:t>
            </w:r>
          </w:p>
        </w:tc>
        <w:tc>
          <w:tcPr>
            <w:tcW w:w="1985" w:type="dxa"/>
            <w:tcBorders>
              <w:top w:val="nil"/>
              <w:left w:val="nil"/>
              <w:bottom w:val="single" w:sz="4" w:space="0" w:color="auto"/>
              <w:right w:val="single" w:sz="4" w:space="0" w:color="auto"/>
            </w:tcBorders>
            <w:shd w:val="clear" w:color="auto" w:fill="auto"/>
            <w:vAlign w:val="center"/>
            <w:hideMark/>
          </w:tcPr>
          <w:p w14:paraId="30B5FFC4"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-6,300,000,000</w:t>
            </w:r>
          </w:p>
        </w:tc>
      </w:tr>
      <w:tr w:rsidR="00BB51AD" w:rsidRPr="00BB51AD" w14:paraId="06B2EBFC"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BAFDBE9"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14:paraId="449441F3"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29BE6D94" w14:textId="77777777" w:rsidTr="00E1039C">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3DAD2" w14:textId="77777777" w:rsidR="00BB51AD" w:rsidRPr="00BB51AD" w:rsidRDefault="00BB51AD" w:rsidP="00BB51AD">
            <w:pPr>
              <w:spacing w:after="0" w:line="240" w:lineRule="auto"/>
              <w:rPr>
                <w:rFonts w:eastAsia="Times New Roman" w:cs="Calibri"/>
                <w:b/>
                <w:bCs/>
                <w:color w:val="000000"/>
                <w:sz w:val="16"/>
                <w:szCs w:val="16"/>
                <w:lang w:eastAsia="es-MX"/>
              </w:rPr>
            </w:pPr>
            <w:r w:rsidRPr="00BB51AD">
              <w:rPr>
                <w:rFonts w:eastAsia="Times New Roman" w:cs="Calibri"/>
                <w:b/>
                <w:bCs/>
                <w:color w:val="000000"/>
                <w:sz w:val="16"/>
                <w:szCs w:val="16"/>
                <w:lang w:eastAsia="es-MX"/>
              </w:rPr>
              <w:t>Bienes en Concesión o en Comodato</w:t>
            </w:r>
          </w:p>
        </w:tc>
      </w:tr>
      <w:tr w:rsidR="00BB51AD" w:rsidRPr="00BB51AD" w14:paraId="10984B37"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97E7E97"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Bienes bajo Contrato en Comodato</w:t>
            </w:r>
          </w:p>
        </w:tc>
        <w:tc>
          <w:tcPr>
            <w:tcW w:w="1985" w:type="dxa"/>
            <w:tcBorders>
              <w:top w:val="nil"/>
              <w:left w:val="nil"/>
              <w:bottom w:val="single" w:sz="4" w:space="0" w:color="auto"/>
              <w:right w:val="single" w:sz="4" w:space="0" w:color="auto"/>
            </w:tcBorders>
            <w:shd w:val="clear" w:color="auto" w:fill="auto"/>
            <w:vAlign w:val="center"/>
            <w:hideMark/>
          </w:tcPr>
          <w:p w14:paraId="54CB26B2"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20,885,622</w:t>
            </w:r>
          </w:p>
        </w:tc>
      </w:tr>
      <w:tr w:rsidR="00BB51AD" w:rsidRPr="00BB51AD" w14:paraId="4487D0FA"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D8A3A9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Contrato de Comodato por Bienes</w:t>
            </w:r>
          </w:p>
        </w:tc>
        <w:tc>
          <w:tcPr>
            <w:tcW w:w="1985" w:type="dxa"/>
            <w:tcBorders>
              <w:top w:val="nil"/>
              <w:left w:val="nil"/>
              <w:bottom w:val="single" w:sz="4" w:space="0" w:color="auto"/>
              <w:right w:val="single" w:sz="4" w:space="0" w:color="auto"/>
            </w:tcBorders>
            <w:shd w:val="clear" w:color="auto" w:fill="auto"/>
            <w:vAlign w:val="center"/>
            <w:hideMark/>
          </w:tcPr>
          <w:p w14:paraId="7AF5D8B7"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-20,885,622</w:t>
            </w:r>
          </w:p>
        </w:tc>
      </w:tr>
      <w:tr w:rsidR="00BB51AD" w:rsidRPr="00BB51AD" w14:paraId="37968408" w14:textId="77777777" w:rsidTr="00E1039C">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68E143" w14:textId="77777777" w:rsidR="00BB51AD" w:rsidRPr="00BB51AD" w:rsidRDefault="00BB51AD" w:rsidP="00BB51AD">
            <w:pPr>
              <w:spacing w:after="0" w:line="240" w:lineRule="auto"/>
              <w:rPr>
                <w:rFonts w:eastAsia="Times New Roman" w:cs="Calibri"/>
                <w:b/>
                <w:bCs/>
                <w:color w:val="000000"/>
                <w:sz w:val="16"/>
                <w:szCs w:val="16"/>
                <w:lang w:eastAsia="es-MX"/>
              </w:rPr>
            </w:pPr>
            <w:r w:rsidRPr="00BB51AD">
              <w:rPr>
                <w:rFonts w:eastAsia="Times New Roman" w:cs="Calibri"/>
                <w:b/>
                <w:bCs/>
                <w:color w:val="000000"/>
                <w:sz w:val="16"/>
                <w:szCs w:val="16"/>
                <w:lang w:eastAsia="es-MX"/>
              </w:rPr>
              <w:t>Bienes arqueológicos, artísticos e históricos en custodia</w:t>
            </w:r>
          </w:p>
        </w:tc>
      </w:tr>
      <w:tr w:rsidR="00BB51AD" w:rsidRPr="00BB51AD" w14:paraId="17FE72A0"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45405B1"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Bienes Artísticos en Custodia</w:t>
            </w:r>
          </w:p>
        </w:tc>
        <w:tc>
          <w:tcPr>
            <w:tcW w:w="1985" w:type="dxa"/>
            <w:tcBorders>
              <w:top w:val="nil"/>
              <w:left w:val="nil"/>
              <w:bottom w:val="single" w:sz="4" w:space="0" w:color="auto"/>
              <w:right w:val="single" w:sz="4" w:space="0" w:color="auto"/>
            </w:tcBorders>
            <w:shd w:val="clear" w:color="auto" w:fill="auto"/>
            <w:vAlign w:val="center"/>
            <w:hideMark/>
          </w:tcPr>
          <w:p w14:paraId="466B2886"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402,500</w:t>
            </w:r>
          </w:p>
        </w:tc>
      </w:tr>
      <w:tr w:rsidR="00BB51AD" w:rsidRPr="00BB51AD" w14:paraId="5ADC29A7"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78024B7"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Custodia de Bienes Artísticos</w:t>
            </w:r>
          </w:p>
        </w:tc>
        <w:tc>
          <w:tcPr>
            <w:tcW w:w="1985" w:type="dxa"/>
            <w:tcBorders>
              <w:top w:val="nil"/>
              <w:left w:val="nil"/>
              <w:bottom w:val="single" w:sz="4" w:space="0" w:color="auto"/>
              <w:right w:val="single" w:sz="4" w:space="0" w:color="auto"/>
            </w:tcBorders>
            <w:shd w:val="clear" w:color="auto" w:fill="auto"/>
            <w:vAlign w:val="center"/>
            <w:hideMark/>
          </w:tcPr>
          <w:p w14:paraId="2A0D49FD"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-402,500</w:t>
            </w:r>
          </w:p>
        </w:tc>
      </w:tr>
      <w:tr w:rsidR="00BB51AD" w:rsidRPr="00BB51AD" w14:paraId="1199C300" w14:textId="77777777" w:rsidTr="00E1039C">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6D517" w14:textId="77777777" w:rsidR="00BB51AD" w:rsidRPr="00BB51AD" w:rsidRDefault="00BB51AD" w:rsidP="00BB51AD">
            <w:pPr>
              <w:spacing w:after="0" w:line="240" w:lineRule="auto"/>
              <w:rPr>
                <w:rFonts w:eastAsia="Times New Roman" w:cs="Calibri"/>
                <w:b/>
                <w:bCs/>
                <w:color w:val="000000"/>
                <w:sz w:val="16"/>
                <w:szCs w:val="16"/>
                <w:lang w:eastAsia="es-MX"/>
              </w:rPr>
            </w:pPr>
            <w:r w:rsidRPr="00BB51AD">
              <w:rPr>
                <w:rFonts w:eastAsia="Times New Roman" w:cs="Calibri"/>
                <w:b/>
                <w:bCs/>
                <w:color w:val="000000"/>
                <w:sz w:val="16"/>
                <w:szCs w:val="16"/>
                <w:lang w:eastAsia="es-MX"/>
              </w:rPr>
              <w:t>Bienes arqueológicos, artísticos e históricos en custodia</w:t>
            </w:r>
          </w:p>
        </w:tc>
      </w:tr>
      <w:tr w:rsidR="00BB51AD" w:rsidRPr="00BB51AD" w14:paraId="1571D896"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2DAA334"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Bienes Históricos en Custodia</w:t>
            </w:r>
          </w:p>
        </w:tc>
        <w:tc>
          <w:tcPr>
            <w:tcW w:w="1985" w:type="dxa"/>
            <w:tcBorders>
              <w:top w:val="nil"/>
              <w:left w:val="nil"/>
              <w:bottom w:val="single" w:sz="4" w:space="0" w:color="auto"/>
              <w:right w:val="single" w:sz="4" w:space="0" w:color="auto"/>
            </w:tcBorders>
            <w:shd w:val="clear" w:color="auto" w:fill="auto"/>
            <w:vAlign w:val="center"/>
            <w:hideMark/>
          </w:tcPr>
          <w:p w14:paraId="28B3D151"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5,097,000</w:t>
            </w:r>
          </w:p>
        </w:tc>
      </w:tr>
      <w:tr w:rsidR="00BB51AD" w:rsidRPr="00BB51AD" w14:paraId="7C1DFF12" w14:textId="77777777" w:rsidTr="00E1039C">
        <w:trPr>
          <w:trHeight w:val="29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B8EA2E5"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      Custodia de Bienes Históricos</w:t>
            </w:r>
          </w:p>
        </w:tc>
        <w:tc>
          <w:tcPr>
            <w:tcW w:w="1985" w:type="dxa"/>
            <w:tcBorders>
              <w:top w:val="nil"/>
              <w:left w:val="nil"/>
              <w:bottom w:val="single" w:sz="4" w:space="0" w:color="auto"/>
              <w:right w:val="single" w:sz="4" w:space="0" w:color="auto"/>
            </w:tcBorders>
            <w:shd w:val="clear" w:color="auto" w:fill="auto"/>
            <w:vAlign w:val="center"/>
            <w:hideMark/>
          </w:tcPr>
          <w:p w14:paraId="3A0C1212"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-5,097,000</w:t>
            </w:r>
          </w:p>
        </w:tc>
      </w:tr>
    </w:tbl>
    <w:p w14:paraId="6CB09C04" w14:textId="416B5786" w:rsidR="001141E3" w:rsidRPr="001141E3" w:rsidRDefault="005B07BA" w:rsidP="001141E3">
      <w:pPr>
        <w:rPr>
          <w:rFonts w:asciiTheme="minorHAnsi" w:hAnsiTheme="minorHAnsi" w:cstheme="minorHAnsi"/>
          <w:b/>
          <w:sz w:val="12"/>
          <w:szCs w:val="18"/>
        </w:rPr>
      </w:pPr>
      <w:r w:rsidRPr="001141E3">
        <w:rPr>
          <w:rFonts w:asciiTheme="minorHAnsi" w:hAnsiTheme="minorHAnsi" w:cstheme="minorHAnsi"/>
          <w:b/>
          <w:sz w:val="12"/>
          <w:szCs w:val="18"/>
        </w:rPr>
        <w:t xml:space="preserve"> </w:t>
      </w:r>
    </w:p>
    <w:p w14:paraId="7F00E928" w14:textId="350DC7A4" w:rsidR="006D40BE" w:rsidRPr="001141E3" w:rsidRDefault="000616DD" w:rsidP="001141E3">
      <w:pPr>
        <w:rPr>
          <w:rFonts w:asciiTheme="minorHAnsi" w:hAnsiTheme="minorHAnsi" w:cstheme="minorHAnsi"/>
          <w:sz w:val="16"/>
          <w:szCs w:val="18"/>
        </w:rPr>
      </w:pPr>
      <w:r w:rsidRPr="001141E3">
        <w:rPr>
          <w:rFonts w:asciiTheme="minorHAnsi" w:hAnsiTheme="minorHAnsi" w:cstheme="minorHAnsi"/>
          <w:sz w:val="16"/>
          <w:szCs w:val="18"/>
        </w:rPr>
        <w:t>*Desglose de pasivos contingentes (Avales y Garantías)</w:t>
      </w:r>
      <w:r w:rsidR="00B152C1" w:rsidRPr="001141E3">
        <w:rPr>
          <w:rFonts w:asciiTheme="minorHAnsi" w:hAnsiTheme="minorHAnsi" w:cstheme="minorHAnsi"/>
          <w:sz w:val="16"/>
          <w:szCs w:val="18"/>
        </w:rPr>
        <w:t xml:space="preserve">       </w:t>
      </w:r>
    </w:p>
    <w:p w14:paraId="07D4F701" w14:textId="0065258B" w:rsidR="00E82555" w:rsidRDefault="00E82555" w:rsidP="00D30FA3">
      <w:pPr>
        <w:rPr>
          <w:rFonts w:asciiTheme="minorHAnsi" w:hAnsiTheme="minorHAnsi" w:cstheme="minorHAnsi"/>
          <w:b/>
          <w:sz w:val="16"/>
          <w:szCs w:val="18"/>
        </w:rPr>
      </w:pPr>
    </w:p>
    <w:p w14:paraId="435DF021" w14:textId="05D20965" w:rsidR="00276C9A" w:rsidRDefault="00276C9A" w:rsidP="00D30FA3">
      <w:pPr>
        <w:rPr>
          <w:rFonts w:asciiTheme="minorHAnsi" w:hAnsiTheme="minorHAnsi" w:cstheme="minorHAnsi"/>
          <w:b/>
          <w:sz w:val="16"/>
          <w:szCs w:val="18"/>
        </w:rPr>
      </w:pPr>
    </w:p>
    <w:p w14:paraId="65BF1CAA" w14:textId="6FBB8FB4" w:rsidR="00276C9A" w:rsidRDefault="00276C9A" w:rsidP="00D30FA3">
      <w:pPr>
        <w:rPr>
          <w:rFonts w:asciiTheme="minorHAnsi" w:hAnsiTheme="minorHAnsi" w:cstheme="minorHAnsi"/>
          <w:b/>
          <w:sz w:val="16"/>
          <w:szCs w:val="18"/>
        </w:rPr>
      </w:pPr>
    </w:p>
    <w:tbl>
      <w:tblPr>
        <w:tblW w:w="7698" w:type="dxa"/>
        <w:tblCellMar>
          <w:left w:w="70" w:type="dxa"/>
          <w:right w:w="70" w:type="dxa"/>
        </w:tblCellMar>
        <w:tblLook w:val="04A0" w:firstRow="1" w:lastRow="0" w:firstColumn="1" w:lastColumn="0" w:noHBand="0" w:noVBand="1"/>
      </w:tblPr>
      <w:tblGrid>
        <w:gridCol w:w="2263"/>
        <w:gridCol w:w="1701"/>
        <w:gridCol w:w="1100"/>
        <w:gridCol w:w="1314"/>
        <w:gridCol w:w="1320"/>
      </w:tblGrid>
      <w:tr w:rsidR="00BB51AD" w:rsidRPr="00BB51AD" w14:paraId="6162D55F" w14:textId="77777777" w:rsidTr="00291DC2">
        <w:trPr>
          <w:trHeight w:val="620"/>
        </w:trPr>
        <w:tc>
          <w:tcPr>
            <w:tcW w:w="226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72F22219"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Deudor</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4E1306ED"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Acreedor</w:t>
            </w:r>
          </w:p>
        </w:tc>
        <w:tc>
          <w:tcPr>
            <w:tcW w:w="1100" w:type="dxa"/>
            <w:tcBorders>
              <w:top w:val="single" w:sz="4" w:space="0" w:color="auto"/>
              <w:left w:val="nil"/>
              <w:bottom w:val="single" w:sz="4" w:space="0" w:color="auto"/>
              <w:right w:val="single" w:sz="4" w:space="0" w:color="auto"/>
            </w:tcBorders>
            <w:shd w:val="clear" w:color="000000" w:fill="AB0033"/>
            <w:vAlign w:val="center"/>
            <w:hideMark/>
          </w:tcPr>
          <w:p w14:paraId="4AFD9707"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Registro SHCP</w:t>
            </w:r>
          </w:p>
        </w:tc>
        <w:tc>
          <w:tcPr>
            <w:tcW w:w="1310" w:type="dxa"/>
            <w:tcBorders>
              <w:top w:val="single" w:sz="4" w:space="0" w:color="auto"/>
              <w:left w:val="nil"/>
              <w:bottom w:val="single" w:sz="4" w:space="0" w:color="auto"/>
              <w:right w:val="single" w:sz="4" w:space="0" w:color="auto"/>
            </w:tcBorders>
            <w:shd w:val="clear" w:color="000000" w:fill="AB0033"/>
            <w:vAlign w:val="center"/>
            <w:hideMark/>
          </w:tcPr>
          <w:p w14:paraId="7D97B4B7"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Saldo del Crédito</w:t>
            </w:r>
          </w:p>
        </w:tc>
        <w:tc>
          <w:tcPr>
            <w:tcW w:w="1320" w:type="dxa"/>
            <w:tcBorders>
              <w:top w:val="single" w:sz="4" w:space="0" w:color="auto"/>
              <w:left w:val="nil"/>
              <w:bottom w:val="single" w:sz="4" w:space="0" w:color="auto"/>
              <w:right w:val="single" w:sz="4" w:space="0" w:color="auto"/>
            </w:tcBorders>
            <w:shd w:val="clear" w:color="000000" w:fill="AB0033"/>
            <w:vAlign w:val="center"/>
            <w:hideMark/>
          </w:tcPr>
          <w:p w14:paraId="3FFCD421" w14:textId="77777777" w:rsidR="00BB51AD" w:rsidRPr="00BB51AD" w:rsidRDefault="00BB51AD" w:rsidP="00BB51AD">
            <w:pPr>
              <w:spacing w:after="0" w:line="240" w:lineRule="auto"/>
              <w:jc w:val="center"/>
              <w:rPr>
                <w:rFonts w:eastAsia="Times New Roman" w:cs="Calibri"/>
                <w:b/>
                <w:bCs/>
                <w:color w:val="FFFFFF"/>
                <w:sz w:val="16"/>
                <w:szCs w:val="16"/>
                <w:lang w:eastAsia="es-MX"/>
              </w:rPr>
            </w:pPr>
            <w:r w:rsidRPr="00BB51AD">
              <w:rPr>
                <w:rFonts w:eastAsia="Times New Roman" w:cs="Calibri"/>
                <w:b/>
                <w:bCs/>
                <w:color w:val="FFFFFF"/>
                <w:sz w:val="16"/>
                <w:szCs w:val="16"/>
                <w:lang w:eastAsia="es-MX"/>
              </w:rPr>
              <w:t xml:space="preserve">Importe </w:t>
            </w:r>
          </w:p>
        </w:tc>
      </w:tr>
      <w:tr w:rsidR="00BB51AD" w:rsidRPr="00BB51AD" w14:paraId="74791F60" w14:textId="77777777" w:rsidTr="00291DC2">
        <w:trPr>
          <w:trHeight w:val="290"/>
        </w:trPr>
        <w:tc>
          <w:tcPr>
            <w:tcW w:w="2263" w:type="dxa"/>
            <w:tcBorders>
              <w:top w:val="nil"/>
              <w:left w:val="single" w:sz="8" w:space="0" w:color="auto"/>
              <w:bottom w:val="nil"/>
              <w:right w:val="nil"/>
            </w:tcBorders>
            <w:shd w:val="clear" w:color="auto" w:fill="auto"/>
            <w:noWrap/>
            <w:vAlign w:val="center"/>
            <w:hideMark/>
          </w:tcPr>
          <w:p w14:paraId="27A0801F" w14:textId="77777777" w:rsidR="00BB51AD" w:rsidRPr="00BB51AD" w:rsidRDefault="00BB51AD" w:rsidP="00BB51AD">
            <w:pPr>
              <w:spacing w:after="0" w:line="240" w:lineRule="auto"/>
              <w:rPr>
                <w:rFonts w:eastAsia="Times New Roman" w:cs="Calibri"/>
                <w:b/>
                <w:bCs/>
                <w:color w:val="000000"/>
                <w:sz w:val="14"/>
                <w:szCs w:val="14"/>
                <w:lang w:eastAsia="es-MX"/>
              </w:rPr>
            </w:pPr>
            <w:r w:rsidRPr="00BB51AD">
              <w:rPr>
                <w:rFonts w:eastAsia="Times New Roman" w:cs="Calibri"/>
                <w:b/>
                <w:bCs/>
                <w:color w:val="000000"/>
                <w:sz w:val="14"/>
                <w:szCs w:val="14"/>
                <w:lang w:eastAsia="es-MX"/>
              </w:rPr>
              <w:t>A Municipios</w:t>
            </w:r>
          </w:p>
        </w:tc>
        <w:tc>
          <w:tcPr>
            <w:tcW w:w="1701" w:type="dxa"/>
            <w:tcBorders>
              <w:top w:val="nil"/>
              <w:left w:val="nil"/>
              <w:bottom w:val="nil"/>
              <w:right w:val="nil"/>
            </w:tcBorders>
            <w:shd w:val="clear" w:color="auto" w:fill="auto"/>
            <w:noWrap/>
            <w:vAlign w:val="center"/>
            <w:hideMark/>
          </w:tcPr>
          <w:p w14:paraId="535FDA3C" w14:textId="77777777" w:rsidR="00BB51AD" w:rsidRPr="00BB51AD" w:rsidRDefault="00BB51AD" w:rsidP="00BB51AD">
            <w:pPr>
              <w:spacing w:after="0" w:line="240" w:lineRule="auto"/>
              <w:rPr>
                <w:rFonts w:eastAsia="Times New Roman" w:cs="Calibri"/>
                <w:b/>
                <w:bCs/>
                <w:color w:val="000000"/>
                <w:sz w:val="14"/>
                <w:szCs w:val="14"/>
                <w:lang w:eastAsia="es-MX"/>
              </w:rPr>
            </w:pPr>
          </w:p>
        </w:tc>
        <w:tc>
          <w:tcPr>
            <w:tcW w:w="1100" w:type="dxa"/>
            <w:tcBorders>
              <w:top w:val="nil"/>
              <w:left w:val="nil"/>
              <w:bottom w:val="nil"/>
              <w:right w:val="nil"/>
            </w:tcBorders>
            <w:shd w:val="clear" w:color="auto" w:fill="auto"/>
            <w:noWrap/>
            <w:vAlign w:val="center"/>
            <w:hideMark/>
          </w:tcPr>
          <w:p w14:paraId="1F4419BF" w14:textId="77777777" w:rsidR="00BB51AD" w:rsidRPr="00BB51AD" w:rsidRDefault="00BB51AD" w:rsidP="00BB51AD">
            <w:pPr>
              <w:spacing w:after="0" w:line="240" w:lineRule="auto"/>
              <w:rPr>
                <w:rFonts w:ascii="Times New Roman" w:eastAsia="Times New Roman" w:hAnsi="Times New Roman"/>
                <w:sz w:val="20"/>
                <w:szCs w:val="20"/>
                <w:lang w:eastAsia="es-MX"/>
              </w:rPr>
            </w:pPr>
          </w:p>
        </w:tc>
        <w:tc>
          <w:tcPr>
            <w:tcW w:w="1310" w:type="dxa"/>
            <w:tcBorders>
              <w:top w:val="nil"/>
              <w:left w:val="nil"/>
              <w:bottom w:val="nil"/>
              <w:right w:val="nil"/>
            </w:tcBorders>
            <w:shd w:val="clear" w:color="auto" w:fill="auto"/>
            <w:noWrap/>
            <w:vAlign w:val="center"/>
            <w:hideMark/>
          </w:tcPr>
          <w:p w14:paraId="129C8816" w14:textId="77777777" w:rsidR="00BB51AD" w:rsidRPr="00BB51AD" w:rsidRDefault="00BB51AD" w:rsidP="00BB51AD">
            <w:pPr>
              <w:spacing w:after="0" w:line="240" w:lineRule="auto"/>
              <w:jc w:val="center"/>
              <w:rPr>
                <w:rFonts w:ascii="Times New Roman" w:eastAsia="Times New Roman" w:hAnsi="Times New Roman"/>
                <w:sz w:val="20"/>
                <w:szCs w:val="20"/>
                <w:lang w:eastAsia="es-MX"/>
              </w:rPr>
            </w:pPr>
          </w:p>
        </w:tc>
        <w:tc>
          <w:tcPr>
            <w:tcW w:w="1320" w:type="dxa"/>
            <w:tcBorders>
              <w:top w:val="nil"/>
              <w:left w:val="nil"/>
              <w:bottom w:val="nil"/>
              <w:right w:val="single" w:sz="8" w:space="0" w:color="auto"/>
            </w:tcBorders>
            <w:shd w:val="clear" w:color="auto" w:fill="auto"/>
            <w:noWrap/>
            <w:vAlign w:val="center"/>
            <w:hideMark/>
          </w:tcPr>
          <w:p w14:paraId="1A1D6359" w14:textId="77777777" w:rsidR="00BB51AD" w:rsidRPr="00BB51AD" w:rsidRDefault="00BB51AD" w:rsidP="00BB51AD">
            <w:pPr>
              <w:spacing w:after="0" w:line="240" w:lineRule="auto"/>
              <w:jc w:val="right"/>
              <w:rPr>
                <w:rFonts w:eastAsia="Times New Roman" w:cs="Calibri"/>
                <w:b/>
                <w:bCs/>
                <w:color w:val="000000"/>
                <w:sz w:val="14"/>
                <w:szCs w:val="14"/>
                <w:lang w:eastAsia="es-MX"/>
              </w:rPr>
            </w:pPr>
            <w:r w:rsidRPr="00BB51AD">
              <w:rPr>
                <w:rFonts w:eastAsia="Times New Roman" w:cs="Calibri"/>
                <w:b/>
                <w:bCs/>
                <w:color w:val="000000"/>
                <w:sz w:val="14"/>
                <w:szCs w:val="14"/>
                <w:lang w:eastAsia="es-MX"/>
              </w:rPr>
              <w:t>97,936,406</w:t>
            </w:r>
          </w:p>
        </w:tc>
      </w:tr>
      <w:tr w:rsidR="00BB51AD" w:rsidRPr="00BB51AD" w14:paraId="722B3A37" w14:textId="77777777" w:rsidTr="00291DC2">
        <w:trPr>
          <w:trHeight w:val="290"/>
        </w:trPr>
        <w:tc>
          <w:tcPr>
            <w:tcW w:w="2263" w:type="dxa"/>
            <w:tcBorders>
              <w:top w:val="nil"/>
              <w:left w:val="single" w:sz="8" w:space="0" w:color="auto"/>
              <w:bottom w:val="nil"/>
              <w:right w:val="nil"/>
            </w:tcBorders>
            <w:shd w:val="clear" w:color="auto" w:fill="auto"/>
            <w:noWrap/>
            <w:vAlign w:val="bottom"/>
            <w:hideMark/>
          </w:tcPr>
          <w:p w14:paraId="65B5A21B"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Nuevo Laredo (CETES)</w:t>
            </w:r>
          </w:p>
        </w:tc>
        <w:tc>
          <w:tcPr>
            <w:tcW w:w="1701" w:type="dxa"/>
            <w:tcBorders>
              <w:top w:val="nil"/>
              <w:left w:val="nil"/>
              <w:bottom w:val="nil"/>
              <w:right w:val="nil"/>
            </w:tcBorders>
            <w:shd w:val="clear" w:color="auto" w:fill="auto"/>
            <w:noWrap/>
            <w:vAlign w:val="bottom"/>
            <w:hideMark/>
          </w:tcPr>
          <w:p w14:paraId="0418C5F2" w14:textId="77777777" w:rsidR="00BB51AD" w:rsidRPr="00BB51AD" w:rsidRDefault="00BB51AD" w:rsidP="00BB51AD">
            <w:pPr>
              <w:spacing w:after="0" w:line="240" w:lineRule="auto"/>
              <w:rPr>
                <w:rFonts w:eastAsia="Times New Roman" w:cs="Calibri"/>
                <w:color w:val="000000"/>
                <w:sz w:val="14"/>
                <w:szCs w:val="14"/>
                <w:lang w:eastAsia="es-MX"/>
              </w:rPr>
            </w:pPr>
            <w:proofErr w:type="spellStart"/>
            <w:r w:rsidRPr="00BB51AD">
              <w:rPr>
                <w:rFonts w:eastAsia="Times New Roman" w:cs="Calibri"/>
                <w:color w:val="000000"/>
                <w:sz w:val="14"/>
                <w:szCs w:val="14"/>
                <w:lang w:eastAsia="es-MX"/>
              </w:rPr>
              <w:t>Banobras</w:t>
            </w:r>
            <w:proofErr w:type="spellEnd"/>
          </w:p>
        </w:tc>
        <w:tc>
          <w:tcPr>
            <w:tcW w:w="1100" w:type="dxa"/>
            <w:tcBorders>
              <w:top w:val="nil"/>
              <w:left w:val="nil"/>
              <w:bottom w:val="nil"/>
              <w:right w:val="nil"/>
            </w:tcBorders>
            <w:shd w:val="clear" w:color="auto" w:fill="auto"/>
            <w:noWrap/>
            <w:vAlign w:val="bottom"/>
            <w:hideMark/>
          </w:tcPr>
          <w:p w14:paraId="456E8A1D"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25/200</w:t>
            </w:r>
          </w:p>
        </w:tc>
        <w:tc>
          <w:tcPr>
            <w:tcW w:w="1310" w:type="dxa"/>
            <w:tcBorders>
              <w:top w:val="nil"/>
              <w:left w:val="nil"/>
              <w:bottom w:val="nil"/>
              <w:right w:val="nil"/>
            </w:tcBorders>
            <w:shd w:val="clear" w:color="000000" w:fill="FFFFFF"/>
            <w:noWrap/>
            <w:vAlign w:val="bottom"/>
            <w:hideMark/>
          </w:tcPr>
          <w:p w14:paraId="3CB55307"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6,845,478</w:t>
            </w:r>
          </w:p>
        </w:tc>
        <w:tc>
          <w:tcPr>
            <w:tcW w:w="1320" w:type="dxa"/>
            <w:tcBorders>
              <w:top w:val="nil"/>
              <w:left w:val="nil"/>
              <w:bottom w:val="nil"/>
              <w:right w:val="single" w:sz="8" w:space="0" w:color="auto"/>
            </w:tcBorders>
            <w:shd w:val="clear" w:color="auto" w:fill="auto"/>
            <w:noWrap/>
            <w:vAlign w:val="bottom"/>
            <w:hideMark/>
          </w:tcPr>
          <w:p w14:paraId="133EFAE1"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6AABAB74" w14:textId="77777777" w:rsidTr="00291DC2">
        <w:trPr>
          <w:trHeight w:val="290"/>
        </w:trPr>
        <w:tc>
          <w:tcPr>
            <w:tcW w:w="2263" w:type="dxa"/>
            <w:tcBorders>
              <w:top w:val="nil"/>
              <w:left w:val="single" w:sz="8" w:space="0" w:color="auto"/>
              <w:bottom w:val="nil"/>
              <w:right w:val="nil"/>
            </w:tcBorders>
            <w:shd w:val="clear" w:color="auto" w:fill="auto"/>
            <w:noWrap/>
            <w:vAlign w:val="bottom"/>
            <w:hideMark/>
          </w:tcPr>
          <w:p w14:paraId="7F653DD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Nuevo Laredo (UDIS)</w:t>
            </w:r>
          </w:p>
        </w:tc>
        <w:tc>
          <w:tcPr>
            <w:tcW w:w="1701" w:type="dxa"/>
            <w:tcBorders>
              <w:top w:val="nil"/>
              <w:left w:val="nil"/>
              <w:bottom w:val="nil"/>
              <w:right w:val="nil"/>
            </w:tcBorders>
            <w:shd w:val="clear" w:color="auto" w:fill="auto"/>
            <w:noWrap/>
            <w:vAlign w:val="bottom"/>
            <w:hideMark/>
          </w:tcPr>
          <w:p w14:paraId="6A01AC94" w14:textId="77777777" w:rsidR="00BB51AD" w:rsidRPr="00BB51AD" w:rsidRDefault="00BB51AD" w:rsidP="00BB51AD">
            <w:pPr>
              <w:spacing w:after="0" w:line="240" w:lineRule="auto"/>
              <w:rPr>
                <w:rFonts w:eastAsia="Times New Roman" w:cs="Calibri"/>
                <w:color w:val="000000"/>
                <w:sz w:val="14"/>
                <w:szCs w:val="14"/>
                <w:lang w:eastAsia="es-MX"/>
              </w:rPr>
            </w:pPr>
            <w:proofErr w:type="spellStart"/>
            <w:r w:rsidRPr="00BB51AD">
              <w:rPr>
                <w:rFonts w:eastAsia="Times New Roman" w:cs="Calibri"/>
                <w:color w:val="000000"/>
                <w:sz w:val="14"/>
                <w:szCs w:val="14"/>
                <w:lang w:eastAsia="es-MX"/>
              </w:rPr>
              <w:t>Banobras</w:t>
            </w:r>
            <w:proofErr w:type="spellEnd"/>
          </w:p>
        </w:tc>
        <w:tc>
          <w:tcPr>
            <w:tcW w:w="1100" w:type="dxa"/>
            <w:tcBorders>
              <w:top w:val="nil"/>
              <w:left w:val="nil"/>
              <w:bottom w:val="nil"/>
              <w:right w:val="nil"/>
            </w:tcBorders>
            <w:shd w:val="clear" w:color="auto" w:fill="auto"/>
            <w:noWrap/>
            <w:vAlign w:val="bottom"/>
            <w:hideMark/>
          </w:tcPr>
          <w:p w14:paraId="5D469D61"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25/200</w:t>
            </w:r>
          </w:p>
        </w:tc>
        <w:tc>
          <w:tcPr>
            <w:tcW w:w="1310" w:type="dxa"/>
            <w:tcBorders>
              <w:top w:val="nil"/>
              <w:left w:val="nil"/>
              <w:bottom w:val="nil"/>
              <w:right w:val="nil"/>
            </w:tcBorders>
            <w:shd w:val="clear" w:color="000000" w:fill="FFFFFF"/>
            <w:noWrap/>
            <w:vAlign w:val="bottom"/>
            <w:hideMark/>
          </w:tcPr>
          <w:p w14:paraId="7910767D"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17,171,267</w:t>
            </w:r>
          </w:p>
        </w:tc>
        <w:tc>
          <w:tcPr>
            <w:tcW w:w="1320" w:type="dxa"/>
            <w:tcBorders>
              <w:top w:val="nil"/>
              <w:left w:val="nil"/>
              <w:bottom w:val="nil"/>
              <w:right w:val="single" w:sz="8" w:space="0" w:color="auto"/>
            </w:tcBorders>
            <w:shd w:val="clear" w:color="auto" w:fill="auto"/>
            <w:noWrap/>
            <w:vAlign w:val="bottom"/>
            <w:hideMark/>
          </w:tcPr>
          <w:p w14:paraId="079E9AF7"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2109230F" w14:textId="77777777" w:rsidTr="00291DC2">
        <w:trPr>
          <w:trHeight w:val="290"/>
        </w:trPr>
        <w:tc>
          <w:tcPr>
            <w:tcW w:w="2263" w:type="dxa"/>
            <w:tcBorders>
              <w:top w:val="nil"/>
              <w:left w:val="single" w:sz="8" w:space="0" w:color="auto"/>
              <w:bottom w:val="nil"/>
              <w:right w:val="nil"/>
            </w:tcBorders>
            <w:shd w:val="clear" w:color="auto" w:fill="auto"/>
            <w:noWrap/>
            <w:vAlign w:val="bottom"/>
            <w:hideMark/>
          </w:tcPr>
          <w:p w14:paraId="56DD640B"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xml:space="preserve">Nuevo Laredo </w:t>
            </w:r>
          </w:p>
        </w:tc>
        <w:tc>
          <w:tcPr>
            <w:tcW w:w="1701" w:type="dxa"/>
            <w:tcBorders>
              <w:top w:val="nil"/>
              <w:left w:val="nil"/>
              <w:bottom w:val="nil"/>
              <w:right w:val="nil"/>
            </w:tcBorders>
            <w:shd w:val="clear" w:color="auto" w:fill="auto"/>
            <w:noWrap/>
            <w:vAlign w:val="bottom"/>
            <w:hideMark/>
          </w:tcPr>
          <w:p w14:paraId="0653F136" w14:textId="77777777" w:rsidR="00BB51AD" w:rsidRPr="00BB51AD" w:rsidRDefault="00BB51AD" w:rsidP="00BB51AD">
            <w:pPr>
              <w:spacing w:after="0" w:line="240" w:lineRule="auto"/>
              <w:rPr>
                <w:rFonts w:eastAsia="Times New Roman" w:cs="Calibri"/>
                <w:color w:val="000000"/>
                <w:sz w:val="14"/>
                <w:szCs w:val="14"/>
                <w:lang w:eastAsia="es-MX"/>
              </w:rPr>
            </w:pPr>
            <w:proofErr w:type="spellStart"/>
            <w:r w:rsidRPr="00BB51AD">
              <w:rPr>
                <w:rFonts w:eastAsia="Times New Roman" w:cs="Calibri"/>
                <w:color w:val="000000"/>
                <w:sz w:val="14"/>
                <w:szCs w:val="14"/>
                <w:lang w:eastAsia="es-MX"/>
              </w:rPr>
              <w:t>Cofidan</w:t>
            </w:r>
            <w:proofErr w:type="spellEnd"/>
          </w:p>
        </w:tc>
        <w:tc>
          <w:tcPr>
            <w:tcW w:w="1100" w:type="dxa"/>
            <w:tcBorders>
              <w:top w:val="nil"/>
              <w:left w:val="nil"/>
              <w:bottom w:val="nil"/>
              <w:right w:val="nil"/>
            </w:tcBorders>
            <w:shd w:val="clear" w:color="auto" w:fill="auto"/>
            <w:noWrap/>
            <w:vAlign w:val="bottom"/>
            <w:hideMark/>
          </w:tcPr>
          <w:p w14:paraId="5D5957B8"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032/2008</w:t>
            </w:r>
          </w:p>
        </w:tc>
        <w:tc>
          <w:tcPr>
            <w:tcW w:w="1310" w:type="dxa"/>
            <w:tcBorders>
              <w:top w:val="nil"/>
              <w:left w:val="nil"/>
              <w:bottom w:val="nil"/>
              <w:right w:val="nil"/>
            </w:tcBorders>
            <w:shd w:val="clear" w:color="000000" w:fill="FFFFFF"/>
            <w:noWrap/>
            <w:vAlign w:val="bottom"/>
            <w:hideMark/>
          </w:tcPr>
          <w:p w14:paraId="47870309"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73,919,661</w:t>
            </w:r>
          </w:p>
        </w:tc>
        <w:tc>
          <w:tcPr>
            <w:tcW w:w="1320" w:type="dxa"/>
            <w:tcBorders>
              <w:top w:val="nil"/>
              <w:left w:val="nil"/>
              <w:bottom w:val="nil"/>
              <w:right w:val="single" w:sz="8" w:space="0" w:color="auto"/>
            </w:tcBorders>
            <w:shd w:val="clear" w:color="auto" w:fill="auto"/>
            <w:noWrap/>
            <w:vAlign w:val="bottom"/>
            <w:hideMark/>
          </w:tcPr>
          <w:p w14:paraId="218C5E44"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405C541D" w14:textId="77777777" w:rsidTr="00291DC2">
        <w:trPr>
          <w:trHeight w:val="290"/>
        </w:trPr>
        <w:tc>
          <w:tcPr>
            <w:tcW w:w="2263" w:type="dxa"/>
            <w:tcBorders>
              <w:top w:val="nil"/>
              <w:left w:val="single" w:sz="8" w:space="0" w:color="auto"/>
              <w:bottom w:val="nil"/>
              <w:right w:val="nil"/>
            </w:tcBorders>
            <w:shd w:val="clear" w:color="auto" w:fill="auto"/>
            <w:noWrap/>
            <w:vAlign w:val="bottom"/>
            <w:hideMark/>
          </w:tcPr>
          <w:p w14:paraId="7692AD7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701" w:type="dxa"/>
            <w:tcBorders>
              <w:top w:val="nil"/>
              <w:left w:val="nil"/>
              <w:bottom w:val="nil"/>
              <w:right w:val="nil"/>
            </w:tcBorders>
            <w:shd w:val="clear" w:color="auto" w:fill="auto"/>
            <w:noWrap/>
            <w:vAlign w:val="bottom"/>
            <w:hideMark/>
          </w:tcPr>
          <w:p w14:paraId="7414D4B0" w14:textId="77777777" w:rsidR="00BB51AD" w:rsidRPr="00BB51AD" w:rsidRDefault="00BB51AD" w:rsidP="00BB51AD">
            <w:pPr>
              <w:spacing w:after="0" w:line="240" w:lineRule="auto"/>
              <w:rPr>
                <w:rFonts w:eastAsia="Times New Roman" w:cs="Calibri"/>
                <w:color w:val="000000"/>
                <w:sz w:val="14"/>
                <w:szCs w:val="14"/>
                <w:lang w:eastAsia="es-MX"/>
              </w:rPr>
            </w:pPr>
          </w:p>
        </w:tc>
        <w:tc>
          <w:tcPr>
            <w:tcW w:w="1100" w:type="dxa"/>
            <w:tcBorders>
              <w:top w:val="nil"/>
              <w:left w:val="nil"/>
              <w:bottom w:val="nil"/>
              <w:right w:val="nil"/>
            </w:tcBorders>
            <w:shd w:val="clear" w:color="auto" w:fill="auto"/>
            <w:noWrap/>
            <w:vAlign w:val="bottom"/>
            <w:hideMark/>
          </w:tcPr>
          <w:p w14:paraId="5E3061E4" w14:textId="77777777" w:rsidR="00BB51AD" w:rsidRPr="00BB51AD" w:rsidRDefault="00BB51AD" w:rsidP="00BB51AD">
            <w:pPr>
              <w:spacing w:after="0" w:line="240" w:lineRule="auto"/>
              <w:rPr>
                <w:rFonts w:ascii="Times New Roman" w:eastAsia="Times New Roman" w:hAnsi="Times New Roman"/>
                <w:sz w:val="20"/>
                <w:szCs w:val="20"/>
                <w:lang w:eastAsia="es-MX"/>
              </w:rPr>
            </w:pPr>
          </w:p>
        </w:tc>
        <w:tc>
          <w:tcPr>
            <w:tcW w:w="1310" w:type="dxa"/>
            <w:tcBorders>
              <w:top w:val="nil"/>
              <w:left w:val="nil"/>
              <w:bottom w:val="nil"/>
              <w:right w:val="nil"/>
            </w:tcBorders>
            <w:shd w:val="clear" w:color="000000" w:fill="FFFFFF"/>
            <w:noWrap/>
            <w:vAlign w:val="bottom"/>
            <w:hideMark/>
          </w:tcPr>
          <w:p w14:paraId="01284EB5"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0</w:t>
            </w:r>
          </w:p>
        </w:tc>
        <w:tc>
          <w:tcPr>
            <w:tcW w:w="1320" w:type="dxa"/>
            <w:tcBorders>
              <w:top w:val="nil"/>
              <w:left w:val="nil"/>
              <w:bottom w:val="nil"/>
              <w:right w:val="single" w:sz="8" w:space="0" w:color="auto"/>
            </w:tcBorders>
            <w:shd w:val="clear" w:color="auto" w:fill="auto"/>
            <w:noWrap/>
            <w:vAlign w:val="bottom"/>
            <w:hideMark/>
          </w:tcPr>
          <w:p w14:paraId="0260384B"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623BFB0B" w14:textId="77777777" w:rsidTr="00291DC2">
        <w:trPr>
          <w:trHeight w:val="290"/>
        </w:trPr>
        <w:tc>
          <w:tcPr>
            <w:tcW w:w="3964" w:type="dxa"/>
            <w:gridSpan w:val="2"/>
            <w:tcBorders>
              <w:top w:val="nil"/>
              <w:left w:val="single" w:sz="8" w:space="0" w:color="auto"/>
              <w:bottom w:val="nil"/>
              <w:right w:val="nil"/>
            </w:tcBorders>
            <w:shd w:val="clear" w:color="auto" w:fill="auto"/>
            <w:noWrap/>
            <w:vAlign w:val="center"/>
            <w:hideMark/>
          </w:tcPr>
          <w:p w14:paraId="3113AAB9" w14:textId="77777777" w:rsidR="00BB51AD" w:rsidRPr="00BB51AD" w:rsidRDefault="00BB51AD" w:rsidP="00BB51AD">
            <w:pPr>
              <w:spacing w:after="0" w:line="240" w:lineRule="auto"/>
              <w:rPr>
                <w:rFonts w:eastAsia="Times New Roman" w:cs="Calibri"/>
                <w:b/>
                <w:bCs/>
                <w:color w:val="000000"/>
                <w:sz w:val="14"/>
                <w:szCs w:val="14"/>
                <w:lang w:eastAsia="es-MX"/>
              </w:rPr>
            </w:pPr>
            <w:r w:rsidRPr="00BB51AD">
              <w:rPr>
                <w:rFonts w:eastAsia="Times New Roman" w:cs="Calibri"/>
                <w:b/>
                <w:bCs/>
                <w:color w:val="000000"/>
                <w:sz w:val="14"/>
                <w:szCs w:val="14"/>
                <w:lang w:eastAsia="es-MX"/>
              </w:rPr>
              <w:t>A Organismos Operadores del Agua</w:t>
            </w:r>
          </w:p>
        </w:tc>
        <w:tc>
          <w:tcPr>
            <w:tcW w:w="1100" w:type="dxa"/>
            <w:tcBorders>
              <w:top w:val="nil"/>
              <w:left w:val="nil"/>
              <w:bottom w:val="nil"/>
              <w:right w:val="nil"/>
            </w:tcBorders>
            <w:shd w:val="clear" w:color="auto" w:fill="auto"/>
            <w:noWrap/>
            <w:vAlign w:val="center"/>
            <w:hideMark/>
          </w:tcPr>
          <w:p w14:paraId="5A893FB1" w14:textId="77777777" w:rsidR="00BB51AD" w:rsidRPr="00BB51AD" w:rsidRDefault="00BB51AD" w:rsidP="00BB51AD">
            <w:pPr>
              <w:spacing w:after="0" w:line="240" w:lineRule="auto"/>
              <w:rPr>
                <w:rFonts w:eastAsia="Times New Roman" w:cs="Calibri"/>
                <w:b/>
                <w:bCs/>
                <w:color w:val="000000"/>
                <w:sz w:val="14"/>
                <w:szCs w:val="14"/>
                <w:lang w:eastAsia="es-MX"/>
              </w:rPr>
            </w:pPr>
          </w:p>
        </w:tc>
        <w:tc>
          <w:tcPr>
            <w:tcW w:w="1310" w:type="dxa"/>
            <w:tcBorders>
              <w:top w:val="nil"/>
              <w:left w:val="nil"/>
              <w:bottom w:val="nil"/>
              <w:right w:val="nil"/>
            </w:tcBorders>
            <w:shd w:val="clear" w:color="000000" w:fill="FFFFFF"/>
            <w:noWrap/>
            <w:vAlign w:val="center"/>
            <w:hideMark/>
          </w:tcPr>
          <w:p w14:paraId="5E5D43E3" w14:textId="77777777" w:rsidR="00BB51AD" w:rsidRPr="00BB51AD" w:rsidRDefault="00BB51AD" w:rsidP="00BB51AD">
            <w:pPr>
              <w:spacing w:after="0" w:line="240" w:lineRule="auto"/>
              <w:rPr>
                <w:rFonts w:eastAsia="Times New Roman" w:cs="Calibri"/>
                <w:b/>
                <w:bCs/>
                <w:color w:val="000000"/>
                <w:sz w:val="14"/>
                <w:szCs w:val="14"/>
                <w:lang w:eastAsia="es-MX"/>
              </w:rPr>
            </w:pPr>
            <w:r w:rsidRPr="00BB51AD">
              <w:rPr>
                <w:rFonts w:eastAsia="Times New Roman" w:cs="Calibri"/>
                <w:b/>
                <w:bCs/>
                <w:color w:val="000000"/>
                <w:sz w:val="14"/>
                <w:szCs w:val="14"/>
                <w:lang w:eastAsia="es-MX"/>
              </w:rPr>
              <w:t> </w:t>
            </w:r>
          </w:p>
        </w:tc>
        <w:tc>
          <w:tcPr>
            <w:tcW w:w="1320" w:type="dxa"/>
            <w:tcBorders>
              <w:top w:val="nil"/>
              <w:left w:val="nil"/>
              <w:bottom w:val="nil"/>
              <w:right w:val="single" w:sz="8" w:space="0" w:color="auto"/>
            </w:tcBorders>
            <w:shd w:val="clear" w:color="auto" w:fill="auto"/>
            <w:noWrap/>
            <w:vAlign w:val="center"/>
            <w:hideMark/>
          </w:tcPr>
          <w:p w14:paraId="3B024C75" w14:textId="77777777" w:rsidR="00BB51AD" w:rsidRPr="00BB51AD" w:rsidRDefault="00BB51AD" w:rsidP="00BB51AD">
            <w:pPr>
              <w:spacing w:after="0" w:line="240" w:lineRule="auto"/>
              <w:jc w:val="right"/>
              <w:rPr>
                <w:rFonts w:eastAsia="Times New Roman" w:cs="Calibri"/>
                <w:b/>
                <w:bCs/>
                <w:color w:val="000000"/>
                <w:sz w:val="14"/>
                <w:szCs w:val="14"/>
                <w:lang w:eastAsia="es-MX"/>
              </w:rPr>
            </w:pPr>
            <w:r w:rsidRPr="00BB51AD">
              <w:rPr>
                <w:rFonts w:eastAsia="Times New Roman" w:cs="Calibri"/>
                <w:b/>
                <w:bCs/>
                <w:color w:val="000000"/>
                <w:sz w:val="14"/>
                <w:szCs w:val="14"/>
                <w:lang w:eastAsia="es-MX"/>
              </w:rPr>
              <w:t>27,970,320</w:t>
            </w:r>
          </w:p>
        </w:tc>
      </w:tr>
      <w:tr w:rsidR="00BB51AD" w:rsidRPr="00BB51AD" w14:paraId="1E7D580C" w14:textId="77777777" w:rsidTr="00291DC2">
        <w:trPr>
          <w:trHeight w:val="290"/>
        </w:trPr>
        <w:tc>
          <w:tcPr>
            <w:tcW w:w="2263" w:type="dxa"/>
            <w:tcBorders>
              <w:top w:val="nil"/>
              <w:left w:val="single" w:sz="8" w:space="0" w:color="auto"/>
              <w:bottom w:val="nil"/>
              <w:right w:val="nil"/>
            </w:tcBorders>
            <w:shd w:val="clear" w:color="auto" w:fill="auto"/>
            <w:noWrap/>
            <w:vAlign w:val="bottom"/>
            <w:hideMark/>
          </w:tcPr>
          <w:p w14:paraId="321ACD55" w14:textId="77777777" w:rsidR="00BB51AD" w:rsidRPr="00BB51AD" w:rsidRDefault="00BB51AD" w:rsidP="00BB51AD">
            <w:pPr>
              <w:spacing w:after="0" w:line="240" w:lineRule="auto"/>
              <w:rPr>
                <w:rFonts w:eastAsia="Times New Roman" w:cs="Calibri"/>
                <w:color w:val="000000"/>
                <w:sz w:val="14"/>
                <w:szCs w:val="14"/>
                <w:lang w:eastAsia="es-MX"/>
              </w:rPr>
            </w:pPr>
            <w:proofErr w:type="spellStart"/>
            <w:r w:rsidRPr="00BB51AD">
              <w:rPr>
                <w:rFonts w:eastAsia="Times New Roman" w:cs="Calibri"/>
                <w:color w:val="000000"/>
                <w:sz w:val="14"/>
                <w:szCs w:val="14"/>
                <w:lang w:eastAsia="es-MX"/>
              </w:rPr>
              <w:t>Comapa</w:t>
            </w:r>
            <w:proofErr w:type="spellEnd"/>
            <w:r w:rsidRPr="00BB51AD">
              <w:rPr>
                <w:rFonts w:eastAsia="Times New Roman" w:cs="Calibri"/>
                <w:color w:val="000000"/>
                <w:sz w:val="14"/>
                <w:szCs w:val="14"/>
                <w:lang w:eastAsia="es-MX"/>
              </w:rPr>
              <w:t xml:space="preserve"> </w:t>
            </w:r>
            <w:proofErr w:type="spellStart"/>
            <w:r w:rsidRPr="00BB51AD">
              <w:rPr>
                <w:rFonts w:eastAsia="Times New Roman" w:cs="Calibri"/>
                <w:color w:val="000000"/>
                <w:sz w:val="14"/>
                <w:szCs w:val="14"/>
                <w:lang w:eastAsia="es-MX"/>
              </w:rPr>
              <w:t>Nvo</w:t>
            </w:r>
            <w:proofErr w:type="spellEnd"/>
            <w:r w:rsidRPr="00BB51AD">
              <w:rPr>
                <w:rFonts w:eastAsia="Times New Roman" w:cs="Calibri"/>
                <w:color w:val="000000"/>
                <w:sz w:val="14"/>
                <w:szCs w:val="14"/>
                <w:lang w:eastAsia="es-MX"/>
              </w:rPr>
              <w:t xml:space="preserve"> Laredo</w:t>
            </w:r>
          </w:p>
        </w:tc>
        <w:tc>
          <w:tcPr>
            <w:tcW w:w="1701" w:type="dxa"/>
            <w:tcBorders>
              <w:top w:val="nil"/>
              <w:left w:val="nil"/>
              <w:bottom w:val="nil"/>
              <w:right w:val="nil"/>
            </w:tcBorders>
            <w:shd w:val="clear" w:color="auto" w:fill="auto"/>
            <w:noWrap/>
            <w:vAlign w:val="bottom"/>
            <w:hideMark/>
          </w:tcPr>
          <w:p w14:paraId="494404C7" w14:textId="77777777" w:rsidR="00BB51AD" w:rsidRPr="00BB51AD" w:rsidRDefault="00BB51AD" w:rsidP="00BB51AD">
            <w:pPr>
              <w:spacing w:after="0" w:line="240" w:lineRule="auto"/>
              <w:rPr>
                <w:rFonts w:eastAsia="Times New Roman" w:cs="Calibri"/>
                <w:color w:val="000000"/>
                <w:sz w:val="14"/>
                <w:szCs w:val="14"/>
                <w:lang w:eastAsia="es-MX"/>
              </w:rPr>
            </w:pPr>
            <w:proofErr w:type="spellStart"/>
            <w:r w:rsidRPr="00BB51AD">
              <w:rPr>
                <w:rFonts w:eastAsia="Times New Roman" w:cs="Calibri"/>
                <w:color w:val="000000"/>
                <w:sz w:val="14"/>
                <w:szCs w:val="14"/>
                <w:lang w:eastAsia="es-MX"/>
              </w:rPr>
              <w:t>Cofidan</w:t>
            </w:r>
            <w:proofErr w:type="spellEnd"/>
          </w:p>
        </w:tc>
        <w:tc>
          <w:tcPr>
            <w:tcW w:w="1100" w:type="dxa"/>
            <w:tcBorders>
              <w:top w:val="nil"/>
              <w:left w:val="nil"/>
              <w:bottom w:val="nil"/>
              <w:right w:val="nil"/>
            </w:tcBorders>
            <w:shd w:val="clear" w:color="auto" w:fill="auto"/>
            <w:noWrap/>
            <w:vAlign w:val="bottom"/>
            <w:hideMark/>
          </w:tcPr>
          <w:p w14:paraId="51782A65"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308/2006</w:t>
            </w:r>
          </w:p>
        </w:tc>
        <w:tc>
          <w:tcPr>
            <w:tcW w:w="1310" w:type="dxa"/>
            <w:tcBorders>
              <w:top w:val="nil"/>
              <w:left w:val="nil"/>
              <w:bottom w:val="nil"/>
              <w:right w:val="nil"/>
            </w:tcBorders>
            <w:shd w:val="clear" w:color="000000" w:fill="FFFFFF"/>
            <w:noWrap/>
            <w:vAlign w:val="bottom"/>
            <w:hideMark/>
          </w:tcPr>
          <w:p w14:paraId="09FF584F"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13,157,520</w:t>
            </w:r>
          </w:p>
        </w:tc>
        <w:tc>
          <w:tcPr>
            <w:tcW w:w="1320" w:type="dxa"/>
            <w:tcBorders>
              <w:top w:val="nil"/>
              <w:left w:val="nil"/>
              <w:bottom w:val="nil"/>
              <w:right w:val="single" w:sz="8" w:space="0" w:color="auto"/>
            </w:tcBorders>
            <w:shd w:val="clear" w:color="auto" w:fill="auto"/>
            <w:noWrap/>
            <w:vAlign w:val="bottom"/>
            <w:hideMark/>
          </w:tcPr>
          <w:p w14:paraId="23EB8C98"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0670A26A" w14:textId="77777777" w:rsidTr="00291DC2">
        <w:trPr>
          <w:trHeight w:val="290"/>
        </w:trPr>
        <w:tc>
          <w:tcPr>
            <w:tcW w:w="2263" w:type="dxa"/>
            <w:tcBorders>
              <w:top w:val="nil"/>
              <w:left w:val="single" w:sz="8" w:space="0" w:color="auto"/>
              <w:bottom w:val="nil"/>
              <w:right w:val="nil"/>
            </w:tcBorders>
            <w:shd w:val="clear" w:color="auto" w:fill="auto"/>
            <w:noWrap/>
            <w:vAlign w:val="bottom"/>
            <w:hideMark/>
          </w:tcPr>
          <w:p w14:paraId="49A77A02" w14:textId="77777777" w:rsidR="00BB51AD" w:rsidRPr="00BB51AD" w:rsidRDefault="00BB51AD" w:rsidP="00BB51AD">
            <w:pPr>
              <w:spacing w:after="0" w:line="240" w:lineRule="auto"/>
              <w:rPr>
                <w:rFonts w:eastAsia="Times New Roman" w:cs="Calibri"/>
                <w:color w:val="000000"/>
                <w:sz w:val="14"/>
                <w:szCs w:val="14"/>
                <w:lang w:eastAsia="es-MX"/>
              </w:rPr>
            </w:pPr>
            <w:proofErr w:type="spellStart"/>
            <w:r w:rsidRPr="00BB51AD">
              <w:rPr>
                <w:rFonts w:eastAsia="Times New Roman" w:cs="Calibri"/>
                <w:color w:val="000000"/>
                <w:sz w:val="14"/>
                <w:szCs w:val="14"/>
                <w:lang w:eastAsia="es-MX"/>
              </w:rPr>
              <w:t>Comapa</w:t>
            </w:r>
            <w:proofErr w:type="spellEnd"/>
            <w:r w:rsidRPr="00BB51AD">
              <w:rPr>
                <w:rFonts w:eastAsia="Times New Roman" w:cs="Calibri"/>
                <w:color w:val="000000"/>
                <w:sz w:val="14"/>
                <w:szCs w:val="14"/>
                <w:lang w:eastAsia="es-MX"/>
              </w:rPr>
              <w:t xml:space="preserve"> Río Bravo</w:t>
            </w:r>
          </w:p>
        </w:tc>
        <w:tc>
          <w:tcPr>
            <w:tcW w:w="1701" w:type="dxa"/>
            <w:tcBorders>
              <w:top w:val="nil"/>
              <w:left w:val="nil"/>
              <w:bottom w:val="nil"/>
              <w:right w:val="nil"/>
            </w:tcBorders>
            <w:shd w:val="clear" w:color="auto" w:fill="auto"/>
            <w:noWrap/>
            <w:vAlign w:val="bottom"/>
            <w:hideMark/>
          </w:tcPr>
          <w:p w14:paraId="39007AAA" w14:textId="77777777" w:rsidR="00BB51AD" w:rsidRPr="00BB51AD" w:rsidRDefault="00BB51AD" w:rsidP="00BB51AD">
            <w:pPr>
              <w:spacing w:after="0" w:line="240" w:lineRule="auto"/>
              <w:rPr>
                <w:rFonts w:eastAsia="Times New Roman" w:cs="Calibri"/>
                <w:color w:val="000000"/>
                <w:sz w:val="14"/>
                <w:szCs w:val="14"/>
                <w:lang w:eastAsia="es-MX"/>
              </w:rPr>
            </w:pPr>
            <w:proofErr w:type="spellStart"/>
            <w:r w:rsidRPr="00BB51AD">
              <w:rPr>
                <w:rFonts w:eastAsia="Times New Roman" w:cs="Calibri"/>
                <w:color w:val="000000"/>
                <w:sz w:val="14"/>
                <w:szCs w:val="14"/>
                <w:lang w:eastAsia="es-MX"/>
              </w:rPr>
              <w:t>Cofidan</w:t>
            </w:r>
            <w:proofErr w:type="spellEnd"/>
          </w:p>
        </w:tc>
        <w:tc>
          <w:tcPr>
            <w:tcW w:w="1100" w:type="dxa"/>
            <w:tcBorders>
              <w:top w:val="nil"/>
              <w:left w:val="nil"/>
              <w:bottom w:val="nil"/>
              <w:right w:val="nil"/>
            </w:tcBorders>
            <w:shd w:val="clear" w:color="auto" w:fill="auto"/>
            <w:noWrap/>
            <w:vAlign w:val="bottom"/>
            <w:hideMark/>
          </w:tcPr>
          <w:p w14:paraId="626EA0BA"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193/2008</w:t>
            </w:r>
          </w:p>
        </w:tc>
        <w:tc>
          <w:tcPr>
            <w:tcW w:w="1310" w:type="dxa"/>
            <w:tcBorders>
              <w:top w:val="nil"/>
              <w:left w:val="nil"/>
              <w:bottom w:val="nil"/>
              <w:right w:val="nil"/>
            </w:tcBorders>
            <w:shd w:val="clear" w:color="000000" w:fill="FFFFFF"/>
            <w:noWrap/>
            <w:vAlign w:val="bottom"/>
            <w:hideMark/>
          </w:tcPr>
          <w:p w14:paraId="4918D8A9"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14,812,800</w:t>
            </w:r>
          </w:p>
        </w:tc>
        <w:tc>
          <w:tcPr>
            <w:tcW w:w="1320" w:type="dxa"/>
            <w:tcBorders>
              <w:top w:val="nil"/>
              <w:left w:val="nil"/>
              <w:bottom w:val="nil"/>
              <w:right w:val="single" w:sz="8" w:space="0" w:color="auto"/>
            </w:tcBorders>
            <w:shd w:val="clear" w:color="auto" w:fill="auto"/>
            <w:noWrap/>
            <w:vAlign w:val="bottom"/>
            <w:hideMark/>
          </w:tcPr>
          <w:p w14:paraId="593CA41C"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36FC1D7B" w14:textId="77777777" w:rsidTr="00291DC2">
        <w:trPr>
          <w:trHeight w:val="290"/>
        </w:trPr>
        <w:tc>
          <w:tcPr>
            <w:tcW w:w="2263" w:type="dxa"/>
            <w:tcBorders>
              <w:top w:val="nil"/>
              <w:left w:val="single" w:sz="8" w:space="0" w:color="auto"/>
              <w:bottom w:val="nil"/>
              <w:right w:val="nil"/>
            </w:tcBorders>
            <w:shd w:val="clear" w:color="auto" w:fill="auto"/>
            <w:noWrap/>
            <w:vAlign w:val="bottom"/>
            <w:hideMark/>
          </w:tcPr>
          <w:p w14:paraId="2A1360A0" w14:textId="77777777" w:rsidR="00BB51AD" w:rsidRPr="00BB51AD" w:rsidRDefault="00BB51AD" w:rsidP="00BB51AD">
            <w:pPr>
              <w:spacing w:after="0" w:line="240" w:lineRule="auto"/>
              <w:rPr>
                <w:rFonts w:eastAsia="Times New Roman" w:cs="Calibri"/>
                <w:color w:val="000000"/>
                <w:sz w:val="14"/>
                <w:szCs w:val="14"/>
                <w:lang w:eastAsia="es-MX"/>
              </w:rPr>
            </w:pPr>
            <w:proofErr w:type="spellStart"/>
            <w:r w:rsidRPr="00BB51AD">
              <w:rPr>
                <w:rFonts w:eastAsia="Times New Roman" w:cs="Calibri"/>
                <w:color w:val="000000"/>
                <w:sz w:val="14"/>
                <w:szCs w:val="14"/>
                <w:lang w:eastAsia="es-MX"/>
              </w:rPr>
              <w:t>Comapa</w:t>
            </w:r>
            <w:proofErr w:type="spellEnd"/>
            <w:r w:rsidRPr="00BB51AD">
              <w:rPr>
                <w:rFonts w:eastAsia="Times New Roman" w:cs="Calibri"/>
                <w:color w:val="000000"/>
                <w:sz w:val="14"/>
                <w:szCs w:val="14"/>
                <w:lang w:eastAsia="es-MX"/>
              </w:rPr>
              <w:t xml:space="preserve"> Zona Conurbada</w:t>
            </w:r>
          </w:p>
        </w:tc>
        <w:tc>
          <w:tcPr>
            <w:tcW w:w="1701" w:type="dxa"/>
            <w:tcBorders>
              <w:top w:val="nil"/>
              <w:left w:val="nil"/>
              <w:bottom w:val="nil"/>
              <w:right w:val="nil"/>
            </w:tcBorders>
            <w:shd w:val="clear" w:color="auto" w:fill="auto"/>
            <w:noWrap/>
            <w:vAlign w:val="bottom"/>
            <w:hideMark/>
          </w:tcPr>
          <w:p w14:paraId="446EA2BB"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Interacciones</w:t>
            </w:r>
          </w:p>
        </w:tc>
        <w:tc>
          <w:tcPr>
            <w:tcW w:w="1100" w:type="dxa"/>
            <w:tcBorders>
              <w:top w:val="nil"/>
              <w:left w:val="nil"/>
              <w:bottom w:val="nil"/>
              <w:right w:val="nil"/>
            </w:tcBorders>
            <w:shd w:val="clear" w:color="auto" w:fill="auto"/>
            <w:noWrap/>
            <w:vAlign w:val="bottom"/>
            <w:hideMark/>
          </w:tcPr>
          <w:p w14:paraId="6365BA25"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053/2010</w:t>
            </w:r>
          </w:p>
        </w:tc>
        <w:tc>
          <w:tcPr>
            <w:tcW w:w="1310" w:type="dxa"/>
            <w:tcBorders>
              <w:top w:val="nil"/>
              <w:left w:val="nil"/>
              <w:bottom w:val="nil"/>
              <w:right w:val="nil"/>
            </w:tcBorders>
            <w:shd w:val="clear" w:color="000000" w:fill="FFFFFF"/>
            <w:noWrap/>
            <w:vAlign w:val="bottom"/>
            <w:hideMark/>
          </w:tcPr>
          <w:p w14:paraId="50A311F4"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0</w:t>
            </w:r>
          </w:p>
        </w:tc>
        <w:tc>
          <w:tcPr>
            <w:tcW w:w="1320" w:type="dxa"/>
            <w:tcBorders>
              <w:top w:val="nil"/>
              <w:left w:val="nil"/>
              <w:bottom w:val="nil"/>
              <w:right w:val="single" w:sz="8" w:space="0" w:color="auto"/>
            </w:tcBorders>
            <w:shd w:val="clear" w:color="auto" w:fill="auto"/>
            <w:noWrap/>
            <w:vAlign w:val="bottom"/>
            <w:hideMark/>
          </w:tcPr>
          <w:p w14:paraId="1AF4A8CA"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559E86E2" w14:textId="77777777" w:rsidTr="00291DC2">
        <w:trPr>
          <w:trHeight w:val="290"/>
        </w:trPr>
        <w:tc>
          <w:tcPr>
            <w:tcW w:w="2263" w:type="dxa"/>
            <w:tcBorders>
              <w:top w:val="nil"/>
              <w:left w:val="single" w:sz="8" w:space="0" w:color="auto"/>
              <w:bottom w:val="nil"/>
              <w:right w:val="nil"/>
            </w:tcBorders>
            <w:shd w:val="clear" w:color="auto" w:fill="auto"/>
            <w:noWrap/>
            <w:vAlign w:val="bottom"/>
            <w:hideMark/>
          </w:tcPr>
          <w:p w14:paraId="0103D832"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701" w:type="dxa"/>
            <w:tcBorders>
              <w:top w:val="nil"/>
              <w:left w:val="nil"/>
              <w:bottom w:val="nil"/>
              <w:right w:val="nil"/>
            </w:tcBorders>
            <w:shd w:val="clear" w:color="auto" w:fill="auto"/>
            <w:noWrap/>
            <w:vAlign w:val="bottom"/>
            <w:hideMark/>
          </w:tcPr>
          <w:p w14:paraId="0B89A7D8" w14:textId="77777777" w:rsidR="00BB51AD" w:rsidRPr="00BB51AD" w:rsidRDefault="00BB51AD" w:rsidP="00BB51AD">
            <w:pPr>
              <w:spacing w:after="0" w:line="240" w:lineRule="auto"/>
              <w:rPr>
                <w:rFonts w:eastAsia="Times New Roman" w:cs="Calibri"/>
                <w:color w:val="000000"/>
                <w:sz w:val="14"/>
                <w:szCs w:val="14"/>
                <w:lang w:eastAsia="es-MX"/>
              </w:rPr>
            </w:pPr>
          </w:p>
        </w:tc>
        <w:tc>
          <w:tcPr>
            <w:tcW w:w="1100" w:type="dxa"/>
            <w:tcBorders>
              <w:top w:val="nil"/>
              <w:left w:val="nil"/>
              <w:bottom w:val="nil"/>
              <w:right w:val="nil"/>
            </w:tcBorders>
            <w:shd w:val="clear" w:color="auto" w:fill="auto"/>
            <w:noWrap/>
            <w:vAlign w:val="bottom"/>
            <w:hideMark/>
          </w:tcPr>
          <w:p w14:paraId="3AF8CD5B" w14:textId="77777777" w:rsidR="00BB51AD" w:rsidRPr="00BB51AD" w:rsidRDefault="00BB51AD" w:rsidP="00BB51AD">
            <w:pPr>
              <w:spacing w:after="0" w:line="240" w:lineRule="auto"/>
              <w:rPr>
                <w:rFonts w:ascii="Times New Roman" w:eastAsia="Times New Roman" w:hAnsi="Times New Roman"/>
                <w:sz w:val="20"/>
                <w:szCs w:val="20"/>
                <w:lang w:eastAsia="es-MX"/>
              </w:rPr>
            </w:pPr>
          </w:p>
        </w:tc>
        <w:tc>
          <w:tcPr>
            <w:tcW w:w="1310" w:type="dxa"/>
            <w:tcBorders>
              <w:top w:val="nil"/>
              <w:left w:val="nil"/>
              <w:bottom w:val="nil"/>
              <w:right w:val="nil"/>
            </w:tcBorders>
            <w:shd w:val="clear" w:color="000000" w:fill="FFFFFF"/>
            <w:noWrap/>
            <w:vAlign w:val="bottom"/>
            <w:hideMark/>
          </w:tcPr>
          <w:p w14:paraId="75EAF0C3"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320" w:type="dxa"/>
            <w:tcBorders>
              <w:top w:val="nil"/>
              <w:left w:val="nil"/>
              <w:bottom w:val="nil"/>
              <w:right w:val="single" w:sz="8" w:space="0" w:color="auto"/>
            </w:tcBorders>
            <w:shd w:val="clear" w:color="auto" w:fill="auto"/>
            <w:noWrap/>
            <w:vAlign w:val="bottom"/>
            <w:hideMark/>
          </w:tcPr>
          <w:p w14:paraId="5123631F"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38F0EE1E" w14:textId="77777777" w:rsidTr="00291DC2">
        <w:trPr>
          <w:trHeight w:val="290"/>
        </w:trPr>
        <w:tc>
          <w:tcPr>
            <w:tcW w:w="3964" w:type="dxa"/>
            <w:gridSpan w:val="2"/>
            <w:tcBorders>
              <w:top w:val="nil"/>
              <w:left w:val="single" w:sz="8" w:space="0" w:color="auto"/>
              <w:bottom w:val="nil"/>
              <w:right w:val="nil"/>
            </w:tcBorders>
            <w:shd w:val="clear" w:color="auto" w:fill="auto"/>
            <w:noWrap/>
            <w:vAlign w:val="center"/>
            <w:hideMark/>
          </w:tcPr>
          <w:p w14:paraId="3DA97826" w14:textId="77777777" w:rsidR="00BB51AD" w:rsidRPr="00BB51AD" w:rsidRDefault="00BB51AD" w:rsidP="00BB51AD">
            <w:pPr>
              <w:spacing w:after="0" w:line="240" w:lineRule="auto"/>
              <w:rPr>
                <w:rFonts w:eastAsia="Times New Roman" w:cs="Calibri"/>
                <w:b/>
                <w:bCs/>
                <w:color w:val="000000"/>
                <w:sz w:val="14"/>
                <w:szCs w:val="14"/>
                <w:lang w:eastAsia="es-MX"/>
              </w:rPr>
            </w:pPr>
            <w:r w:rsidRPr="00BB51AD">
              <w:rPr>
                <w:rFonts w:eastAsia="Times New Roman" w:cs="Calibri"/>
                <w:b/>
                <w:bCs/>
                <w:color w:val="000000"/>
                <w:sz w:val="14"/>
                <w:szCs w:val="14"/>
                <w:lang w:eastAsia="es-MX"/>
              </w:rPr>
              <w:t xml:space="preserve">A Organismos Descentralizados (ITAVU) </w:t>
            </w:r>
          </w:p>
        </w:tc>
        <w:tc>
          <w:tcPr>
            <w:tcW w:w="1100" w:type="dxa"/>
            <w:tcBorders>
              <w:top w:val="nil"/>
              <w:left w:val="nil"/>
              <w:bottom w:val="nil"/>
              <w:right w:val="nil"/>
            </w:tcBorders>
            <w:shd w:val="clear" w:color="auto" w:fill="auto"/>
            <w:noWrap/>
            <w:vAlign w:val="center"/>
            <w:hideMark/>
          </w:tcPr>
          <w:p w14:paraId="297320CC" w14:textId="77777777" w:rsidR="00BB51AD" w:rsidRPr="00BB51AD" w:rsidRDefault="00BB51AD" w:rsidP="00BB51AD">
            <w:pPr>
              <w:spacing w:after="0" w:line="240" w:lineRule="auto"/>
              <w:rPr>
                <w:rFonts w:eastAsia="Times New Roman" w:cs="Calibri"/>
                <w:b/>
                <w:bCs/>
                <w:color w:val="000000"/>
                <w:sz w:val="14"/>
                <w:szCs w:val="14"/>
                <w:lang w:eastAsia="es-MX"/>
              </w:rPr>
            </w:pPr>
          </w:p>
        </w:tc>
        <w:tc>
          <w:tcPr>
            <w:tcW w:w="1310" w:type="dxa"/>
            <w:tcBorders>
              <w:top w:val="nil"/>
              <w:left w:val="nil"/>
              <w:bottom w:val="nil"/>
              <w:right w:val="nil"/>
            </w:tcBorders>
            <w:shd w:val="clear" w:color="000000" w:fill="FFFFFF"/>
            <w:noWrap/>
            <w:vAlign w:val="center"/>
            <w:hideMark/>
          </w:tcPr>
          <w:p w14:paraId="40BE0787"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c>
          <w:tcPr>
            <w:tcW w:w="1320" w:type="dxa"/>
            <w:tcBorders>
              <w:top w:val="nil"/>
              <w:left w:val="nil"/>
              <w:bottom w:val="nil"/>
              <w:right w:val="single" w:sz="8" w:space="0" w:color="auto"/>
            </w:tcBorders>
            <w:shd w:val="clear" w:color="auto" w:fill="auto"/>
            <w:noWrap/>
            <w:vAlign w:val="center"/>
            <w:hideMark/>
          </w:tcPr>
          <w:p w14:paraId="5533A294" w14:textId="77777777" w:rsidR="00BB51AD" w:rsidRPr="00BB51AD" w:rsidRDefault="00BB51AD" w:rsidP="00BB51AD">
            <w:pPr>
              <w:spacing w:after="0" w:line="240" w:lineRule="auto"/>
              <w:jc w:val="right"/>
              <w:rPr>
                <w:rFonts w:eastAsia="Times New Roman" w:cs="Calibri"/>
                <w:b/>
                <w:bCs/>
                <w:color w:val="000000"/>
                <w:sz w:val="14"/>
                <w:szCs w:val="14"/>
                <w:lang w:eastAsia="es-MX"/>
              </w:rPr>
            </w:pPr>
            <w:r w:rsidRPr="00BB51AD">
              <w:rPr>
                <w:rFonts w:eastAsia="Times New Roman" w:cs="Calibri"/>
                <w:b/>
                <w:bCs/>
                <w:color w:val="000000"/>
                <w:sz w:val="14"/>
                <w:szCs w:val="14"/>
                <w:lang w:eastAsia="es-MX"/>
              </w:rPr>
              <w:t>105,152,549</w:t>
            </w:r>
          </w:p>
        </w:tc>
      </w:tr>
      <w:tr w:rsidR="00BB51AD" w:rsidRPr="00BB51AD" w14:paraId="76B765A3" w14:textId="77777777" w:rsidTr="00291DC2">
        <w:trPr>
          <w:trHeight w:val="290"/>
        </w:trPr>
        <w:tc>
          <w:tcPr>
            <w:tcW w:w="2263" w:type="dxa"/>
            <w:tcBorders>
              <w:top w:val="nil"/>
              <w:left w:val="single" w:sz="8" w:space="0" w:color="auto"/>
              <w:bottom w:val="nil"/>
              <w:right w:val="nil"/>
            </w:tcBorders>
            <w:shd w:val="clear" w:color="auto" w:fill="auto"/>
            <w:vAlign w:val="center"/>
            <w:hideMark/>
          </w:tcPr>
          <w:p w14:paraId="0DEBD363"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Instituto Tamaulipeco de Vivienda y Urbanismo</w:t>
            </w:r>
          </w:p>
        </w:tc>
        <w:tc>
          <w:tcPr>
            <w:tcW w:w="1701" w:type="dxa"/>
            <w:tcBorders>
              <w:top w:val="nil"/>
              <w:left w:val="nil"/>
              <w:bottom w:val="nil"/>
              <w:right w:val="nil"/>
            </w:tcBorders>
            <w:shd w:val="clear" w:color="auto" w:fill="auto"/>
            <w:noWrap/>
            <w:vAlign w:val="center"/>
            <w:hideMark/>
          </w:tcPr>
          <w:p w14:paraId="2B193251"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BBV  Bancomer</w:t>
            </w:r>
          </w:p>
        </w:tc>
        <w:tc>
          <w:tcPr>
            <w:tcW w:w="1100" w:type="dxa"/>
            <w:tcBorders>
              <w:top w:val="nil"/>
              <w:left w:val="nil"/>
              <w:bottom w:val="nil"/>
              <w:right w:val="nil"/>
            </w:tcBorders>
            <w:shd w:val="clear" w:color="auto" w:fill="auto"/>
            <w:noWrap/>
            <w:vAlign w:val="center"/>
            <w:hideMark/>
          </w:tcPr>
          <w:p w14:paraId="00AC0D7E"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324/2007</w:t>
            </w:r>
          </w:p>
        </w:tc>
        <w:tc>
          <w:tcPr>
            <w:tcW w:w="1310" w:type="dxa"/>
            <w:tcBorders>
              <w:top w:val="nil"/>
              <w:left w:val="nil"/>
              <w:bottom w:val="nil"/>
              <w:right w:val="nil"/>
            </w:tcBorders>
            <w:shd w:val="clear" w:color="000000" w:fill="FFFFFF"/>
            <w:noWrap/>
            <w:vAlign w:val="center"/>
            <w:hideMark/>
          </w:tcPr>
          <w:p w14:paraId="638E59DC"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22,408,660</w:t>
            </w:r>
          </w:p>
        </w:tc>
        <w:tc>
          <w:tcPr>
            <w:tcW w:w="1320" w:type="dxa"/>
            <w:tcBorders>
              <w:top w:val="nil"/>
              <w:left w:val="nil"/>
              <w:bottom w:val="nil"/>
              <w:right w:val="single" w:sz="8" w:space="0" w:color="auto"/>
            </w:tcBorders>
            <w:shd w:val="clear" w:color="auto" w:fill="auto"/>
            <w:noWrap/>
            <w:vAlign w:val="center"/>
            <w:hideMark/>
          </w:tcPr>
          <w:p w14:paraId="671A4AE0"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5208AF10" w14:textId="77777777" w:rsidTr="00291DC2">
        <w:trPr>
          <w:trHeight w:val="290"/>
        </w:trPr>
        <w:tc>
          <w:tcPr>
            <w:tcW w:w="2263" w:type="dxa"/>
            <w:tcBorders>
              <w:top w:val="nil"/>
              <w:left w:val="single" w:sz="8" w:space="0" w:color="auto"/>
              <w:bottom w:val="nil"/>
              <w:right w:val="nil"/>
            </w:tcBorders>
            <w:shd w:val="clear" w:color="auto" w:fill="auto"/>
            <w:vAlign w:val="center"/>
            <w:hideMark/>
          </w:tcPr>
          <w:p w14:paraId="74C31E7D"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Instituto Tamaulipeco de Vivienda y Urbanismo</w:t>
            </w:r>
          </w:p>
        </w:tc>
        <w:tc>
          <w:tcPr>
            <w:tcW w:w="1701" w:type="dxa"/>
            <w:tcBorders>
              <w:top w:val="nil"/>
              <w:left w:val="nil"/>
              <w:bottom w:val="nil"/>
              <w:right w:val="nil"/>
            </w:tcBorders>
            <w:shd w:val="clear" w:color="auto" w:fill="auto"/>
            <w:noWrap/>
            <w:vAlign w:val="center"/>
            <w:hideMark/>
          </w:tcPr>
          <w:p w14:paraId="7C75A069"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BBV  Bancomer</w:t>
            </w:r>
          </w:p>
        </w:tc>
        <w:tc>
          <w:tcPr>
            <w:tcW w:w="1100" w:type="dxa"/>
            <w:tcBorders>
              <w:top w:val="nil"/>
              <w:left w:val="nil"/>
              <w:bottom w:val="nil"/>
              <w:right w:val="nil"/>
            </w:tcBorders>
            <w:shd w:val="clear" w:color="auto" w:fill="auto"/>
            <w:noWrap/>
            <w:vAlign w:val="center"/>
            <w:hideMark/>
          </w:tcPr>
          <w:p w14:paraId="4797D7DA" w14:textId="77777777" w:rsidR="00BB51AD" w:rsidRPr="00BB51AD" w:rsidRDefault="00BB51AD" w:rsidP="00BB51AD">
            <w:pPr>
              <w:spacing w:after="0" w:line="240" w:lineRule="auto"/>
              <w:jc w:val="center"/>
              <w:rPr>
                <w:rFonts w:eastAsia="Times New Roman" w:cs="Calibri"/>
                <w:color w:val="000000"/>
                <w:sz w:val="14"/>
                <w:szCs w:val="14"/>
                <w:lang w:eastAsia="es-MX"/>
              </w:rPr>
            </w:pPr>
            <w:r w:rsidRPr="00BB51AD">
              <w:rPr>
                <w:rFonts w:eastAsia="Times New Roman" w:cs="Calibri"/>
                <w:color w:val="000000"/>
                <w:sz w:val="14"/>
                <w:szCs w:val="14"/>
                <w:lang w:eastAsia="es-MX"/>
              </w:rPr>
              <w:t>P-28-0814125</w:t>
            </w:r>
          </w:p>
        </w:tc>
        <w:tc>
          <w:tcPr>
            <w:tcW w:w="1310" w:type="dxa"/>
            <w:tcBorders>
              <w:top w:val="nil"/>
              <w:left w:val="nil"/>
              <w:bottom w:val="nil"/>
              <w:right w:val="nil"/>
            </w:tcBorders>
            <w:shd w:val="clear" w:color="000000" w:fill="FFFFFF"/>
            <w:noWrap/>
            <w:vAlign w:val="center"/>
            <w:hideMark/>
          </w:tcPr>
          <w:p w14:paraId="27409BD7" w14:textId="77777777" w:rsidR="00BB51AD" w:rsidRPr="00BB51AD" w:rsidRDefault="00BB51AD" w:rsidP="00BB51AD">
            <w:pPr>
              <w:spacing w:after="0" w:line="240" w:lineRule="auto"/>
              <w:jc w:val="right"/>
              <w:rPr>
                <w:rFonts w:eastAsia="Times New Roman" w:cs="Calibri"/>
                <w:color w:val="000000"/>
                <w:sz w:val="14"/>
                <w:szCs w:val="14"/>
                <w:lang w:eastAsia="es-MX"/>
              </w:rPr>
            </w:pPr>
            <w:r w:rsidRPr="00BB51AD">
              <w:rPr>
                <w:rFonts w:eastAsia="Times New Roman" w:cs="Calibri"/>
                <w:color w:val="000000"/>
                <w:sz w:val="14"/>
                <w:szCs w:val="14"/>
                <w:lang w:eastAsia="es-MX"/>
              </w:rPr>
              <w:t>82,743,889</w:t>
            </w:r>
          </w:p>
        </w:tc>
        <w:tc>
          <w:tcPr>
            <w:tcW w:w="1320" w:type="dxa"/>
            <w:tcBorders>
              <w:top w:val="nil"/>
              <w:left w:val="nil"/>
              <w:bottom w:val="nil"/>
              <w:right w:val="single" w:sz="8" w:space="0" w:color="auto"/>
            </w:tcBorders>
            <w:shd w:val="clear" w:color="auto" w:fill="auto"/>
            <w:noWrap/>
            <w:vAlign w:val="center"/>
            <w:hideMark/>
          </w:tcPr>
          <w:p w14:paraId="74A7522E" w14:textId="77777777" w:rsidR="00BB51AD" w:rsidRPr="00BB51AD" w:rsidRDefault="00BB51AD" w:rsidP="00BB51AD">
            <w:pPr>
              <w:spacing w:after="0" w:line="240" w:lineRule="auto"/>
              <w:rPr>
                <w:rFonts w:eastAsia="Times New Roman" w:cs="Calibri"/>
                <w:color w:val="000000"/>
                <w:sz w:val="14"/>
                <w:szCs w:val="14"/>
                <w:lang w:eastAsia="es-MX"/>
              </w:rPr>
            </w:pPr>
            <w:r w:rsidRPr="00BB51AD">
              <w:rPr>
                <w:rFonts w:eastAsia="Times New Roman" w:cs="Calibri"/>
                <w:color w:val="000000"/>
                <w:sz w:val="14"/>
                <w:szCs w:val="14"/>
                <w:lang w:eastAsia="es-MX"/>
              </w:rPr>
              <w:t> </w:t>
            </w:r>
          </w:p>
        </w:tc>
      </w:tr>
      <w:tr w:rsidR="00BB51AD" w:rsidRPr="00BB51AD" w14:paraId="50BC8077" w14:textId="77777777" w:rsidTr="00291DC2">
        <w:trPr>
          <w:trHeight w:val="340"/>
        </w:trPr>
        <w:tc>
          <w:tcPr>
            <w:tcW w:w="6378" w:type="dxa"/>
            <w:gridSpan w:val="4"/>
            <w:tcBorders>
              <w:top w:val="single" w:sz="4" w:space="0" w:color="auto"/>
              <w:left w:val="single" w:sz="4" w:space="0" w:color="auto"/>
              <w:bottom w:val="single" w:sz="4" w:space="0" w:color="auto"/>
              <w:right w:val="single" w:sz="4" w:space="0" w:color="000000"/>
            </w:tcBorders>
            <w:shd w:val="clear" w:color="000000" w:fill="DDC9A3"/>
            <w:vAlign w:val="center"/>
            <w:hideMark/>
          </w:tcPr>
          <w:p w14:paraId="3230D87F" w14:textId="77777777" w:rsidR="00BB51AD" w:rsidRPr="00BB51AD" w:rsidRDefault="00BB51AD" w:rsidP="00BB51AD">
            <w:pPr>
              <w:spacing w:after="0" w:line="240" w:lineRule="auto"/>
              <w:jc w:val="center"/>
              <w:rPr>
                <w:rFonts w:eastAsia="Times New Roman" w:cs="Calibri"/>
                <w:b/>
                <w:bCs/>
                <w:color w:val="000000"/>
                <w:sz w:val="14"/>
                <w:szCs w:val="14"/>
                <w:lang w:eastAsia="es-MX"/>
              </w:rPr>
            </w:pPr>
            <w:r w:rsidRPr="00BB51AD">
              <w:rPr>
                <w:rFonts w:eastAsia="Times New Roman" w:cs="Calibri"/>
                <w:b/>
                <w:bCs/>
                <w:color w:val="000000"/>
                <w:sz w:val="14"/>
                <w:szCs w:val="14"/>
                <w:lang w:eastAsia="es-MX"/>
              </w:rPr>
              <w:t>Total</w:t>
            </w:r>
          </w:p>
        </w:tc>
        <w:tc>
          <w:tcPr>
            <w:tcW w:w="1320" w:type="dxa"/>
            <w:tcBorders>
              <w:top w:val="single" w:sz="4" w:space="0" w:color="auto"/>
              <w:left w:val="nil"/>
              <w:bottom w:val="single" w:sz="4" w:space="0" w:color="auto"/>
              <w:right w:val="single" w:sz="4" w:space="0" w:color="auto"/>
            </w:tcBorders>
            <w:shd w:val="clear" w:color="000000" w:fill="DDC9A3"/>
            <w:vAlign w:val="center"/>
            <w:hideMark/>
          </w:tcPr>
          <w:p w14:paraId="16EE5841" w14:textId="77777777" w:rsidR="00BB51AD" w:rsidRPr="00BB51AD" w:rsidRDefault="00BB51AD" w:rsidP="00BB51AD">
            <w:pPr>
              <w:spacing w:after="0" w:line="240" w:lineRule="auto"/>
              <w:jc w:val="right"/>
              <w:rPr>
                <w:rFonts w:eastAsia="Times New Roman" w:cs="Calibri"/>
                <w:b/>
                <w:bCs/>
                <w:color w:val="000000"/>
                <w:sz w:val="14"/>
                <w:szCs w:val="14"/>
                <w:lang w:eastAsia="es-MX"/>
              </w:rPr>
            </w:pPr>
            <w:r w:rsidRPr="00BB51AD">
              <w:rPr>
                <w:rFonts w:eastAsia="Times New Roman" w:cs="Calibri"/>
                <w:b/>
                <w:bCs/>
                <w:color w:val="000000"/>
                <w:sz w:val="14"/>
                <w:szCs w:val="14"/>
                <w:lang w:eastAsia="es-MX"/>
              </w:rPr>
              <w:t>231,059,275</w:t>
            </w:r>
          </w:p>
        </w:tc>
      </w:tr>
    </w:tbl>
    <w:p w14:paraId="0984E674" w14:textId="4A899F92" w:rsidR="00276C9A" w:rsidRDefault="00276C9A" w:rsidP="00D30FA3">
      <w:pPr>
        <w:rPr>
          <w:rFonts w:asciiTheme="minorHAnsi" w:hAnsiTheme="minorHAnsi" w:cstheme="minorHAnsi"/>
          <w:b/>
          <w:sz w:val="16"/>
          <w:szCs w:val="18"/>
        </w:rPr>
      </w:pPr>
    </w:p>
    <w:p w14:paraId="7CFFB80F" w14:textId="77777777" w:rsidR="00BB51AD" w:rsidRPr="005F45A3" w:rsidRDefault="00BB51AD" w:rsidP="00D30FA3">
      <w:pPr>
        <w:rPr>
          <w:rFonts w:asciiTheme="minorHAnsi" w:hAnsiTheme="minorHAnsi" w:cstheme="minorHAnsi"/>
          <w:b/>
          <w:sz w:val="16"/>
          <w:szCs w:val="18"/>
        </w:rPr>
      </w:pPr>
    </w:p>
    <w:tbl>
      <w:tblPr>
        <w:tblW w:w="6934" w:type="dxa"/>
        <w:tblInd w:w="75" w:type="dxa"/>
        <w:tblCellMar>
          <w:left w:w="70" w:type="dxa"/>
          <w:right w:w="70" w:type="dxa"/>
        </w:tblCellMar>
        <w:tblLook w:val="04A0" w:firstRow="1" w:lastRow="0" w:firstColumn="1" w:lastColumn="0" w:noHBand="0" w:noVBand="1"/>
      </w:tblPr>
      <w:tblGrid>
        <w:gridCol w:w="5449"/>
        <w:gridCol w:w="1485"/>
      </w:tblGrid>
      <w:tr w:rsidR="00160502" w:rsidRPr="00160502" w14:paraId="7BE10070" w14:textId="77777777" w:rsidTr="00E1039C">
        <w:trPr>
          <w:trHeight w:val="454"/>
        </w:trPr>
        <w:tc>
          <w:tcPr>
            <w:tcW w:w="5449"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EC22786" w14:textId="77777777" w:rsidR="00160502" w:rsidRPr="00160502" w:rsidRDefault="00160502" w:rsidP="00160502">
            <w:pPr>
              <w:spacing w:after="0" w:line="240" w:lineRule="auto"/>
              <w:jc w:val="center"/>
              <w:rPr>
                <w:rFonts w:eastAsia="Times New Roman" w:cs="Calibri"/>
                <w:b/>
                <w:bCs/>
                <w:color w:val="FFFFFF"/>
                <w:sz w:val="20"/>
                <w:szCs w:val="20"/>
                <w:lang w:eastAsia="es-MX"/>
              </w:rPr>
            </w:pPr>
            <w:r w:rsidRPr="00160502">
              <w:rPr>
                <w:rFonts w:eastAsia="Times New Roman" w:cs="Calibri"/>
                <w:b/>
                <w:bCs/>
                <w:color w:val="FFFFFF"/>
                <w:sz w:val="20"/>
                <w:szCs w:val="20"/>
                <w:lang w:eastAsia="es-MX"/>
              </w:rPr>
              <w:t>Cuentas de Orden Presupuestales</w:t>
            </w:r>
          </w:p>
        </w:tc>
        <w:tc>
          <w:tcPr>
            <w:tcW w:w="1485" w:type="dxa"/>
            <w:tcBorders>
              <w:top w:val="single" w:sz="4" w:space="0" w:color="auto"/>
              <w:left w:val="nil"/>
              <w:bottom w:val="single" w:sz="4" w:space="0" w:color="auto"/>
              <w:right w:val="single" w:sz="4" w:space="0" w:color="auto"/>
            </w:tcBorders>
            <w:shd w:val="clear" w:color="000000" w:fill="AB0033"/>
            <w:vAlign w:val="center"/>
            <w:hideMark/>
          </w:tcPr>
          <w:p w14:paraId="69730057" w14:textId="77777777" w:rsidR="00160502" w:rsidRPr="00160502" w:rsidRDefault="00160502" w:rsidP="00160502">
            <w:pPr>
              <w:spacing w:after="0" w:line="240" w:lineRule="auto"/>
              <w:jc w:val="center"/>
              <w:rPr>
                <w:rFonts w:eastAsia="Times New Roman" w:cs="Calibri"/>
                <w:b/>
                <w:bCs/>
                <w:color w:val="FFFFFF"/>
                <w:sz w:val="14"/>
                <w:szCs w:val="14"/>
                <w:lang w:eastAsia="es-MX"/>
              </w:rPr>
            </w:pPr>
            <w:r w:rsidRPr="00160502">
              <w:rPr>
                <w:rFonts w:eastAsia="Times New Roman" w:cs="Calibri"/>
                <w:b/>
                <w:bCs/>
                <w:color w:val="FFFFFF"/>
                <w:sz w:val="14"/>
                <w:szCs w:val="14"/>
                <w:lang w:eastAsia="es-MX"/>
              </w:rPr>
              <w:t> </w:t>
            </w:r>
          </w:p>
        </w:tc>
      </w:tr>
      <w:tr w:rsidR="00160502" w:rsidRPr="00160502" w14:paraId="3E98DB2C"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01DACC0A" w14:textId="77777777" w:rsidR="00160502" w:rsidRPr="00160502" w:rsidRDefault="00160502" w:rsidP="00160502">
            <w:pPr>
              <w:spacing w:after="0" w:line="240" w:lineRule="auto"/>
              <w:jc w:val="center"/>
              <w:rPr>
                <w:rFonts w:eastAsia="Times New Roman" w:cs="Calibri"/>
                <w:b/>
                <w:bCs/>
                <w:color w:val="000000"/>
                <w:sz w:val="18"/>
                <w:szCs w:val="18"/>
                <w:lang w:eastAsia="es-MX"/>
              </w:rPr>
            </w:pPr>
            <w:r w:rsidRPr="00160502">
              <w:rPr>
                <w:rFonts w:eastAsia="Times New Roman" w:cs="Calibri"/>
                <w:b/>
                <w:bCs/>
                <w:color w:val="000000"/>
                <w:sz w:val="18"/>
                <w:szCs w:val="18"/>
                <w:lang w:eastAsia="es-MX"/>
              </w:rPr>
              <w:t>Cuentas de Ingresos</w:t>
            </w:r>
          </w:p>
        </w:tc>
        <w:tc>
          <w:tcPr>
            <w:tcW w:w="1485" w:type="dxa"/>
            <w:tcBorders>
              <w:top w:val="nil"/>
              <w:left w:val="nil"/>
              <w:bottom w:val="single" w:sz="4" w:space="0" w:color="auto"/>
              <w:right w:val="single" w:sz="4" w:space="0" w:color="auto"/>
            </w:tcBorders>
            <w:shd w:val="clear" w:color="auto" w:fill="auto"/>
            <w:vAlign w:val="center"/>
            <w:hideMark/>
          </w:tcPr>
          <w:p w14:paraId="41D25F25" w14:textId="77777777" w:rsidR="00160502" w:rsidRPr="00160502" w:rsidRDefault="00160502" w:rsidP="00160502">
            <w:pPr>
              <w:spacing w:after="0" w:line="240" w:lineRule="auto"/>
              <w:jc w:val="center"/>
              <w:rPr>
                <w:rFonts w:eastAsia="Times New Roman" w:cs="Calibri"/>
                <w:b/>
                <w:bCs/>
                <w:color w:val="000000"/>
                <w:sz w:val="18"/>
                <w:szCs w:val="18"/>
                <w:lang w:eastAsia="es-MX"/>
              </w:rPr>
            </w:pPr>
            <w:r w:rsidRPr="00160502">
              <w:rPr>
                <w:rFonts w:eastAsia="Times New Roman" w:cs="Calibri"/>
                <w:b/>
                <w:bCs/>
                <w:color w:val="000000"/>
                <w:sz w:val="18"/>
                <w:szCs w:val="18"/>
                <w:lang w:eastAsia="es-MX"/>
              </w:rPr>
              <w:t> </w:t>
            </w:r>
          </w:p>
        </w:tc>
      </w:tr>
      <w:tr w:rsidR="00160502" w:rsidRPr="00160502" w14:paraId="55402DF4"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091CF177"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Ley de Ingresos Estimada</w:t>
            </w:r>
          </w:p>
        </w:tc>
        <w:tc>
          <w:tcPr>
            <w:tcW w:w="1485" w:type="dxa"/>
            <w:tcBorders>
              <w:top w:val="nil"/>
              <w:left w:val="nil"/>
              <w:bottom w:val="single" w:sz="4" w:space="0" w:color="auto"/>
              <w:right w:val="single" w:sz="4" w:space="0" w:color="auto"/>
            </w:tcBorders>
            <w:shd w:val="clear" w:color="auto" w:fill="auto"/>
            <w:vAlign w:val="center"/>
            <w:hideMark/>
          </w:tcPr>
          <w:p w14:paraId="36682AD6"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65,089,914,354</w:t>
            </w:r>
          </w:p>
        </w:tc>
      </w:tr>
      <w:tr w:rsidR="00160502" w:rsidRPr="00160502" w14:paraId="42571886"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1A2FDE28"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Ley de Ingresos por Ejecutar</w:t>
            </w:r>
          </w:p>
        </w:tc>
        <w:tc>
          <w:tcPr>
            <w:tcW w:w="1485" w:type="dxa"/>
            <w:tcBorders>
              <w:top w:val="nil"/>
              <w:left w:val="nil"/>
              <w:bottom w:val="single" w:sz="4" w:space="0" w:color="auto"/>
              <w:right w:val="single" w:sz="4" w:space="0" w:color="auto"/>
            </w:tcBorders>
            <w:shd w:val="clear" w:color="auto" w:fill="auto"/>
            <w:vAlign w:val="center"/>
            <w:hideMark/>
          </w:tcPr>
          <w:p w14:paraId="396A6951"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0</w:t>
            </w:r>
          </w:p>
        </w:tc>
      </w:tr>
      <w:tr w:rsidR="00160502" w:rsidRPr="00160502" w14:paraId="75F14C91"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2254AD31"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Modificaciones a la Ley de Ingresos Estimada</w:t>
            </w:r>
          </w:p>
        </w:tc>
        <w:tc>
          <w:tcPr>
            <w:tcW w:w="1485" w:type="dxa"/>
            <w:tcBorders>
              <w:top w:val="nil"/>
              <w:left w:val="nil"/>
              <w:bottom w:val="single" w:sz="4" w:space="0" w:color="auto"/>
              <w:right w:val="single" w:sz="4" w:space="0" w:color="auto"/>
            </w:tcBorders>
            <w:shd w:val="clear" w:color="auto" w:fill="auto"/>
            <w:vAlign w:val="center"/>
            <w:hideMark/>
          </w:tcPr>
          <w:p w14:paraId="2584E27B"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6,730,508,623</w:t>
            </w:r>
          </w:p>
        </w:tc>
      </w:tr>
      <w:tr w:rsidR="00160502" w:rsidRPr="00160502" w14:paraId="6EF9ECAD"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4513463E"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Ley de Ingresos Devengada</w:t>
            </w:r>
          </w:p>
        </w:tc>
        <w:tc>
          <w:tcPr>
            <w:tcW w:w="1485" w:type="dxa"/>
            <w:tcBorders>
              <w:top w:val="nil"/>
              <w:left w:val="nil"/>
              <w:bottom w:val="single" w:sz="4" w:space="0" w:color="auto"/>
              <w:right w:val="single" w:sz="4" w:space="0" w:color="auto"/>
            </w:tcBorders>
            <w:shd w:val="clear" w:color="auto" w:fill="auto"/>
            <w:vAlign w:val="center"/>
            <w:hideMark/>
          </w:tcPr>
          <w:p w14:paraId="0F7AA433"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0</w:t>
            </w:r>
          </w:p>
        </w:tc>
      </w:tr>
      <w:tr w:rsidR="00160502" w:rsidRPr="00160502" w14:paraId="6FF45150"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04F992E0"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Ley de Ingresos Recaudada</w:t>
            </w:r>
          </w:p>
        </w:tc>
        <w:tc>
          <w:tcPr>
            <w:tcW w:w="1485" w:type="dxa"/>
            <w:tcBorders>
              <w:top w:val="nil"/>
              <w:left w:val="nil"/>
              <w:bottom w:val="single" w:sz="4" w:space="0" w:color="auto"/>
              <w:right w:val="single" w:sz="4" w:space="0" w:color="auto"/>
            </w:tcBorders>
            <w:shd w:val="clear" w:color="auto" w:fill="auto"/>
            <w:vAlign w:val="center"/>
            <w:hideMark/>
          </w:tcPr>
          <w:p w14:paraId="75844FBF"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-71,820,422,977</w:t>
            </w:r>
          </w:p>
        </w:tc>
      </w:tr>
      <w:tr w:rsidR="00160502" w:rsidRPr="00160502" w14:paraId="316C30C1"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0AE05EE1" w14:textId="77777777" w:rsidR="00160502" w:rsidRPr="00160502" w:rsidRDefault="00160502" w:rsidP="00160502">
            <w:pPr>
              <w:spacing w:after="0" w:line="240" w:lineRule="auto"/>
              <w:jc w:val="center"/>
              <w:rPr>
                <w:rFonts w:eastAsia="Times New Roman" w:cs="Calibri"/>
                <w:b/>
                <w:bCs/>
                <w:color w:val="000000"/>
                <w:sz w:val="18"/>
                <w:szCs w:val="18"/>
                <w:lang w:eastAsia="es-MX"/>
              </w:rPr>
            </w:pPr>
            <w:r w:rsidRPr="00160502">
              <w:rPr>
                <w:rFonts w:eastAsia="Times New Roman" w:cs="Calibri"/>
                <w:b/>
                <w:bCs/>
                <w:color w:val="000000"/>
                <w:sz w:val="18"/>
                <w:szCs w:val="18"/>
                <w:lang w:eastAsia="es-MX"/>
              </w:rPr>
              <w:t>Cuentas de Egresos</w:t>
            </w:r>
          </w:p>
        </w:tc>
        <w:tc>
          <w:tcPr>
            <w:tcW w:w="1485" w:type="dxa"/>
            <w:tcBorders>
              <w:top w:val="nil"/>
              <w:left w:val="nil"/>
              <w:bottom w:val="single" w:sz="4" w:space="0" w:color="auto"/>
              <w:right w:val="single" w:sz="4" w:space="0" w:color="auto"/>
            </w:tcBorders>
            <w:shd w:val="clear" w:color="auto" w:fill="auto"/>
            <w:vAlign w:val="center"/>
            <w:hideMark/>
          </w:tcPr>
          <w:p w14:paraId="5CA4981B" w14:textId="77777777" w:rsidR="00160502" w:rsidRPr="00160502" w:rsidRDefault="00160502" w:rsidP="00160502">
            <w:pPr>
              <w:spacing w:after="0" w:line="240" w:lineRule="auto"/>
              <w:jc w:val="center"/>
              <w:rPr>
                <w:rFonts w:eastAsia="Times New Roman" w:cs="Calibri"/>
                <w:b/>
                <w:bCs/>
                <w:color w:val="000000"/>
                <w:sz w:val="18"/>
                <w:szCs w:val="18"/>
                <w:lang w:eastAsia="es-MX"/>
              </w:rPr>
            </w:pPr>
            <w:r w:rsidRPr="00160502">
              <w:rPr>
                <w:rFonts w:eastAsia="Times New Roman" w:cs="Calibri"/>
                <w:b/>
                <w:bCs/>
                <w:color w:val="000000"/>
                <w:sz w:val="18"/>
                <w:szCs w:val="18"/>
                <w:lang w:eastAsia="es-MX"/>
              </w:rPr>
              <w:t> </w:t>
            </w:r>
          </w:p>
        </w:tc>
      </w:tr>
      <w:tr w:rsidR="00160502" w:rsidRPr="00160502" w14:paraId="4549638C"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1E973A00"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Presupuesto de Egresos Aprobado</w:t>
            </w:r>
          </w:p>
        </w:tc>
        <w:tc>
          <w:tcPr>
            <w:tcW w:w="1485" w:type="dxa"/>
            <w:tcBorders>
              <w:top w:val="nil"/>
              <w:left w:val="nil"/>
              <w:bottom w:val="single" w:sz="4" w:space="0" w:color="auto"/>
              <w:right w:val="single" w:sz="4" w:space="0" w:color="auto"/>
            </w:tcBorders>
            <w:shd w:val="clear" w:color="auto" w:fill="auto"/>
            <w:vAlign w:val="center"/>
            <w:hideMark/>
          </w:tcPr>
          <w:p w14:paraId="2A98DC55"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-65,089,914,354</w:t>
            </w:r>
          </w:p>
        </w:tc>
      </w:tr>
      <w:tr w:rsidR="00160502" w:rsidRPr="00160502" w14:paraId="206234D8"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2B7CD451"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Presupuesto de Egresos por Ejercer</w:t>
            </w:r>
          </w:p>
        </w:tc>
        <w:tc>
          <w:tcPr>
            <w:tcW w:w="1485" w:type="dxa"/>
            <w:tcBorders>
              <w:top w:val="nil"/>
              <w:left w:val="nil"/>
              <w:bottom w:val="single" w:sz="4" w:space="0" w:color="auto"/>
              <w:right w:val="single" w:sz="4" w:space="0" w:color="auto"/>
            </w:tcBorders>
            <w:shd w:val="clear" w:color="auto" w:fill="auto"/>
            <w:vAlign w:val="center"/>
            <w:hideMark/>
          </w:tcPr>
          <w:p w14:paraId="6EE9F4D3"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0</w:t>
            </w:r>
          </w:p>
        </w:tc>
      </w:tr>
      <w:tr w:rsidR="00160502" w:rsidRPr="00160502" w14:paraId="32160C1C"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72921569"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Modificaciones al Presupuesto de Egresos por Ejercer</w:t>
            </w:r>
          </w:p>
        </w:tc>
        <w:tc>
          <w:tcPr>
            <w:tcW w:w="1485" w:type="dxa"/>
            <w:tcBorders>
              <w:top w:val="nil"/>
              <w:left w:val="nil"/>
              <w:bottom w:val="single" w:sz="4" w:space="0" w:color="auto"/>
              <w:right w:val="single" w:sz="4" w:space="0" w:color="auto"/>
            </w:tcBorders>
            <w:shd w:val="clear" w:color="auto" w:fill="auto"/>
            <w:vAlign w:val="center"/>
            <w:hideMark/>
          </w:tcPr>
          <w:p w14:paraId="694C6044"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-7,783,180,813</w:t>
            </w:r>
          </w:p>
        </w:tc>
      </w:tr>
      <w:tr w:rsidR="00160502" w:rsidRPr="00160502" w14:paraId="09F4C328"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12DB6E3C"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Presupuesto de Egresos Comprometido</w:t>
            </w:r>
          </w:p>
        </w:tc>
        <w:tc>
          <w:tcPr>
            <w:tcW w:w="1485" w:type="dxa"/>
            <w:tcBorders>
              <w:top w:val="nil"/>
              <w:left w:val="nil"/>
              <w:bottom w:val="single" w:sz="4" w:space="0" w:color="auto"/>
              <w:right w:val="single" w:sz="4" w:space="0" w:color="auto"/>
            </w:tcBorders>
            <w:shd w:val="clear" w:color="auto" w:fill="auto"/>
            <w:vAlign w:val="center"/>
            <w:hideMark/>
          </w:tcPr>
          <w:p w14:paraId="0720A208"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1,179,132,156</w:t>
            </w:r>
          </w:p>
        </w:tc>
      </w:tr>
      <w:tr w:rsidR="00160502" w:rsidRPr="00160502" w14:paraId="610F2504"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0DEF9C7E"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Presupuesto de Egresos Devengado</w:t>
            </w:r>
          </w:p>
        </w:tc>
        <w:tc>
          <w:tcPr>
            <w:tcW w:w="1485" w:type="dxa"/>
            <w:tcBorders>
              <w:top w:val="nil"/>
              <w:left w:val="nil"/>
              <w:bottom w:val="single" w:sz="4" w:space="0" w:color="auto"/>
              <w:right w:val="single" w:sz="4" w:space="0" w:color="auto"/>
            </w:tcBorders>
            <w:shd w:val="clear" w:color="auto" w:fill="auto"/>
            <w:vAlign w:val="center"/>
            <w:hideMark/>
          </w:tcPr>
          <w:p w14:paraId="3C5341C6"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0</w:t>
            </w:r>
          </w:p>
        </w:tc>
      </w:tr>
      <w:tr w:rsidR="00160502" w:rsidRPr="00160502" w14:paraId="55F33788"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1D0BED5C"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Presupuesto de Egresos Ejercido</w:t>
            </w:r>
          </w:p>
        </w:tc>
        <w:tc>
          <w:tcPr>
            <w:tcW w:w="1485" w:type="dxa"/>
            <w:tcBorders>
              <w:top w:val="nil"/>
              <w:left w:val="nil"/>
              <w:bottom w:val="single" w:sz="4" w:space="0" w:color="auto"/>
              <w:right w:val="single" w:sz="4" w:space="0" w:color="auto"/>
            </w:tcBorders>
            <w:shd w:val="clear" w:color="auto" w:fill="auto"/>
            <w:vAlign w:val="center"/>
            <w:hideMark/>
          </w:tcPr>
          <w:p w14:paraId="6D9DB344"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855,117,674</w:t>
            </w:r>
          </w:p>
        </w:tc>
      </w:tr>
      <w:tr w:rsidR="00160502" w:rsidRPr="00160502" w14:paraId="47E1D60C" w14:textId="77777777" w:rsidTr="00E1039C">
        <w:trPr>
          <w:trHeight w:val="296"/>
        </w:trPr>
        <w:tc>
          <w:tcPr>
            <w:tcW w:w="5449" w:type="dxa"/>
            <w:tcBorders>
              <w:top w:val="nil"/>
              <w:left w:val="single" w:sz="4" w:space="0" w:color="auto"/>
              <w:bottom w:val="single" w:sz="4" w:space="0" w:color="auto"/>
              <w:right w:val="single" w:sz="4" w:space="0" w:color="auto"/>
            </w:tcBorders>
            <w:shd w:val="clear" w:color="auto" w:fill="auto"/>
            <w:vAlign w:val="center"/>
            <w:hideMark/>
          </w:tcPr>
          <w:p w14:paraId="6EA631BF" w14:textId="77777777" w:rsidR="00160502" w:rsidRPr="00160502" w:rsidRDefault="00160502" w:rsidP="00160502">
            <w:pPr>
              <w:spacing w:after="0" w:line="240" w:lineRule="auto"/>
              <w:rPr>
                <w:rFonts w:eastAsia="Times New Roman" w:cs="Calibri"/>
                <w:color w:val="000000"/>
                <w:sz w:val="14"/>
                <w:szCs w:val="14"/>
                <w:lang w:eastAsia="es-MX"/>
              </w:rPr>
            </w:pPr>
            <w:r w:rsidRPr="00160502">
              <w:rPr>
                <w:rFonts w:eastAsia="Times New Roman" w:cs="Calibri"/>
                <w:color w:val="000000"/>
                <w:sz w:val="14"/>
                <w:szCs w:val="14"/>
                <w:lang w:eastAsia="es-MX"/>
              </w:rPr>
              <w:t>Presupuesto de Egresos Pagado</w:t>
            </w:r>
          </w:p>
        </w:tc>
        <w:tc>
          <w:tcPr>
            <w:tcW w:w="1485" w:type="dxa"/>
            <w:tcBorders>
              <w:top w:val="nil"/>
              <w:left w:val="nil"/>
              <w:bottom w:val="single" w:sz="4" w:space="0" w:color="auto"/>
              <w:right w:val="single" w:sz="4" w:space="0" w:color="auto"/>
            </w:tcBorders>
            <w:shd w:val="clear" w:color="auto" w:fill="auto"/>
            <w:vAlign w:val="center"/>
            <w:hideMark/>
          </w:tcPr>
          <w:p w14:paraId="78CF6851" w14:textId="77777777" w:rsidR="00160502" w:rsidRPr="00160502" w:rsidRDefault="00160502" w:rsidP="00160502">
            <w:pPr>
              <w:spacing w:after="0" w:line="240" w:lineRule="auto"/>
              <w:jc w:val="right"/>
              <w:rPr>
                <w:rFonts w:eastAsia="Times New Roman" w:cs="Calibri"/>
                <w:color w:val="000000"/>
                <w:sz w:val="14"/>
                <w:szCs w:val="14"/>
                <w:lang w:eastAsia="es-MX"/>
              </w:rPr>
            </w:pPr>
            <w:r w:rsidRPr="00160502">
              <w:rPr>
                <w:rFonts w:eastAsia="Times New Roman" w:cs="Calibri"/>
                <w:color w:val="000000"/>
                <w:sz w:val="14"/>
                <w:szCs w:val="14"/>
                <w:lang w:eastAsia="es-MX"/>
              </w:rPr>
              <w:t>70,838,845,337</w:t>
            </w:r>
          </w:p>
        </w:tc>
      </w:tr>
    </w:tbl>
    <w:p w14:paraId="194AEE75" w14:textId="77777777" w:rsidR="00E82555" w:rsidRPr="005F45A3" w:rsidRDefault="00E82555" w:rsidP="00D30FA3">
      <w:pPr>
        <w:rPr>
          <w:rFonts w:asciiTheme="minorHAnsi" w:hAnsiTheme="minorHAnsi" w:cstheme="minorHAnsi"/>
          <w:b/>
          <w:sz w:val="16"/>
          <w:szCs w:val="18"/>
        </w:rPr>
      </w:pPr>
    </w:p>
    <w:p w14:paraId="4A3CB440" w14:textId="77777777" w:rsidR="006D40BE" w:rsidRPr="005F45A3" w:rsidRDefault="006D40BE" w:rsidP="00D30FA3">
      <w:pPr>
        <w:rPr>
          <w:rFonts w:asciiTheme="minorHAnsi" w:hAnsiTheme="minorHAnsi" w:cstheme="minorHAnsi"/>
          <w:b/>
          <w:sz w:val="16"/>
          <w:szCs w:val="18"/>
        </w:rPr>
      </w:pPr>
    </w:p>
    <w:p w14:paraId="75AA2490" w14:textId="77777777" w:rsidR="006D40BE" w:rsidRPr="005F45A3" w:rsidRDefault="006D40BE" w:rsidP="00D30FA3">
      <w:pPr>
        <w:rPr>
          <w:rFonts w:asciiTheme="minorHAnsi" w:hAnsiTheme="minorHAnsi" w:cstheme="minorHAnsi"/>
          <w:b/>
          <w:sz w:val="16"/>
          <w:szCs w:val="18"/>
        </w:rPr>
      </w:pPr>
    </w:p>
    <w:p w14:paraId="0E8FF34C" w14:textId="77777777" w:rsidR="006D5D62" w:rsidRPr="005F45A3" w:rsidRDefault="006D5D62" w:rsidP="00D30FA3">
      <w:pPr>
        <w:rPr>
          <w:rFonts w:asciiTheme="minorHAnsi" w:hAnsiTheme="minorHAnsi" w:cstheme="minorHAnsi"/>
          <w:b/>
          <w:sz w:val="20"/>
          <w:szCs w:val="18"/>
        </w:rPr>
      </w:pPr>
    </w:p>
    <w:p w14:paraId="1895D9D5" w14:textId="7E830813" w:rsidR="00F84522" w:rsidRPr="005F45A3" w:rsidRDefault="00F84522" w:rsidP="00E71435">
      <w:pPr>
        <w:spacing w:after="0"/>
        <w:jc w:val="both"/>
        <w:rPr>
          <w:rFonts w:asciiTheme="minorHAnsi" w:hAnsiTheme="minorHAnsi" w:cstheme="minorHAnsi"/>
          <w:sz w:val="18"/>
          <w:szCs w:val="18"/>
        </w:rPr>
      </w:pPr>
    </w:p>
    <w:p w14:paraId="474FA4F9" w14:textId="77FA4ACA" w:rsidR="00E71435" w:rsidRPr="005F45A3" w:rsidRDefault="00AA7087" w:rsidP="00E71435">
      <w:pPr>
        <w:spacing w:after="0"/>
        <w:jc w:val="both"/>
        <w:rPr>
          <w:rFonts w:asciiTheme="minorHAnsi" w:hAnsiTheme="minorHAnsi" w:cstheme="minorHAnsi"/>
          <w:sz w:val="18"/>
          <w:szCs w:val="18"/>
        </w:rPr>
      </w:pPr>
      <w:r w:rsidRPr="005F45A3">
        <w:rPr>
          <w:rFonts w:asciiTheme="minorHAnsi" w:hAnsiTheme="minorHAnsi" w:cstheme="minorHAnsi"/>
          <w:sz w:val="18"/>
          <w:szCs w:val="18"/>
        </w:rPr>
        <w:t xml:space="preserve">Los importes de las Cuentas de Orden Presupuestarias son tomadas de los informes presupuestales, debido a que en </w:t>
      </w:r>
      <w:r w:rsidR="006E3E86" w:rsidRPr="005F45A3">
        <w:rPr>
          <w:rFonts w:asciiTheme="minorHAnsi" w:hAnsiTheme="minorHAnsi" w:cstheme="minorHAnsi"/>
          <w:sz w:val="18"/>
          <w:szCs w:val="18"/>
        </w:rPr>
        <w:t>el Sistema</w:t>
      </w:r>
      <w:r w:rsidRPr="005F45A3">
        <w:rPr>
          <w:rFonts w:asciiTheme="minorHAnsi" w:hAnsiTheme="minorHAnsi" w:cstheme="minorHAnsi"/>
          <w:sz w:val="18"/>
          <w:szCs w:val="18"/>
        </w:rPr>
        <w:t xml:space="preserve"> de Plataforma Única </w:t>
      </w:r>
      <w:r w:rsidR="000616DD" w:rsidRPr="005F45A3">
        <w:rPr>
          <w:rFonts w:asciiTheme="minorHAnsi" w:hAnsiTheme="minorHAnsi" w:cstheme="minorHAnsi"/>
          <w:sz w:val="18"/>
          <w:szCs w:val="18"/>
        </w:rPr>
        <w:t>aún no se logra igualar el proceso</w:t>
      </w:r>
      <w:r w:rsidR="007A2524">
        <w:rPr>
          <w:rFonts w:asciiTheme="minorHAnsi" w:hAnsiTheme="minorHAnsi" w:cstheme="minorHAnsi"/>
          <w:sz w:val="18"/>
          <w:szCs w:val="18"/>
        </w:rPr>
        <w:t xml:space="preserve"> de cierre presupuestal </w:t>
      </w:r>
      <w:r w:rsidR="001D7822">
        <w:rPr>
          <w:rFonts w:asciiTheme="minorHAnsi" w:hAnsiTheme="minorHAnsi" w:cstheme="minorHAnsi"/>
          <w:sz w:val="18"/>
          <w:szCs w:val="18"/>
        </w:rPr>
        <w:t xml:space="preserve">con el </w:t>
      </w:r>
      <w:r w:rsidR="007A2524">
        <w:rPr>
          <w:rFonts w:asciiTheme="minorHAnsi" w:hAnsiTheme="minorHAnsi" w:cstheme="minorHAnsi"/>
          <w:sz w:val="18"/>
          <w:szCs w:val="18"/>
        </w:rPr>
        <w:t>cierre de cuentas de orden presupuestales</w:t>
      </w:r>
      <w:r w:rsidR="000616DD" w:rsidRPr="005F45A3">
        <w:rPr>
          <w:rFonts w:asciiTheme="minorHAnsi" w:hAnsiTheme="minorHAnsi" w:cstheme="minorHAnsi"/>
          <w:sz w:val="18"/>
          <w:szCs w:val="18"/>
        </w:rPr>
        <w:t>.</w:t>
      </w:r>
    </w:p>
    <w:p w14:paraId="5578C424" w14:textId="197F581F" w:rsidR="006D5D62" w:rsidRPr="005F45A3" w:rsidRDefault="006D5D62" w:rsidP="00E71435">
      <w:pPr>
        <w:spacing w:after="0"/>
        <w:jc w:val="both"/>
        <w:rPr>
          <w:rFonts w:asciiTheme="minorHAnsi" w:hAnsiTheme="minorHAnsi" w:cstheme="minorHAnsi"/>
          <w:sz w:val="18"/>
          <w:szCs w:val="18"/>
        </w:rPr>
      </w:pPr>
    </w:p>
    <w:p w14:paraId="15097132" w14:textId="631B73C8"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1. Valores en custodia: </w:t>
      </w:r>
      <w:r w:rsidR="00291DC2">
        <w:rPr>
          <w:rFonts w:asciiTheme="minorHAnsi" w:eastAsia="Times New Roman" w:hAnsiTheme="minorHAnsi" w:cstheme="minorHAnsi"/>
          <w:sz w:val="18"/>
          <w:szCs w:val="18"/>
          <w:lang w:eastAsia="es-ES"/>
        </w:rPr>
        <w:t xml:space="preserve">   </w:t>
      </w:r>
      <w:r w:rsidRPr="00291DC2">
        <w:rPr>
          <w:rFonts w:asciiTheme="minorHAnsi" w:eastAsia="Times New Roman" w:hAnsiTheme="minorHAnsi" w:cstheme="minorHAnsi"/>
          <w:b/>
          <w:sz w:val="18"/>
          <w:szCs w:val="18"/>
          <w:lang w:eastAsia="es-ES"/>
        </w:rPr>
        <w:t>No Aplica</w:t>
      </w:r>
    </w:p>
    <w:p w14:paraId="26485605" w14:textId="0EB6B119" w:rsidR="004916CF" w:rsidRPr="005F45A3" w:rsidRDefault="004916CF"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4018C2E7" w14:textId="37F4FBCC"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 xml:space="preserve">2. Por tipo de emisión de Instrumento: </w:t>
      </w:r>
      <w:r w:rsidR="00291DC2">
        <w:rPr>
          <w:rFonts w:asciiTheme="minorHAnsi" w:eastAsia="Times New Roman" w:hAnsiTheme="minorHAnsi" w:cstheme="minorHAnsi"/>
          <w:sz w:val="18"/>
          <w:szCs w:val="18"/>
          <w:lang w:eastAsia="es-ES"/>
        </w:rPr>
        <w:t xml:space="preserve">  </w:t>
      </w:r>
      <w:r w:rsidRPr="00291DC2">
        <w:rPr>
          <w:rFonts w:asciiTheme="minorHAnsi" w:eastAsia="Times New Roman" w:hAnsiTheme="minorHAnsi" w:cstheme="minorHAnsi"/>
          <w:b/>
          <w:sz w:val="18"/>
          <w:szCs w:val="18"/>
          <w:lang w:eastAsia="es-ES"/>
        </w:rPr>
        <w:t>No Aplica</w:t>
      </w:r>
    </w:p>
    <w:p w14:paraId="10F9DD88" w14:textId="58AE9C15" w:rsidR="004916CF" w:rsidRPr="005F45A3" w:rsidRDefault="004916CF"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CB45411" w14:textId="494BB79C"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3. Los contratos firmados de construcciones por tipo de contrato:</w:t>
      </w:r>
    </w:p>
    <w:p w14:paraId="57B03926" w14:textId="354E698D" w:rsidR="006C01DB" w:rsidRPr="00291DC2" w:rsidRDefault="006C01DB" w:rsidP="00227900">
      <w:pPr>
        <w:spacing w:after="0" w:line="240" w:lineRule="auto"/>
        <w:ind w:left="142"/>
        <w:rPr>
          <w:rStyle w:val="Hipervnculo"/>
          <w:rFonts w:asciiTheme="minorHAnsi" w:hAnsiTheme="minorHAnsi" w:cstheme="minorHAnsi"/>
          <w:color w:val="AB0033"/>
          <w:sz w:val="18"/>
          <w:szCs w:val="18"/>
          <w:shd w:val="clear" w:color="auto" w:fill="FFFFFF"/>
        </w:rPr>
      </w:pPr>
      <w:r>
        <w:rPr>
          <w:rFonts w:asciiTheme="minorHAnsi" w:eastAsia="Times New Roman" w:hAnsiTheme="minorHAnsi" w:cstheme="minorHAnsi"/>
          <w:sz w:val="18"/>
          <w:szCs w:val="18"/>
          <w:lang w:eastAsia="es-ES"/>
        </w:rPr>
        <w:t>La</w:t>
      </w:r>
      <w:r w:rsidR="007A2524">
        <w:rPr>
          <w:rFonts w:asciiTheme="minorHAnsi" w:eastAsia="Times New Roman" w:hAnsiTheme="minorHAnsi" w:cstheme="minorHAnsi"/>
          <w:sz w:val="18"/>
          <w:szCs w:val="18"/>
          <w:lang w:eastAsia="es-ES"/>
        </w:rPr>
        <w:t xml:space="preserve"> I</w:t>
      </w:r>
      <w:r w:rsidR="00AA7087" w:rsidRPr="005F45A3">
        <w:rPr>
          <w:rFonts w:asciiTheme="minorHAnsi" w:eastAsia="Times New Roman" w:hAnsiTheme="minorHAnsi" w:cstheme="minorHAnsi"/>
          <w:sz w:val="18"/>
          <w:szCs w:val="18"/>
          <w:lang w:eastAsia="es-ES"/>
        </w:rPr>
        <w:t>nformación</w:t>
      </w:r>
      <w:r w:rsidR="004916CF" w:rsidRPr="005F45A3">
        <w:rPr>
          <w:rFonts w:asciiTheme="minorHAnsi" w:eastAsia="Times New Roman" w:hAnsiTheme="minorHAnsi" w:cstheme="minorHAnsi"/>
          <w:sz w:val="18"/>
          <w:szCs w:val="18"/>
          <w:lang w:eastAsia="es-ES"/>
        </w:rPr>
        <w:t xml:space="preserve"> </w:t>
      </w:r>
      <w:r w:rsidR="00467F29" w:rsidRPr="005F45A3">
        <w:rPr>
          <w:rFonts w:asciiTheme="minorHAnsi" w:eastAsia="Times New Roman" w:hAnsiTheme="minorHAnsi" w:cstheme="minorHAnsi"/>
          <w:sz w:val="18"/>
          <w:szCs w:val="18"/>
          <w:lang w:eastAsia="es-ES"/>
        </w:rPr>
        <w:t>la proporciona</w:t>
      </w:r>
      <w:r w:rsidR="00AB2B27" w:rsidRPr="005F45A3">
        <w:rPr>
          <w:rFonts w:asciiTheme="minorHAnsi" w:eastAsia="Times New Roman" w:hAnsiTheme="minorHAnsi" w:cstheme="minorHAnsi"/>
          <w:sz w:val="18"/>
          <w:szCs w:val="18"/>
          <w:lang w:eastAsia="es-ES"/>
        </w:rPr>
        <w:t xml:space="preserve"> la Secretaría de OBRAS Públicas</w:t>
      </w:r>
      <w:r w:rsidR="00467F29" w:rsidRPr="005F45A3">
        <w:rPr>
          <w:rFonts w:asciiTheme="minorHAnsi" w:eastAsia="Times New Roman" w:hAnsiTheme="minorHAnsi" w:cstheme="minorHAnsi"/>
          <w:sz w:val="18"/>
          <w:szCs w:val="18"/>
          <w:lang w:eastAsia="es-ES"/>
        </w:rPr>
        <w:t xml:space="preserve"> ya que</w:t>
      </w:r>
      <w:r w:rsidR="00AB2B27" w:rsidRPr="005F45A3">
        <w:rPr>
          <w:rFonts w:asciiTheme="minorHAnsi" w:eastAsia="Times New Roman" w:hAnsiTheme="minorHAnsi" w:cstheme="minorHAnsi"/>
          <w:sz w:val="18"/>
          <w:szCs w:val="18"/>
          <w:lang w:eastAsia="es-ES"/>
        </w:rPr>
        <w:t xml:space="preserve"> es la dependencia que </w:t>
      </w:r>
      <w:r w:rsidR="00B73CA3" w:rsidRPr="005F45A3">
        <w:rPr>
          <w:rFonts w:asciiTheme="minorHAnsi" w:eastAsia="Times New Roman" w:hAnsiTheme="minorHAnsi" w:cstheme="minorHAnsi"/>
          <w:sz w:val="18"/>
          <w:szCs w:val="18"/>
          <w:lang w:eastAsia="es-ES"/>
        </w:rPr>
        <w:t>resguarda la documentación en</w:t>
      </w:r>
      <w:r w:rsidR="00227900">
        <w:rPr>
          <w:rFonts w:asciiTheme="minorHAnsi" w:eastAsia="Times New Roman" w:hAnsiTheme="minorHAnsi" w:cstheme="minorHAnsi"/>
          <w:sz w:val="18"/>
          <w:szCs w:val="18"/>
          <w:lang w:eastAsia="es-ES"/>
        </w:rPr>
        <w:t xml:space="preserve">             los expe</w:t>
      </w:r>
      <w:r w:rsidR="00B73CA3" w:rsidRPr="005F45A3">
        <w:rPr>
          <w:rFonts w:asciiTheme="minorHAnsi" w:eastAsia="Times New Roman" w:hAnsiTheme="minorHAnsi" w:cstheme="minorHAnsi"/>
          <w:sz w:val="18"/>
          <w:szCs w:val="18"/>
          <w:lang w:eastAsia="es-ES"/>
        </w:rPr>
        <w:t xml:space="preserve">dientes de obra </w:t>
      </w:r>
      <w:r w:rsidR="00D371F4" w:rsidRPr="005F45A3">
        <w:rPr>
          <w:rFonts w:asciiTheme="minorHAnsi" w:eastAsia="Times New Roman" w:hAnsiTheme="minorHAnsi" w:cstheme="minorHAnsi"/>
          <w:sz w:val="18"/>
          <w:szCs w:val="18"/>
          <w:lang w:eastAsia="es-ES"/>
        </w:rPr>
        <w:t>correspondientes</w:t>
      </w:r>
      <w:r>
        <w:rPr>
          <w:rFonts w:asciiTheme="minorHAnsi" w:eastAsia="Times New Roman" w:hAnsiTheme="minorHAnsi" w:cstheme="minorHAnsi"/>
          <w:sz w:val="18"/>
          <w:szCs w:val="18"/>
          <w:lang w:eastAsia="es-ES"/>
        </w:rPr>
        <w:t xml:space="preserve"> y esta publicada en la página</w:t>
      </w:r>
      <w:r w:rsidRPr="00291DC2">
        <w:rPr>
          <w:rFonts w:asciiTheme="minorHAnsi" w:eastAsia="Times New Roman" w:hAnsiTheme="minorHAnsi" w:cstheme="minorHAnsi"/>
          <w:color w:val="AB0033"/>
          <w:sz w:val="18"/>
          <w:szCs w:val="18"/>
          <w:lang w:eastAsia="es-ES"/>
        </w:rPr>
        <w:t xml:space="preserve">: </w:t>
      </w:r>
      <w:r w:rsidRPr="00291DC2">
        <w:rPr>
          <w:rStyle w:val="Hipervnculo"/>
          <w:rFonts w:asciiTheme="minorHAnsi" w:hAnsiTheme="minorHAnsi" w:cstheme="minorHAnsi"/>
          <w:color w:val="AB0033"/>
          <w:sz w:val="18"/>
          <w:szCs w:val="18"/>
          <w:shd w:val="clear" w:color="auto" w:fill="FFFFFF"/>
        </w:rPr>
        <w:fldChar w:fldCharType="begin"/>
      </w:r>
      <w:r w:rsidRPr="00291DC2">
        <w:rPr>
          <w:rStyle w:val="Hipervnculo"/>
          <w:rFonts w:asciiTheme="minorHAnsi" w:hAnsiTheme="minorHAnsi" w:cstheme="minorHAnsi"/>
          <w:color w:val="AB0033"/>
          <w:sz w:val="18"/>
          <w:szCs w:val="18"/>
          <w:shd w:val="clear" w:color="auto" w:fill="FFFFFF"/>
        </w:rPr>
        <w:instrText xml:space="preserve"> HYPERLINK "https://www.plataformadetransparencia.org.mx</w:instrText>
      </w:r>
    </w:p>
    <w:p w14:paraId="1E8D52DB" w14:textId="77777777" w:rsidR="006C01DB" w:rsidRPr="00291DC2" w:rsidRDefault="006C01DB" w:rsidP="00227900">
      <w:pPr>
        <w:spacing w:after="0" w:line="240" w:lineRule="auto"/>
        <w:ind w:left="142"/>
        <w:rPr>
          <w:rStyle w:val="Hipervnculo"/>
          <w:rFonts w:asciiTheme="minorHAnsi" w:hAnsiTheme="minorHAnsi" w:cstheme="minorHAnsi"/>
          <w:color w:val="AB0033"/>
          <w:sz w:val="18"/>
          <w:szCs w:val="18"/>
          <w:shd w:val="clear" w:color="auto" w:fill="FFFFFF"/>
        </w:rPr>
      </w:pPr>
      <w:r w:rsidRPr="00291DC2">
        <w:rPr>
          <w:rStyle w:val="Hipervnculo"/>
          <w:rFonts w:asciiTheme="minorHAnsi" w:hAnsiTheme="minorHAnsi" w:cstheme="minorHAnsi"/>
          <w:color w:val="AB0033"/>
          <w:sz w:val="18"/>
          <w:szCs w:val="18"/>
          <w:shd w:val="clear" w:color="auto" w:fill="FFFFFF"/>
        </w:rPr>
        <w:instrText xml:space="preserve">" </w:instrText>
      </w:r>
      <w:r w:rsidRPr="00291DC2">
        <w:rPr>
          <w:rStyle w:val="Hipervnculo"/>
          <w:rFonts w:asciiTheme="minorHAnsi" w:hAnsiTheme="minorHAnsi" w:cstheme="minorHAnsi"/>
          <w:color w:val="AB0033"/>
          <w:sz w:val="18"/>
          <w:szCs w:val="18"/>
          <w:shd w:val="clear" w:color="auto" w:fill="FFFFFF"/>
        </w:rPr>
        <w:fldChar w:fldCharType="separate"/>
      </w:r>
      <w:r w:rsidRPr="00291DC2">
        <w:rPr>
          <w:rStyle w:val="Hipervnculo"/>
          <w:rFonts w:asciiTheme="minorHAnsi" w:hAnsiTheme="minorHAnsi" w:cstheme="minorHAnsi"/>
          <w:color w:val="AB0033"/>
          <w:sz w:val="18"/>
          <w:szCs w:val="18"/>
          <w:shd w:val="clear" w:color="auto" w:fill="FFFFFF"/>
        </w:rPr>
        <w:t>https://www.plataformadetransparencia.org.mx</w:t>
      </w:r>
    </w:p>
    <w:p w14:paraId="0D09E9B8" w14:textId="2EB04C30" w:rsidR="00AA7087" w:rsidRPr="00291DC2" w:rsidRDefault="006C01DB" w:rsidP="00227900">
      <w:pPr>
        <w:spacing w:after="0" w:line="240" w:lineRule="auto"/>
        <w:ind w:left="142"/>
        <w:rPr>
          <w:rStyle w:val="Hipervnculo"/>
          <w:rFonts w:ascii="Arial" w:hAnsi="Arial" w:cs="Arial"/>
          <w:color w:val="AB0033"/>
          <w:sz w:val="18"/>
          <w:szCs w:val="18"/>
          <w:shd w:val="clear" w:color="auto" w:fill="FFFFFF"/>
        </w:rPr>
      </w:pPr>
      <w:r w:rsidRPr="00291DC2">
        <w:rPr>
          <w:rStyle w:val="Hipervnculo"/>
          <w:rFonts w:asciiTheme="minorHAnsi" w:hAnsiTheme="minorHAnsi" w:cstheme="minorHAnsi"/>
          <w:color w:val="AB0033"/>
          <w:sz w:val="18"/>
          <w:szCs w:val="18"/>
          <w:shd w:val="clear" w:color="auto" w:fill="FFFFFF"/>
        </w:rPr>
        <w:fldChar w:fldCharType="end"/>
      </w:r>
    </w:p>
    <w:p w14:paraId="5057EDA4" w14:textId="0971E54E" w:rsidR="003669E2" w:rsidRPr="005F45A3" w:rsidRDefault="003669E2" w:rsidP="00F64709">
      <w:pPr>
        <w:tabs>
          <w:tab w:val="left" w:pos="720"/>
        </w:tabs>
        <w:spacing w:after="0" w:line="240" w:lineRule="exact"/>
        <w:jc w:val="both"/>
        <w:rPr>
          <w:rFonts w:asciiTheme="minorHAnsi" w:eastAsia="Times New Roman" w:hAnsiTheme="minorHAnsi" w:cstheme="minorHAnsi"/>
          <w:sz w:val="16"/>
          <w:szCs w:val="18"/>
          <w:lang w:eastAsia="es-ES"/>
        </w:rPr>
      </w:pPr>
    </w:p>
    <w:p w14:paraId="58449673" w14:textId="0E010B53" w:rsidR="007506CA" w:rsidRDefault="007506CA"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91C23AD" w14:textId="27918A5A" w:rsidR="00E1039C" w:rsidRDefault="00E1039C"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157564C2" w14:textId="77777777" w:rsidR="00E1039C" w:rsidRPr="005F45A3" w:rsidRDefault="00E1039C"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5A4CACDE" w14:textId="065BEE11" w:rsidR="00BB544D" w:rsidRPr="005F45A3" w:rsidRDefault="00BB544D" w:rsidP="00AA7087">
      <w:pPr>
        <w:tabs>
          <w:tab w:val="left" w:pos="720"/>
        </w:tabs>
        <w:spacing w:after="0" w:line="240" w:lineRule="exact"/>
        <w:ind w:left="432" w:hanging="432"/>
        <w:jc w:val="both"/>
        <w:rPr>
          <w:rFonts w:asciiTheme="minorHAnsi" w:eastAsia="Times New Roman" w:hAnsiTheme="minorHAnsi" w:cstheme="minorHAnsi"/>
          <w:sz w:val="18"/>
          <w:szCs w:val="18"/>
          <w:lang w:eastAsia="es-ES"/>
        </w:rPr>
      </w:pPr>
    </w:p>
    <w:p w14:paraId="4A909A7D" w14:textId="01E2047A"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roofErr w:type="gramStart"/>
      <w:r w:rsidRPr="005F45A3">
        <w:rPr>
          <w:rFonts w:asciiTheme="minorHAnsi" w:eastAsia="Times New Roman" w:hAnsiTheme="minorHAnsi" w:cstheme="minorHAnsi"/>
          <w:sz w:val="14"/>
          <w:szCs w:val="14"/>
          <w:lang w:val="es-ES" w:eastAsia="es-ES"/>
        </w:rPr>
        <w:t>“ Bajo</w:t>
      </w:r>
      <w:proofErr w:type="gramEnd"/>
      <w:r w:rsidRPr="005F45A3">
        <w:rPr>
          <w:rFonts w:asciiTheme="minorHAnsi" w:eastAsia="Times New Roman" w:hAnsiTheme="minorHAnsi" w:cstheme="minorHAnsi"/>
          <w:sz w:val="14"/>
          <w:szCs w:val="14"/>
          <w:lang w:val="es-ES" w:eastAsia="es-ES"/>
        </w:rPr>
        <w:t xml:space="preserve"> protesta de decir verdad declaramos que los Estados Financieros y sus Notas</w:t>
      </w:r>
      <w:r w:rsidR="002A58A0">
        <w:rPr>
          <w:rFonts w:asciiTheme="minorHAnsi" w:eastAsia="Times New Roman" w:hAnsiTheme="minorHAnsi" w:cstheme="minorHAnsi"/>
          <w:sz w:val="14"/>
          <w:szCs w:val="14"/>
          <w:lang w:val="es-ES" w:eastAsia="es-ES"/>
        </w:rPr>
        <w:t>,</w:t>
      </w:r>
      <w:r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28837F15" w14:textId="7699A22C"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57AF2204" w14:textId="3ACE5558" w:rsidR="00BB544D" w:rsidRDefault="00BB544D" w:rsidP="00BB544D">
      <w:pPr>
        <w:spacing w:after="0" w:line="240" w:lineRule="auto"/>
        <w:rPr>
          <w:rFonts w:asciiTheme="minorHAnsi" w:eastAsia="Times New Roman" w:hAnsiTheme="minorHAnsi" w:cstheme="minorHAnsi"/>
          <w:sz w:val="14"/>
          <w:szCs w:val="14"/>
          <w:lang w:val="es-ES" w:eastAsia="es-ES"/>
        </w:rPr>
      </w:pPr>
    </w:p>
    <w:p w14:paraId="18ACDD40" w14:textId="3AB09048" w:rsidR="002A58A0" w:rsidRDefault="002A58A0" w:rsidP="00BB544D">
      <w:pPr>
        <w:spacing w:after="0" w:line="240" w:lineRule="auto"/>
        <w:rPr>
          <w:rFonts w:asciiTheme="minorHAnsi" w:eastAsia="Times New Roman" w:hAnsiTheme="minorHAnsi" w:cstheme="minorHAnsi"/>
          <w:sz w:val="14"/>
          <w:szCs w:val="14"/>
          <w:lang w:val="es-ES" w:eastAsia="es-ES"/>
        </w:rPr>
      </w:pPr>
    </w:p>
    <w:p w14:paraId="229BDE31" w14:textId="77777777" w:rsidR="002A58A0" w:rsidRPr="005F45A3" w:rsidRDefault="002A58A0" w:rsidP="00BB544D">
      <w:pPr>
        <w:spacing w:after="0" w:line="240" w:lineRule="auto"/>
        <w:rPr>
          <w:rFonts w:asciiTheme="minorHAnsi" w:eastAsia="Times New Roman" w:hAnsiTheme="minorHAnsi" w:cstheme="minorHAnsi"/>
          <w:sz w:val="14"/>
          <w:szCs w:val="14"/>
          <w:lang w:val="es-ES" w:eastAsia="es-ES"/>
        </w:rPr>
      </w:pPr>
    </w:p>
    <w:p w14:paraId="74B8E80A" w14:textId="160B0576"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74AAB9BF" w14:textId="2F4F42AB"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54A4C6CD" w14:textId="2D84C7DA"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506B8E66" w14:textId="33EDB87F"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4942B66C" w14:textId="70779DB4"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1F5D1F22" w14:textId="66B7CEFE"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52802348" w14:textId="655A9445" w:rsidR="00B511FE" w:rsidRPr="005F45A3" w:rsidRDefault="00B511FE" w:rsidP="00BB544D">
      <w:pPr>
        <w:spacing w:after="0" w:line="240" w:lineRule="auto"/>
        <w:rPr>
          <w:rFonts w:asciiTheme="minorHAnsi" w:eastAsia="Times New Roman" w:hAnsiTheme="minorHAnsi" w:cstheme="minorHAnsi"/>
          <w:sz w:val="14"/>
          <w:szCs w:val="14"/>
          <w:lang w:val="es-ES" w:eastAsia="es-ES"/>
        </w:rPr>
      </w:pPr>
    </w:p>
    <w:p w14:paraId="18D66962" w14:textId="3B015E90"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7495A17A" w14:textId="18668138"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2B60AD19" w14:textId="09F59FE1"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19EC0F02" w14:textId="77777777" w:rsidR="00BB544D" w:rsidRPr="005F45A3" w:rsidRDefault="00BB544D" w:rsidP="00BB544D">
      <w:pPr>
        <w:spacing w:after="0" w:line="240" w:lineRule="auto"/>
        <w:rPr>
          <w:rFonts w:asciiTheme="minorHAnsi" w:eastAsia="Times New Roman" w:hAnsiTheme="minorHAnsi" w:cstheme="minorHAnsi"/>
          <w:sz w:val="14"/>
          <w:szCs w:val="14"/>
          <w:lang w:val="es-ES" w:eastAsia="es-ES"/>
        </w:rPr>
      </w:pPr>
    </w:p>
    <w:p w14:paraId="10088902" w14:textId="77777777" w:rsidR="00BB544D" w:rsidRPr="005F45A3" w:rsidRDefault="00BB544D" w:rsidP="00BB544D">
      <w:pPr>
        <w:spacing w:after="0" w:line="240" w:lineRule="auto"/>
        <w:jc w:val="center"/>
        <w:rPr>
          <w:rFonts w:asciiTheme="minorHAnsi" w:eastAsia="Times New Roman" w:hAnsiTheme="minorHAnsi" w:cstheme="minorHAnsi"/>
          <w:sz w:val="14"/>
          <w:szCs w:val="14"/>
          <w:lang w:val="es-ES" w:eastAsia="es-ES"/>
        </w:rPr>
      </w:pPr>
    </w:p>
    <w:p w14:paraId="327CDDEE" w14:textId="77777777" w:rsidR="00532260" w:rsidRPr="005F45A3" w:rsidRDefault="00532260" w:rsidP="00AA7087">
      <w:pPr>
        <w:pStyle w:val="Texto"/>
        <w:spacing w:after="0" w:line="240" w:lineRule="exact"/>
        <w:jc w:val="center"/>
        <w:rPr>
          <w:rFonts w:asciiTheme="minorHAnsi" w:hAnsiTheme="minorHAnsi" w:cstheme="minorHAnsi"/>
          <w:b/>
          <w:sz w:val="22"/>
          <w:szCs w:val="22"/>
        </w:rPr>
      </w:pPr>
    </w:p>
    <w:p w14:paraId="7B5AC2E2" w14:textId="77777777" w:rsidR="00F62E1E" w:rsidRPr="005F45A3" w:rsidRDefault="00F62E1E" w:rsidP="00AA7087">
      <w:pPr>
        <w:pStyle w:val="Texto"/>
        <w:spacing w:after="0" w:line="240" w:lineRule="exact"/>
        <w:jc w:val="center"/>
        <w:rPr>
          <w:rFonts w:asciiTheme="minorHAnsi" w:hAnsiTheme="minorHAnsi" w:cstheme="minorHAnsi"/>
          <w:b/>
          <w:sz w:val="22"/>
          <w:szCs w:val="22"/>
        </w:rPr>
      </w:pPr>
    </w:p>
    <w:p w14:paraId="63F3469E"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06E9189B"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3761B9CB"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3B215F29"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0A4C8D80"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35DD26AA"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00212652"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12C7D41C"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1720F21E"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65F536BA"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0B417B0F"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6A1AB34E"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1D5DB4C5" w14:textId="77777777" w:rsidR="00A6176A" w:rsidRPr="005F45A3" w:rsidRDefault="00A6176A" w:rsidP="00AA7087">
      <w:pPr>
        <w:pStyle w:val="Texto"/>
        <w:spacing w:after="0" w:line="240" w:lineRule="exact"/>
        <w:jc w:val="center"/>
        <w:rPr>
          <w:rFonts w:asciiTheme="minorHAnsi" w:hAnsiTheme="minorHAnsi" w:cstheme="minorHAnsi"/>
          <w:b/>
          <w:sz w:val="22"/>
          <w:szCs w:val="22"/>
        </w:rPr>
      </w:pPr>
    </w:p>
    <w:p w14:paraId="2EEC9F97" w14:textId="6A634EA8" w:rsidR="00A6176A" w:rsidRDefault="00A6176A" w:rsidP="00AA7087">
      <w:pPr>
        <w:pStyle w:val="Texto"/>
        <w:spacing w:after="0" w:line="240" w:lineRule="exact"/>
        <w:jc w:val="center"/>
        <w:rPr>
          <w:rFonts w:asciiTheme="minorHAnsi" w:hAnsiTheme="minorHAnsi" w:cstheme="minorHAnsi"/>
          <w:b/>
          <w:sz w:val="22"/>
          <w:szCs w:val="22"/>
        </w:rPr>
      </w:pPr>
    </w:p>
    <w:p w14:paraId="7ECD6662" w14:textId="28DDB843" w:rsidR="001769F0" w:rsidRDefault="001769F0" w:rsidP="00AA7087">
      <w:pPr>
        <w:pStyle w:val="Texto"/>
        <w:spacing w:after="0" w:line="240" w:lineRule="exact"/>
        <w:jc w:val="center"/>
        <w:rPr>
          <w:rFonts w:asciiTheme="minorHAnsi" w:hAnsiTheme="minorHAnsi" w:cstheme="minorHAnsi"/>
          <w:b/>
          <w:sz w:val="22"/>
          <w:szCs w:val="22"/>
        </w:rPr>
      </w:pPr>
    </w:p>
    <w:p w14:paraId="5CF2A327" w14:textId="6369ED93" w:rsidR="001769F0" w:rsidRDefault="001769F0" w:rsidP="00AA7087">
      <w:pPr>
        <w:pStyle w:val="Texto"/>
        <w:spacing w:after="0" w:line="240" w:lineRule="exact"/>
        <w:jc w:val="center"/>
        <w:rPr>
          <w:rFonts w:asciiTheme="minorHAnsi" w:hAnsiTheme="minorHAnsi" w:cstheme="minorHAnsi"/>
          <w:b/>
          <w:sz w:val="22"/>
          <w:szCs w:val="22"/>
        </w:rPr>
      </w:pPr>
    </w:p>
    <w:p w14:paraId="71CC1B82" w14:textId="77777777" w:rsidR="001769F0" w:rsidRPr="005F45A3" w:rsidRDefault="001769F0" w:rsidP="00AA7087">
      <w:pPr>
        <w:pStyle w:val="Texto"/>
        <w:spacing w:after="0" w:line="240" w:lineRule="exact"/>
        <w:jc w:val="center"/>
        <w:rPr>
          <w:rFonts w:asciiTheme="minorHAnsi" w:hAnsiTheme="minorHAnsi" w:cstheme="minorHAnsi"/>
          <w:b/>
          <w:sz w:val="22"/>
          <w:szCs w:val="22"/>
        </w:rPr>
      </w:pPr>
    </w:p>
    <w:p w14:paraId="46B33C45" w14:textId="43FBDEF0" w:rsidR="00A6176A" w:rsidRDefault="00A6176A" w:rsidP="00AA7087">
      <w:pPr>
        <w:pStyle w:val="Texto"/>
        <w:spacing w:after="0" w:line="240" w:lineRule="exact"/>
        <w:jc w:val="center"/>
        <w:rPr>
          <w:rFonts w:asciiTheme="minorHAnsi" w:hAnsiTheme="minorHAnsi" w:cstheme="minorHAnsi"/>
          <w:b/>
          <w:sz w:val="22"/>
          <w:szCs w:val="22"/>
        </w:rPr>
      </w:pPr>
    </w:p>
    <w:p w14:paraId="30A481AB" w14:textId="320F46DA" w:rsidR="0033058C" w:rsidRDefault="0033058C" w:rsidP="00AA7087">
      <w:pPr>
        <w:pStyle w:val="Texto"/>
        <w:spacing w:after="0" w:line="240" w:lineRule="exact"/>
        <w:jc w:val="center"/>
        <w:rPr>
          <w:rFonts w:asciiTheme="minorHAnsi" w:hAnsiTheme="minorHAnsi" w:cstheme="minorHAnsi"/>
          <w:b/>
          <w:sz w:val="22"/>
          <w:szCs w:val="22"/>
        </w:rPr>
      </w:pPr>
    </w:p>
    <w:p w14:paraId="0F1DE8D9" w14:textId="097A8389" w:rsidR="0033058C" w:rsidRDefault="0033058C" w:rsidP="00AA7087">
      <w:pPr>
        <w:pStyle w:val="Texto"/>
        <w:spacing w:after="0" w:line="240" w:lineRule="exact"/>
        <w:jc w:val="center"/>
        <w:rPr>
          <w:rFonts w:asciiTheme="minorHAnsi" w:hAnsiTheme="minorHAnsi" w:cstheme="minorHAnsi"/>
          <w:b/>
          <w:sz w:val="22"/>
          <w:szCs w:val="22"/>
        </w:rPr>
      </w:pPr>
    </w:p>
    <w:p w14:paraId="3707A167" w14:textId="77777777" w:rsidR="00AA7087" w:rsidRPr="005F45A3" w:rsidRDefault="00D662D8" w:rsidP="00AA7087">
      <w:pPr>
        <w:pStyle w:val="Texto"/>
        <w:spacing w:after="0" w:line="240" w:lineRule="exact"/>
        <w:jc w:val="center"/>
        <w:rPr>
          <w:rFonts w:asciiTheme="minorHAnsi" w:hAnsiTheme="minorHAnsi" w:cstheme="minorHAnsi"/>
          <w:b/>
          <w:sz w:val="22"/>
          <w:szCs w:val="22"/>
        </w:rPr>
      </w:pPr>
      <w:r w:rsidRPr="005F45A3">
        <w:rPr>
          <w:rFonts w:asciiTheme="minorHAnsi" w:hAnsiTheme="minorHAnsi" w:cstheme="minorHAnsi"/>
          <w:b/>
          <w:sz w:val="22"/>
          <w:szCs w:val="22"/>
        </w:rPr>
        <w:t>N</w:t>
      </w:r>
      <w:r w:rsidR="00AA7087" w:rsidRPr="005F45A3">
        <w:rPr>
          <w:rFonts w:asciiTheme="minorHAnsi" w:hAnsiTheme="minorHAnsi" w:cstheme="minorHAnsi"/>
          <w:b/>
          <w:sz w:val="22"/>
          <w:szCs w:val="22"/>
        </w:rPr>
        <w:t>OTAS A LOS ESTADOS FINANCIEROS</w:t>
      </w:r>
    </w:p>
    <w:p w14:paraId="3AC7AD02" w14:textId="77777777" w:rsidR="00AA7087" w:rsidRPr="005F45A3" w:rsidRDefault="00AA7087" w:rsidP="00AA7087">
      <w:pPr>
        <w:tabs>
          <w:tab w:val="left" w:pos="720"/>
        </w:tabs>
        <w:spacing w:after="0" w:line="240" w:lineRule="exact"/>
        <w:ind w:left="432" w:hanging="432"/>
        <w:jc w:val="both"/>
        <w:rPr>
          <w:rFonts w:asciiTheme="minorHAnsi" w:eastAsia="Times New Roman" w:hAnsiTheme="minorHAnsi" w:cstheme="minorHAnsi"/>
          <w:lang w:eastAsia="es-ES"/>
        </w:rPr>
      </w:pPr>
    </w:p>
    <w:p w14:paraId="1944EF3C" w14:textId="77777777" w:rsidR="00AA7087" w:rsidRPr="005F45A3" w:rsidRDefault="00AA7087" w:rsidP="00AA7087">
      <w:pPr>
        <w:spacing w:after="0" w:line="240" w:lineRule="exact"/>
        <w:jc w:val="center"/>
        <w:rPr>
          <w:rFonts w:asciiTheme="minorHAnsi" w:eastAsia="Times New Roman" w:hAnsiTheme="minorHAnsi" w:cstheme="minorHAnsi"/>
          <w:b/>
          <w:lang w:eastAsia="es-ES"/>
        </w:rPr>
      </w:pPr>
    </w:p>
    <w:p w14:paraId="049A8B8B" w14:textId="77777777" w:rsidR="00AA7087" w:rsidRPr="005F45A3" w:rsidRDefault="00AA7087" w:rsidP="00E96120">
      <w:pPr>
        <w:pStyle w:val="Prrafodelista"/>
        <w:numPr>
          <w:ilvl w:val="0"/>
          <w:numId w:val="5"/>
        </w:numPr>
        <w:spacing w:after="0" w:line="240" w:lineRule="exact"/>
        <w:ind w:left="567" w:hanging="283"/>
        <w:jc w:val="center"/>
        <w:rPr>
          <w:rFonts w:asciiTheme="minorHAnsi" w:eastAsia="Times New Roman" w:hAnsiTheme="minorHAnsi" w:cstheme="minorHAnsi"/>
          <w:b/>
          <w:lang w:eastAsia="es-ES"/>
        </w:rPr>
      </w:pPr>
      <w:r w:rsidRPr="005F45A3">
        <w:rPr>
          <w:rFonts w:asciiTheme="minorHAnsi" w:eastAsia="Times New Roman" w:hAnsiTheme="minorHAnsi" w:cstheme="minorHAnsi"/>
          <w:b/>
          <w:lang w:eastAsia="es-ES"/>
        </w:rPr>
        <w:t>Notas de Gestión Administrativa</w:t>
      </w:r>
    </w:p>
    <w:p w14:paraId="37E8168F" w14:textId="77777777" w:rsidR="00AA7087" w:rsidRPr="005F45A3" w:rsidRDefault="00AA7087" w:rsidP="00AA7087">
      <w:pPr>
        <w:pStyle w:val="Prrafodelista"/>
        <w:spacing w:after="0" w:line="240" w:lineRule="exact"/>
        <w:ind w:left="648"/>
        <w:rPr>
          <w:rFonts w:asciiTheme="minorHAnsi" w:eastAsia="Times New Roman" w:hAnsiTheme="minorHAnsi" w:cstheme="minorHAnsi"/>
          <w:b/>
          <w:sz w:val="18"/>
          <w:szCs w:val="18"/>
          <w:lang w:eastAsia="es-ES"/>
        </w:rPr>
      </w:pPr>
    </w:p>
    <w:p w14:paraId="5DB6353A" w14:textId="77777777" w:rsidR="00AA7087" w:rsidRPr="00E850D6" w:rsidRDefault="00AA7087" w:rsidP="00D84B13">
      <w:pPr>
        <w:pStyle w:val="Prrafodelista"/>
        <w:numPr>
          <w:ilvl w:val="0"/>
          <w:numId w:val="1"/>
        </w:numPr>
        <w:spacing w:after="0" w:line="240" w:lineRule="exact"/>
        <w:jc w:val="both"/>
        <w:rPr>
          <w:rFonts w:asciiTheme="minorHAnsi" w:eastAsia="Times New Roman" w:hAnsiTheme="minorHAnsi" w:cstheme="minorHAnsi"/>
          <w:b/>
          <w:sz w:val="20"/>
          <w:szCs w:val="18"/>
          <w:lang w:val="es-ES" w:eastAsia="es-ES"/>
        </w:rPr>
      </w:pPr>
      <w:r w:rsidRPr="00E850D6">
        <w:rPr>
          <w:rFonts w:asciiTheme="minorHAnsi" w:eastAsia="Times New Roman" w:hAnsiTheme="minorHAnsi" w:cstheme="minorHAnsi"/>
          <w:b/>
          <w:sz w:val="20"/>
          <w:szCs w:val="18"/>
          <w:lang w:eastAsia="es-ES"/>
        </w:rPr>
        <w:t>Introducción</w:t>
      </w:r>
    </w:p>
    <w:p w14:paraId="3224E4A3" w14:textId="77777777" w:rsidR="00AA7087" w:rsidRPr="00E850D6" w:rsidRDefault="00AA7087" w:rsidP="00AA7087">
      <w:pPr>
        <w:pStyle w:val="Prrafodelista"/>
        <w:spacing w:after="0" w:line="240" w:lineRule="exact"/>
        <w:ind w:left="360"/>
        <w:jc w:val="both"/>
        <w:rPr>
          <w:rFonts w:asciiTheme="minorHAnsi" w:eastAsia="Times New Roman" w:hAnsiTheme="minorHAnsi" w:cstheme="minorHAnsi"/>
          <w:b/>
          <w:sz w:val="20"/>
          <w:szCs w:val="20"/>
          <w:lang w:val="es-ES" w:eastAsia="es-ES"/>
        </w:rPr>
      </w:pPr>
    </w:p>
    <w:p w14:paraId="4C6410A3" w14:textId="26E71A83" w:rsidR="00F25306" w:rsidRPr="00E850D6" w:rsidRDefault="00F25306" w:rsidP="00E96120">
      <w:pPr>
        <w:pStyle w:val="Prrafodelista"/>
        <w:shd w:val="clear" w:color="auto" w:fill="FFFFFF" w:themeFill="background1"/>
        <w:spacing w:after="0" w:line="240" w:lineRule="exact"/>
        <w:ind w:left="0"/>
        <w:jc w:val="both"/>
        <w:rPr>
          <w:rFonts w:asciiTheme="minorHAnsi" w:eastAsia="Times New Roman" w:hAnsiTheme="minorHAnsi" w:cstheme="minorHAnsi"/>
          <w:sz w:val="20"/>
          <w:szCs w:val="20"/>
          <w:lang w:val="es-ES" w:eastAsia="es-ES"/>
        </w:rPr>
      </w:pPr>
      <w:r w:rsidRPr="00E850D6">
        <w:rPr>
          <w:rFonts w:asciiTheme="minorHAnsi" w:eastAsia="Times New Roman" w:hAnsiTheme="minorHAnsi" w:cstheme="minorHAnsi"/>
          <w:sz w:val="20"/>
          <w:szCs w:val="20"/>
          <w:lang w:val="es-ES" w:eastAsia="es-ES"/>
        </w:rPr>
        <w:t>En cumplimiento a la Ley General de Contabilidad Gubernamental se presenta la Información Contable,    Presupuestal y Programática del Poder Ejecutivo del Estado de Tamaulipas bajo la Normatividad emitida por el Consejo Nacional del Armonización Contable y la Ley del Gasto Público Estatal, apegándose a</w:t>
      </w:r>
      <w:r w:rsidR="007440C9" w:rsidRPr="00E850D6">
        <w:rPr>
          <w:rFonts w:asciiTheme="minorHAnsi" w:eastAsia="Times New Roman" w:hAnsiTheme="minorHAnsi" w:cstheme="minorHAnsi"/>
          <w:sz w:val="20"/>
          <w:szCs w:val="20"/>
          <w:lang w:val="es-ES" w:eastAsia="es-ES"/>
        </w:rPr>
        <w:t xml:space="preserve"> la Ley de Ingresos para el 2022</w:t>
      </w:r>
      <w:r w:rsidRPr="00E850D6">
        <w:rPr>
          <w:rFonts w:asciiTheme="minorHAnsi" w:eastAsia="Times New Roman" w:hAnsiTheme="minorHAnsi" w:cstheme="minorHAnsi"/>
          <w:sz w:val="20"/>
          <w:szCs w:val="20"/>
          <w:lang w:val="es-ES" w:eastAsia="es-ES"/>
        </w:rPr>
        <w:t xml:space="preserve">, aprobada mediante el Decreto </w:t>
      </w:r>
      <w:r w:rsidR="007440C9" w:rsidRPr="00E850D6">
        <w:rPr>
          <w:rFonts w:asciiTheme="minorHAnsi" w:eastAsia="Times New Roman" w:hAnsiTheme="minorHAnsi" w:cstheme="minorHAnsi"/>
          <w:sz w:val="20"/>
          <w:szCs w:val="20"/>
          <w:lang w:val="es-ES" w:eastAsia="es-ES"/>
        </w:rPr>
        <w:t>No.65-105</w:t>
      </w:r>
      <w:r w:rsidRPr="00E850D6">
        <w:rPr>
          <w:rFonts w:asciiTheme="minorHAnsi" w:eastAsia="Times New Roman" w:hAnsiTheme="minorHAnsi" w:cstheme="minorHAnsi"/>
          <w:sz w:val="20"/>
          <w:szCs w:val="20"/>
          <w:lang w:val="es-ES" w:eastAsia="es-ES"/>
        </w:rPr>
        <w:t>,</w:t>
      </w:r>
      <w:r w:rsidR="007440C9" w:rsidRPr="00E850D6">
        <w:rPr>
          <w:rFonts w:asciiTheme="minorHAnsi" w:eastAsia="Times New Roman" w:hAnsiTheme="minorHAnsi" w:cstheme="minorHAnsi"/>
          <w:sz w:val="20"/>
          <w:szCs w:val="20"/>
          <w:lang w:val="es-ES" w:eastAsia="es-ES"/>
        </w:rPr>
        <w:t xml:space="preserve"> la aplicación provisional del Presupuesto de Egresos del Estado para el Ejercicio 2021 ambos</w:t>
      </w:r>
      <w:r w:rsidRPr="00E850D6">
        <w:rPr>
          <w:rFonts w:asciiTheme="minorHAnsi" w:eastAsia="Times New Roman" w:hAnsiTheme="minorHAnsi" w:cstheme="minorHAnsi"/>
          <w:sz w:val="20"/>
          <w:szCs w:val="20"/>
          <w:lang w:val="es-ES" w:eastAsia="es-ES"/>
        </w:rPr>
        <w:t xml:space="preserve"> </w:t>
      </w:r>
      <w:r w:rsidR="007440C9" w:rsidRPr="00E850D6">
        <w:rPr>
          <w:rFonts w:asciiTheme="minorHAnsi" w:eastAsia="Times New Roman" w:hAnsiTheme="minorHAnsi" w:cstheme="minorHAnsi"/>
          <w:sz w:val="20"/>
          <w:szCs w:val="20"/>
          <w:lang w:val="es-ES" w:eastAsia="es-ES"/>
        </w:rPr>
        <w:t>publicados en el Periódico Oficial del Estado el día 31 el Diciembre de 2021</w:t>
      </w:r>
      <w:r w:rsidR="00581340" w:rsidRPr="00E850D6">
        <w:rPr>
          <w:rFonts w:asciiTheme="minorHAnsi" w:eastAsia="Times New Roman" w:hAnsiTheme="minorHAnsi" w:cstheme="minorHAnsi"/>
          <w:sz w:val="20"/>
          <w:szCs w:val="20"/>
          <w:lang w:val="es-ES" w:eastAsia="es-ES"/>
        </w:rPr>
        <w:t xml:space="preserve"> </w:t>
      </w:r>
      <w:r w:rsidRPr="00E850D6">
        <w:rPr>
          <w:rFonts w:asciiTheme="minorHAnsi" w:eastAsia="Times New Roman" w:hAnsiTheme="minorHAnsi" w:cstheme="minorHAnsi"/>
          <w:sz w:val="20"/>
          <w:szCs w:val="20"/>
          <w:lang w:val="es-ES" w:eastAsia="es-ES"/>
        </w:rPr>
        <w:t xml:space="preserve">y al Presupuesto de Egresos </w:t>
      </w:r>
      <w:r w:rsidR="007440C9" w:rsidRPr="00E850D6">
        <w:rPr>
          <w:rFonts w:asciiTheme="minorHAnsi" w:eastAsia="Times New Roman" w:hAnsiTheme="minorHAnsi" w:cstheme="minorHAnsi"/>
          <w:sz w:val="20"/>
          <w:szCs w:val="20"/>
          <w:lang w:val="es-ES" w:eastAsia="es-ES"/>
        </w:rPr>
        <w:t xml:space="preserve">definitivo promulgado en el Decreto Gubernamental </w:t>
      </w:r>
      <w:r w:rsidRPr="00E850D6">
        <w:rPr>
          <w:rFonts w:asciiTheme="minorHAnsi" w:eastAsia="Times New Roman" w:hAnsiTheme="minorHAnsi" w:cstheme="minorHAnsi"/>
          <w:sz w:val="20"/>
          <w:szCs w:val="20"/>
          <w:lang w:val="es-ES" w:eastAsia="es-ES"/>
        </w:rPr>
        <w:t>para el Ejercicio Fiscal 202</w:t>
      </w:r>
      <w:r w:rsidR="007440C9" w:rsidRPr="00E850D6">
        <w:rPr>
          <w:rFonts w:asciiTheme="minorHAnsi" w:eastAsia="Times New Roman" w:hAnsiTheme="minorHAnsi" w:cstheme="minorHAnsi"/>
          <w:sz w:val="20"/>
          <w:szCs w:val="20"/>
          <w:lang w:val="es-ES" w:eastAsia="es-ES"/>
        </w:rPr>
        <w:t>2</w:t>
      </w:r>
      <w:r w:rsidRPr="00E850D6">
        <w:rPr>
          <w:rFonts w:asciiTheme="minorHAnsi" w:eastAsia="Times New Roman" w:hAnsiTheme="minorHAnsi" w:cstheme="minorHAnsi"/>
          <w:sz w:val="20"/>
          <w:szCs w:val="20"/>
          <w:lang w:val="es-ES" w:eastAsia="es-ES"/>
        </w:rPr>
        <w:t xml:space="preserve">, </w:t>
      </w:r>
      <w:r w:rsidR="007440C9" w:rsidRPr="00E850D6">
        <w:rPr>
          <w:rFonts w:asciiTheme="minorHAnsi" w:eastAsia="Times New Roman" w:hAnsiTheme="minorHAnsi" w:cstheme="minorHAnsi"/>
          <w:sz w:val="20"/>
          <w:szCs w:val="20"/>
          <w:lang w:val="es-ES" w:eastAsia="es-ES"/>
        </w:rPr>
        <w:t>publicado</w:t>
      </w:r>
      <w:r w:rsidRPr="00E850D6">
        <w:rPr>
          <w:rFonts w:asciiTheme="minorHAnsi" w:eastAsia="Times New Roman" w:hAnsiTheme="minorHAnsi" w:cstheme="minorHAnsi"/>
          <w:sz w:val="20"/>
          <w:szCs w:val="20"/>
          <w:lang w:val="es-ES" w:eastAsia="es-ES"/>
        </w:rPr>
        <w:t xml:space="preserve"> en el Periódico Oficial del Estado el </w:t>
      </w:r>
      <w:r w:rsidR="007440C9" w:rsidRPr="00E850D6">
        <w:rPr>
          <w:rFonts w:asciiTheme="minorHAnsi" w:eastAsia="Times New Roman" w:hAnsiTheme="minorHAnsi" w:cstheme="minorHAnsi"/>
          <w:sz w:val="20"/>
          <w:szCs w:val="20"/>
          <w:lang w:val="es-ES" w:eastAsia="es-ES"/>
        </w:rPr>
        <w:t>25 de Enero de 2022</w:t>
      </w:r>
      <w:r w:rsidRPr="00E850D6">
        <w:rPr>
          <w:rFonts w:asciiTheme="minorHAnsi" w:eastAsia="Times New Roman" w:hAnsiTheme="minorHAnsi" w:cstheme="minorHAnsi"/>
          <w:sz w:val="20"/>
          <w:szCs w:val="20"/>
          <w:lang w:val="es-ES" w:eastAsia="es-ES"/>
        </w:rPr>
        <w:t>.</w:t>
      </w:r>
    </w:p>
    <w:p w14:paraId="4CF45D1B" w14:textId="77777777" w:rsidR="00B20E12" w:rsidRPr="00E850D6" w:rsidRDefault="00B20E12" w:rsidP="00E96120">
      <w:pPr>
        <w:pStyle w:val="Prrafodelista"/>
        <w:shd w:val="clear" w:color="auto" w:fill="FFFFFF" w:themeFill="background1"/>
        <w:spacing w:after="0" w:line="240" w:lineRule="exact"/>
        <w:ind w:left="0"/>
        <w:jc w:val="both"/>
        <w:rPr>
          <w:rFonts w:asciiTheme="minorHAnsi" w:eastAsia="Times New Roman" w:hAnsiTheme="minorHAnsi" w:cstheme="minorHAnsi"/>
          <w:sz w:val="20"/>
          <w:szCs w:val="20"/>
          <w:lang w:val="es-ES" w:eastAsia="es-ES"/>
        </w:rPr>
      </w:pPr>
    </w:p>
    <w:p w14:paraId="47B61D06" w14:textId="0132F025"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r w:rsidRPr="00E850D6">
        <w:rPr>
          <w:rFonts w:asciiTheme="minorHAnsi" w:hAnsiTheme="minorHAnsi" w:cstheme="minorHAnsi"/>
          <w:b/>
          <w:sz w:val="18"/>
          <w:szCs w:val="18"/>
        </w:rPr>
        <w:t xml:space="preserve">2.- Panorama </w:t>
      </w:r>
      <w:r w:rsidR="00901A86" w:rsidRPr="00E850D6">
        <w:rPr>
          <w:rFonts w:asciiTheme="minorHAnsi" w:hAnsiTheme="minorHAnsi" w:cstheme="minorHAnsi"/>
          <w:b/>
          <w:sz w:val="18"/>
          <w:szCs w:val="18"/>
        </w:rPr>
        <w:t>Económico</w:t>
      </w:r>
      <w:r w:rsidRPr="00E850D6">
        <w:rPr>
          <w:rFonts w:asciiTheme="minorHAnsi" w:hAnsiTheme="minorHAnsi" w:cstheme="minorHAnsi"/>
          <w:b/>
          <w:sz w:val="18"/>
          <w:szCs w:val="18"/>
        </w:rPr>
        <w:t xml:space="preserve"> y Financiero al cierre del ejercicio 2022.</w:t>
      </w:r>
    </w:p>
    <w:p w14:paraId="30843FBB"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p>
    <w:p w14:paraId="5C8DA686" w14:textId="432FF3AA"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r w:rsidRPr="00E850D6">
        <w:rPr>
          <w:rFonts w:asciiTheme="minorHAnsi" w:hAnsiTheme="minorHAnsi" w:cstheme="minorHAnsi"/>
          <w:b/>
          <w:sz w:val="18"/>
          <w:szCs w:val="18"/>
        </w:rPr>
        <w:t xml:space="preserve">2.1.1.- Panorama </w:t>
      </w:r>
      <w:r w:rsidR="00901A86" w:rsidRPr="00E850D6">
        <w:rPr>
          <w:rFonts w:asciiTheme="minorHAnsi" w:hAnsiTheme="minorHAnsi" w:cstheme="minorHAnsi"/>
          <w:b/>
          <w:sz w:val="18"/>
          <w:szCs w:val="18"/>
        </w:rPr>
        <w:t>Económico</w:t>
      </w:r>
      <w:r w:rsidRPr="00E850D6">
        <w:rPr>
          <w:rFonts w:asciiTheme="minorHAnsi" w:hAnsiTheme="minorHAnsi" w:cstheme="minorHAnsi"/>
          <w:b/>
          <w:sz w:val="18"/>
          <w:szCs w:val="18"/>
        </w:rPr>
        <w:t xml:space="preserve"> Internacional.</w:t>
      </w:r>
    </w:p>
    <w:p w14:paraId="413A485C" w14:textId="77777777" w:rsidR="00E92EC1" w:rsidRPr="00192CDA" w:rsidRDefault="00E92EC1" w:rsidP="00E92EC1">
      <w:pPr>
        <w:pStyle w:val="NormalWeb"/>
        <w:jc w:val="both"/>
        <w:rPr>
          <w:rFonts w:asciiTheme="minorHAnsi" w:hAnsiTheme="minorHAnsi" w:cstheme="minorHAnsi"/>
          <w:sz w:val="20"/>
          <w:szCs w:val="20"/>
          <w:lang w:val="es-ES" w:eastAsia="es-ES"/>
        </w:rPr>
      </w:pPr>
      <w:r w:rsidRPr="00192CDA">
        <w:rPr>
          <w:rFonts w:asciiTheme="minorHAnsi" w:hAnsiTheme="minorHAnsi" w:cstheme="minorHAnsi"/>
          <w:sz w:val="20"/>
          <w:szCs w:val="20"/>
          <w:lang w:val="es-ES" w:eastAsia="es-ES"/>
        </w:rPr>
        <w:t>El 2022 puede ser recordado como uno de los años más complejos de la historia contemporánea, donde la recuperación tras la pandemia de COVID-19 y el conflicto entre Rusia y Ucrania complejizaron el panorama económico mundial.</w:t>
      </w:r>
    </w:p>
    <w:p w14:paraId="73F6B78D" w14:textId="77777777" w:rsidR="00E92EC1" w:rsidRPr="00192CDA" w:rsidRDefault="00E92EC1" w:rsidP="00E92EC1">
      <w:pPr>
        <w:pStyle w:val="NormalWeb"/>
        <w:jc w:val="both"/>
        <w:rPr>
          <w:rFonts w:asciiTheme="minorHAnsi" w:hAnsiTheme="minorHAnsi" w:cstheme="minorHAnsi"/>
          <w:sz w:val="20"/>
          <w:szCs w:val="20"/>
          <w:lang w:val="es-ES" w:eastAsia="es-ES"/>
        </w:rPr>
      </w:pPr>
      <w:r w:rsidRPr="00192CDA">
        <w:rPr>
          <w:rFonts w:asciiTheme="minorHAnsi" w:hAnsiTheme="minorHAnsi" w:cstheme="minorHAnsi"/>
          <w:sz w:val="20"/>
          <w:szCs w:val="20"/>
          <w:lang w:val="es-ES" w:eastAsia="es-ES"/>
        </w:rPr>
        <w:t>La inflación, el encarecimiento de combustibles y alimentos y las consecuencias económicas de las sanciones impuestas por la Unión Europea y Estados Unidos contra Rusia, sin embargo, no impidieron a las divisas de tres países latinoamericanos aproximarse al cierre de 2022 con un escenario en números positivos.</w:t>
      </w:r>
    </w:p>
    <w:p w14:paraId="5AEC9D06" w14:textId="77777777" w:rsidR="00E92EC1" w:rsidRPr="00192CDA" w:rsidRDefault="00E92EC1" w:rsidP="00E92EC1">
      <w:pPr>
        <w:pStyle w:val="NormalWeb"/>
        <w:jc w:val="both"/>
        <w:rPr>
          <w:rFonts w:asciiTheme="minorHAnsi" w:hAnsiTheme="minorHAnsi" w:cstheme="minorHAnsi"/>
          <w:sz w:val="20"/>
          <w:szCs w:val="20"/>
          <w:lang w:val="es-ES" w:eastAsia="es-ES"/>
        </w:rPr>
      </w:pPr>
      <w:r w:rsidRPr="00192CDA">
        <w:rPr>
          <w:rFonts w:asciiTheme="minorHAnsi" w:hAnsiTheme="minorHAnsi" w:cstheme="minorHAnsi"/>
          <w:sz w:val="20"/>
          <w:szCs w:val="20"/>
          <w:lang w:val="es-ES" w:eastAsia="es-ES"/>
        </w:rPr>
        <w:t xml:space="preserve">Las monedas de Uruguay, Brasil y México lograron una apreciación frente al dólar estadounidense de 8,9, 5,2 y 2,2%, respectivamente, de acuerdo con un análisis elaborado por el sitio especializado en economía </w:t>
      </w:r>
      <w:proofErr w:type="spellStart"/>
      <w:r w:rsidRPr="00192CDA">
        <w:rPr>
          <w:rFonts w:asciiTheme="minorHAnsi" w:hAnsiTheme="minorHAnsi" w:cstheme="minorHAnsi"/>
          <w:sz w:val="20"/>
          <w:szCs w:val="20"/>
          <w:lang w:val="es-ES" w:eastAsia="es-ES"/>
        </w:rPr>
        <w:t>Bloomberg</w:t>
      </w:r>
      <w:proofErr w:type="spellEnd"/>
      <w:r w:rsidRPr="00192CDA">
        <w:rPr>
          <w:rFonts w:asciiTheme="minorHAnsi" w:hAnsiTheme="minorHAnsi" w:cstheme="minorHAnsi"/>
          <w:sz w:val="20"/>
          <w:szCs w:val="20"/>
          <w:lang w:val="es-ES" w:eastAsia="es-ES"/>
        </w:rPr>
        <w:t>.</w:t>
      </w:r>
    </w:p>
    <w:p w14:paraId="31A10674" w14:textId="14BEBEFA" w:rsidR="00E92EC1" w:rsidRPr="00192CDA" w:rsidRDefault="00E92EC1" w:rsidP="00E92EC1">
      <w:pPr>
        <w:pStyle w:val="NormalWeb"/>
        <w:spacing w:before="0" w:beforeAutospacing="0" w:after="0" w:afterAutospacing="0"/>
        <w:jc w:val="both"/>
        <w:rPr>
          <w:rFonts w:asciiTheme="minorHAnsi" w:hAnsiTheme="minorHAnsi" w:cstheme="minorHAnsi"/>
          <w:sz w:val="20"/>
          <w:szCs w:val="20"/>
          <w:lang w:val="es-ES" w:eastAsia="es-ES"/>
        </w:rPr>
      </w:pPr>
      <w:r w:rsidRPr="00192CDA">
        <w:rPr>
          <w:rFonts w:asciiTheme="minorHAnsi" w:hAnsiTheme="minorHAnsi" w:cstheme="minorHAnsi"/>
          <w:sz w:val="20"/>
          <w:szCs w:val="20"/>
          <w:lang w:val="es-ES" w:eastAsia="es-ES"/>
        </w:rPr>
        <w:t>Con una población de 3,4 millones de habitantes, según cifras del Banco Mundial, la realidad social que ha permitido la economía uruguaya es de estabilidad, cobertura de derechos sociales y bienestar generalizado, una dinámica y complejidad muy distintas a las de Brasil y México, los países más poblados de América Latina, en orden descendente.</w:t>
      </w:r>
    </w:p>
    <w:p w14:paraId="74B14C17" w14:textId="77777777" w:rsidR="00291DC2" w:rsidRPr="00192CDA" w:rsidRDefault="00291DC2" w:rsidP="00E92EC1">
      <w:pPr>
        <w:pStyle w:val="NormalWeb"/>
        <w:spacing w:before="0" w:beforeAutospacing="0" w:after="0" w:afterAutospacing="0"/>
        <w:jc w:val="both"/>
        <w:rPr>
          <w:rFonts w:asciiTheme="minorHAnsi" w:hAnsiTheme="minorHAnsi" w:cstheme="minorHAnsi"/>
          <w:sz w:val="20"/>
          <w:szCs w:val="20"/>
          <w:lang w:val="es-ES" w:eastAsia="es-ES"/>
        </w:rPr>
      </w:pPr>
    </w:p>
    <w:p w14:paraId="42E2E9D7" w14:textId="332BB741" w:rsidR="00E92EC1" w:rsidRPr="00192CDA" w:rsidRDefault="00E92EC1" w:rsidP="00E92EC1">
      <w:pPr>
        <w:jc w:val="both"/>
        <w:rPr>
          <w:rFonts w:asciiTheme="minorHAnsi" w:eastAsia="Times New Roman" w:hAnsiTheme="minorHAnsi" w:cstheme="minorHAnsi"/>
          <w:sz w:val="20"/>
          <w:szCs w:val="20"/>
          <w:lang w:val="es-ES" w:eastAsia="es-ES"/>
        </w:rPr>
      </w:pPr>
      <w:r w:rsidRPr="00192CDA">
        <w:rPr>
          <w:rFonts w:asciiTheme="minorHAnsi" w:eastAsia="Times New Roman" w:hAnsiTheme="minorHAnsi" w:cstheme="minorHAnsi"/>
          <w:sz w:val="20"/>
          <w:szCs w:val="20"/>
          <w:lang w:val="es-ES" w:eastAsia="es-ES"/>
        </w:rPr>
        <w:t>Sin embargo, estas dos últimas naciones latinoamericanas son las potencias económicas más fortalecidas de la región latinoamericana, además de tener actividades productivas industrializadas y fuertemente integradas en relaciones comerciales con las dos principales fuerzas económicas del planeta: Estados Unidos y China.</w:t>
      </w:r>
    </w:p>
    <w:p w14:paraId="0DB42309" w14:textId="32D86872" w:rsidR="00E92EC1" w:rsidRPr="00192CDA" w:rsidRDefault="00E92EC1" w:rsidP="00E92EC1">
      <w:pPr>
        <w:jc w:val="both"/>
        <w:rPr>
          <w:rFonts w:asciiTheme="minorHAnsi" w:eastAsia="Times New Roman" w:hAnsiTheme="minorHAnsi" w:cstheme="minorHAnsi"/>
          <w:sz w:val="20"/>
          <w:szCs w:val="20"/>
          <w:lang w:val="es-ES" w:eastAsia="es-ES"/>
        </w:rPr>
      </w:pPr>
      <w:r w:rsidRPr="00192CDA">
        <w:rPr>
          <w:rFonts w:asciiTheme="minorHAnsi" w:eastAsia="Times New Roman" w:hAnsiTheme="minorHAnsi" w:cstheme="minorHAnsi"/>
          <w:sz w:val="20"/>
          <w:szCs w:val="20"/>
          <w:lang w:val="es-ES" w:eastAsia="es-ES"/>
        </w:rPr>
        <w:t>La economía mundial se enfrenta a importantes desafíos, el crecimiento ha perdido impulso, la elevada inflación se ha extendido por todos los países y productos, y está resultando persistente. Los riesgos están sesgados a la baja. La escasez de suministro de energía podría provocar un mayor aumento de los precios. Las subidas de las tasas de interés, necesarias para frenar la inflación, aumentan las vulnerabilidades financieras. La guerra de Rusia en Ucrania incrementa los riesgos de endeudamiento en los países de bajos ingresos y la inseguridad alimentaria.</w:t>
      </w:r>
    </w:p>
    <w:p w14:paraId="52B0CCE3" w14:textId="77777777" w:rsidR="00E92EC1" w:rsidRPr="00192CDA" w:rsidRDefault="00E92EC1" w:rsidP="00E92EC1">
      <w:pPr>
        <w:pStyle w:val="NormalWeb"/>
        <w:spacing w:before="0" w:beforeAutospacing="0" w:after="150" w:afterAutospacing="0"/>
        <w:jc w:val="both"/>
        <w:rPr>
          <w:rFonts w:asciiTheme="minorHAnsi" w:hAnsiTheme="minorHAnsi" w:cstheme="minorHAnsi"/>
          <w:sz w:val="20"/>
          <w:szCs w:val="20"/>
          <w:lang w:val="es-ES" w:eastAsia="es-ES"/>
        </w:rPr>
      </w:pPr>
      <w:r w:rsidRPr="00192CDA">
        <w:rPr>
          <w:rFonts w:asciiTheme="minorHAnsi" w:hAnsiTheme="minorHAnsi" w:cstheme="minorHAnsi"/>
          <w:sz w:val="20"/>
          <w:szCs w:val="20"/>
          <w:lang w:val="es-ES" w:eastAsia="es-ES"/>
        </w:rPr>
        <w:lastRenderedPageBreak/>
        <w:t>La guerra de agresión de Rusia contra Ucrania ha provocado una enorme conmoción en los precios de la energía que no se veía desde la década de 1970.</w:t>
      </w:r>
    </w:p>
    <w:p w14:paraId="63B0F847" w14:textId="77777777" w:rsidR="00E92EC1" w:rsidRPr="00192CDA" w:rsidRDefault="00E92EC1" w:rsidP="00E92EC1">
      <w:pPr>
        <w:pStyle w:val="NormalWeb"/>
        <w:spacing w:before="0" w:beforeAutospacing="0" w:after="150" w:afterAutospacing="0"/>
        <w:jc w:val="both"/>
        <w:rPr>
          <w:rFonts w:asciiTheme="minorHAnsi" w:hAnsiTheme="minorHAnsi" w:cstheme="minorHAnsi"/>
          <w:sz w:val="20"/>
          <w:szCs w:val="20"/>
          <w:lang w:val="es-ES" w:eastAsia="es-ES"/>
        </w:rPr>
      </w:pPr>
      <w:r w:rsidRPr="00192CDA">
        <w:rPr>
          <w:rFonts w:asciiTheme="minorHAnsi" w:hAnsiTheme="minorHAnsi" w:cstheme="minorHAnsi"/>
          <w:sz w:val="20"/>
          <w:szCs w:val="20"/>
          <w:lang w:val="es-ES" w:eastAsia="es-ES"/>
        </w:rPr>
        <w:t>El aumento de los precios de la energía lastra con fuerza la economía mundial, lo que se agravará si los niveles de gas europeo almacenados son insuficientes. Dicho escenario podría imponer un racionamiento en Europa y perjudicar también al resto de países, a medida que se disparan los precios del gas en todo el mundo.</w:t>
      </w:r>
    </w:p>
    <w:p w14:paraId="1731B781" w14:textId="50C1154D" w:rsidR="00E92EC1" w:rsidRPr="00192CDA" w:rsidRDefault="00E92EC1" w:rsidP="00E92EC1">
      <w:pPr>
        <w:pStyle w:val="NormalWeb"/>
        <w:spacing w:before="0" w:beforeAutospacing="0" w:after="150" w:afterAutospacing="0"/>
        <w:jc w:val="both"/>
        <w:rPr>
          <w:rFonts w:asciiTheme="minorHAnsi" w:hAnsiTheme="minorHAnsi" w:cstheme="minorHAnsi"/>
          <w:sz w:val="20"/>
          <w:szCs w:val="20"/>
          <w:lang w:val="es-ES" w:eastAsia="es-ES"/>
        </w:rPr>
      </w:pPr>
      <w:r w:rsidRPr="00192CDA">
        <w:rPr>
          <w:rFonts w:asciiTheme="minorHAnsi" w:hAnsiTheme="minorHAnsi" w:cstheme="minorHAnsi"/>
          <w:sz w:val="20"/>
          <w:szCs w:val="20"/>
          <w:lang w:val="es-ES" w:eastAsia="es-ES"/>
        </w:rPr>
        <w:t>Esto generaría un crecimiento menor y un incremento de los precios en Europa y en el resto del mundo</w:t>
      </w:r>
      <w:r w:rsidR="00291DC2" w:rsidRPr="00192CDA">
        <w:rPr>
          <w:rFonts w:asciiTheme="minorHAnsi" w:hAnsiTheme="minorHAnsi" w:cstheme="minorHAnsi"/>
          <w:sz w:val="20"/>
          <w:szCs w:val="20"/>
          <w:lang w:val="es-ES" w:eastAsia="es-ES"/>
        </w:rPr>
        <w:t>.</w:t>
      </w:r>
    </w:p>
    <w:p w14:paraId="69597F11" w14:textId="77777777" w:rsidR="00E92EC1" w:rsidRPr="00676CED" w:rsidRDefault="00E92EC1" w:rsidP="00E92EC1">
      <w:pPr>
        <w:jc w:val="both"/>
        <w:rPr>
          <w:rFonts w:asciiTheme="minorHAnsi" w:hAnsiTheme="minorHAnsi" w:cstheme="minorHAnsi"/>
        </w:rPr>
      </w:pPr>
      <w:r w:rsidRPr="00676CED">
        <w:rPr>
          <w:rFonts w:asciiTheme="minorHAnsi" w:hAnsiTheme="minorHAnsi" w:cstheme="minorHAnsi"/>
          <w:noProof/>
          <w:lang w:eastAsia="es-MX"/>
        </w:rPr>
        <w:drawing>
          <wp:inline distT="0" distB="0" distL="0" distR="0" wp14:anchorId="28AB8C4E" wp14:editId="58325B16">
            <wp:extent cx="5610860" cy="2779885"/>
            <wp:effectExtent l="0" t="0" r="254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extLst>
                        <a:ext uri="{28A0092B-C50C-407E-A947-70E740481C1C}">
                          <a14:useLocalDpi xmlns:a14="http://schemas.microsoft.com/office/drawing/2010/main" val="0"/>
                        </a:ext>
                      </a:extLst>
                    </a:blip>
                    <a:srcRect t="6238" b="5438"/>
                    <a:stretch/>
                  </pic:blipFill>
                  <pic:spPr bwMode="auto">
                    <a:xfrm>
                      <a:off x="0" y="0"/>
                      <a:ext cx="5764855" cy="2856181"/>
                    </a:xfrm>
                    <a:prstGeom prst="rect">
                      <a:avLst/>
                    </a:prstGeom>
                    <a:ln>
                      <a:noFill/>
                    </a:ln>
                    <a:extLst>
                      <a:ext uri="{53640926-AAD7-44D8-BBD7-CCE9431645EC}">
                        <a14:shadowObscured xmlns:a14="http://schemas.microsoft.com/office/drawing/2010/main"/>
                      </a:ext>
                    </a:extLst>
                  </pic:spPr>
                </pic:pic>
              </a:graphicData>
            </a:graphic>
          </wp:inline>
        </w:drawing>
      </w:r>
    </w:p>
    <w:p w14:paraId="296C99A7" w14:textId="77777777" w:rsidR="00E92EC1" w:rsidRPr="00676CED" w:rsidRDefault="00E92EC1" w:rsidP="00E92EC1">
      <w:pPr>
        <w:jc w:val="both"/>
        <w:rPr>
          <w:rFonts w:asciiTheme="minorHAnsi" w:hAnsiTheme="minorHAnsi" w:cstheme="minorHAnsi"/>
        </w:rPr>
      </w:pPr>
    </w:p>
    <w:p w14:paraId="464F536A" w14:textId="77777777" w:rsidR="00E92EC1" w:rsidRPr="00676CED" w:rsidRDefault="00E92EC1" w:rsidP="00E92EC1">
      <w:pPr>
        <w:jc w:val="both"/>
        <w:rPr>
          <w:rFonts w:asciiTheme="minorHAnsi" w:hAnsiTheme="minorHAnsi" w:cstheme="minorHAnsi"/>
        </w:rPr>
      </w:pPr>
      <w:r w:rsidRPr="00676CED">
        <w:rPr>
          <w:rFonts w:asciiTheme="minorHAnsi" w:hAnsiTheme="minorHAnsi" w:cstheme="minorHAnsi"/>
          <w:noProof/>
          <w:lang w:eastAsia="es-MX"/>
        </w:rPr>
        <w:drawing>
          <wp:inline distT="0" distB="0" distL="0" distR="0" wp14:anchorId="1EDD3129" wp14:editId="26B3C764">
            <wp:extent cx="5610491" cy="2968625"/>
            <wp:effectExtent l="0" t="0" r="317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extLst>
                        <a:ext uri="{28A0092B-C50C-407E-A947-70E740481C1C}">
                          <a14:useLocalDpi xmlns:a14="http://schemas.microsoft.com/office/drawing/2010/main" val="0"/>
                        </a:ext>
                      </a:extLst>
                    </a:blip>
                    <a:srcRect t="4682"/>
                    <a:stretch/>
                  </pic:blipFill>
                  <pic:spPr bwMode="auto">
                    <a:xfrm>
                      <a:off x="0" y="0"/>
                      <a:ext cx="5668776" cy="2999465"/>
                    </a:xfrm>
                    <a:prstGeom prst="rect">
                      <a:avLst/>
                    </a:prstGeom>
                    <a:ln>
                      <a:noFill/>
                    </a:ln>
                    <a:extLst>
                      <a:ext uri="{53640926-AAD7-44D8-BBD7-CCE9431645EC}">
                        <a14:shadowObscured xmlns:a14="http://schemas.microsoft.com/office/drawing/2010/main"/>
                      </a:ext>
                    </a:extLst>
                  </pic:spPr>
                </pic:pic>
              </a:graphicData>
            </a:graphic>
          </wp:inline>
        </w:drawing>
      </w:r>
    </w:p>
    <w:p w14:paraId="6C3FE8BD" w14:textId="77777777" w:rsidR="00E92EC1" w:rsidRPr="00E850D6" w:rsidRDefault="00E92EC1" w:rsidP="00E92EC1">
      <w:pPr>
        <w:spacing w:after="150" w:line="288" w:lineRule="atLeast"/>
        <w:jc w:val="both"/>
        <w:outlineLvl w:val="1"/>
        <w:rPr>
          <w:rFonts w:asciiTheme="minorHAnsi" w:hAnsiTheme="minorHAnsi" w:cstheme="minorHAnsi"/>
          <w:b/>
          <w:bCs/>
        </w:rPr>
      </w:pPr>
    </w:p>
    <w:p w14:paraId="6AD095B1" w14:textId="77777777" w:rsidR="00E92EC1" w:rsidRPr="00E850D6" w:rsidRDefault="00E92EC1" w:rsidP="00E92EC1">
      <w:pPr>
        <w:spacing w:after="150"/>
        <w:outlineLvl w:val="1"/>
        <w:rPr>
          <w:rFonts w:asciiTheme="minorHAnsi" w:hAnsiTheme="minorHAnsi" w:cstheme="minorHAnsi"/>
          <w:sz w:val="18"/>
          <w:szCs w:val="18"/>
        </w:rPr>
      </w:pPr>
      <w:r w:rsidRPr="00E850D6">
        <w:rPr>
          <w:rFonts w:asciiTheme="minorHAnsi" w:hAnsiTheme="minorHAnsi" w:cstheme="minorHAnsi"/>
          <w:b/>
          <w:bCs/>
          <w:sz w:val="18"/>
          <w:szCs w:val="18"/>
        </w:rPr>
        <w:lastRenderedPageBreak/>
        <w:t>2.1.2.- El crecimiento se ha ido ralentizando.</w:t>
      </w:r>
      <w:r w:rsidRPr="00E850D6">
        <w:rPr>
          <w:rFonts w:asciiTheme="minorHAnsi" w:hAnsiTheme="minorHAnsi" w:cstheme="minorHAnsi"/>
          <w:sz w:val="18"/>
          <w:szCs w:val="18"/>
        </w:rPr>
        <w:br/>
      </w:r>
    </w:p>
    <w:p w14:paraId="5F0B8B07" w14:textId="77777777" w:rsidR="00E92EC1" w:rsidRPr="00E850D6" w:rsidRDefault="00E92EC1" w:rsidP="00E92EC1">
      <w:pPr>
        <w:spacing w:after="150"/>
        <w:jc w:val="both"/>
        <w:outlineLvl w:val="1"/>
        <w:rPr>
          <w:rFonts w:asciiTheme="minorHAnsi" w:hAnsiTheme="minorHAnsi" w:cstheme="minorHAnsi"/>
          <w:sz w:val="18"/>
          <w:szCs w:val="18"/>
        </w:rPr>
      </w:pPr>
      <w:r w:rsidRPr="00E850D6">
        <w:rPr>
          <w:rFonts w:asciiTheme="minorHAnsi" w:hAnsiTheme="minorHAnsi" w:cstheme="minorHAnsi"/>
          <w:sz w:val="18"/>
          <w:szCs w:val="18"/>
        </w:rPr>
        <w:t>Se prevé que factores como el endurecimiento de la política monetaria, el aumento de las tasas de interés reales, la persistencia de los elevados precios de la energía, el débil crecimiento de los ingresos reales de los hogares y el descenso de la confianza debiliten, todos ellos, el crecimiento. Estados Unidos y Europa están experimentando una brusca desaceleración y se prevé que, en 2023, las principales economías de mercado emergentes de Asia representen cerca de tres cuartas partes del crecimiento del PIB mundial.</w:t>
      </w:r>
    </w:p>
    <w:p w14:paraId="58E182C1" w14:textId="77777777" w:rsidR="00E92EC1" w:rsidRPr="00E850D6" w:rsidRDefault="00E92EC1" w:rsidP="00E92EC1">
      <w:pPr>
        <w:pStyle w:val="Ttulo2"/>
        <w:spacing w:before="0" w:after="150"/>
        <w:jc w:val="both"/>
        <w:rPr>
          <w:rFonts w:asciiTheme="minorHAnsi" w:hAnsiTheme="minorHAnsi" w:cstheme="minorHAnsi"/>
          <w:color w:val="auto"/>
          <w:sz w:val="18"/>
          <w:szCs w:val="18"/>
        </w:rPr>
      </w:pPr>
      <w:r w:rsidRPr="00E850D6">
        <w:rPr>
          <w:rFonts w:asciiTheme="minorHAnsi" w:hAnsiTheme="minorHAnsi" w:cstheme="minorHAnsi"/>
          <w:color w:val="auto"/>
          <w:sz w:val="18"/>
          <w:szCs w:val="18"/>
        </w:rPr>
        <w:t>La inflación seguirá siendo elevada en 2023, pero debería moderarse.-</w:t>
      </w:r>
    </w:p>
    <w:p w14:paraId="5E61FF93" w14:textId="77777777" w:rsidR="00E92EC1" w:rsidRPr="00E850D6" w:rsidRDefault="00E92EC1" w:rsidP="00E92EC1">
      <w:pPr>
        <w:pStyle w:val="NormalWeb"/>
        <w:spacing w:before="0" w:beforeAutospacing="0" w:after="0" w:afterAutospacing="0"/>
        <w:jc w:val="both"/>
        <w:rPr>
          <w:rFonts w:asciiTheme="minorHAnsi" w:hAnsiTheme="minorHAnsi" w:cstheme="minorHAnsi"/>
          <w:sz w:val="18"/>
          <w:szCs w:val="18"/>
        </w:rPr>
      </w:pPr>
      <w:r w:rsidRPr="00E850D6">
        <w:rPr>
          <w:rFonts w:asciiTheme="minorHAnsi" w:hAnsiTheme="minorHAnsi" w:cstheme="minorHAnsi"/>
          <w:sz w:val="18"/>
          <w:szCs w:val="18"/>
        </w:rPr>
        <w:t>Las presiones inflacionistas se han intensificado, en gran parte debido a la guerra en Ucrania, que ha hecho subir los precios de la energía y de las materias primas alimentarias. El encarecimiento de la energía ha contribuido a que aumenten los precios en una amplia canasta de bienes y servicios. El endurecimiento de la política monetaria y la desaceleración del crecimiento contribuirán a que eventualmente se modere la inflación.</w:t>
      </w:r>
    </w:p>
    <w:p w14:paraId="7096A5F5" w14:textId="77777777" w:rsidR="00E92EC1" w:rsidRPr="00E850D6" w:rsidRDefault="00E92EC1" w:rsidP="00E92EC1">
      <w:pPr>
        <w:pStyle w:val="NormalWeb"/>
        <w:spacing w:before="0" w:beforeAutospacing="0" w:after="0" w:afterAutospacing="0"/>
        <w:jc w:val="both"/>
        <w:rPr>
          <w:rFonts w:asciiTheme="minorHAnsi" w:hAnsiTheme="minorHAnsi" w:cstheme="minorHAnsi"/>
          <w:sz w:val="18"/>
          <w:szCs w:val="18"/>
        </w:rPr>
      </w:pPr>
    </w:p>
    <w:p w14:paraId="5E6995FF" w14:textId="77777777" w:rsidR="00E92EC1" w:rsidRPr="00E850D6" w:rsidRDefault="00E92EC1" w:rsidP="00E92EC1">
      <w:pPr>
        <w:pStyle w:val="NormalWeb"/>
        <w:spacing w:before="0" w:beforeAutospacing="0" w:after="0" w:afterAutospacing="0"/>
        <w:jc w:val="both"/>
        <w:rPr>
          <w:rFonts w:asciiTheme="minorHAnsi" w:hAnsiTheme="minorHAnsi" w:cstheme="minorHAnsi"/>
          <w:b/>
          <w:bCs/>
          <w:sz w:val="18"/>
          <w:szCs w:val="18"/>
        </w:rPr>
      </w:pPr>
      <w:r w:rsidRPr="00E850D6">
        <w:rPr>
          <w:rFonts w:asciiTheme="minorHAnsi" w:hAnsiTheme="minorHAnsi" w:cstheme="minorHAnsi"/>
          <w:b/>
          <w:bCs/>
          <w:sz w:val="18"/>
          <w:szCs w:val="18"/>
        </w:rPr>
        <w:t>2.1.3.- Mercado de valores al cierre 2022.-</w:t>
      </w:r>
    </w:p>
    <w:p w14:paraId="13AC4A5B" w14:textId="77777777" w:rsidR="00E92EC1" w:rsidRPr="00E850D6" w:rsidRDefault="00E92EC1" w:rsidP="00E92EC1">
      <w:pPr>
        <w:pStyle w:val="NormalWeb"/>
        <w:spacing w:before="0" w:beforeAutospacing="0" w:after="0" w:afterAutospacing="0"/>
        <w:jc w:val="both"/>
        <w:rPr>
          <w:rFonts w:asciiTheme="minorHAnsi" w:hAnsiTheme="minorHAnsi" w:cstheme="minorHAnsi"/>
          <w:sz w:val="18"/>
          <w:szCs w:val="18"/>
        </w:rPr>
      </w:pPr>
    </w:p>
    <w:p w14:paraId="37E5CB5D" w14:textId="1001DF18"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La Gran Moderación, el período de cuatro décadas de actividad e inflación en gran medida estables, ha quedado atrás, el nuevo régimen de mayor volatilidad económica y del mercado está ocurriendo, y no se va a ir a ningún lado, los bancos centrales están causando deliberadamente recesiones mediante un gran endurecimiento de la política para intentar mantener el control en la inflación, eso hace presagiar la recesión, los bancos centrales finalmente retrocedieron de los aumentos en las tasas a medida que el daño económico se vuelve claro.</w:t>
      </w:r>
    </w:p>
    <w:p w14:paraId="6CA817CE" w14:textId="1458069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Se espera que la inflación se enfríe, pero que se mantenga persistentemente más alta que los objetivos del banco central del 2 %. Las constantes sorpresas de inflación han elevado el rendimiento de los bonos aplastando a los instrumentos de renta variable y los de renta fija, dicha volatilidad se diferencia mucho de la era de la Gran Moderación.</w:t>
      </w:r>
    </w:p>
    <w:p w14:paraId="0B223098" w14:textId="4C890F65"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Una característica clave del nuevo régimen que estamos en un mundo caracterizado por las limitaciones de producción. El cambio pandémico en el gasto de los consumidores de servicios a bienes causó escasez y cuellos de botella. El envejecimiento de las poblaciones llevó a la escasez de trabajadores. Esto significa que los mercados desarrollados no pueden producir tanto como antes sin crear presión de inflación. Es por eso que la inflación es tan alta ahora, aunque la actividad está por debajo de su tendencia previa al COVID.</w:t>
      </w:r>
    </w:p>
    <w:p w14:paraId="0585AAD1" w14:textId="41206F3B" w:rsidR="00E92EC1" w:rsidRPr="00E850D6" w:rsidRDefault="00E92EC1" w:rsidP="00E92EC1">
      <w:pPr>
        <w:rPr>
          <w:rFonts w:asciiTheme="minorHAnsi" w:hAnsiTheme="minorHAnsi" w:cstheme="minorHAnsi"/>
          <w:b/>
          <w:bCs/>
          <w:sz w:val="18"/>
          <w:szCs w:val="18"/>
        </w:rPr>
      </w:pPr>
      <w:r w:rsidRPr="00E850D6">
        <w:rPr>
          <w:rFonts w:asciiTheme="minorHAnsi" w:hAnsiTheme="minorHAnsi" w:cstheme="minorHAnsi"/>
          <w:b/>
          <w:bCs/>
          <w:sz w:val="18"/>
          <w:szCs w:val="18"/>
        </w:rPr>
        <w:t>2.1.4.- Producto Interno Bruto.-</w:t>
      </w:r>
    </w:p>
    <w:p w14:paraId="73F6BB7C" w14:textId="53A71395" w:rsidR="00E92EC1" w:rsidRPr="00E850D6" w:rsidRDefault="00E92EC1" w:rsidP="00E92EC1">
      <w:pPr>
        <w:jc w:val="both"/>
        <w:rPr>
          <w:rFonts w:asciiTheme="minorHAnsi" w:hAnsiTheme="minorHAnsi" w:cstheme="minorHAnsi"/>
          <w:sz w:val="18"/>
          <w:szCs w:val="18"/>
          <w:shd w:val="clear" w:color="auto" w:fill="FFFFFF"/>
        </w:rPr>
      </w:pPr>
      <w:r w:rsidRPr="00E850D6">
        <w:rPr>
          <w:rFonts w:asciiTheme="minorHAnsi" w:hAnsiTheme="minorHAnsi" w:cstheme="minorHAnsi"/>
          <w:sz w:val="18"/>
          <w:szCs w:val="18"/>
          <w:shd w:val="clear" w:color="auto" w:fill="FFFFFF"/>
        </w:rPr>
        <w:t xml:space="preserve">Se proyecta que el crecimiento mundial se desacelerará al 1,7 % en 2023, el tercer ritmo más débil en casi tres décadas, solo opacado por las recesiones mundiales de 2009 y 2020. Esta desaceleración se debe en parte a la aplicación de políticas restrictivas destinadas a frenar la alta inflación. Choques negativos, como una mayor inflación, políticas más restrictivas o tensión financiera, podrían empujar a la economía mundial a una recesión. Se necesitan medidas inmediatas para mitigar los riesgos de recesión mundial y sobreendeudamiento. También es esencial que los responsables de la formulación de políticas se aseguren que el apoyo se focalice en los grupos vulnerables, las expectativas inflacionarias se mantengan bien ancladas y los sistemas financieros sigan siendo </w:t>
      </w:r>
      <w:proofErr w:type="spellStart"/>
      <w:r w:rsidRPr="00E850D6">
        <w:rPr>
          <w:rFonts w:asciiTheme="minorHAnsi" w:hAnsiTheme="minorHAnsi" w:cstheme="minorHAnsi"/>
          <w:sz w:val="18"/>
          <w:szCs w:val="18"/>
          <w:shd w:val="clear" w:color="auto" w:fill="FFFFFF"/>
        </w:rPr>
        <w:t>resilientes</w:t>
      </w:r>
      <w:proofErr w:type="spellEnd"/>
      <w:r w:rsidRPr="00E850D6">
        <w:rPr>
          <w:rFonts w:asciiTheme="minorHAnsi" w:hAnsiTheme="minorHAnsi" w:cstheme="minorHAnsi"/>
          <w:sz w:val="18"/>
          <w:szCs w:val="18"/>
          <w:shd w:val="clear" w:color="auto" w:fill="FFFFFF"/>
        </w:rPr>
        <w:t>. </w:t>
      </w:r>
    </w:p>
    <w:p w14:paraId="4BA7224E" w14:textId="65DBE8BE" w:rsidR="00E1039C" w:rsidRDefault="00E1039C" w:rsidP="00E92EC1">
      <w:pPr>
        <w:jc w:val="both"/>
        <w:rPr>
          <w:rFonts w:asciiTheme="minorHAnsi" w:hAnsiTheme="minorHAnsi" w:cstheme="minorHAnsi"/>
          <w:color w:val="333333"/>
          <w:sz w:val="18"/>
          <w:szCs w:val="18"/>
          <w:shd w:val="clear" w:color="auto" w:fill="FFFFFF"/>
        </w:rPr>
      </w:pPr>
    </w:p>
    <w:p w14:paraId="407CBC22" w14:textId="0C4A288A" w:rsidR="00E1039C" w:rsidRDefault="00E1039C" w:rsidP="00E92EC1">
      <w:pPr>
        <w:jc w:val="both"/>
        <w:rPr>
          <w:rFonts w:asciiTheme="minorHAnsi" w:hAnsiTheme="minorHAnsi" w:cstheme="minorHAnsi"/>
          <w:color w:val="333333"/>
          <w:sz w:val="18"/>
          <w:szCs w:val="18"/>
          <w:shd w:val="clear" w:color="auto" w:fill="FFFFFF"/>
        </w:rPr>
      </w:pPr>
    </w:p>
    <w:p w14:paraId="1401F4DA" w14:textId="2A1B03F2" w:rsidR="00E1039C" w:rsidRDefault="00E1039C" w:rsidP="00E92EC1">
      <w:pPr>
        <w:jc w:val="both"/>
        <w:rPr>
          <w:rFonts w:asciiTheme="minorHAnsi" w:hAnsiTheme="minorHAnsi" w:cstheme="minorHAnsi"/>
          <w:color w:val="333333"/>
          <w:sz w:val="18"/>
          <w:szCs w:val="18"/>
          <w:shd w:val="clear" w:color="auto" w:fill="FFFFFF"/>
        </w:rPr>
      </w:pPr>
    </w:p>
    <w:p w14:paraId="69732FF5" w14:textId="0303AA11" w:rsidR="00E1039C" w:rsidRDefault="00E1039C" w:rsidP="00E92EC1">
      <w:pPr>
        <w:jc w:val="both"/>
        <w:rPr>
          <w:rFonts w:asciiTheme="minorHAnsi" w:hAnsiTheme="minorHAnsi" w:cstheme="minorHAnsi"/>
          <w:color w:val="333333"/>
          <w:sz w:val="18"/>
          <w:szCs w:val="18"/>
          <w:shd w:val="clear" w:color="auto" w:fill="FFFFFF"/>
        </w:rPr>
      </w:pPr>
    </w:p>
    <w:p w14:paraId="3E9FFC68" w14:textId="1AA2FE66" w:rsidR="00E1039C" w:rsidRDefault="00E1039C" w:rsidP="00E92EC1">
      <w:pPr>
        <w:jc w:val="both"/>
        <w:rPr>
          <w:rFonts w:asciiTheme="minorHAnsi" w:hAnsiTheme="minorHAnsi" w:cstheme="minorHAnsi"/>
          <w:color w:val="333333"/>
          <w:sz w:val="18"/>
          <w:szCs w:val="18"/>
          <w:shd w:val="clear" w:color="auto" w:fill="FFFFFF"/>
        </w:rPr>
      </w:pPr>
    </w:p>
    <w:p w14:paraId="7A0646A6" w14:textId="5E75A2CA" w:rsidR="00E1039C" w:rsidRDefault="00E1039C" w:rsidP="00E92EC1">
      <w:pPr>
        <w:jc w:val="both"/>
        <w:rPr>
          <w:rFonts w:asciiTheme="minorHAnsi" w:hAnsiTheme="minorHAnsi" w:cstheme="minorHAnsi"/>
          <w:sz w:val="18"/>
          <w:szCs w:val="18"/>
        </w:rPr>
      </w:pPr>
    </w:p>
    <w:p w14:paraId="61F2F6AC" w14:textId="40EE15C7" w:rsidR="00FB07C0" w:rsidRDefault="00FB07C0" w:rsidP="00E92EC1">
      <w:pPr>
        <w:jc w:val="both"/>
        <w:rPr>
          <w:rFonts w:asciiTheme="minorHAnsi" w:hAnsiTheme="minorHAnsi" w:cstheme="minorHAnsi"/>
          <w:sz w:val="18"/>
          <w:szCs w:val="18"/>
        </w:rPr>
      </w:pPr>
    </w:p>
    <w:p w14:paraId="0966F1BD" w14:textId="77777777" w:rsidR="00FB07C0" w:rsidRDefault="00FB07C0" w:rsidP="00E92EC1">
      <w:pPr>
        <w:jc w:val="both"/>
        <w:rPr>
          <w:sz w:val="20"/>
          <w:szCs w:val="20"/>
          <w:lang w:eastAsia="es-MX"/>
        </w:rPr>
      </w:pPr>
      <w:r>
        <w:fldChar w:fldCharType="begin"/>
      </w:r>
      <w:r>
        <w:instrText xml:space="preserve"> LINK Excel.Sheet.12 "Libro2" "Hoja2!F3C4:F53C10" \a \f 4 \h </w:instrText>
      </w:r>
      <w:r>
        <w:fldChar w:fldCharType="separate"/>
      </w:r>
    </w:p>
    <w:tbl>
      <w:tblPr>
        <w:tblW w:w="8774" w:type="dxa"/>
        <w:tblCellMar>
          <w:left w:w="70" w:type="dxa"/>
          <w:right w:w="70" w:type="dxa"/>
        </w:tblCellMar>
        <w:tblLook w:val="04A0" w:firstRow="1" w:lastRow="0" w:firstColumn="1" w:lastColumn="0" w:noHBand="0" w:noVBand="1"/>
      </w:tblPr>
      <w:tblGrid>
        <w:gridCol w:w="1134"/>
        <w:gridCol w:w="1180"/>
        <w:gridCol w:w="1654"/>
        <w:gridCol w:w="6"/>
        <w:gridCol w:w="1194"/>
        <w:gridCol w:w="6"/>
        <w:gridCol w:w="1194"/>
        <w:gridCol w:w="6"/>
        <w:gridCol w:w="1194"/>
        <w:gridCol w:w="6"/>
        <w:gridCol w:w="1194"/>
        <w:gridCol w:w="6"/>
      </w:tblGrid>
      <w:tr w:rsidR="00FB07C0" w:rsidRPr="00FB07C0" w14:paraId="1A1B924E" w14:textId="77777777" w:rsidTr="00265C09">
        <w:trPr>
          <w:trHeight w:val="300"/>
        </w:trPr>
        <w:tc>
          <w:tcPr>
            <w:tcW w:w="1134" w:type="dxa"/>
            <w:tcBorders>
              <w:top w:val="nil"/>
              <w:left w:val="nil"/>
              <w:bottom w:val="nil"/>
              <w:right w:val="nil"/>
            </w:tcBorders>
            <w:shd w:val="clear" w:color="auto" w:fill="auto"/>
            <w:noWrap/>
            <w:vAlign w:val="center"/>
            <w:hideMark/>
          </w:tcPr>
          <w:p w14:paraId="474FC110" w14:textId="765DD951"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PIB Real</w:t>
            </w:r>
            <w:r w:rsidRPr="00FB07C0">
              <w:rPr>
                <w:rFonts w:eastAsia="Times New Roman" w:cs="Calibri"/>
                <w:color w:val="000000"/>
                <w:sz w:val="16"/>
                <w:szCs w:val="16"/>
                <w:vertAlign w:val="superscript"/>
                <w:lang w:eastAsia="es-MX"/>
              </w:rPr>
              <w:t>1</w:t>
            </w:r>
          </w:p>
        </w:tc>
        <w:tc>
          <w:tcPr>
            <w:tcW w:w="1180" w:type="dxa"/>
            <w:tcBorders>
              <w:top w:val="nil"/>
              <w:left w:val="nil"/>
              <w:bottom w:val="nil"/>
              <w:right w:val="nil"/>
            </w:tcBorders>
            <w:shd w:val="clear" w:color="auto" w:fill="auto"/>
            <w:noWrap/>
            <w:vAlign w:val="center"/>
            <w:hideMark/>
          </w:tcPr>
          <w:p w14:paraId="59AE6352" w14:textId="77777777" w:rsidR="00FB07C0" w:rsidRPr="00FB07C0" w:rsidRDefault="00FB07C0" w:rsidP="00FB07C0">
            <w:pPr>
              <w:spacing w:after="0" w:line="240" w:lineRule="auto"/>
              <w:rPr>
                <w:rFonts w:eastAsia="Times New Roman" w:cs="Calibri"/>
                <w:b/>
                <w:bCs/>
                <w:color w:val="000000"/>
                <w:sz w:val="16"/>
                <w:szCs w:val="16"/>
                <w:lang w:eastAsia="es-MX"/>
              </w:rPr>
            </w:pPr>
          </w:p>
        </w:tc>
        <w:tc>
          <w:tcPr>
            <w:tcW w:w="1660" w:type="dxa"/>
            <w:gridSpan w:val="2"/>
            <w:tcBorders>
              <w:top w:val="nil"/>
              <w:left w:val="nil"/>
              <w:bottom w:val="nil"/>
              <w:right w:val="nil"/>
            </w:tcBorders>
            <w:shd w:val="clear" w:color="auto" w:fill="auto"/>
            <w:noWrap/>
            <w:vAlign w:val="center"/>
            <w:hideMark/>
          </w:tcPr>
          <w:p w14:paraId="122518D5"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34366744"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262464E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5D4003E0"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7BE1A248" w14:textId="77777777" w:rsidR="00FB07C0" w:rsidRPr="00FB07C0" w:rsidRDefault="00FB07C0" w:rsidP="00FB07C0">
            <w:pPr>
              <w:spacing w:after="0" w:line="240" w:lineRule="auto"/>
              <w:rPr>
                <w:rFonts w:ascii="Times New Roman" w:eastAsia="Times New Roman" w:hAnsi="Times New Roman"/>
                <w:sz w:val="20"/>
                <w:szCs w:val="20"/>
                <w:lang w:eastAsia="es-MX"/>
              </w:rPr>
            </w:pPr>
          </w:p>
        </w:tc>
      </w:tr>
      <w:tr w:rsidR="00FB07C0" w:rsidRPr="00FB07C0" w14:paraId="142075D2" w14:textId="77777777" w:rsidTr="00265C09">
        <w:trPr>
          <w:gridAfter w:val="1"/>
          <w:wAfter w:w="6" w:type="dxa"/>
          <w:trHeight w:val="450"/>
        </w:trPr>
        <w:tc>
          <w:tcPr>
            <w:tcW w:w="3968" w:type="dxa"/>
            <w:gridSpan w:val="3"/>
            <w:tcBorders>
              <w:top w:val="nil"/>
              <w:left w:val="nil"/>
              <w:bottom w:val="nil"/>
              <w:right w:val="nil"/>
            </w:tcBorders>
            <w:shd w:val="clear" w:color="auto" w:fill="auto"/>
            <w:vAlign w:val="center"/>
            <w:hideMark/>
          </w:tcPr>
          <w:p w14:paraId="2EC86E6A"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(Variación porcentual respecto del año anterior, a menos que se indique otra cosa)</w:t>
            </w:r>
          </w:p>
        </w:tc>
        <w:tc>
          <w:tcPr>
            <w:tcW w:w="1200" w:type="dxa"/>
            <w:gridSpan w:val="2"/>
            <w:tcBorders>
              <w:top w:val="nil"/>
              <w:left w:val="nil"/>
              <w:bottom w:val="nil"/>
              <w:right w:val="nil"/>
            </w:tcBorders>
            <w:shd w:val="clear" w:color="auto" w:fill="auto"/>
            <w:vAlign w:val="center"/>
            <w:hideMark/>
          </w:tcPr>
          <w:p w14:paraId="5A409533" w14:textId="77777777" w:rsidR="00FB07C0" w:rsidRPr="00FB07C0" w:rsidRDefault="00FB07C0" w:rsidP="00FB07C0">
            <w:pPr>
              <w:spacing w:after="0" w:line="240" w:lineRule="auto"/>
              <w:rPr>
                <w:rFonts w:eastAsia="Times New Roman" w:cs="Calibri"/>
                <w:color w:val="000000"/>
                <w:sz w:val="16"/>
                <w:szCs w:val="16"/>
                <w:lang w:eastAsia="es-MX"/>
              </w:rPr>
            </w:pPr>
          </w:p>
        </w:tc>
        <w:tc>
          <w:tcPr>
            <w:tcW w:w="1200" w:type="dxa"/>
            <w:gridSpan w:val="2"/>
            <w:tcBorders>
              <w:top w:val="nil"/>
              <w:left w:val="nil"/>
              <w:bottom w:val="nil"/>
              <w:right w:val="nil"/>
            </w:tcBorders>
            <w:shd w:val="clear" w:color="auto" w:fill="auto"/>
            <w:vAlign w:val="center"/>
            <w:hideMark/>
          </w:tcPr>
          <w:p w14:paraId="7AA8A44F"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vAlign w:val="center"/>
            <w:hideMark/>
          </w:tcPr>
          <w:p w14:paraId="32B4624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vAlign w:val="center"/>
            <w:hideMark/>
          </w:tcPr>
          <w:p w14:paraId="4D2B6076" w14:textId="77777777" w:rsidR="00FB07C0" w:rsidRPr="00FB07C0" w:rsidRDefault="00FB07C0" w:rsidP="00FB07C0">
            <w:pPr>
              <w:spacing w:after="0" w:line="240" w:lineRule="auto"/>
              <w:rPr>
                <w:rFonts w:ascii="Times New Roman" w:eastAsia="Times New Roman" w:hAnsi="Times New Roman"/>
                <w:sz w:val="20"/>
                <w:szCs w:val="20"/>
                <w:lang w:eastAsia="es-MX"/>
              </w:rPr>
            </w:pPr>
          </w:p>
        </w:tc>
      </w:tr>
      <w:tr w:rsidR="00FB07C0" w:rsidRPr="00FB07C0" w14:paraId="6A2F8D32" w14:textId="77777777" w:rsidTr="00265C09">
        <w:trPr>
          <w:trHeight w:val="675"/>
        </w:trPr>
        <w:tc>
          <w:tcPr>
            <w:tcW w:w="1134" w:type="dxa"/>
            <w:tcBorders>
              <w:top w:val="nil"/>
              <w:left w:val="nil"/>
              <w:bottom w:val="single" w:sz="8" w:space="0" w:color="auto"/>
              <w:right w:val="nil"/>
            </w:tcBorders>
            <w:shd w:val="clear" w:color="auto" w:fill="auto"/>
            <w:noWrap/>
            <w:vAlign w:val="bottom"/>
            <w:hideMark/>
          </w:tcPr>
          <w:p w14:paraId="3C54C2CB"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180" w:type="dxa"/>
            <w:tcBorders>
              <w:top w:val="nil"/>
              <w:left w:val="nil"/>
              <w:bottom w:val="nil"/>
              <w:right w:val="nil"/>
            </w:tcBorders>
            <w:shd w:val="clear" w:color="auto" w:fill="auto"/>
            <w:vAlign w:val="center"/>
            <w:hideMark/>
          </w:tcPr>
          <w:p w14:paraId="1AC1C6DB"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hideMark/>
          </w:tcPr>
          <w:p w14:paraId="16F6829F"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4800" w:type="dxa"/>
            <w:gridSpan w:val="8"/>
            <w:tcBorders>
              <w:top w:val="nil"/>
              <w:left w:val="nil"/>
              <w:bottom w:val="single" w:sz="8" w:space="0" w:color="auto"/>
              <w:right w:val="nil"/>
            </w:tcBorders>
            <w:shd w:val="clear" w:color="auto" w:fill="auto"/>
            <w:vAlign w:val="center"/>
            <w:hideMark/>
          </w:tcPr>
          <w:p w14:paraId="09FDD70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Diferencias de puntos porcentuales con respecto a las proyecciones de junio 2022</w:t>
            </w:r>
          </w:p>
        </w:tc>
      </w:tr>
      <w:tr w:rsidR="00FB07C0" w:rsidRPr="00FB07C0" w14:paraId="4CFA55CE" w14:textId="77777777" w:rsidTr="00265C09">
        <w:trPr>
          <w:trHeight w:val="315"/>
        </w:trPr>
        <w:tc>
          <w:tcPr>
            <w:tcW w:w="1134" w:type="dxa"/>
            <w:tcBorders>
              <w:top w:val="single" w:sz="8" w:space="0" w:color="auto"/>
              <w:left w:val="single" w:sz="8" w:space="0" w:color="auto"/>
              <w:bottom w:val="single" w:sz="8" w:space="0" w:color="auto"/>
              <w:right w:val="nil"/>
            </w:tcBorders>
            <w:shd w:val="clear" w:color="000000" w:fill="AB0033"/>
            <w:vAlign w:val="center"/>
            <w:hideMark/>
          </w:tcPr>
          <w:p w14:paraId="3D48ACF4" w14:textId="77777777" w:rsidR="00FB07C0" w:rsidRPr="00FB07C0" w:rsidRDefault="00FB07C0" w:rsidP="00FB07C0">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180" w:type="dxa"/>
            <w:tcBorders>
              <w:top w:val="single" w:sz="8" w:space="0" w:color="auto"/>
              <w:left w:val="nil"/>
              <w:bottom w:val="single" w:sz="8" w:space="0" w:color="auto"/>
              <w:right w:val="nil"/>
            </w:tcBorders>
            <w:shd w:val="clear" w:color="000000" w:fill="AB0033"/>
            <w:vAlign w:val="center"/>
            <w:hideMark/>
          </w:tcPr>
          <w:p w14:paraId="281FD4CC" w14:textId="77777777" w:rsidR="00FB07C0" w:rsidRPr="00FB07C0" w:rsidRDefault="00FB07C0" w:rsidP="00FB07C0">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660" w:type="dxa"/>
            <w:gridSpan w:val="2"/>
            <w:tcBorders>
              <w:top w:val="single" w:sz="8" w:space="0" w:color="auto"/>
              <w:left w:val="nil"/>
              <w:bottom w:val="single" w:sz="8" w:space="0" w:color="auto"/>
              <w:right w:val="nil"/>
            </w:tcBorders>
            <w:shd w:val="clear" w:color="000000" w:fill="AB0033"/>
            <w:vAlign w:val="center"/>
            <w:hideMark/>
          </w:tcPr>
          <w:p w14:paraId="68336CE0" w14:textId="77777777" w:rsidR="00FB07C0" w:rsidRPr="00FB07C0" w:rsidRDefault="00FB07C0" w:rsidP="00FB07C0">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200" w:type="dxa"/>
            <w:gridSpan w:val="2"/>
            <w:tcBorders>
              <w:top w:val="nil"/>
              <w:left w:val="nil"/>
              <w:bottom w:val="single" w:sz="8" w:space="0" w:color="auto"/>
              <w:right w:val="nil"/>
            </w:tcBorders>
            <w:shd w:val="clear" w:color="000000" w:fill="AB0033"/>
            <w:noWrap/>
            <w:vAlign w:val="center"/>
            <w:hideMark/>
          </w:tcPr>
          <w:p w14:paraId="17E4B441" w14:textId="77777777" w:rsidR="00FB07C0" w:rsidRPr="00FB07C0" w:rsidRDefault="00FB07C0" w:rsidP="00FB07C0">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000000" w:fill="AB0033"/>
            <w:noWrap/>
            <w:vAlign w:val="center"/>
            <w:hideMark/>
          </w:tcPr>
          <w:p w14:paraId="3BE3E426" w14:textId="77777777" w:rsidR="00FB07C0" w:rsidRPr="00FB07C0" w:rsidRDefault="00FB07C0" w:rsidP="00FB07C0">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2023f</w:t>
            </w:r>
          </w:p>
        </w:tc>
        <w:tc>
          <w:tcPr>
            <w:tcW w:w="1200" w:type="dxa"/>
            <w:gridSpan w:val="2"/>
            <w:tcBorders>
              <w:top w:val="nil"/>
              <w:left w:val="nil"/>
              <w:bottom w:val="single" w:sz="8" w:space="0" w:color="auto"/>
              <w:right w:val="nil"/>
            </w:tcBorders>
            <w:shd w:val="clear" w:color="000000" w:fill="AB0033"/>
            <w:noWrap/>
            <w:vAlign w:val="center"/>
            <w:hideMark/>
          </w:tcPr>
          <w:p w14:paraId="30B46B09" w14:textId="77777777" w:rsidR="00FB07C0" w:rsidRPr="00FB07C0" w:rsidRDefault="00FB07C0" w:rsidP="00FB07C0">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000000" w:fill="AB0033"/>
            <w:noWrap/>
            <w:vAlign w:val="center"/>
            <w:hideMark/>
          </w:tcPr>
          <w:p w14:paraId="147AFAF5" w14:textId="77777777" w:rsidR="00FB07C0" w:rsidRPr="00FB07C0" w:rsidRDefault="00FB07C0" w:rsidP="00FB07C0">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2023f</w:t>
            </w:r>
          </w:p>
        </w:tc>
      </w:tr>
      <w:tr w:rsidR="00FB07C0" w:rsidRPr="00FB07C0" w14:paraId="10DCFD99" w14:textId="77777777" w:rsidTr="00265C09">
        <w:trPr>
          <w:trHeight w:val="315"/>
        </w:trPr>
        <w:tc>
          <w:tcPr>
            <w:tcW w:w="1134" w:type="dxa"/>
            <w:tcBorders>
              <w:top w:val="nil"/>
              <w:left w:val="single" w:sz="8" w:space="0" w:color="auto"/>
              <w:bottom w:val="single" w:sz="8" w:space="0" w:color="auto"/>
              <w:right w:val="nil"/>
            </w:tcBorders>
            <w:shd w:val="clear" w:color="auto" w:fill="auto"/>
            <w:noWrap/>
            <w:vAlign w:val="center"/>
            <w:hideMark/>
          </w:tcPr>
          <w:p w14:paraId="3ABAA0A5"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Mundo</w:t>
            </w:r>
          </w:p>
        </w:tc>
        <w:tc>
          <w:tcPr>
            <w:tcW w:w="1180" w:type="dxa"/>
            <w:tcBorders>
              <w:top w:val="nil"/>
              <w:left w:val="nil"/>
              <w:bottom w:val="single" w:sz="8" w:space="0" w:color="auto"/>
              <w:right w:val="nil"/>
            </w:tcBorders>
            <w:shd w:val="clear" w:color="auto" w:fill="auto"/>
            <w:hideMark/>
          </w:tcPr>
          <w:p w14:paraId="24B1A77F"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hideMark/>
          </w:tcPr>
          <w:p w14:paraId="4E736689"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3C3186D6"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2.9</w:t>
            </w:r>
          </w:p>
        </w:tc>
        <w:tc>
          <w:tcPr>
            <w:tcW w:w="1200" w:type="dxa"/>
            <w:gridSpan w:val="2"/>
            <w:tcBorders>
              <w:top w:val="nil"/>
              <w:left w:val="nil"/>
              <w:bottom w:val="single" w:sz="8" w:space="0" w:color="auto"/>
              <w:right w:val="nil"/>
            </w:tcBorders>
            <w:shd w:val="clear" w:color="auto" w:fill="auto"/>
            <w:noWrap/>
            <w:vAlign w:val="center"/>
            <w:hideMark/>
          </w:tcPr>
          <w:p w14:paraId="530E9D40"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1.7</w:t>
            </w:r>
          </w:p>
        </w:tc>
        <w:tc>
          <w:tcPr>
            <w:tcW w:w="1200" w:type="dxa"/>
            <w:gridSpan w:val="2"/>
            <w:tcBorders>
              <w:top w:val="nil"/>
              <w:left w:val="nil"/>
              <w:bottom w:val="single" w:sz="8" w:space="0" w:color="auto"/>
              <w:right w:val="nil"/>
            </w:tcBorders>
            <w:shd w:val="clear" w:color="auto" w:fill="auto"/>
            <w:noWrap/>
            <w:vAlign w:val="center"/>
            <w:hideMark/>
          </w:tcPr>
          <w:p w14:paraId="72B39476"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6E536881"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-1.3</w:t>
            </w:r>
          </w:p>
        </w:tc>
      </w:tr>
      <w:tr w:rsidR="00FB07C0" w:rsidRPr="00FB07C0" w14:paraId="677F1AD4" w14:textId="77777777" w:rsidTr="00265C09">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14:paraId="08F99D3E"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Economías avanzadas</w:t>
            </w:r>
          </w:p>
        </w:tc>
        <w:tc>
          <w:tcPr>
            <w:tcW w:w="1200" w:type="dxa"/>
            <w:gridSpan w:val="2"/>
            <w:tcBorders>
              <w:top w:val="nil"/>
              <w:left w:val="nil"/>
              <w:bottom w:val="nil"/>
              <w:right w:val="nil"/>
            </w:tcBorders>
            <w:shd w:val="clear" w:color="auto" w:fill="auto"/>
            <w:noWrap/>
            <w:vAlign w:val="center"/>
            <w:hideMark/>
          </w:tcPr>
          <w:p w14:paraId="6B121203"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2.5</w:t>
            </w:r>
          </w:p>
        </w:tc>
        <w:tc>
          <w:tcPr>
            <w:tcW w:w="1200" w:type="dxa"/>
            <w:gridSpan w:val="2"/>
            <w:tcBorders>
              <w:top w:val="nil"/>
              <w:left w:val="nil"/>
              <w:bottom w:val="nil"/>
              <w:right w:val="nil"/>
            </w:tcBorders>
            <w:shd w:val="clear" w:color="auto" w:fill="auto"/>
            <w:noWrap/>
            <w:vAlign w:val="center"/>
            <w:hideMark/>
          </w:tcPr>
          <w:p w14:paraId="2F49E9AA"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0.5</w:t>
            </w:r>
          </w:p>
        </w:tc>
        <w:tc>
          <w:tcPr>
            <w:tcW w:w="1200" w:type="dxa"/>
            <w:gridSpan w:val="2"/>
            <w:tcBorders>
              <w:top w:val="nil"/>
              <w:left w:val="nil"/>
              <w:bottom w:val="nil"/>
              <w:right w:val="nil"/>
            </w:tcBorders>
            <w:shd w:val="clear" w:color="auto" w:fill="auto"/>
            <w:noWrap/>
            <w:vAlign w:val="center"/>
            <w:hideMark/>
          </w:tcPr>
          <w:p w14:paraId="4195D9E0"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14:paraId="2CD44C47"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-1.7</w:t>
            </w:r>
          </w:p>
        </w:tc>
      </w:tr>
      <w:tr w:rsidR="00FB07C0" w:rsidRPr="00FB07C0" w14:paraId="04411478" w14:textId="77777777" w:rsidTr="00265C09">
        <w:trPr>
          <w:trHeight w:val="300"/>
        </w:trPr>
        <w:tc>
          <w:tcPr>
            <w:tcW w:w="1134" w:type="dxa"/>
            <w:tcBorders>
              <w:top w:val="nil"/>
              <w:left w:val="single" w:sz="8" w:space="0" w:color="auto"/>
              <w:bottom w:val="nil"/>
              <w:right w:val="nil"/>
            </w:tcBorders>
            <w:shd w:val="clear" w:color="auto" w:fill="auto"/>
            <w:hideMark/>
          </w:tcPr>
          <w:p w14:paraId="12352B75" w14:textId="77777777" w:rsidR="00FB07C0" w:rsidRPr="00FB07C0" w:rsidRDefault="00FB07C0" w:rsidP="00FB07C0">
            <w:pPr>
              <w:spacing w:after="0" w:line="240" w:lineRule="auto"/>
              <w:jc w:val="center"/>
              <w:rPr>
                <w:rFonts w:eastAsia="Times New Roman" w:cs="Calibri"/>
                <w:b/>
                <w:bCs/>
                <w:color w:val="000000"/>
                <w:sz w:val="16"/>
                <w:szCs w:val="16"/>
                <w:lang w:eastAsia="es-MX"/>
              </w:rPr>
            </w:pPr>
          </w:p>
        </w:tc>
        <w:tc>
          <w:tcPr>
            <w:tcW w:w="2840" w:type="dxa"/>
            <w:gridSpan w:val="3"/>
            <w:tcBorders>
              <w:top w:val="nil"/>
              <w:left w:val="nil"/>
              <w:bottom w:val="nil"/>
              <w:right w:val="nil"/>
            </w:tcBorders>
            <w:shd w:val="clear" w:color="auto" w:fill="auto"/>
            <w:vAlign w:val="center"/>
            <w:hideMark/>
          </w:tcPr>
          <w:p w14:paraId="1CD0E552"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Estados Unidos</w:t>
            </w:r>
          </w:p>
        </w:tc>
        <w:tc>
          <w:tcPr>
            <w:tcW w:w="1200" w:type="dxa"/>
            <w:gridSpan w:val="2"/>
            <w:tcBorders>
              <w:top w:val="nil"/>
              <w:left w:val="nil"/>
              <w:bottom w:val="nil"/>
              <w:right w:val="nil"/>
            </w:tcBorders>
            <w:shd w:val="clear" w:color="auto" w:fill="auto"/>
            <w:noWrap/>
            <w:vAlign w:val="center"/>
            <w:hideMark/>
          </w:tcPr>
          <w:p w14:paraId="14FA4F0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14:paraId="61B5DFD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nil"/>
              <w:right w:val="nil"/>
            </w:tcBorders>
            <w:shd w:val="clear" w:color="auto" w:fill="auto"/>
            <w:noWrap/>
            <w:vAlign w:val="center"/>
            <w:hideMark/>
          </w:tcPr>
          <w:p w14:paraId="1959D67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-0.6</w:t>
            </w:r>
          </w:p>
        </w:tc>
        <w:tc>
          <w:tcPr>
            <w:tcW w:w="1200" w:type="dxa"/>
            <w:gridSpan w:val="2"/>
            <w:tcBorders>
              <w:top w:val="nil"/>
              <w:left w:val="nil"/>
              <w:bottom w:val="nil"/>
              <w:right w:val="single" w:sz="8" w:space="0" w:color="auto"/>
            </w:tcBorders>
            <w:shd w:val="clear" w:color="auto" w:fill="auto"/>
            <w:noWrap/>
            <w:vAlign w:val="center"/>
            <w:hideMark/>
          </w:tcPr>
          <w:p w14:paraId="26862B8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r>
      <w:tr w:rsidR="00FB07C0" w:rsidRPr="00FB07C0" w14:paraId="3FAF5ED4" w14:textId="77777777" w:rsidTr="00265C09">
        <w:trPr>
          <w:trHeight w:val="300"/>
        </w:trPr>
        <w:tc>
          <w:tcPr>
            <w:tcW w:w="1134" w:type="dxa"/>
            <w:tcBorders>
              <w:top w:val="nil"/>
              <w:left w:val="single" w:sz="8" w:space="0" w:color="auto"/>
              <w:bottom w:val="nil"/>
              <w:right w:val="nil"/>
            </w:tcBorders>
            <w:shd w:val="clear" w:color="auto" w:fill="auto"/>
            <w:hideMark/>
          </w:tcPr>
          <w:p w14:paraId="4FBAF012"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nil"/>
              <w:left w:val="nil"/>
              <w:bottom w:val="nil"/>
              <w:right w:val="nil"/>
            </w:tcBorders>
            <w:shd w:val="clear" w:color="auto" w:fill="auto"/>
            <w:vAlign w:val="center"/>
            <w:hideMark/>
          </w:tcPr>
          <w:p w14:paraId="5198D062"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Zona del euro</w:t>
            </w:r>
          </w:p>
        </w:tc>
        <w:tc>
          <w:tcPr>
            <w:tcW w:w="1200" w:type="dxa"/>
            <w:gridSpan w:val="2"/>
            <w:tcBorders>
              <w:top w:val="nil"/>
              <w:left w:val="nil"/>
              <w:bottom w:val="nil"/>
              <w:right w:val="nil"/>
            </w:tcBorders>
            <w:shd w:val="clear" w:color="auto" w:fill="auto"/>
            <w:noWrap/>
            <w:vAlign w:val="center"/>
            <w:hideMark/>
          </w:tcPr>
          <w:p w14:paraId="6E7F246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3.3</w:t>
            </w:r>
          </w:p>
        </w:tc>
        <w:tc>
          <w:tcPr>
            <w:tcW w:w="1200" w:type="dxa"/>
            <w:gridSpan w:val="2"/>
            <w:tcBorders>
              <w:top w:val="nil"/>
              <w:left w:val="nil"/>
              <w:bottom w:val="nil"/>
              <w:right w:val="nil"/>
            </w:tcBorders>
            <w:shd w:val="clear" w:color="auto" w:fill="auto"/>
            <w:noWrap/>
            <w:vAlign w:val="center"/>
            <w:hideMark/>
          </w:tcPr>
          <w:p w14:paraId="1EA382D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c>
          <w:tcPr>
            <w:tcW w:w="1200" w:type="dxa"/>
            <w:gridSpan w:val="2"/>
            <w:tcBorders>
              <w:top w:val="nil"/>
              <w:left w:val="nil"/>
              <w:bottom w:val="nil"/>
              <w:right w:val="nil"/>
            </w:tcBorders>
            <w:shd w:val="clear" w:color="auto" w:fill="auto"/>
            <w:noWrap/>
            <w:vAlign w:val="center"/>
            <w:hideMark/>
          </w:tcPr>
          <w:p w14:paraId="01DF57A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nil"/>
              <w:right w:val="single" w:sz="8" w:space="0" w:color="auto"/>
            </w:tcBorders>
            <w:shd w:val="clear" w:color="auto" w:fill="auto"/>
            <w:noWrap/>
            <w:vAlign w:val="center"/>
            <w:hideMark/>
          </w:tcPr>
          <w:p w14:paraId="7031C06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r>
      <w:tr w:rsidR="00FB07C0" w:rsidRPr="00FB07C0" w14:paraId="3F693FB5"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45D5BDF6"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14:paraId="33E56321"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Japón</w:t>
            </w:r>
          </w:p>
        </w:tc>
        <w:tc>
          <w:tcPr>
            <w:tcW w:w="1200" w:type="dxa"/>
            <w:gridSpan w:val="2"/>
            <w:tcBorders>
              <w:top w:val="nil"/>
              <w:left w:val="nil"/>
              <w:bottom w:val="single" w:sz="8" w:space="0" w:color="auto"/>
              <w:right w:val="nil"/>
            </w:tcBorders>
            <w:shd w:val="clear" w:color="auto" w:fill="auto"/>
            <w:noWrap/>
            <w:vAlign w:val="center"/>
            <w:hideMark/>
          </w:tcPr>
          <w:p w14:paraId="0218BDE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1.2</w:t>
            </w:r>
          </w:p>
        </w:tc>
        <w:tc>
          <w:tcPr>
            <w:tcW w:w="1200" w:type="dxa"/>
            <w:gridSpan w:val="2"/>
            <w:tcBorders>
              <w:top w:val="nil"/>
              <w:left w:val="nil"/>
              <w:bottom w:val="single" w:sz="8" w:space="0" w:color="auto"/>
              <w:right w:val="nil"/>
            </w:tcBorders>
            <w:shd w:val="clear" w:color="auto" w:fill="auto"/>
            <w:noWrap/>
            <w:vAlign w:val="center"/>
            <w:hideMark/>
          </w:tcPr>
          <w:p w14:paraId="0A39593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w:t>
            </w:r>
          </w:p>
        </w:tc>
        <w:tc>
          <w:tcPr>
            <w:tcW w:w="1200" w:type="dxa"/>
            <w:gridSpan w:val="2"/>
            <w:tcBorders>
              <w:top w:val="nil"/>
              <w:left w:val="nil"/>
              <w:bottom w:val="single" w:sz="8" w:space="0" w:color="auto"/>
              <w:right w:val="nil"/>
            </w:tcBorders>
            <w:shd w:val="clear" w:color="auto" w:fill="auto"/>
            <w:noWrap/>
            <w:vAlign w:val="center"/>
            <w:hideMark/>
          </w:tcPr>
          <w:p w14:paraId="5520BC8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63EE135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r>
      <w:tr w:rsidR="00FB07C0" w:rsidRPr="00FB07C0" w14:paraId="74A01F1A" w14:textId="77777777" w:rsidTr="00265C09">
        <w:trPr>
          <w:gridAfter w:val="1"/>
          <w:wAfter w:w="6" w:type="dxa"/>
          <w:trHeight w:val="450"/>
        </w:trPr>
        <w:tc>
          <w:tcPr>
            <w:tcW w:w="3968" w:type="dxa"/>
            <w:gridSpan w:val="3"/>
            <w:tcBorders>
              <w:top w:val="single" w:sz="8" w:space="0" w:color="auto"/>
              <w:left w:val="single" w:sz="8" w:space="0" w:color="auto"/>
              <w:bottom w:val="single" w:sz="8" w:space="0" w:color="auto"/>
              <w:right w:val="nil"/>
            </w:tcBorders>
            <w:shd w:val="clear" w:color="auto" w:fill="auto"/>
            <w:vAlign w:val="center"/>
            <w:hideMark/>
          </w:tcPr>
          <w:p w14:paraId="43BDDEB1"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Mercados emergentes y economías en desarrollo (MEED)</w:t>
            </w:r>
          </w:p>
        </w:tc>
        <w:tc>
          <w:tcPr>
            <w:tcW w:w="1200" w:type="dxa"/>
            <w:gridSpan w:val="2"/>
            <w:tcBorders>
              <w:top w:val="nil"/>
              <w:left w:val="nil"/>
              <w:bottom w:val="single" w:sz="8" w:space="0" w:color="auto"/>
              <w:right w:val="nil"/>
            </w:tcBorders>
            <w:shd w:val="clear" w:color="auto" w:fill="auto"/>
            <w:noWrap/>
            <w:vAlign w:val="center"/>
            <w:hideMark/>
          </w:tcPr>
          <w:p w14:paraId="66150144"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14:paraId="4EDE8D28"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14:paraId="4ADA103F"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2AAE1D20" w14:textId="77777777" w:rsidR="00FB07C0" w:rsidRPr="00FB07C0" w:rsidRDefault="00FB07C0" w:rsidP="00FB07C0">
            <w:pPr>
              <w:spacing w:after="0" w:line="240" w:lineRule="auto"/>
              <w:jc w:val="center"/>
              <w:rPr>
                <w:rFonts w:eastAsia="Times New Roman" w:cs="Calibri"/>
                <w:b/>
                <w:bCs/>
                <w:color w:val="000000"/>
                <w:sz w:val="16"/>
                <w:szCs w:val="16"/>
                <w:lang w:eastAsia="es-MX"/>
              </w:rPr>
            </w:pPr>
            <w:r w:rsidRPr="00FB07C0">
              <w:rPr>
                <w:rFonts w:eastAsia="Times New Roman" w:cs="Calibri"/>
                <w:b/>
                <w:bCs/>
                <w:color w:val="000000"/>
                <w:sz w:val="16"/>
                <w:szCs w:val="16"/>
                <w:lang w:eastAsia="es-MX"/>
              </w:rPr>
              <w:t>-0.8</w:t>
            </w:r>
          </w:p>
        </w:tc>
      </w:tr>
      <w:tr w:rsidR="00FB07C0" w:rsidRPr="00FB07C0" w14:paraId="3F09E9BB" w14:textId="77777777" w:rsidTr="00265C09">
        <w:trPr>
          <w:trHeight w:val="300"/>
        </w:trPr>
        <w:tc>
          <w:tcPr>
            <w:tcW w:w="1134" w:type="dxa"/>
            <w:tcBorders>
              <w:top w:val="nil"/>
              <w:left w:val="single" w:sz="8" w:space="0" w:color="auto"/>
              <w:bottom w:val="nil"/>
              <w:right w:val="nil"/>
            </w:tcBorders>
            <w:shd w:val="clear" w:color="auto" w:fill="auto"/>
            <w:hideMark/>
          </w:tcPr>
          <w:p w14:paraId="3DD6176A" w14:textId="77777777" w:rsidR="00FB07C0" w:rsidRPr="00FB07C0" w:rsidRDefault="00FB07C0" w:rsidP="00FB07C0">
            <w:pPr>
              <w:spacing w:after="0" w:line="240" w:lineRule="auto"/>
              <w:jc w:val="center"/>
              <w:rPr>
                <w:rFonts w:eastAsia="Times New Roman" w:cs="Calibri"/>
                <w:b/>
                <w:bCs/>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594D17CC"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Asia oriental y el Pacífico</w:t>
            </w:r>
          </w:p>
        </w:tc>
        <w:tc>
          <w:tcPr>
            <w:tcW w:w="1200" w:type="dxa"/>
            <w:gridSpan w:val="2"/>
            <w:tcBorders>
              <w:top w:val="nil"/>
              <w:left w:val="nil"/>
              <w:bottom w:val="nil"/>
              <w:right w:val="nil"/>
            </w:tcBorders>
            <w:shd w:val="clear" w:color="auto" w:fill="auto"/>
            <w:noWrap/>
            <w:vAlign w:val="center"/>
            <w:hideMark/>
          </w:tcPr>
          <w:p w14:paraId="7D96C23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3.2</w:t>
            </w:r>
          </w:p>
        </w:tc>
        <w:tc>
          <w:tcPr>
            <w:tcW w:w="1200" w:type="dxa"/>
            <w:gridSpan w:val="2"/>
            <w:tcBorders>
              <w:top w:val="nil"/>
              <w:left w:val="nil"/>
              <w:bottom w:val="nil"/>
              <w:right w:val="nil"/>
            </w:tcBorders>
            <w:shd w:val="clear" w:color="auto" w:fill="auto"/>
            <w:noWrap/>
            <w:vAlign w:val="center"/>
            <w:hideMark/>
          </w:tcPr>
          <w:p w14:paraId="1BA6121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4.3</w:t>
            </w:r>
          </w:p>
        </w:tc>
        <w:tc>
          <w:tcPr>
            <w:tcW w:w="1200" w:type="dxa"/>
            <w:gridSpan w:val="2"/>
            <w:tcBorders>
              <w:top w:val="nil"/>
              <w:left w:val="nil"/>
              <w:bottom w:val="nil"/>
              <w:right w:val="nil"/>
            </w:tcBorders>
            <w:shd w:val="clear" w:color="auto" w:fill="auto"/>
            <w:noWrap/>
            <w:vAlign w:val="center"/>
            <w:hideMark/>
          </w:tcPr>
          <w:p w14:paraId="4D1119A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-1.2</w:t>
            </w:r>
          </w:p>
        </w:tc>
        <w:tc>
          <w:tcPr>
            <w:tcW w:w="1200" w:type="dxa"/>
            <w:gridSpan w:val="2"/>
            <w:tcBorders>
              <w:top w:val="nil"/>
              <w:left w:val="nil"/>
              <w:bottom w:val="nil"/>
              <w:right w:val="single" w:sz="8" w:space="0" w:color="auto"/>
            </w:tcBorders>
            <w:shd w:val="clear" w:color="auto" w:fill="auto"/>
            <w:noWrap/>
            <w:vAlign w:val="center"/>
            <w:hideMark/>
          </w:tcPr>
          <w:p w14:paraId="2411197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-0.9</w:t>
            </w:r>
          </w:p>
        </w:tc>
      </w:tr>
      <w:tr w:rsidR="00FB07C0" w:rsidRPr="00FB07C0" w14:paraId="7877C7C6" w14:textId="77777777" w:rsidTr="00265C09">
        <w:trPr>
          <w:trHeight w:val="300"/>
        </w:trPr>
        <w:tc>
          <w:tcPr>
            <w:tcW w:w="1134" w:type="dxa"/>
            <w:tcBorders>
              <w:top w:val="nil"/>
              <w:left w:val="single" w:sz="8" w:space="0" w:color="auto"/>
              <w:bottom w:val="nil"/>
              <w:right w:val="nil"/>
            </w:tcBorders>
            <w:shd w:val="clear" w:color="auto" w:fill="auto"/>
            <w:hideMark/>
          </w:tcPr>
          <w:p w14:paraId="7A587110"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2DF6739E"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62BE312A"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China</w:t>
            </w:r>
          </w:p>
        </w:tc>
        <w:tc>
          <w:tcPr>
            <w:tcW w:w="1200" w:type="dxa"/>
            <w:gridSpan w:val="2"/>
            <w:tcBorders>
              <w:top w:val="nil"/>
              <w:left w:val="nil"/>
              <w:bottom w:val="nil"/>
              <w:right w:val="nil"/>
            </w:tcBorders>
            <w:shd w:val="clear" w:color="auto" w:fill="auto"/>
            <w:noWrap/>
            <w:vAlign w:val="center"/>
            <w:hideMark/>
          </w:tcPr>
          <w:p w14:paraId="3570FE0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2.7</w:t>
            </w:r>
          </w:p>
        </w:tc>
        <w:tc>
          <w:tcPr>
            <w:tcW w:w="1200" w:type="dxa"/>
            <w:gridSpan w:val="2"/>
            <w:tcBorders>
              <w:top w:val="nil"/>
              <w:left w:val="nil"/>
              <w:bottom w:val="nil"/>
              <w:right w:val="nil"/>
            </w:tcBorders>
            <w:shd w:val="clear" w:color="auto" w:fill="auto"/>
            <w:noWrap/>
            <w:vAlign w:val="center"/>
            <w:hideMark/>
          </w:tcPr>
          <w:p w14:paraId="4ACD863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4.3</w:t>
            </w:r>
          </w:p>
        </w:tc>
        <w:tc>
          <w:tcPr>
            <w:tcW w:w="1200" w:type="dxa"/>
            <w:gridSpan w:val="2"/>
            <w:tcBorders>
              <w:top w:val="nil"/>
              <w:left w:val="nil"/>
              <w:bottom w:val="nil"/>
              <w:right w:val="nil"/>
            </w:tcBorders>
            <w:shd w:val="clear" w:color="auto" w:fill="auto"/>
            <w:noWrap/>
            <w:vAlign w:val="center"/>
            <w:hideMark/>
          </w:tcPr>
          <w:p w14:paraId="49A1DC1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-1.6</w:t>
            </w:r>
          </w:p>
        </w:tc>
        <w:tc>
          <w:tcPr>
            <w:tcW w:w="1200" w:type="dxa"/>
            <w:gridSpan w:val="2"/>
            <w:tcBorders>
              <w:top w:val="nil"/>
              <w:left w:val="nil"/>
              <w:bottom w:val="nil"/>
              <w:right w:val="single" w:sz="8" w:space="0" w:color="auto"/>
            </w:tcBorders>
            <w:shd w:val="clear" w:color="auto" w:fill="auto"/>
            <w:noWrap/>
            <w:vAlign w:val="center"/>
            <w:hideMark/>
          </w:tcPr>
          <w:p w14:paraId="61864E5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-0.9</w:t>
            </w:r>
          </w:p>
        </w:tc>
      </w:tr>
      <w:tr w:rsidR="00FB07C0" w:rsidRPr="00FB07C0" w14:paraId="055819F9" w14:textId="77777777" w:rsidTr="00265C09">
        <w:trPr>
          <w:trHeight w:val="300"/>
        </w:trPr>
        <w:tc>
          <w:tcPr>
            <w:tcW w:w="1134" w:type="dxa"/>
            <w:tcBorders>
              <w:top w:val="nil"/>
              <w:left w:val="single" w:sz="8" w:space="0" w:color="auto"/>
              <w:bottom w:val="nil"/>
              <w:right w:val="nil"/>
            </w:tcBorders>
            <w:shd w:val="clear" w:color="auto" w:fill="auto"/>
            <w:hideMark/>
          </w:tcPr>
          <w:p w14:paraId="26380046"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4D6F5552"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4329071A"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Indonesia</w:t>
            </w:r>
          </w:p>
        </w:tc>
        <w:tc>
          <w:tcPr>
            <w:tcW w:w="1200" w:type="dxa"/>
            <w:gridSpan w:val="2"/>
            <w:tcBorders>
              <w:top w:val="nil"/>
              <w:left w:val="nil"/>
              <w:bottom w:val="nil"/>
              <w:right w:val="nil"/>
            </w:tcBorders>
            <w:shd w:val="clear" w:color="auto" w:fill="auto"/>
            <w:noWrap/>
            <w:vAlign w:val="center"/>
            <w:hideMark/>
          </w:tcPr>
          <w:p w14:paraId="180241E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5.2</w:t>
            </w:r>
          </w:p>
        </w:tc>
        <w:tc>
          <w:tcPr>
            <w:tcW w:w="1200" w:type="dxa"/>
            <w:gridSpan w:val="2"/>
            <w:tcBorders>
              <w:top w:val="nil"/>
              <w:left w:val="nil"/>
              <w:bottom w:val="nil"/>
              <w:right w:val="nil"/>
            </w:tcBorders>
            <w:shd w:val="clear" w:color="auto" w:fill="auto"/>
            <w:noWrap/>
            <w:vAlign w:val="center"/>
            <w:hideMark/>
          </w:tcPr>
          <w:p w14:paraId="29A6B2A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4.8</w:t>
            </w:r>
          </w:p>
        </w:tc>
        <w:tc>
          <w:tcPr>
            <w:tcW w:w="1200" w:type="dxa"/>
            <w:gridSpan w:val="2"/>
            <w:tcBorders>
              <w:top w:val="nil"/>
              <w:left w:val="nil"/>
              <w:bottom w:val="nil"/>
              <w:right w:val="nil"/>
            </w:tcBorders>
            <w:shd w:val="clear" w:color="auto" w:fill="auto"/>
            <w:noWrap/>
            <w:vAlign w:val="center"/>
            <w:hideMark/>
          </w:tcPr>
          <w:p w14:paraId="7B21716F"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14:paraId="4D09A05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385FE0DE"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1FE91111"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4B40881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05B12503"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Tailandia</w:t>
            </w:r>
          </w:p>
        </w:tc>
        <w:tc>
          <w:tcPr>
            <w:tcW w:w="1200" w:type="dxa"/>
            <w:gridSpan w:val="2"/>
            <w:tcBorders>
              <w:top w:val="nil"/>
              <w:left w:val="nil"/>
              <w:bottom w:val="single" w:sz="8" w:space="0" w:color="auto"/>
              <w:right w:val="nil"/>
            </w:tcBorders>
            <w:shd w:val="clear" w:color="auto" w:fill="auto"/>
            <w:noWrap/>
            <w:vAlign w:val="center"/>
            <w:hideMark/>
          </w:tcPr>
          <w:p w14:paraId="77E58AF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14:paraId="3C117D1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3.6</w:t>
            </w:r>
          </w:p>
        </w:tc>
        <w:tc>
          <w:tcPr>
            <w:tcW w:w="1200" w:type="dxa"/>
            <w:gridSpan w:val="2"/>
            <w:tcBorders>
              <w:top w:val="nil"/>
              <w:left w:val="nil"/>
              <w:bottom w:val="single" w:sz="8" w:space="0" w:color="auto"/>
              <w:right w:val="nil"/>
            </w:tcBorders>
            <w:shd w:val="clear" w:color="auto" w:fill="auto"/>
            <w:noWrap/>
            <w:vAlign w:val="center"/>
            <w:hideMark/>
          </w:tcPr>
          <w:p w14:paraId="05F81D3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1A86971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r>
      <w:tr w:rsidR="00FB07C0" w:rsidRPr="00FB07C0" w14:paraId="0A2B4A5E" w14:textId="77777777" w:rsidTr="00265C09">
        <w:trPr>
          <w:trHeight w:val="300"/>
        </w:trPr>
        <w:tc>
          <w:tcPr>
            <w:tcW w:w="1134" w:type="dxa"/>
            <w:tcBorders>
              <w:top w:val="nil"/>
              <w:left w:val="single" w:sz="8" w:space="0" w:color="auto"/>
              <w:bottom w:val="nil"/>
              <w:right w:val="nil"/>
            </w:tcBorders>
            <w:shd w:val="clear" w:color="auto" w:fill="auto"/>
            <w:hideMark/>
          </w:tcPr>
          <w:p w14:paraId="51427A5E"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7E5D3A31"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Europa y Asia central</w:t>
            </w:r>
          </w:p>
        </w:tc>
        <w:tc>
          <w:tcPr>
            <w:tcW w:w="1200" w:type="dxa"/>
            <w:gridSpan w:val="2"/>
            <w:tcBorders>
              <w:top w:val="nil"/>
              <w:left w:val="nil"/>
              <w:bottom w:val="nil"/>
              <w:right w:val="nil"/>
            </w:tcBorders>
            <w:shd w:val="clear" w:color="auto" w:fill="auto"/>
            <w:noWrap/>
            <w:vAlign w:val="center"/>
            <w:hideMark/>
          </w:tcPr>
          <w:p w14:paraId="598E660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0.2</w:t>
            </w:r>
          </w:p>
        </w:tc>
        <w:tc>
          <w:tcPr>
            <w:tcW w:w="1200" w:type="dxa"/>
            <w:gridSpan w:val="2"/>
            <w:tcBorders>
              <w:top w:val="nil"/>
              <w:left w:val="nil"/>
              <w:bottom w:val="nil"/>
              <w:right w:val="nil"/>
            </w:tcBorders>
            <w:shd w:val="clear" w:color="auto" w:fill="auto"/>
            <w:noWrap/>
            <w:vAlign w:val="center"/>
            <w:hideMark/>
          </w:tcPr>
          <w:p w14:paraId="46ED210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c>
          <w:tcPr>
            <w:tcW w:w="1200" w:type="dxa"/>
            <w:gridSpan w:val="2"/>
            <w:tcBorders>
              <w:top w:val="nil"/>
              <w:left w:val="nil"/>
              <w:bottom w:val="nil"/>
              <w:right w:val="nil"/>
            </w:tcBorders>
            <w:shd w:val="clear" w:color="auto" w:fill="auto"/>
            <w:noWrap/>
            <w:vAlign w:val="center"/>
            <w:hideMark/>
          </w:tcPr>
          <w:p w14:paraId="1219583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3.2</w:t>
            </w:r>
          </w:p>
        </w:tc>
        <w:tc>
          <w:tcPr>
            <w:tcW w:w="1200" w:type="dxa"/>
            <w:gridSpan w:val="2"/>
            <w:tcBorders>
              <w:top w:val="nil"/>
              <w:left w:val="nil"/>
              <w:bottom w:val="nil"/>
              <w:right w:val="single" w:sz="8" w:space="0" w:color="auto"/>
            </w:tcBorders>
            <w:shd w:val="clear" w:color="auto" w:fill="auto"/>
            <w:noWrap/>
            <w:vAlign w:val="center"/>
            <w:hideMark/>
          </w:tcPr>
          <w:p w14:paraId="71594EA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-1.4</w:t>
            </w:r>
          </w:p>
        </w:tc>
      </w:tr>
      <w:tr w:rsidR="00FB07C0" w:rsidRPr="00FB07C0" w14:paraId="20D80680" w14:textId="77777777" w:rsidTr="00265C09">
        <w:trPr>
          <w:trHeight w:val="450"/>
        </w:trPr>
        <w:tc>
          <w:tcPr>
            <w:tcW w:w="1134" w:type="dxa"/>
            <w:tcBorders>
              <w:top w:val="nil"/>
              <w:left w:val="single" w:sz="8" w:space="0" w:color="auto"/>
              <w:bottom w:val="nil"/>
              <w:right w:val="nil"/>
            </w:tcBorders>
            <w:shd w:val="clear" w:color="auto" w:fill="auto"/>
            <w:hideMark/>
          </w:tcPr>
          <w:p w14:paraId="39D0A8A1"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14E1EFF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3ABFE1DF"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Federación de Rusia</w:t>
            </w:r>
          </w:p>
        </w:tc>
        <w:tc>
          <w:tcPr>
            <w:tcW w:w="1200" w:type="dxa"/>
            <w:gridSpan w:val="2"/>
            <w:tcBorders>
              <w:top w:val="nil"/>
              <w:left w:val="nil"/>
              <w:bottom w:val="nil"/>
              <w:right w:val="nil"/>
            </w:tcBorders>
            <w:shd w:val="clear" w:color="auto" w:fill="auto"/>
            <w:noWrap/>
            <w:vAlign w:val="center"/>
            <w:hideMark/>
          </w:tcPr>
          <w:p w14:paraId="6E490D9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14:paraId="039C259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-3.3</w:t>
            </w:r>
          </w:p>
        </w:tc>
        <w:tc>
          <w:tcPr>
            <w:tcW w:w="1200" w:type="dxa"/>
            <w:gridSpan w:val="2"/>
            <w:tcBorders>
              <w:top w:val="nil"/>
              <w:left w:val="nil"/>
              <w:bottom w:val="nil"/>
              <w:right w:val="nil"/>
            </w:tcBorders>
            <w:shd w:val="clear" w:color="auto" w:fill="auto"/>
            <w:noWrap/>
            <w:vAlign w:val="center"/>
            <w:hideMark/>
          </w:tcPr>
          <w:p w14:paraId="1859E3F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5.4</w:t>
            </w:r>
          </w:p>
        </w:tc>
        <w:tc>
          <w:tcPr>
            <w:tcW w:w="1200" w:type="dxa"/>
            <w:gridSpan w:val="2"/>
            <w:tcBorders>
              <w:top w:val="nil"/>
              <w:left w:val="nil"/>
              <w:bottom w:val="nil"/>
              <w:right w:val="single" w:sz="8" w:space="0" w:color="auto"/>
            </w:tcBorders>
            <w:shd w:val="clear" w:color="auto" w:fill="auto"/>
            <w:noWrap/>
            <w:vAlign w:val="center"/>
            <w:hideMark/>
          </w:tcPr>
          <w:p w14:paraId="4B8AA49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-1.3</w:t>
            </w:r>
          </w:p>
        </w:tc>
      </w:tr>
      <w:tr w:rsidR="00FB07C0" w:rsidRPr="00FB07C0" w14:paraId="6291C5F6" w14:textId="77777777" w:rsidTr="00265C09">
        <w:trPr>
          <w:trHeight w:val="300"/>
        </w:trPr>
        <w:tc>
          <w:tcPr>
            <w:tcW w:w="1134" w:type="dxa"/>
            <w:tcBorders>
              <w:top w:val="nil"/>
              <w:left w:val="single" w:sz="8" w:space="0" w:color="auto"/>
              <w:bottom w:val="nil"/>
              <w:right w:val="nil"/>
            </w:tcBorders>
            <w:shd w:val="clear" w:color="auto" w:fill="auto"/>
            <w:hideMark/>
          </w:tcPr>
          <w:p w14:paraId="1A7E1C57"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73120627"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1582EA20" w14:textId="77777777" w:rsidR="00FB07C0" w:rsidRPr="00FB07C0" w:rsidRDefault="00FB07C0" w:rsidP="00FB07C0">
            <w:pPr>
              <w:spacing w:after="0" w:line="240" w:lineRule="auto"/>
              <w:rPr>
                <w:rFonts w:eastAsia="Times New Roman" w:cs="Calibri"/>
                <w:color w:val="000000"/>
                <w:sz w:val="16"/>
                <w:szCs w:val="16"/>
                <w:lang w:eastAsia="es-MX"/>
              </w:rPr>
            </w:pPr>
            <w:proofErr w:type="spellStart"/>
            <w:r w:rsidRPr="00FB07C0">
              <w:rPr>
                <w:rFonts w:eastAsia="Times New Roman" w:cs="Calibri"/>
                <w:color w:val="000000"/>
                <w:sz w:val="16"/>
                <w:szCs w:val="16"/>
                <w:lang w:eastAsia="es-MX"/>
              </w:rPr>
              <w:t>Türkiye</w:t>
            </w:r>
            <w:proofErr w:type="spellEnd"/>
          </w:p>
        </w:tc>
        <w:tc>
          <w:tcPr>
            <w:tcW w:w="1200" w:type="dxa"/>
            <w:gridSpan w:val="2"/>
            <w:tcBorders>
              <w:top w:val="nil"/>
              <w:left w:val="nil"/>
              <w:bottom w:val="nil"/>
              <w:right w:val="nil"/>
            </w:tcBorders>
            <w:shd w:val="clear" w:color="auto" w:fill="auto"/>
            <w:noWrap/>
            <w:vAlign w:val="center"/>
            <w:hideMark/>
          </w:tcPr>
          <w:p w14:paraId="5A5C8D1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4.7</w:t>
            </w:r>
          </w:p>
        </w:tc>
        <w:tc>
          <w:tcPr>
            <w:tcW w:w="1200" w:type="dxa"/>
            <w:gridSpan w:val="2"/>
            <w:tcBorders>
              <w:top w:val="nil"/>
              <w:left w:val="nil"/>
              <w:bottom w:val="nil"/>
              <w:right w:val="nil"/>
            </w:tcBorders>
            <w:shd w:val="clear" w:color="auto" w:fill="auto"/>
            <w:noWrap/>
            <w:vAlign w:val="center"/>
            <w:hideMark/>
          </w:tcPr>
          <w:p w14:paraId="2B9D7F6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2.7</w:t>
            </w:r>
          </w:p>
        </w:tc>
        <w:tc>
          <w:tcPr>
            <w:tcW w:w="1200" w:type="dxa"/>
            <w:gridSpan w:val="2"/>
            <w:tcBorders>
              <w:top w:val="nil"/>
              <w:left w:val="nil"/>
              <w:bottom w:val="nil"/>
              <w:right w:val="nil"/>
            </w:tcBorders>
            <w:shd w:val="clear" w:color="auto" w:fill="auto"/>
            <w:noWrap/>
            <w:vAlign w:val="center"/>
            <w:hideMark/>
          </w:tcPr>
          <w:p w14:paraId="542E4AC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2.4</w:t>
            </w:r>
          </w:p>
        </w:tc>
        <w:tc>
          <w:tcPr>
            <w:tcW w:w="1200" w:type="dxa"/>
            <w:gridSpan w:val="2"/>
            <w:tcBorders>
              <w:top w:val="nil"/>
              <w:left w:val="nil"/>
              <w:bottom w:val="nil"/>
              <w:right w:val="single" w:sz="8" w:space="0" w:color="auto"/>
            </w:tcBorders>
            <w:shd w:val="clear" w:color="auto" w:fill="auto"/>
            <w:noWrap/>
            <w:vAlign w:val="center"/>
            <w:hideMark/>
          </w:tcPr>
          <w:p w14:paraId="0EF8318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433A446D"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0D64631C"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5F3ADC7F"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7029DE3C"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Polonia</w:t>
            </w:r>
          </w:p>
        </w:tc>
        <w:tc>
          <w:tcPr>
            <w:tcW w:w="1200" w:type="dxa"/>
            <w:gridSpan w:val="2"/>
            <w:tcBorders>
              <w:top w:val="nil"/>
              <w:left w:val="nil"/>
              <w:bottom w:val="single" w:sz="8" w:space="0" w:color="auto"/>
              <w:right w:val="nil"/>
            </w:tcBorders>
            <w:shd w:val="clear" w:color="auto" w:fill="auto"/>
            <w:noWrap/>
            <w:vAlign w:val="center"/>
            <w:hideMark/>
          </w:tcPr>
          <w:p w14:paraId="113F856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4.4</w:t>
            </w:r>
          </w:p>
        </w:tc>
        <w:tc>
          <w:tcPr>
            <w:tcW w:w="1200" w:type="dxa"/>
            <w:gridSpan w:val="2"/>
            <w:tcBorders>
              <w:top w:val="nil"/>
              <w:left w:val="nil"/>
              <w:bottom w:val="single" w:sz="8" w:space="0" w:color="auto"/>
              <w:right w:val="nil"/>
            </w:tcBorders>
            <w:shd w:val="clear" w:color="auto" w:fill="auto"/>
            <w:noWrap/>
            <w:vAlign w:val="center"/>
            <w:hideMark/>
          </w:tcPr>
          <w:p w14:paraId="4CEE9A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c>
          <w:tcPr>
            <w:tcW w:w="1200" w:type="dxa"/>
            <w:gridSpan w:val="2"/>
            <w:tcBorders>
              <w:top w:val="nil"/>
              <w:left w:val="nil"/>
              <w:bottom w:val="single" w:sz="8" w:space="0" w:color="auto"/>
              <w:right w:val="nil"/>
            </w:tcBorders>
            <w:shd w:val="clear" w:color="auto" w:fill="auto"/>
            <w:noWrap/>
            <w:vAlign w:val="center"/>
            <w:hideMark/>
          </w:tcPr>
          <w:p w14:paraId="78AA6D5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3D3206C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-2.9</w:t>
            </w:r>
          </w:p>
        </w:tc>
      </w:tr>
      <w:tr w:rsidR="00FB07C0" w:rsidRPr="00FB07C0" w14:paraId="35BCF3D6" w14:textId="77777777" w:rsidTr="00265C09">
        <w:trPr>
          <w:trHeight w:val="300"/>
        </w:trPr>
        <w:tc>
          <w:tcPr>
            <w:tcW w:w="1134" w:type="dxa"/>
            <w:tcBorders>
              <w:top w:val="nil"/>
              <w:left w:val="single" w:sz="8" w:space="0" w:color="auto"/>
              <w:bottom w:val="nil"/>
              <w:right w:val="nil"/>
            </w:tcBorders>
            <w:shd w:val="clear" w:color="auto" w:fill="auto"/>
            <w:hideMark/>
          </w:tcPr>
          <w:p w14:paraId="2D5FDE6B"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51E47A06"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América Latina y el Caribe</w:t>
            </w:r>
          </w:p>
        </w:tc>
        <w:tc>
          <w:tcPr>
            <w:tcW w:w="1200" w:type="dxa"/>
            <w:gridSpan w:val="2"/>
            <w:tcBorders>
              <w:top w:val="nil"/>
              <w:left w:val="nil"/>
              <w:bottom w:val="nil"/>
              <w:right w:val="nil"/>
            </w:tcBorders>
            <w:shd w:val="clear" w:color="auto" w:fill="auto"/>
            <w:noWrap/>
            <w:vAlign w:val="center"/>
            <w:hideMark/>
          </w:tcPr>
          <w:p w14:paraId="452A192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3.6</w:t>
            </w:r>
          </w:p>
        </w:tc>
        <w:tc>
          <w:tcPr>
            <w:tcW w:w="1200" w:type="dxa"/>
            <w:gridSpan w:val="2"/>
            <w:tcBorders>
              <w:top w:val="nil"/>
              <w:left w:val="nil"/>
              <w:bottom w:val="nil"/>
              <w:right w:val="nil"/>
            </w:tcBorders>
            <w:shd w:val="clear" w:color="auto" w:fill="auto"/>
            <w:noWrap/>
            <w:vAlign w:val="center"/>
            <w:hideMark/>
          </w:tcPr>
          <w:p w14:paraId="7B132F3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1.3</w:t>
            </w:r>
          </w:p>
        </w:tc>
        <w:tc>
          <w:tcPr>
            <w:tcW w:w="1200" w:type="dxa"/>
            <w:gridSpan w:val="2"/>
            <w:tcBorders>
              <w:top w:val="nil"/>
              <w:left w:val="nil"/>
              <w:bottom w:val="nil"/>
              <w:right w:val="nil"/>
            </w:tcBorders>
            <w:shd w:val="clear" w:color="auto" w:fill="auto"/>
            <w:noWrap/>
            <w:vAlign w:val="center"/>
            <w:hideMark/>
          </w:tcPr>
          <w:p w14:paraId="2A06AF6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1.1</w:t>
            </w:r>
          </w:p>
        </w:tc>
        <w:tc>
          <w:tcPr>
            <w:tcW w:w="1200" w:type="dxa"/>
            <w:gridSpan w:val="2"/>
            <w:tcBorders>
              <w:top w:val="nil"/>
              <w:left w:val="nil"/>
              <w:bottom w:val="nil"/>
              <w:right w:val="single" w:sz="8" w:space="0" w:color="auto"/>
            </w:tcBorders>
            <w:shd w:val="clear" w:color="auto" w:fill="auto"/>
            <w:noWrap/>
            <w:vAlign w:val="center"/>
            <w:hideMark/>
          </w:tcPr>
          <w:p w14:paraId="5D8440F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-0.6</w:t>
            </w:r>
          </w:p>
        </w:tc>
      </w:tr>
      <w:tr w:rsidR="00FB07C0" w:rsidRPr="00FB07C0" w14:paraId="3E8F8FEE" w14:textId="77777777" w:rsidTr="00265C09">
        <w:trPr>
          <w:trHeight w:val="300"/>
        </w:trPr>
        <w:tc>
          <w:tcPr>
            <w:tcW w:w="1134" w:type="dxa"/>
            <w:tcBorders>
              <w:top w:val="nil"/>
              <w:left w:val="single" w:sz="8" w:space="0" w:color="auto"/>
              <w:bottom w:val="nil"/>
              <w:right w:val="nil"/>
            </w:tcBorders>
            <w:shd w:val="clear" w:color="auto" w:fill="auto"/>
            <w:hideMark/>
          </w:tcPr>
          <w:p w14:paraId="2CE323BF"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20DF296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2C445E83"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Brasil</w:t>
            </w:r>
          </w:p>
        </w:tc>
        <w:tc>
          <w:tcPr>
            <w:tcW w:w="1200" w:type="dxa"/>
            <w:gridSpan w:val="2"/>
            <w:tcBorders>
              <w:top w:val="nil"/>
              <w:left w:val="nil"/>
              <w:bottom w:val="nil"/>
              <w:right w:val="nil"/>
            </w:tcBorders>
            <w:shd w:val="clear" w:color="auto" w:fill="auto"/>
            <w:noWrap/>
            <w:vAlign w:val="center"/>
            <w:hideMark/>
          </w:tcPr>
          <w:p w14:paraId="55EA985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w:t>
            </w:r>
          </w:p>
        </w:tc>
        <w:tc>
          <w:tcPr>
            <w:tcW w:w="1200" w:type="dxa"/>
            <w:gridSpan w:val="2"/>
            <w:tcBorders>
              <w:top w:val="nil"/>
              <w:left w:val="nil"/>
              <w:bottom w:val="nil"/>
              <w:right w:val="nil"/>
            </w:tcBorders>
            <w:shd w:val="clear" w:color="auto" w:fill="auto"/>
            <w:noWrap/>
            <w:vAlign w:val="center"/>
            <w:hideMark/>
          </w:tcPr>
          <w:p w14:paraId="23E3FA4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nil"/>
              <w:right w:val="nil"/>
            </w:tcBorders>
            <w:shd w:val="clear" w:color="auto" w:fill="auto"/>
            <w:noWrap/>
            <w:vAlign w:val="center"/>
            <w:hideMark/>
          </w:tcPr>
          <w:p w14:paraId="7C05757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1.5</w:t>
            </w:r>
          </w:p>
        </w:tc>
        <w:tc>
          <w:tcPr>
            <w:tcW w:w="1200" w:type="dxa"/>
            <w:gridSpan w:val="2"/>
            <w:tcBorders>
              <w:top w:val="nil"/>
              <w:left w:val="nil"/>
              <w:bottom w:val="nil"/>
              <w:right w:val="single" w:sz="8" w:space="0" w:color="auto"/>
            </w:tcBorders>
            <w:shd w:val="clear" w:color="auto" w:fill="auto"/>
            <w:noWrap/>
            <w:vAlign w:val="center"/>
            <w:hideMark/>
          </w:tcPr>
          <w:p w14:paraId="78786A3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r>
      <w:tr w:rsidR="00FB07C0" w:rsidRPr="00FB07C0" w14:paraId="19EFB8A0" w14:textId="77777777" w:rsidTr="00265C09">
        <w:trPr>
          <w:trHeight w:val="300"/>
        </w:trPr>
        <w:tc>
          <w:tcPr>
            <w:tcW w:w="1134" w:type="dxa"/>
            <w:tcBorders>
              <w:top w:val="nil"/>
              <w:left w:val="single" w:sz="8" w:space="0" w:color="auto"/>
              <w:bottom w:val="nil"/>
              <w:right w:val="nil"/>
            </w:tcBorders>
            <w:shd w:val="clear" w:color="auto" w:fill="auto"/>
            <w:hideMark/>
          </w:tcPr>
          <w:p w14:paraId="2491701C"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7A86A30E"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1A2A5BD4"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México</w:t>
            </w:r>
          </w:p>
        </w:tc>
        <w:tc>
          <w:tcPr>
            <w:tcW w:w="1200" w:type="dxa"/>
            <w:gridSpan w:val="2"/>
            <w:tcBorders>
              <w:top w:val="nil"/>
              <w:left w:val="nil"/>
              <w:bottom w:val="nil"/>
              <w:right w:val="nil"/>
            </w:tcBorders>
            <w:shd w:val="clear" w:color="auto" w:fill="auto"/>
            <w:noWrap/>
            <w:vAlign w:val="center"/>
            <w:hideMark/>
          </w:tcPr>
          <w:p w14:paraId="6611A4B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2.6</w:t>
            </w:r>
          </w:p>
        </w:tc>
        <w:tc>
          <w:tcPr>
            <w:tcW w:w="1200" w:type="dxa"/>
            <w:gridSpan w:val="2"/>
            <w:tcBorders>
              <w:top w:val="nil"/>
              <w:left w:val="nil"/>
              <w:bottom w:val="nil"/>
              <w:right w:val="nil"/>
            </w:tcBorders>
            <w:shd w:val="clear" w:color="auto" w:fill="auto"/>
            <w:noWrap/>
            <w:vAlign w:val="center"/>
            <w:hideMark/>
          </w:tcPr>
          <w:p w14:paraId="4DE8CC0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0.9</w:t>
            </w:r>
          </w:p>
        </w:tc>
        <w:tc>
          <w:tcPr>
            <w:tcW w:w="1200" w:type="dxa"/>
            <w:gridSpan w:val="2"/>
            <w:tcBorders>
              <w:top w:val="nil"/>
              <w:left w:val="nil"/>
              <w:bottom w:val="nil"/>
              <w:right w:val="nil"/>
            </w:tcBorders>
            <w:shd w:val="clear" w:color="auto" w:fill="auto"/>
            <w:noWrap/>
            <w:vAlign w:val="center"/>
            <w:hideMark/>
          </w:tcPr>
          <w:p w14:paraId="76E7462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0.9</w:t>
            </w:r>
          </w:p>
        </w:tc>
        <w:tc>
          <w:tcPr>
            <w:tcW w:w="1200" w:type="dxa"/>
            <w:gridSpan w:val="2"/>
            <w:tcBorders>
              <w:top w:val="nil"/>
              <w:left w:val="nil"/>
              <w:bottom w:val="nil"/>
              <w:right w:val="single" w:sz="8" w:space="0" w:color="auto"/>
            </w:tcBorders>
            <w:shd w:val="clear" w:color="auto" w:fill="auto"/>
            <w:noWrap/>
            <w:vAlign w:val="center"/>
            <w:hideMark/>
          </w:tcPr>
          <w:p w14:paraId="217B802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w:t>
            </w:r>
          </w:p>
        </w:tc>
      </w:tr>
      <w:tr w:rsidR="00FB07C0" w:rsidRPr="00FB07C0" w14:paraId="4EB2714B"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1C8A99E9"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0C3F339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6FAA3D28"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Argentina</w:t>
            </w:r>
          </w:p>
        </w:tc>
        <w:tc>
          <w:tcPr>
            <w:tcW w:w="1200" w:type="dxa"/>
            <w:gridSpan w:val="2"/>
            <w:tcBorders>
              <w:top w:val="nil"/>
              <w:left w:val="nil"/>
              <w:bottom w:val="single" w:sz="8" w:space="0" w:color="auto"/>
              <w:right w:val="nil"/>
            </w:tcBorders>
            <w:shd w:val="clear" w:color="auto" w:fill="auto"/>
            <w:noWrap/>
            <w:vAlign w:val="center"/>
            <w:hideMark/>
          </w:tcPr>
          <w:p w14:paraId="70F90E8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5.2</w:t>
            </w:r>
          </w:p>
        </w:tc>
        <w:tc>
          <w:tcPr>
            <w:tcW w:w="1200" w:type="dxa"/>
            <w:gridSpan w:val="2"/>
            <w:tcBorders>
              <w:top w:val="nil"/>
              <w:left w:val="nil"/>
              <w:bottom w:val="single" w:sz="8" w:space="0" w:color="auto"/>
              <w:right w:val="nil"/>
            </w:tcBorders>
            <w:shd w:val="clear" w:color="auto" w:fill="auto"/>
            <w:noWrap/>
            <w:vAlign w:val="center"/>
            <w:hideMark/>
          </w:tcPr>
          <w:p w14:paraId="1DB0548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w:t>
            </w:r>
          </w:p>
        </w:tc>
        <w:tc>
          <w:tcPr>
            <w:tcW w:w="1200" w:type="dxa"/>
            <w:gridSpan w:val="2"/>
            <w:tcBorders>
              <w:top w:val="nil"/>
              <w:left w:val="nil"/>
              <w:bottom w:val="single" w:sz="8" w:space="0" w:color="auto"/>
              <w:right w:val="nil"/>
            </w:tcBorders>
            <w:shd w:val="clear" w:color="auto" w:fill="auto"/>
            <w:noWrap/>
            <w:vAlign w:val="center"/>
            <w:hideMark/>
          </w:tcPr>
          <w:p w14:paraId="10A6702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5C29E7E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2FED307A" w14:textId="77777777" w:rsidTr="00265C09">
        <w:trPr>
          <w:trHeight w:val="300"/>
        </w:trPr>
        <w:tc>
          <w:tcPr>
            <w:tcW w:w="1134" w:type="dxa"/>
            <w:tcBorders>
              <w:top w:val="nil"/>
              <w:left w:val="single" w:sz="8" w:space="0" w:color="auto"/>
              <w:bottom w:val="nil"/>
              <w:right w:val="nil"/>
            </w:tcBorders>
            <w:shd w:val="clear" w:color="auto" w:fill="auto"/>
            <w:hideMark/>
          </w:tcPr>
          <w:p w14:paraId="2EB12510"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5CE78FFB"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 xml:space="preserve">Oriente Medio y Norte de África </w:t>
            </w:r>
          </w:p>
        </w:tc>
        <w:tc>
          <w:tcPr>
            <w:tcW w:w="1200" w:type="dxa"/>
            <w:gridSpan w:val="2"/>
            <w:tcBorders>
              <w:top w:val="nil"/>
              <w:left w:val="nil"/>
              <w:bottom w:val="nil"/>
              <w:right w:val="nil"/>
            </w:tcBorders>
            <w:shd w:val="clear" w:color="auto" w:fill="auto"/>
            <w:noWrap/>
            <w:vAlign w:val="center"/>
            <w:hideMark/>
          </w:tcPr>
          <w:p w14:paraId="3A8B80B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5.7</w:t>
            </w:r>
          </w:p>
        </w:tc>
        <w:tc>
          <w:tcPr>
            <w:tcW w:w="1200" w:type="dxa"/>
            <w:gridSpan w:val="2"/>
            <w:tcBorders>
              <w:top w:val="nil"/>
              <w:left w:val="nil"/>
              <w:bottom w:val="nil"/>
              <w:right w:val="nil"/>
            </w:tcBorders>
            <w:shd w:val="clear" w:color="auto" w:fill="auto"/>
            <w:noWrap/>
            <w:vAlign w:val="center"/>
            <w:hideMark/>
          </w:tcPr>
          <w:p w14:paraId="14D632A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14:paraId="78628E7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0.4</w:t>
            </w:r>
          </w:p>
        </w:tc>
        <w:tc>
          <w:tcPr>
            <w:tcW w:w="1200" w:type="dxa"/>
            <w:gridSpan w:val="2"/>
            <w:tcBorders>
              <w:top w:val="nil"/>
              <w:left w:val="nil"/>
              <w:bottom w:val="nil"/>
              <w:right w:val="single" w:sz="8" w:space="0" w:color="auto"/>
            </w:tcBorders>
            <w:shd w:val="clear" w:color="auto" w:fill="auto"/>
            <w:noWrap/>
            <w:vAlign w:val="center"/>
            <w:hideMark/>
          </w:tcPr>
          <w:p w14:paraId="77FFEB2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r>
      <w:tr w:rsidR="00FB07C0" w:rsidRPr="00FB07C0" w14:paraId="03A6D6B2" w14:textId="77777777" w:rsidTr="00265C09">
        <w:trPr>
          <w:trHeight w:val="300"/>
        </w:trPr>
        <w:tc>
          <w:tcPr>
            <w:tcW w:w="1134" w:type="dxa"/>
            <w:tcBorders>
              <w:top w:val="nil"/>
              <w:left w:val="single" w:sz="8" w:space="0" w:color="auto"/>
              <w:bottom w:val="nil"/>
              <w:right w:val="nil"/>
            </w:tcBorders>
            <w:shd w:val="clear" w:color="auto" w:fill="auto"/>
            <w:hideMark/>
          </w:tcPr>
          <w:p w14:paraId="39699528"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228BFB65"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6F381FB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Arabia Saudita</w:t>
            </w:r>
          </w:p>
        </w:tc>
        <w:tc>
          <w:tcPr>
            <w:tcW w:w="1200" w:type="dxa"/>
            <w:gridSpan w:val="2"/>
            <w:tcBorders>
              <w:top w:val="nil"/>
              <w:left w:val="nil"/>
              <w:bottom w:val="nil"/>
              <w:right w:val="nil"/>
            </w:tcBorders>
            <w:shd w:val="clear" w:color="auto" w:fill="auto"/>
            <w:noWrap/>
            <w:vAlign w:val="center"/>
            <w:hideMark/>
          </w:tcPr>
          <w:p w14:paraId="5724A6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8.3</w:t>
            </w:r>
          </w:p>
        </w:tc>
        <w:tc>
          <w:tcPr>
            <w:tcW w:w="1200" w:type="dxa"/>
            <w:gridSpan w:val="2"/>
            <w:tcBorders>
              <w:top w:val="nil"/>
              <w:left w:val="nil"/>
              <w:bottom w:val="nil"/>
              <w:right w:val="nil"/>
            </w:tcBorders>
            <w:shd w:val="clear" w:color="auto" w:fill="auto"/>
            <w:noWrap/>
            <w:vAlign w:val="center"/>
            <w:hideMark/>
          </w:tcPr>
          <w:p w14:paraId="3414C7E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3.7</w:t>
            </w:r>
          </w:p>
        </w:tc>
        <w:tc>
          <w:tcPr>
            <w:tcW w:w="1200" w:type="dxa"/>
            <w:gridSpan w:val="2"/>
            <w:tcBorders>
              <w:top w:val="nil"/>
              <w:left w:val="nil"/>
              <w:bottom w:val="nil"/>
              <w:right w:val="nil"/>
            </w:tcBorders>
            <w:shd w:val="clear" w:color="auto" w:fill="auto"/>
            <w:noWrap/>
            <w:vAlign w:val="center"/>
            <w:hideMark/>
          </w:tcPr>
          <w:p w14:paraId="1C46D53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1.3</w:t>
            </w:r>
          </w:p>
        </w:tc>
        <w:tc>
          <w:tcPr>
            <w:tcW w:w="1200" w:type="dxa"/>
            <w:gridSpan w:val="2"/>
            <w:tcBorders>
              <w:top w:val="nil"/>
              <w:left w:val="nil"/>
              <w:bottom w:val="nil"/>
              <w:right w:val="single" w:sz="8" w:space="0" w:color="auto"/>
            </w:tcBorders>
            <w:shd w:val="clear" w:color="auto" w:fill="auto"/>
            <w:noWrap/>
            <w:vAlign w:val="center"/>
            <w:hideMark/>
          </w:tcPr>
          <w:p w14:paraId="646EA46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r>
      <w:tr w:rsidR="00FB07C0" w:rsidRPr="00FB07C0" w14:paraId="67BE1C16" w14:textId="77777777" w:rsidTr="00265C09">
        <w:trPr>
          <w:trHeight w:val="480"/>
        </w:trPr>
        <w:tc>
          <w:tcPr>
            <w:tcW w:w="1134" w:type="dxa"/>
            <w:tcBorders>
              <w:top w:val="nil"/>
              <w:left w:val="single" w:sz="8" w:space="0" w:color="auto"/>
              <w:bottom w:val="nil"/>
              <w:right w:val="nil"/>
            </w:tcBorders>
            <w:shd w:val="clear" w:color="auto" w:fill="auto"/>
            <w:hideMark/>
          </w:tcPr>
          <w:p w14:paraId="32873020"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074DFDB7"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560B10E6"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Irán, Rep. Islámica del</w:t>
            </w:r>
            <w:r w:rsidRPr="00FB07C0">
              <w:rPr>
                <w:rFonts w:eastAsia="Times New Roman" w:cs="Calibri"/>
                <w:color w:val="000000"/>
                <w:sz w:val="16"/>
                <w:szCs w:val="16"/>
                <w:vertAlign w:val="superscript"/>
                <w:lang w:eastAsia="es-MX"/>
              </w:rPr>
              <w:t>2</w:t>
            </w:r>
          </w:p>
        </w:tc>
        <w:tc>
          <w:tcPr>
            <w:tcW w:w="1200" w:type="dxa"/>
            <w:gridSpan w:val="2"/>
            <w:tcBorders>
              <w:top w:val="nil"/>
              <w:left w:val="nil"/>
              <w:bottom w:val="nil"/>
              <w:right w:val="nil"/>
            </w:tcBorders>
            <w:shd w:val="clear" w:color="auto" w:fill="auto"/>
            <w:noWrap/>
            <w:vAlign w:val="center"/>
            <w:hideMark/>
          </w:tcPr>
          <w:p w14:paraId="019422F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2.9</w:t>
            </w:r>
          </w:p>
        </w:tc>
        <w:tc>
          <w:tcPr>
            <w:tcW w:w="1200" w:type="dxa"/>
            <w:gridSpan w:val="2"/>
            <w:tcBorders>
              <w:top w:val="nil"/>
              <w:left w:val="nil"/>
              <w:bottom w:val="nil"/>
              <w:right w:val="nil"/>
            </w:tcBorders>
            <w:shd w:val="clear" w:color="auto" w:fill="auto"/>
            <w:noWrap/>
            <w:vAlign w:val="center"/>
            <w:hideMark/>
          </w:tcPr>
          <w:p w14:paraId="2B0E4EA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2.2</w:t>
            </w:r>
          </w:p>
        </w:tc>
        <w:tc>
          <w:tcPr>
            <w:tcW w:w="1200" w:type="dxa"/>
            <w:gridSpan w:val="2"/>
            <w:tcBorders>
              <w:top w:val="nil"/>
              <w:left w:val="nil"/>
              <w:bottom w:val="nil"/>
              <w:right w:val="nil"/>
            </w:tcBorders>
            <w:shd w:val="clear" w:color="auto" w:fill="auto"/>
            <w:noWrap/>
            <w:vAlign w:val="center"/>
            <w:hideMark/>
          </w:tcPr>
          <w:p w14:paraId="5EEC05E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nil"/>
              <w:right w:val="single" w:sz="8" w:space="0" w:color="auto"/>
            </w:tcBorders>
            <w:shd w:val="clear" w:color="auto" w:fill="auto"/>
            <w:noWrap/>
            <w:vAlign w:val="center"/>
            <w:hideMark/>
          </w:tcPr>
          <w:p w14:paraId="1FAA6A5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2FEE8B88" w14:textId="77777777" w:rsidTr="00265C09">
        <w:trPr>
          <w:trHeight w:val="495"/>
        </w:trPr>
        <w:tc>
          <w:tcPr>
            <w:tcW w:w="1134" w:type="dxa"/>
            <w:tcBorders>
              <w:top w:val="nil"/>
              <w:left w:val="single" w:sz="8" w:space="0" w:color="auto"/>
              <w:bottom w:val="single" w:sz="8" w:space="0" w:color="auto"/>
              <w:right w:val="nil"/>
            </w:tcBorders>
            <w:shd w:val="clear" w:color="auto" w:fill="auto"/>
            <w:hideMark/>
          </w:tcPr>
          <w:p w14:paraId="034876B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0DFE6A6D"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74459051"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Egipto, Rep. Árabe de</w:t>
            </w:r>
            <w:r w:rsidRPr="00FB07C0">
              <w:rPr>
                <w:rFonts w:eastAsia="Times New Roman" w:cs="Calibri"/>
                <w:color w:val="000000"/>
                <w:sz w:val="16"/>
                <w:szCs w:val="16"/>
                <w:vertAlign w:val="superscript"/>
                <w:lang w:eastAsia="es-MX"/>
              </w:rPr>
              <w:t>3</w:t>
            </w:r>
          </w:p>
        </w:tc>
        <w:tc>
          <w:tcPr>
            <w:tcW w:w="1200" w:type="dxa"/>
            <w:gridSpan w:val="2"/>
            <w:tcBorders>
              <w:top w:val="nil"/>
              <w:left w:val="nil"/>
              <w:bottom w:val="single" w:sz="8" w:space="0" w:color="auto"/>
              <w:right w:val="nil"/>
            </w:tcBorders>
            <w:shd w:val="clear" w:color="auto" w:fill="auto"/>
            <w:noWrap/>
            <w:vAlign w:val="center"/>
            <w:hideMark/>
          </w:tcPr>
          <w:p w14:paraId="2BBE778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6.6</w:t>
            </w:r>
          </w:p>
        </w:tc>
        <w:tc>
          <w:tcPr>
            <w:tcW w:w="1200" w:type="dxa"/>
            <w:gridSpan w:val="2"/>
            <w:tcBorders>
              <w:top w:val="nil"/>
              <w:left w:val="nil"/>
              <w:bottom w:val="single" w:sz="8" w:space="0" w:color="auto"/>
              <w:right w:val="nil"/>
            </w:tcBorders>
            <w:shd w:val="clear" w:color="auto" w:fill="auto"/>
            <w:noWrap/>
            <w:vAlign w:val="center"/>
            <w:hideMark/>
          </w:tcPr>
          <w:p w14:paraId="44FC32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4.5</w:t>
            </w:r>
          </w:p>
        </w:tc>
        <w:tc>
          <w:tcPr>
            <w:tcW w:w="1200" w:type="dxa"/>
            <w:gridSpan w:val="2"/>
            <w:tcBorders>
              <w:top w:val="nil"/>
              <w:left w:val="nil"/>
              <w:bottom w:val="single" w:sz="8" w:space="0" w:color="auto"/>
              <w:right w:val="nil"/>
            </w:tcBorders>
            <w:shd w:val="clear" w:color="auto" w:fill="auto"/>
            <w:noWrap/>
            <w:vAlign w:val="center"/>
            <w:hideMark/>
          </w:tcPr>
          <w:p w14:paraId="1A2A957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6EB4FA2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r>
      <w:tr w:rsidR="00FB07C0" w:rsidRPr="00FB07C0" w14:paraId="2AC4F8DD" w14:textId="77777777" w:rsidTr="00265C09">
        <w:trPr>
          <w:trHeight w:val="300"/>
        </w:trPr>
        <w:tc>
          <w:tcPr>
            <w:tcW w:w="1134" w:type="dxa"/>
            <w:tcBorders>
              <w:top w:val="nil"/>
              <w:left w:val="single" w:sz="8" w:space="0" w:color="auto"/>
              <w:bottom w:val="nil"/>
              <w:right w:val="nil"/>
            </w:tcBorders>
            <w:shd w:val="clear" w:color="auto" w:fill="auto"/>
            <w:hideMark/>
          </w:tcPr>
          <w:p w14:paraId="6D6BAB8F"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56A16DE8"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Asia meridional</w:t>
            </w:r>
          </w:p>
        </w:tc>
        <w:tc>
          <w:tcPr>
            <w:tcW w:w="1200" w:type="dxa"/>
            <w:gridSpan w:val="2"/>
            <w:tcBorders>
              <w:top w:val="nil"/>
              <w:left w:val="nil"/>
              <w:bottom w:val="nil"/>
              <w:right w:val="nil"/>
            </w:tcBorders>
            <w:shd w:val="clear" w:color="auto" w:fill="auto"/>
            <w:noWrap/>
            <w:vAlign w:val="center"/>
            <w:hideMark/>
          </w:tcPr>
          <w:p w14:paraId="0A0238E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6.1</w:t>
            </w:r>
          </w:p>
        </w:tc>
        <w:tc>
          <w:tcPr>
            <w:tcW w:w="1200" w:type="dxa"/>
            <w:gridSpan w:val="2"/>
            <w:tcBorders>
              <w:top w:val="nil"/>
              <w:left w:val="nil"/>
              <w:bottom w:val="nil"/>
              <w:right w:val="nil"/>
            </w:tcBorders>
            <w:shd w:val="clear" w:color="auto" w:fill="auto"/>
            <w:noWrap/>
            <w:vAlign w:val="center"/>
            <w:hideMark/>
          </w:tcPr>
          <w:p w14:paraId="124E6ED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5.5</w:t>
            </w:r>
          </w:p>
        </w:tc>
        <w:tc>
          <w:tcPr>
            <w:tcW w:w="1200" w:type="dxa"/>
            <w:gridSpan w:val="2"/>
            <w:tcBorders>
              <w:top w:val="nil"/>
              <w:left w:val="nil"/>
              <w:bottom w:val="nil"/>
              <w:right w:val="nil"/>
            </w:tcBorders>
            <w:shd w:val="clear" w:color="auto" w:fill="auto"/>
            <w:noWrap/>
            <w:vAlign w:val="center"/>
            <w:hideMark/>
          </w:tcPr>
          <w:p w14:paraId="65FEA49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c>
          <w:tcPr>
            <w:tcW w:w="1200" w:type="dxa"/>
            <w:gridSpan w:val="2"/>
            <w:tcBorders>
              <w:top w:val="nil"/>
              <w:left w:val="nil"/>
              <w:bottom w:val="nil"/>
              <w:right w:val="single" w:sz="8" w:space="0" w:color="auto"/>
            </w:tcBorders>
            <w:shd w:val="clear" w:color="auto" w:fill="auto"/>
            <w:noWrap/>
            <w:vAlign w:val="center"/>
            <w:hideMark/>
          </w:tcPr>
          <w:p w14:paraId="74FD0C1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r>
      <w:tr w:rsidR="00FB07C0" w:rsidRPr="00FB07C0" w14:paraId="3B90E9E0" w14:textId="77777777" w:rsidTr="00265C09">
        <w:trPr>
          <w:trHeight w:val="300"/>
        </w:trPr>
        <w:tc>
          <w:tcPr>
            <w:tcW w:w="1134" w:type="dxa"/>
            <w:tcBorders>
              <w:top w:val="nil"/>
              <w:left w:val="single" w:sz="8" w:space="0" w:color="auto"/>
              <w:bottom w:val="nil"/>
              <w:right w:val="nil"/>
            </w:tcBorders>
            <w:shd w:val="clear" w:color="auto" w:fill="auto"/>
            <w:hideMark/>
          </w:tcPr>
          <w:p w14:paraId="618C0688"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53E37DDA"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595FE3FE"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India</w:t>
            </w:r>
            <w:r w:rsidRPr="00FB07C0">
              <w:rPr>
                <w:rFonts w:eastAsia="Times New Roman" w:cs="Calibri"/>
                <w:color w:val="000000"/>
                <w:sz w:val="16"/>
                <w:szCs w:val="16"/>
                <w:vertAlign w:val="superscript"/>
                <w:lang w:eastAsia="es-MX"/>
              </w:rPr>
              <w:t>2</w:t>
            </w:r>
          </w:p>
        </w:tc>
        <w:tc>
          <w:tcPr>
            <w:tcW w:w="1200" w:type="dxa"/>
            <w:gridSpan w:val="2"/>
            <w:tcBorders>
              <w:top w:val="nil"/>
              <w:left w:val="nil"/>
              <w:bottom w:val="nil"/>
              <w:right w:val="nil"/>
            </w:tcBorders>
            <w:shd w:val="clear" w:color="auto" w:fill="auto"/>
            <w:noWrap/>
            <w:vAlign w:val="center"/>
            <w:hideMark/>
          </w:tcPr>
          <w:p w14:paraId="4EBA724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6.9</w:t>
            </w:r>
          </w:p>
        </w:tc>
        <w:tc>
          <w:tcPr>
            <w:tcW w:w="1200" w:type="dxa"/>
            <w:gridSpan w:val="2"/>
            <w:tcBorders>
              <w:top w:val="nil"/>
              <w:left w:val="nil"/>
              <w:bottom w:val="nil"/>
              <w:right w:val="nil"/>
            </w:tcBorders>
            <w:shd w:val="clear" w:color="auto" w:fill="auto"/>
            <w:noWrap/>
            <w:vAlign w:val="center"/>
            <w:hideMark/>
          </w:tcPr>
          <w:p w14:paraId="61BEA99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6.6</w:t>
            </w:r>
          </w:p>
        </w:tc>
        <w:tc>
          <w:tcPr>
            <w:tcW w:w="1200" w:type="dxa"/>
            <w:gridSpan w:val="2"/>
            <w:tcBorders>
              <w:top w:val="nil"/>
              <w:left w:val="nil"/>
              <w:bottom w:val="nil"/>
              <w:right w:val="nil"/>
            </w:tcBorders>
            <w:shd w:val="clear" w:color="auto" w:fill="auto"/>
            <w:noWrap/>
            <w:vAlign w:val="center"/>
            <w:hideMark/>
          </w:tcPr>
          <w:p w14:paraId="6A7CEE9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-0.6</w:t>
            </w:r>
          </w:p>
        </w:tc>
        <w:tc>
          <w:tcPr>
            <w:tcW w:w="1200" w:type="dxa"/>
            <w:gridSpan w:val="2"/>
            <w:tcBorders>
              <w:top w:val="nil"/>
              <w:left w:val="nil"/>
              <w:bottom w:val="nil"/>
              <w:right w:val="single" w:sz="8" w:space="0" w:color="auto"/>
            </w:tcBorders>
            <w:shd w:val="clear" w:color="auto" w:fill="auto"/>
            <w:noWrap/>
            <w:vAlign w:val="center"/>
            <w:hideMark/>
          </w:tcPr>
          <w:p w14:paraId="55DA879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FB07C0" w:rsidRPr="00FB07C0" w14:paraId="216C0896" w14:textId="77777777" w:rsidTr="00265C09">
        <w:trPr>
          <w:trHeight w:val="300"/>
        </w:trPr>
        <w:tc>
          <w:tcPr>
            <w:tcW w:w="1134" w:type="dxa"/>
            <w:tcBorders>
              <w:top w:val="nil"/>
              <w:left w:val="single" w:sz="8" w:space="0" w:color="auto"/>
              <w:bottom w:val="nil"/>
              <w:right w:val="nil"/>
            </w:tcBorders>
            <w:shd w:val="clear" w:color="auto" w:fill="auto"/>
            <w:hideMark/>
          </w:tcPr>
          <w:p w14:paraId="4169026D"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748EF772"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2BB7C72D"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Pakistán</w:t>
            </w:r>
            <w:r w:rsidRPr="00FB07C0">
              <w:rPr>
                <w:rFonts w:eastAsia="Times New Roman" w:cs="Calibri"/>
                <w:color w:val="000000"/>
                <w:sz w:val="16"/>
                <w:szCs w:val="16"/>
                <w:vertAlign w:val="superscript"/>
                <w:lang w:eastAsia="es-MX"/>
              </w:rPr>
              <w:t>3</w:t>
            </w:r>
          </w:p>
        </w:tc>
        <w:tc>
          <w:tcPr>
            <w:tcW w:w="1200" w:type="dxa"/>
            <w:gridSpan w:val="2"/>
            <w:tcBorders>
              <w:top w:val="nil"/>
              <w:left w:val="nil"/>
              <w:bottom w:val="nil"/>
              <w:right w:val="nil"/>
            </w:tcBorders>
            <w:shd w:val="clear" w:color="auto" w:fill="auto"/>
            <w:noWrap/>
            <w:vAlign w:val="center"/>
            <w:hideMark/>
          </w:tcPr>
          <w:p w14:paraId="4460DF7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6</w:t>
            </w:r>
          </w:p>
        </w:tc>
        <w:tc>
          <w:tcPr>
            <w:tcW w:w="1200" w:type="dxa"/>
            <w:gridSpan w:val="2"/>
            <w:tcBorders>
              <w:top w:val="nil"/>
              <w:left w:val="nil"/>
              <w:bottom w:val="nil"/>
              <w:right w:val="nil"/>
            </w:tcBorders>
            <w:shd w:val="clear" w:color="auto" w:fill="auto"/>
            <w:noWrap/>
            <w:vAlign w:val="center"/>
            <w:hideMark/>
          </w:tcPr>
          <w:p w14:paraId="5368C09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w:t>
            </w:r>
          </w:p>
        </w:tc>
        <w:tc>
          <w:tcPr>
            <w:tcW w:w="1200" w:type="dxa"/>
            <w:gridSpan w:val="2"/>
            <w:tcBorders>
              <w:top w:val="nil"/>
              <w:left w:val="nil"/>
              <w:bottom w:val="nil"/>
              <w:right w:val="nil"/>
            </w:tcBorders>
            <w:shd w:val="clear" w:color="auto" w:fill="auto"/>
            <w:noWrap/>
            <w:vAlign w:val="center"/>
            <w:hideMark/>
          </w:tcPr>
          <w:p w14:paraId="74B0AF0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1.7</w:t>
            </w:r>
          </w:p>
        </w:tc>
        <w:tc>
          <w:tcPr>
            <w:tcW w:w="1200" w:type="dxa"/>
            <w:gridSpan w:val="2"/>
            <w:tcBorders>
              <w:top w:val="nil"/>
              <w:left w:val="nil"/>
              <w:bottom w:val="nil"/>
              <w:right w:val="single" w:sz="8" w:space="0" w:color="auto"/>
            </w:tcBorders>
            <w:shd w:val="clear" w:color="auto" w:fill="auto"/>
            <w:noWrap/>
            <w:vAlign w:val="center"/>
            <w:hideMark/>
          </w:tcPr>
          <w:p w14:paraId="3937816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w:t>
            </w:r>
          </w:p>
        </w:tc>
      </w:tr>
      <w:tr w:rsidR="00FB07C0" w:rsidRPr="00FB07C0" w14:paraId="36B01501"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489236DC"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lastRenderedPageBreak/>
              <w:t> </w:t>
            </w:r>
          </w:p>
        </w:tc>
        <w:tc>
          <w:tcPr>
            <w:tcW w:w="1180" w:type="dxa"/>
            <w:tcBorders>
              <w:top w:val="nil"/>
              <w:left w:val="nil"/>
              <w:bottom w:val="single" w:sz="8" w:space="0" w:color="auto"/>
              <w:right w:val="nil"/>
            </w:tcBorders>
            <w:shd w:val="clear" w:color="auto" w:fill="auto"/>
            <w:hideMark/>
          </w:tcPr>
          <w:p w14:paraId="2C4F83FE"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01877A99"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Bangladesh</w:t>
            </w:r>
            <w:r w:rsidRPr="00FB07C0">
              <w:rPr>
                <w:rFonts w:eastAsia="Times New Roman" w:cs="Calibri"/>
                <w:color w:val="000000"/>
                <w:sz w:val="16"/>
                <w:szCs w:val="16"/>
                <w:vertAlign w:val="superscript"/>
                <w:lang w:eastAsia="es-MX"/>
              </w:rPr>
              <w:t>3</w:t>
            </w:r>
          </w:p>
        </w:tc>
        <w:tc>
          <w:tcPr>
            <w:tcW w:w="1200" w:type="dxa"/>
            <w:gridSpan w:val="2"/>
            <w:tcBorders>
              <w:top w:val="nil"/>
              <w:left w:val="nil"/>
              <w:bottom w:val="single" w:sz="8" w:space="0" w:color="auto"/>
              <w:right w:val="nil"/>
            </w:tcBorders>
            <w:shd w:val="clear" w:color="auto" w:fill="auto"/>
            <w:noWrap/>
            <w:vAlign w:val="center"/>
            <w:hideMark/>
          </w:tcPr>
          <w:p w14:paraId="4576F27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7.2</w:t>
            </w:r>
          </w:p>
        </w:tc>
        <w:tc>
          <w:tcPr>
            <w:tcW w:w="1200" w:type="dxa"/>
            <w:gridSpan w:val="2"/>
            <w:tcBorders>
              <w:top w:val="nil"/>
              <w:left w:val="nil"/>
              <w:bottom w:val="single" w:sz="8" w:space="0" w:color="auto"/>
              <w:right w:val="nil"/>
            </w:tcBorders>
            <w:shd w:val="clear" w:color="auto" w:fill="auto"/>
            <w:noWrap/>
            <w:vAlign w:val="center"/>
            <w:hideMark/>
          </w:tcPr>
          <w:p w14:paraId="7F40592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5.2</w:t>
            </w:r>
          </w:p>
        </w:tc>
        <w:tc>
          <w:tcPr>
            <w:tcW w:w="1200" w:type="dxa"/>
            <w:gridSpan w:val="2"/>
            <w:tcBorders>
              <w:top w:val="nil"/>
              <w:left w:val="nil"/>
              <w:bottom w:val="single" w:sz="8" w:space="0" w:color="auto"/>
              <w:right w:val="nil"/>
            </w:tcBorders>
            <w:shd w:val="clear" w:color="auto" w:fill="auto"/>
            <w:noWrap/>
            <w:vAlign w:val="center"/>
            <w:hideMark/>
          </w:tcPr>
          <w:p w14:paraId="62A932F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1015FDA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-1.5</w:t>
            </w:r>
          </w:p>
        </w:tc>
      </w:tr>
      <w:tr w:rsidR="00FB07C0" w:rsidRPr="00FB07C0" w14:paraId="2469E785" w14:textId="77777777" w:rsidTr="00265C09">
        <w:trPr>
          <w:trHeight w:val="300"/>
        </w:trPr>
        <w:tc>
          <w:tcPr>
            <w:tcW w:w="1134" w:type="dxa"/>
            <w:tcBorders>
              <w:top w:val="nil"/>
              <w:left w:val="single" w:sz="8" w:space="0" w:color="auto"/>
              <w:bottom w:val="nil"/>
              <w:right w:val="nil"/>
            </w:tcBorders>
            <w:shd w:val="clear" w:color="auto" w:fill="auto"/>
            <w:hideMark/>
          </w:tcPr>
          <w:p w14:paraId="1C22A972"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78CB4B55"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África al sur del Sahara</w:t>
            </w:r>
          </w:p>
        </w:tc>
        <w:tc>
          <w:tcPr>
            <w:tcW w:w="1200" w:type="dxa"/>
            <w:gridSpan w:val="2"/>
            <w:tcBorders>
              <w:top w:val="nil"/>
              <w:left w:val="nil"/>
              <w:bottom w:val="nil"/>
              <w:right w:val="nil"/>
            </w:tcBorders>
            <w:shd w:val="clear" w:color="auto" w:fill="auto"/>
            <w:noWrap/>
            <w:vAlign w:val="center"/>
            <w:hideMark/>
          </w:tcPr>
          <w:p w14:paraId="2A1602AD"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3.4</w:t>
            </w:r>
          </w:p>
        </w:tc>
        <w:tc>
          <w:tcPr>
            <w:tcW w:w="1200" w:type="dxa"/>
            <w:gridSpan w:val="2"/>
            <w:tcBorders>
              <w:top w:val="nil"/>
              <w:left w:val="nil"/>
              <w:bottom w:val="nil"/>
              <w:right w:val="nil"/>
            </w:tcBorders>
            <w:shd w:val="clear" w:color="auto" w:fill="auto"/>
            <w:noWrap/>
            <w:vAlign w:val="center"/>
            <w:hideMark/>
          </w:tcPr>
          <w:p w14:paraId="297177FF"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3.6</w:t>
            </w:r>
          </w:p>
        </w:tc>
        <w:tc>
          <w:tcPr>
            <w:tcW w:w="1200" w:type="dxa"/>
            <w:gridSpan w:val="2"/>
            <w:tcBorders>
              <w:top w:val="nil"/>
              <w:left w:val="nil"/>
              <w:bottom w:val="nil"/>
              <w:right w:val="nil"/>
            </w:tcBorders>
            <w:shd w:val="clear" w:color="auto" w:fill="auto"/>
            <w:noWrap/>
            <w:vAlign w:val="center"/>
            <w:hideMark/>
          </w:tcPr>
          <w:p w14:paraId="0115409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14:paraId="275C8BBF"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-0.2</w:t>
            </w:r>
          </w:p>
        </w:tc>
      </w:tr>
      <w:tr w:rsidR="00FB07C0" w:rsidRPr="00FB07C0" w14:paraId="233616BD" w14:textId="77777777" w:rsidTr="00265C09">
        <w:trPr>
          <w:trHeight w:val="300"/>
        </w:trPr>
        <w:tc>
          <w:tcPr>
            <w:tcW w:w="1134" w:type="dxa"/>
            <w:tcBorders>
              <w:top w:val="nil"/>
              <w:left w:val="single" w:sz="8" w:space="0" w:color="auto"/>
              <w:bottom w:val="nil"/>
              <w:right w:val="nil"/>
            </w:tcBorders>
            <w:shd w:val="clear" w:color="auto" w:fill="auto"/>
            <w:hideMark/>
          </w:tcPr>
          <w:p w14:paraId="0DE3A316"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70F442F1"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65B905BB"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Nigeria</w:t>
            </w:r>
          </w:p>
        </w:tc>
        <w:tc>
          <w:tcPr>
            <w:tcW w:w="1200" w:type="dxa"/>
            <w:gridSpan w:val="2"/>
            <w:tcBorders>
              <w:top w:val="nil"/>
              <w:left w:val="nil"/>
              <w:bottom w:val="nil"/>
              <w:right w:val="nil"/>
            </w:tcBorders>
            <w:shd w:val="clear" w:color="auto" w:fill="auto"/>
            <w:noWrap/>
            <w:vAlign w:val="center"/>
            <w:hideMark/>
          </w:tcPr>
          <w:p w14:paraId="061DC80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3.1</w:t>
            </w:r>
          </w:p>
        </w:tc>
        <w:tc>
          <w:tcPr>
            <w:tcW w:w="1200" w:type="dxa"/>
            <w:gridSpan w:val="2"/>
            <w:tcBorders>
              <w:top w:val="nil"/>
              <w:left w:val="nil"/>
              <w:bottom w:val="nil"/>
              <w:right w:val="nil"/>
            </w:tcBorders>
            <w:shd w:val="clear" w:color="auto" w:fill="auto"/>
            <w:noWrap/>
            <w:vAlign w:val="center"/>
            <w:hideMark/>
          </w:tcPr>
          <w:p w14:paraId="3F8E85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2.9</w:t>
            </w:r>
          </w:p>
        </w:tc>
        <w:tc>
          <w:tcPr>
            <w:tcW w:w="1200" w:type="dxa"/>
            <w:gridSpan w:val="2"/>
            <w:tcBorders>
              <w:top w:val="nil"/>
              <w:left w:val="nil"/>
              <w:bottom w:val="nil"/>
              <w:right w:val="nil"/>
            </w:tcBorders>
            <w:shd w:val="clear" w:color="auto" w:fill="auto"/>
            <w:noWrap/>
            <w:vAlign w:val="center"/>
            <w:hideMark/>
          </w:tcPr>
          <w:p w14:paraId="59A4C07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14:paraId="20777E5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r>
      <w:tr w:rsidR="00FB07C0" w:rsidRPr="00FB07C0" w14:paraId="19572C50" w14:textId="77777777" w:rsidTr="00265C09">
        <w:trPr>
          <w:trHeight w:val="300"/>
        </w:trPr>
        <w:tc>
          <w:tcPr>
            <w:tcW w:w="1134" w:type="dxa"/>
            <w:tcBorders>
              <w:top w:val="nil"/>
              <w:left w:val="single" w:sz="8" w:space="0" w:color="auto"/>
              <w:bottom w:val="nil"/>
              <w:right w:val="nil"/>
            </w:tcBorders>
            <w:shd w:val="clear" w:color="auto" w:fill="auto"/>
            <w:hideMark/>
          </w:tcPr>
          <w:p w14:paraId="6D13094E"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0E58DB77"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01E82DE4"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Sudáfrica</w:t>
            </w:r>
          </w:p>
        </w:tc>
        <w:tc>
          <w:tcPr>
            <w:tcW w:w="1200" w:type="dxa"/>
            <w:gridSpan w:val="2"/>
            <w:tcBorders>
              <w:top w:val="nil"/>
              <w:left w:val="nil"/>
              <w:bottom w:val="nil"/>
              <w:right w:val="nil"/>
            </w:tcBorders>
            <w:shd w:val="clear" w:color="auto" w:fill="auto"/>
            <w:noWrap/>
            <w:vAlign w:val="center"/>
            <w:hideMark/>
          </w:tcPr>
          <w:p w14:paraId="4335262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14:paraId="69053AA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1.4</w:t>
            </w:r>
          </w:p>
        </w:tc>
        <w:tc>
          <w:tcPr>
            <w:tcW w:w="1200" w:type="dxa"/>
            <w:gridSpan w:val="2"/>
            <w:tcBorders>
              <w:top w:val="nil"/>
              <w:left w:val="nil"/>
              <w:bottom w:val="nil"/>
              <w:right w:val="nil"/>
            </w:tcBorders>
            <w:shd w:val="clear" w:color="auto" w:fill="auto"/>
            <w:noWrap/>
            <w:vAlign w:val="center"/>
            <w:hideMark/>
          </w:tcPr>
          <w:p w14:paraId="08A6ED2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-0.2</w:t>
            </w:r>
          </w:p>
        </w:tc>
        <w:tc>
          <w:tcPr>
            <w:tcW w:w="1200" w:type="dxa"/>
            <w:gridSpan w:val="2"/>
            <w:tcBorders>
              <w:top w:val="nil"/>
              <w:left w:val="nil"/>
              <w:bottom w:val="nil"/>
              <w:right w:val="single" w:sz="8" w:space="0" w:color="auto"/>
            </w:tcBorders>
            <w:shd w:val="clear" w:color="auto" w:fill="auto"/>
            <w:noWrap/>
            <w:vAlign w:val="center"/>
            <w:hideMark/>
          </w:tcPr>
          <w:p w14:paraId="06E4F9F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-0.1</w:t>
            </w:r>
          </w:p>
        </w:tc>
      </w:tr>
      <w:tr w:rsidR="00FB07C0" w:rsidRPr="00FB07C0" w14:paraId="244A72BD"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404BC4E4"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35CD31C6"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1BFB55B2"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Angola</w:t>
            </w:r>
          </w:p>
        </w:tc>
        <w:tc>
          <w:tcPr>
            <w:tcW w:w="1200" w:type="dxa"/>
            <w:gridSpan w:val="2"/>
            <w:tcBorders>
              <w:top w:val="nil"/>
              <w:left w:val="nil"/>
              <w:bottom w:val="single" w:sz="8" w:space="0" w:color="auto"/>
              <w:right w:val="nil"/>
            </w:tcBorders>
            <w:shd w:val="clear" w:color="auto" w:fill="auto"/>
            <w:noWrap/>
            <w:vAlign w:val="center"/>
            <w:hideMark/>
          </w:tcPr>
          <w:p w14:paraId="14133C3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3.1</w:t>
            </w:r>
          </w:p>
        </w:tc>
        <w:tc>
          <w:tcPr>
            <w:tcW w:w="1200" w:type="dxa"/>
            <w:gridSpan w:val="2"/>
            <w:tcBorders>
              <w:top w:val="nil"/>
              <w:left w:val="nil"/>
              <w:bottom w:val="single" w:sz="8" w:space="0" w:color="auto"/>
              <w:right w:val="nil"/>
            </w:tcBorders>
            <w:shd w:val="clear" w:color="auto" w:fill="auto"/>
            <w:noWrap/>
            <w:vAlign w:val="center"/>
            <w:hideMark/>
          </w:tcPr>
          <w:p w14:paraId="40F91C4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2.8</w:t>
            </w:r>
          </w:p>
        </w:tc>
        <w:tc>
          <w:tcPr>
            <w:tcW w:w="1200" w:type="dxa"/>
            <w:gridSpan w:val="2"/>
            <w:tcBorders>
              <w:top w:val="nil"/>
              <w:left w:val="nil"/>
              <w:bottom w:val="single" w:sz="8" w:space="0" w:color="auto"/>
              <w:right w:val="nil"/>
            </w:tcBorders>
            <w:shd w:val="clear" w:color="auto" w:fill="auto"/>
            <w:noWrap/>
            <w:vAlign w:val="center"/>
            <w:hideMark/>
          </w:tcPr>
          <w:p w14:paraId="2FBEF95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4C70F3E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-0.5</w:t>
            </w:r>
          </w:p>
        </w:tc>
      </w:tr>
      <w:tr w:rsidR="00E824CF" w:rsidRPr="00FB07C0" w14:paraId="2AE7687D" w14:textId="77777777" w:rsidTr="00E824CF">
        <w:trPr>
          <w:trHeight w:val="315"/>
        </w:trPr>
        <w:tc>
          <w:tcPr>
            <w:tcW w:w="1134" w:type="dxa"/>
            <w:tcBorders>
              <w:top w:val="single" w:sz="8" w:space="0" w:color="auto"/>
              <w:left w:val="single" w:sz="8" w:space="0" w:color="auto"/>
              <w:bottom w:val="single" w:sz="8" w:space="0" w:color="auto"/>
              <w:right w:val="nil"/>
            </w:tcBorders>
            <w:shd w:val="clear" w:color="000000" w:fill="AB0033"/>
            <w:vAlign w:val="center"/>
            <w:hideMark/>
          </w:tcPr>
          <w:p w14:paraId="0EDAF36E" w14:textId="77777777" w:rsidR="00E824CF" w:rsidRPr="00FB07C0" w:rsidRDefault="00E824CF" w:rsidP="00291DC2">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180" w:type="dxa"/>
            <w:tcBorders>
              <w:top w:val="single" w:sz="8" w:space="0" w:color="auto"/>
              <w:left w:val="nil"/>
              <w:bottom w:val="single" w:sz="8" w:space="0" w:color="auto"/>
              <w:right w:val="nil"/>
            </w:tcBorders>
            <w:shd w:val="clear" w:color="000000" w:fill="AB0033"/>
            <w:vAlign w:val="center"/>
            <w:hideMark/>
          </w:tcPr>
          <w:p w14:paraId="00B9861A" w14:textId="77777777" w:rsidR="00E824CF" w:rsidRPr="00FB07C0" w:rsidRDefault="00E824CF" w:rsidP="00291DC2">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660" w:type="dxa"/>
            <w:gridSpan w:val="2"/>
            <w:tcBorders>
              <w:top w:val="single" w:sz="8" w:space="0" w:color="auto"/>
              <w:left w:val="nil"/>
              <w:bottom w:val="single" w:sz="8" w:space="0" w:color="auto"/>
              <w:right w:val="nil"/>
            </w:tcBorders>
            <w:shd w:val="clear" w:color="000000" w:fill="AB0033"/>
            <w:vAlign w:val="center"/>
            <w:hideMark/>
          </w:tcPr>
          <w:p w14:paraId="685A3D54" w14:textId="77777777" w:rsidR="00E824CF" w:rsidRPr="00FB07C0" w:rsidRDefault="00E824CF" w:rsidP="00291DC2">
            <w:pPr>
              <w:spacing w:after="0" w:line="240" w:lineRule="auto"/>
              <w:rPr>
                <w:rFonts w:eastAsia="Times New Roman" w:cs="Calibri"/>
                <w:color w:val="244062"/>
                <w:sz w:val="16"/>
                <w:szCs w:val="16"/>
                <w:lang w:eastAsia="es-MX"/>
              </w:rPr>
            </w:pPr>
            <w:r w:rsidRPr="00FB07C0">
              <w:rPr>
                <w:rFonts w:eastAsia="Times New Roman" w:cs="Calibri"/>
                <w:color w:val="244062"/>
                <w:sz w:val="16"/>
                <w:szCs w:val="16"/>
                <w:lang w:eastAsia="es-MX"/>
              </w:rPr>
              <w:t> </w:t>
            </w:r>
          </w:p>
        </w:tc>
        <w:tc>
          <w:tcPr>
            <w:tcW w:w="1200" w:type="dxa"/>
            <w:gridSpan w:val="2"/>
            <w:tcBorders>
              <w:top w:val="nil"/>
              <w:left w:val="nil"/>
              <w:bottom w:val="single" w:sz="8" w:space="0" w:color="auto"/>
              <w:right w:val="nil"/>
            </w:tcBorders>
            <w:shd w:val="clear" w:color="000000" w:fill="AB0033"/>
            <w:noWrap/>
            <w:vAlign w:val="center"/>
            <w:hideMark/>
          </w:tcPr>
          <w:p w14:paraId="68EFADF5" w14:textId="77777777" w:rsidR="00E824CF" w:rsidRPr="00FB07C0" w:rsidRDefault="00E824CF" w:rsidP="00291DC2">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000000" w:fill="AB0033"/>
            <w:noWrap/>
            <w:vAlign w:val="center"/>
            <w:hideMark/>
          </w:tcPr>
          <w:p w14:paraId="4DF191A1" w14:textId="77777777" w:rsidR="00E824CF" w:rsidRPr="00FB07C0" w:rsidRDefault="00E824CF" w:rsidP="00291DC2">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2023f</w:t>
            </w:r>
          </w:p>
        </w:tc>
        <w:tc>
          <w:tcPr>
            <w:tcW w:w="1200" w:type="dxa"/>
            <w:gridSpan w:val="2"/>
            <w:tcBorders>
              <w:top w:val="nil"/>
              <w:left w:val="nil"/>
              <w:bottom w:val="single" w:sz="8" w:space="0" w:color="auto"/>
              <w:right w:val="nil"/>
            </w:tcBorders>
            <w:shd w:val="clear" w:color="000000" w:fill="AB0033"/>
            <w:noWrap/>
            <w:vAlign w:val="center"/>
            <w:hideMark/>
          </w:tcPr>
          <w:p w14:paraId="476CB078" w14:textId="77777777" w:rsidR="00E824CF" w:rsidRPr="00FB07C0" w:rsidRDefault="00E824CF" w:rsidP="00291DC2">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000000" w:fill="AB0033"/>
            <w:noWrap/>
            <w:vAlign w:val="center"/>
            <w:hideMark/>
          </w:tcPr>
          <w:p w14:paraId="2FBAC369" w14:textId="77777777" w:rsidR="00E824CF" w:rsidRPr="00FB07C0" w:rsidRDefault="00E824CF" w:rsidP="00291DC2">
            <w:pPr>
              <w:spacing w:after="0" w:line="240" w:lineRule="auto"/>
              <w:jc w:val="center"/>
              <w:rPr>
                <w:rFonts w:eastAsia="Times New Roman" w:cs="Calibri"/>
                <w:b/>
                <w:bCs/>
                <w:color w:val="FFFFFF"/>
                <w:sz w:val="16"/>
                <w:szCs w:val="16"/>
                <w:lang w:eastAsia="es-MX"/>
              </w:rPr>
            </w:pPr>
            <w:r w:rsidRPr="00FB07C0">
              <w:rPr>
                <w:rFonts w:eastAsia="Times New Roman" w:cs="Calibri"/>
                <w:b/>
                <w:bCs/>
                <w:color w:val="FFFFFF"/>
                <w:sz w:val="16"/>
                <w:szCs w:val="16"/>
                <w:lang w:eastAsia="es-MX"/>
              </w:rPr>
              <w:t>2023f</w:t>
            </w:r>
          </w:p>
        </w:tc>
      </w:tr>
      <w:tr w:rsidR="00FB07C0" w:rsidRPr="00FB07C0" w14:paraId="63C1E304" w14:textId="77777777" w:rsidTr="00E824CF">
        <w:trPr>
          <w:trHeight w:val="450"/>
        </w:trPr>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57207382" w14:textId="77777777" w:rsidR="00FB07C0" w:rsidRPr="00FB07C0" w:rsidRDefault="00FB07C0" w:rsidP="00FB07C0">
            <w:pPr>
              <w:spacing w:after="0" w:line="240" w:lineRule="auto"/>
              <w:rPr>
                <w:rFonts w:eastAsia="Times New Roman" w:cs="Calibri"/>
                <w:b/>
                <w:bCs/>
                <w:i/>
                <w:iCs/>
                <w:color w:val="000000"/>
                <w:sz w:val="16"/>
                <w:szCs w:val="16"/>
                <w:lang w:eastAsia="es-MX"/>
              </w:rPr>
            </w:pPr>
            <w:r w:rsidRPr="00FB07C0">
              <w:rPr>
                <w:rFonts w:eastAsia="Times New Roman" w:cs="Calibri"/>
                <w:b/>
                <w:bCs/>
                <w:i/>
                <w:iCs/>
                <w:color w:val="000000"/>
                <w:sz w:val="16"/>
                <w:szCs w:val="16"/>
                <w:lang w:eastAsia="es-MX"/>
              </w:rPr>
              <w:t>Partidas informativas:</w:t>
            </w:r>
          </w:p>
        </w:tc>
        <w:tc>
          <w:tcPr>
            <w:tcW w:w="1180" w:type="dxa"/>
            <w:tcBorders>
              <w:top w:val="single" w:sz="8" w:space="0" w:color="auto"/>
              <w:left w:val="nil"/>
              <w:bottom w:val="nil"/>
              <w:right w:val="nil"/>
            </w:tcBorders>
            <w:shd w:val="clear" w:color="auto" w:fill="auto"/>
            <w:noWrap/>
            <w:vAlign w:val="center"/>
            <w:hideMark/>
          </w:tcPr>
          <w:p w14:paraId="12FC1A92" w14:textId="77777777" w:rsidR="00FB07C0" w:rsidRPr="00FB07C0" w:rsidRDefault="00FB07C0" w:rsidP="00FB07C0">
            <w:pPr>
              <w:spacing w:after="0" w:line="240" w:lineRule="auto"/>
              <w:rPr>
                <w:rFonts w:eastAsia="Times New Roman" w:cs="Calibri"/>
                <w:b/>
                <w:bCs/>
                <w:i/>
                <w:iCs/>
                <w:color w:val="000000"/>
                <w:sz w:val="16"/>
                <w:szCs w:val="16"/>
                <w:lang w:eastAsia="es-MX"/>
              </w:rPr>
            </w:pPr>
          </w:p>
        </w:tc>
        <w:tc>
          <w:tcPr>
            <w:tcW w:w="1660" w:type="dxa"/>
            <w:gridSpan w:val="2"/>
            <w:tcBorders>
              <w:top w:val="single" w:sz="8" w:space="0" w:color="auto"/>
              <w:left w:val="nil"/>
              <w:bottom w:val="nil"/>
              <w:right w:val="nil"/>
            </w:tcBorders>
            <w:shd w:val="clear" w:color="auto" w:fill="auto"/>
            <w:noWrap/>
            <w:vAlign w:val="center"/>
            <w:hideMark/>
          </w:tcPr>
          <w:p w14:paraId="6C940C6F"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14:paraId="06ADDD69"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14:paraId="5713CBF3" w14:textId="77777777" w:rsidR="00FB07C0" w:rsidRPr="00FB07C0" w:rsidRDefault="00FB07C0" w:rsidP="00FB07C0">
            <w:pPr>
              <w:spacing w:after="0" w:line="240" w:lineRule="auto"/>
              <w:jc w:val="center"/>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14:paraId="2D841C12" w14:textId="77777777" w:rsidR="00FB07C0" w:rsidRPr="00FB07C0" w:rsidRDefault="00FB07C0" w:rsidP="00FB07C0">
            <w:pPr>
              <w:spacing w:after="0" w:line="240" w:lineRule="auto"/>
              <w:jc w:val="center"/>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single" w:sz="8" w:space="0" w:color="auto"/>
            </w:tcBorders>
            <w:shd w:val="clear" w:color="auto" w:fill="auto"/>
            <w:noWrap/>
            <w:vAlign w:val="center"/>
            <w:hideMark/>
          </w:tcPr>
          <w:p w14:paraId="40359C81" w14:textId="77777777" w:rsidR="00FB07C0" w:rsidRPr="00FB07C0" w:rsidRDefault="00FB07C0" w:rsidP="00FB07C0">
            <w:pPr>
              <w:spacing w:after="0" w:line="240" w:lineRule="auto"/>
              <w:jc w:val="center"/>
              <w:rPr>
                <w:rFonts w:ascii="Times New Roman" w:eastAsia="Times New Roman" w:hAnsi="Times New Roman"/>
                <w:sz w:val="20"/>
                <w:szCs w:val="20"/>
                <w:lang w:eastAsia="es-MX"/>
              </w:rPr>
            </w:pPr>
          </w:p>
        </w:tc>
      </w:tr>
      <w:tr w:rsidR="00FB07C0" w:rsidRPr="00FB07C0" w14:paraId="58F6F4F8" w14:textId="77777777" w:rsidTr="00265C09">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14:paraId="202F0EB6"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PIB real</w:t>
            </w:r>
            <w:r w:rsidRPr="00FB07C0">
              <w:rPr>
                <w:rFonts w:eastAsia="Times New Roman" w:cs="Calibri"/>
                <w:b/>
                <w:bCs/>
                <w:color w:val="000000"/>
                <w:sz w:val="16"/>
                <w:szCs w:val="16"/>
                <w:vertAlign w:val="superscript"/>
                <w:lang w:eastAsia="es-MX"/>
              </w:rPr>
              <w:t>1</w:t>
            </w:r>
          </w:p>
        </w:tc>
        <w:tc>
          <w:tcPr>
            <w:tcW w:w="1200" w:type="dxa"/>
            <w:gridSpan w:val="2"/>
            <w:tcBorders>
              <w:top w:val="single" w:sz="8" w:space="0" w:color="auto"/>
              <w:left w:val="nil"/>
              <w:bottom w:val="nil"/>
              <w:right w:val="nil"/>
            </w:tcBorders>
            <w:shd w:val="clear" w:color="auto" w:fill="auto"/>
            <w:noWrap/>
            <w:vAlign w:val="center"/>
            <w:hideMark/>
          </w:tcPr>
          <w:p w14:paraId="48541211"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 </w:t>
            </w:r>
          </w:p>
        </w:tc>
        <w:tc>
          <w:tcPr>
            <w:tcW w:w="1200" w:type="dxa"/>
            <w:gridSpan w:val="2"/>
            <w:tcBorders>
              <w:top w:val="single" w:sz="8" w:space="0" w:color="auto"/>
              <w:left w:val="nil"/>
              <w:bottom w:val="nil"/>
              <w:right w:val="nil"/>
            </w:tcBorders>
            <w:shd w:val="clear" w:color="auto" w:fill="auto"/>
            <w:noWrap/>
            <w:vAlign w:val="center"/>
            <w:hideMark/>
          </w:tcPr>
          <w:p w14:paraId="5C45E79F"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 </w:t>
            </w:r>
          </w:p>
        </w:tc>
        <w:tc>
          <w:tcPr>
            <w:tcW w:w="1200" w:type="dxa"/>
            <w:gridSpan w:val="2"/>
            <w:tcBorders>
              <w:top w:val="single" w:sz="8" w:space="0" w:color="auto"/>
              <w:left w:val="nil"/>
              <w:bottom w:val="nil"/>
              <w:right w:val="nil"/>
            </w:tcBorders>
            <w:shd w:val="clear" w:color="auto" w:fill="auto"/>
            <w:noWrap/>
            <w:vAlign w:val="center"/>
            <w:hideMark/>
          </w:tcPr>
          <w:p w14:paraId="00D3A99D"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 </w:t>
            </w:r>
          </w:p>
        </w:tc>
        <w:tc>
          <w:tcPr>
            <w:tcW w:w="1200" w:type="dxa"/>
            <w:gridSpan w:val="2"/>
            <w:tcBorders>
              <w:top w:val="single" w:sz="8" w:space="0" w:color="auto"/>
              <w:left w:val="nil"/>
              <w:bottom w:val="nil"/>
              <w:right w:val="single" w:sz="8" w:space="0" w:color="auto"/>
            </w:tcBorders>
            <w:shd w:val="clear" w:color="auto" w:fill="auto"/>
            <w:noWrap/>
            <w:vAlign w:val="center"/>
            <w:hideMark/>
          </w:tcPr>
          <w:p w14:paraId="531EA042"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 </w:t>
            </w:r>
          </w:p>
        </w:tc>
      </w:tr>
      <w:tr w:rsidR="00FB07C0" w:rsidRPr="00FB07C0" w14:paraId="4DBCD950" w14:textId="77777777" w:rsidTr="00265C09">
        <w:trPr>
          <w:trHeight w:val="300"/>
        </w:trPr>
        <w:tc>
          <w:tcPr>
            <w:tcW w:w="1134" w:type="dxa"/>
            <w:tcBorders>
              <w:top w:val="nil"/>
              <w:left w:val="single" w:sz="8" w:space="0" w:color="auto"/>
              <w:bottom w:val="nil"/>
              <w:right w:val="nil"/>
            </w:tcBorders>
            <w:shd w:val="clear" w:color="auto" w:fill="auto"/>
            <w:hideMark/>
          </w:tcPr>
          <w:p w14:paraId="1520B01A"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22109F67"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Países de ingreso alto</w:t>
            </w:r>
          </w:p>
        </w:tc>
        <w:tc>
          <w:tcPr>
            <w:tcW w:w="1200" w:type="dxa"/>
            <w:gridSpan w:val="2"/>
            <w:tcBorders>
              <w:top w:val="nil"/>
              <w:left w:val="nil"/>
              <w:bottom w:val="nil"/>
              <w:right w:val="nil"/>
            </w:tcBorders>
            <w:shd w:val="clear" w:color="auto" w:fill="auto"/>
            <w:noWrap/>
            <w:vAlign w:val="center"/>
            <w:hideMark/>
          </w:tcPr>
          <w:p w14:paraId="72BFF09B"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2.7</w:t>
            </w:r>
          </w:p>
        </w:tc>
        <w:tc>
          <w:tcPr>
            <w:tcW w:w="1200" w:type="dxa"/>
            <w:gridSpan w:val="2"/>
            <w:tcBorders>
              <w:top w:val="nil"/>
              <w:left w:val="nil"/>
              <w:bottom w:val="nil"/>
              <w:right w:val="nil"/>
            </w:tcBorders>
            <w:shd w:val="clear" w:color="auto" w:fill="auto"/>
            <w:noWrap/>
            <w:vAlign w:val="center"/>
            <w:hideMark/>
          </w:tcPr>
          <w:p w14:paraId="487E615F"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0.6</w:t>
            </w:r>
          </w:p>
        </w:tc>
        <w:tc>
          <w:tcPr>
            <w:tcW w:w="1200" w:type="dxa"/>
            <w:gridSpan w:val="2"/>
            <w:tcBorders>
              <w:top w:val="nil"/>
              <w:left w:val="nil"/>
              <w:bottom w:val="nil"/>
              <w:right w:val="nil"/>
            </w:tcBorders>
            <w:shd w:val="clear" w:color="auto" w:fill="auto"/>
            <w:noWrap/>
            <w:vAlign w:val="center"/>
            <w:hideMark/>
          </w:tcPr>
          <w:p w14:paraId="336A451E"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14:paraId="0EEA4DF1"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-1.6</w:t>
            </w:r>
          </w:p>
        </w:tc>
      </w:tr>
      <w:tr w:rsidR="00FB07C0" w:rsidRPr="00FB07C0" w14:paraId="6FC2B54A" w14:textId="77777777" w:rsidTr="00265C09">
        <w:trPr>
          <w:trHeight w:val="300"/>
        </w:trPr>
        <w:tc>
          <w:tcPr>
            <w:tcW w:w="1134" w:type="dxa"/>
            <w:tcBorders>
              <w:top w:val="nil"/>
              <w:left w:val="single" w:sz="8" w:space="0" w:color="auto"/>
              <w:bottom w:val="nil"/>
              <w:right w:val="nil"/>
            </w:tcBorders>
            <w:shd w:val="clear" w:color="auto" w:fill="auto"/>
            <w:hideMark/>
          </w:tcPr>
          <w:p w14:paraId="60E9A5D5"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7E8BB91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Países de ingreso mediano</w:t>
            </w:r>
          </w:p>
        </w:tc>
        <w:tc>
          <w:tcPr>
            <w:tcW w:w="1200" w:type="dxa"/>
            <w:gridSpan w:val="2"/>
            <w:tcBorders>
              <w:top w:val="nil"/>
              <w:left w:val="nil"/>
              <w:bottom w:val="nil"/>
              <w:right w:val="nil"/>
            </w:tcBorders>
            <w:shd w:val="clear" w:color="auto" w:fill="auto"/>
            <w:noWrap/>
            <w:vAlign w:val="center"/>
            <w:hideMark/>
          </w:tcPr>
          <w:p w14:paraId="51478F1A"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3.2</w:t>
            </w:r>
          </w:p>
        </w:tc>
        <w:tc>
          <w:tcPr>
            <w:tcW w:w="1200" w:type="dxa"/>
            <w:gridSpan w:val="2"/>
            <w:tcBorders>
              <w:top w:val="nil"/>
              <w:left w:val="nil"/>
              <w:bottom w:val="nil"/>
              <w:right w:val="nil"/>
            </w:tcBorders>
            <w:shd w:val="clear" w:color="auto" w:fill="auto"/>
            <w:noWrap/>
            <w:vAlign w:val="center"/>
            <w:hideMark/>
          </w:tcPr>
          <w:p w14:paraId="4149AEB0"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3.4</w:t>
            </w:r>
          </w:p>
        </w:tc>
        <w:tc>
          <w:tcPr>
            <w:tcW w:w="1200" w:type="dxa"/>
            <w:gridSpan w:val="2"/>
            <w:tcBorders>
              <w:top w:val="nil"/>
              <w:left w:val="nil"/>
              <w:bottom w:val="nil"/>
              <w:right w:val="nil"/>
            </w:tcBorders>
            <w:shd w:val="clear" w:color="auto" w:fill="auto"/>
            <w:noWrap/>
            <w:vAlign w:val="center"/>
            <w:hideMark/>
          </w:tcPr>
          <w:p w14:paraId="42BF7266"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14:paraId="45949270"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-0.8</w:t>
            </w:r>
          </w:p>
        </w:tc>
      </w:tr>
      <w:tr w:rsidR="00FB07C0" w:rsidRPr="00FB07C0" w14:paraId="11364878" w14:textId="77777777" w:rsidTr="00265C09">
        <w:trPr>
          <w:trHeight w:val="300"/>
        </w:trPr>
        <w:tc>
          <w:tcPr>
            <w:tcW w:w="1134" w:type="dxa"/>
            <w:tcBorders>
              <w:top w:val="nil"/>
              <w:left w:val="single" w:sz="8" w:space="0" w:color="auto"/>
              <w:bottom w:val="nil"/>
              <w:right w:val="nil"/>
            </w:tcBorders>
            <w:shd w:val="clear" w:color="auto" w:fill="auto"/>
            <w:hideMark/>
          </w:tcPr>
          <w:p w14:paraId="1BB1D996"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10F51328"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Países de ingreso bajo</w:t>
            </w:r>
          </w:p>
        </w:tc>
        <w:tc>
          <w:tcPr>
            <w:tcW w:w="1200" w:type="dxa"/>
            <w:gridSpan w:val="2"/>
            <w:tcBorders>
              <w:top w:val="nil"/>
              <w:left w:val="nil"/>
              <w:bottom w:val="nil"/>
              <w:right w:val="nil"/>
            </w:tcBorders>
            <w:shd w:val="clear" w:color="auto" w:fill="auto"/>
            <w:noWrap/>
            <w:vAlign w:val="center"/>
            <w:hideMark/>
          </w:tcPr>
          <w:p w14:paraId="24EC99D5"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4</w:t>
            </w:r>
          </w:p>
        </w:tc>
        <w:tc>
          <w:tcPr>
            <w:tcW w:w="1200" w:type="dxa"/>
            <w:gridSpan w:val="2"/>
            <w:tcBorders>
              <w:top w:val="nil"/>
              <w:left w:val="nil"/>
              <w:bottom w:val="nil"/>
              <w:right w:val="nil"/>
            </w:tcBorders>
            <w:shd w:val="clear" w:color="auto" w:fill="auto"/>
            <w:noWrap/>
            <w:vAlign w:val="center"/>
            <w:hideMark/>
          </w:tcPr>
          <w:p w14:paraId="23D651FA"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5.1</w:t>
            </w:r>
          </w:p>
        </w:tc>
        <w:tc>
          <w:tcPr>
            <w:tcW w:w="1200" w:type="dxa"/>
            <w:gridSpan w:val="2"/>
            <w:tcBorders>
              <w:top w:val="nil"/>
              <w:left w:val="nil"/>
              <w:bottom w:val="nil"/>
              <w:right w:val="nil"/>
            </w:tcBorders>
            <w:shd w:val="clear" w:color="auto" w:fill="auto"/>
            <w:noWrap/>
            <w:vAlign w:val="center"/>
            <w:hideMark/>
          </w:tcPr>
          <w:p w14:paraId="7013B63D"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14:paraId="3F433ADF"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-0.1</w:t>
            </w:r>
          </w:p>
        </w:tc>
      </w:tr>
      <w:tr w:rsidR="00FB07C0" w:rsidRPr="00FB07C0" w14:paraId="01B74BF3" w14:textId="77777777" w:rsidTr="00265C09">
        <w:trPr>
          <w:trHeight w:val="300"/>
        </w:trPr>
        <w:tc>
          <w:tcPr>
            <w:tcW w:w="1134" w:type="dxa"/>
            <w:tcBorders>
              <w:top w:val="nil"/>
              <w:left w:val="single" w:sz="8" w:space="0" w:color="auto"/>
              <w:bottom w:val="nil"/>
              <w:right w:val="nil"/>
            </w:tcBorders>
            <w:shd w:val="clear" w:color="auto" w:fill="auto"/>
            <w:hideMark/>
          </w:tcPr>
          <w:p w14:paraId="6A86D3B2"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51744508"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MEED, sin incluir a China</w:t>
            </w:r>
          </w:p>
        </w:tc>
        <w:tc>
          <w:tcPr>
            <w:tcW w:w="1200" w:type="dxa"/>
            <w:gridSpan w:val="2"/>
            <w:tcBorders>
              <w:top w:val="nil"/>
              <w:left w:val="nil"/>
              <w:bottom w:val="nil"/>
              <w:right w:val="nil"/>
            </w:tcBorders>
            <w:shd w:val="clear" w:color="auto" w:fill="auto"/>
            <w:noWrap/>
            <w:vAlign w:val="center"/>
            <w:hideMark/>
          </w:tcPr>
          <w:p w14:paraId="748916ED"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3.8</w:t>
            </w:r>
          </w:p>
        </w:tc>
        <w:tc>
          <w:tcPr>
            <w:tcW w:w="1200" w:type="dxa"/>
            <w:gridSpan w:val="2"/>
            <w:tcBorders>
              <w:top w:val="nil"/>
              <w:left w:val="nil"/>
              <w:bottom w:val="nil"/>
              <w:right w:val="nil"/>
            </w:tcBorders>
            <w:shd w:val="clear" w:color="auto" w:fill="auto"/>
            <w:noWrap/>
            <w:vAlign w:val="center"/>
            <w:hideMark/>
          </w:tcPr>
          <w:p w14:paraId="4A4165D4"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2.7</w:t>
            </w:r>
          </w:p>
        </w:tc>
        <w:tc>
          <w:tcPr>
            <w:tcW w:w="1200" w:type="dxa"/>
            <w:gridSpan w:val="2"/>
            <w:tcBorders>
              <w:top w:val="nil"/>
              <w:left w:val="nil"/>
              <w:bottom w:val="nil"/>
              <w:right w:val="nil"/>
            </w:tcBorders>
            <w:shd w:val="clear" w:color="auto" w:fill="auto"/>
            <w:noWrap/>
            <w:vAlign w:val="center"/>
            <w:hideMark/>
          </w:tcPr>
          <w:p w14:paraId="49EC46DD"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1.1</w:t>
            </w:r>
          </w:p>
        </w:tc>
        <w:tc>
          <w:tcPr>
            <w:tcW w:w="1200" w:type="dxa"/>
            <w:gridSpan w:val="2"/>
            <w:tcBorders>
              <w:top w:val="nil"/>
              <w:left w:val="nil"/>
              <w:bottom w:val="nil"/>
              <w:right w:val="single" w:sz="8" w:space="0" w:color="auto"/>
            </w:tcBorders>
            <w:shd w:val="clear" w:color="auto" w:fill="auto"/>
            <w:noWrap/>
            <w:vAlign w:val="center"/>
            <w:hideMark/>
          </w:tcPr>
          <w:p w14:paraId="086765C1" w14:textId="77777777" w:rsidR="00FB07C0" w:rsidRPr="00FB07C0" w:rsidRDefault="00FB07C0" w:rsidP="00FB07C0">
            <w:pPr>
              <w:spacing w:after="0" w:line="240" w:lineRule="auto"/>
              <w:jc w:val="center"/>
              <w:rPr>
                <w:rFonts w:eastAsia="Times New Roman" w:cs="Calibri"/>
                <w:color w:val="262626"/>
                <w:sz w:val="16"/>
                <w:szCs w:val="16"/>
                <w:lang w:eastAsia="es-MX"/>
              </w:rPr>
            </w:pPr>
            <w:r w:rsidRPr="00FB07C0">
              <w:rPr>
                <w:rFonts w:eastAsia="Times New Roman" w:cs="Calibri"/>
                <w:color w:val="262626"/>
                <w:sz w:val="16"/>
                <w:szCs w:val="16"/>
                <w:lang w:eastAsia="es-MX"/>
              </w:rPr>
              <w:t>-0.7</w:t>
            </w:r>
          </w:p>
        </w:tc>
      </w:tr>
      <w:tr w:rsidR="00FB07C0" w:rsidRPr="00FB07C0" w14:paraId="4F6EC7D7" w14:textId="77777777" w:rsidTr="00265C09">
        <w:trPr>
          <w:trHeight w:val="450"/>
        </w:trPr>
        <w:tc>
          <w:tcPr>
            <w:tcW w:w="1134" w:type="dxa"/>
            <w:tcBorders>
              <w:top w:val="nil"/>
              <w:left w:val="single" w:sz="8" w:space="0" w:color="auto"/>
              <w:bottom w:val="nil"/>
              <w:right w:val="nil"/>
            </w:tcBorders>
            <w:shd w:val="clear" w:color="auto" w:fill="auto"/>
            <w:hideMark/>
          </w:tcPr>
          <w:p w14:paraId="6FE94A8B" w14:textId="77777777" w:rsidR="00FB07C0" w:rsidRPr="00FB07C0" w:rsidRDefault="00FB07C0" w:rsidP="00FB07C0">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14:paraId="63DDA936"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MEED exportadores de productos básicos</w:t>
            </w:r>
          </w:p>
        </w:tc>
        <w:tc>
          <w:tcPr>
            <w:tcW w:w="1200" w:type="dxa"/>
            <w:gridSpan w:val="2"/>
            <w:tcBorders>
              <w:top w:val="nil"/>
              <w:left w:val="nil"/>
              <w:bottom w:val="nil"/>
              <w:right w:val="nil"/>
            </w:tcBorders>
            <w:shd w:val="clear" w:color="auto" w:fill="auto"/>
            <w:noWrap/>
            <w:vAlign w:val="center"/>
            <w:hideMark/>
          </w:tcPr>
          <w:p w14:paraId="49B170F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2.8</w:t>
            </w:r>
          </w:p>
        </w:tc>
        <w:tc>
          <w:tcPr>
            <w:tcW w:w="1200" w:type="dxa"/>
            <w:gridSpan w:val="2"/>
            <w:tcBorders>
              <w:top w:val="nil"/>
              <w:left w:val="nil"/>
              <w:bottom w:val="nil"/>
              <w:right w:val="nil"/>
            </w:tcBorders>
            <w:shd w:val="clear" w:color="auto" w:fill="auto"/>
            <w:noWrap/>
            <w:vAlign w:val="center"/>
            <w:hideMark/>
          </w:tcPr>
          <w:p w14:paraId="37482A6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14:paraId="668F3D0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1.6</w:t>
            </w:r>
          </w:p>
        </w:tc>
        <w:tc>
          <w:tcPr>
            <w:tcW w:w="1200" w:type="dxa"/>
            <w:gridSpan w:val="2"/>
            <w:tcBorders>
              <w:top w:val="nil"/>
              <w:left w:val="nil"/>
              <w:bottom w:val="nil"/>
              <w:right w:val="single" w:sz="8" w:space="0" w:color="auto"/>
            </w:tcBorders>
            <w:shd w:val="clear" w:color="auto" w:fill="auto"/>
            <w:noWrap/>
            <w:vAlign w:val="center"/>
            <w:hideMark/>
          </w:tcPr>
          <w:p w14:paraId="20253BA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r>
      <w:tr w:rsidR="00FB07C0" w:rsidRPr="00FB07C0" w14:paraId="5FDCA392" w14:textId="77777777" w:rsidTr="00265C09">
        <w:trPr>
          <w:trHeight w:val="450"/>
        </w:trPr>
        <w:tc>
          <w:tcPr>
            <w:tcW w:w="1134" w:type="dxa"/>
            <w:tcBorders>
              <w:top w:val="nil"/>
              <w:left w:val="single" w:sz="8" w:space="0" w:color="auto"/>
              <w:bottom w:val="single" w:sz="8" w:space="0" w:color="auto"/>
              <w:right w:val="nil"/>
            </w:tcBorders>
            <w:shd w:val="clear" w:color="auto" w:fill="auto"/>
            <w:hideMark/>
          </w:tcPr>
          <w:p w14:paraId="67F5703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14:paraId="4DDE4059"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MEED importadores de productos básicos</w:t>
            </w:r>
          </w:p>
        </w:tc>
        <w:tc>
          <w:tcPr>
            <w:tcW w:w="1200" w:type="dxa"/>
            <w:gridSpan w:val="2"/>
            <w:tcBorders>
              <w:top w:val="nil"/>
              <w:left w:val="nil"/>
              <w:bottom w:val="single" w:sz="8" w:space="0" w:color="auto"/>
              <w:right w:val="nil"/>
            </w:tcBorders>
            <w:shd w:val="clear" w:color="auto" w:fill="auto"/>
            <w:noWrap/>
            <w:vAlign w:val="center"/>
            <w:hideMark/>
          </w:tcPr>
          <w:p w14:paraId="62577EC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3.6</w:t>
            </w:r>
          </w:p>
        </w:tc>
        <w:tc>
          <w:tcPr>
            <w:tcW w:w="1200" w:type="dxa"/>
            <w:gridSpan w:val="2"/>
            <w:tcBorders>
              <w:top w:val="nil"/>
              <w:left w:val="nil"/>
              <w:bottom w:val="single" w:sz="8" w:space="0" w:color="auto"/>
              <w:right w:val="nil"/>
            </w:tcBorders>
            <w:shd w:val="clear" w:color="auto" w:fill="auto"/>
            <w:noWrap/>
            <w:vAlign w:val="center"/>
            <w:hideMark/>
          </w:tcPr>
          <w:p w14:paraId="51A7A07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4.1</w:t>
            </w:r>
          </w:p>
        </w:tc>
        <w:tc>
          <w:tcPr>
            <w:tcW w:w="1200" w:type="dxa"/>
            <w:gridSpan w:val="2"/>
            <w:tcBorders>
              <w:top w:val="nil"/>
              <w:left w:val="nil"/>
              <w:bottom w:val="single" w:sz="8" w:space="0" w:color="auto"/>
              <w:right w:val="nil"/>
            </w:tcBorders>
            <w:shd w:val="clear" w:color="auto" w:fill="auto"/>
            <w:noWrap/>
            <w:vAlign w:val="center"/>
            <w:hideMark/>
          </w:tcPr>
          <w:p w14:paraId="26C2C41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18E9E400"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r>
      <w:tr w:rsidR="00FB07C0" w:rsidRPr="00FB07C0" w14:paraId="47CFF03A" w14:textId="77777777" w:rsidTr="00265C09">
        <w:trPr>
          <w:trHeight w:val="870"/>
        </w:trPr>
        <w:tc>
          <w:tcPr>
            <w:tcW w:w="1134" w:type="dxa"/>
            <w:tcBorders>
              <w:top w:val="nil"/>
              <w:left w:val="single" w:sz="8" w:space="0" w:color="auto"/>
              <w:bottom w:val="single" w:sz="8" w:space="0" w:color="auto"/>
              <w:right w:val="nil"/>
            </w:tcBorders>
            <w:shd w:val="clear" w:color="auto" w:fill="auto"/>
            <w:hideMark/>
          </w:tcPr>
          <w:p w14:paraId="2E7C147F"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692B1AA9"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14:paraId="35AAAD05"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MEED importadores de productos básicos, sin incluir a China</w:t>
            </w:r>
          </w:p>
        </w:tc>
        <w:tc>
          <w:tcPr>
            <w:tcW w:w="1200" w:type="dxa"/>
            <w:gridSpan w:val="2"/>
            <w:tcBorders>
              <w:top w:val="nil"/>
              <w:left w:val="nil"/>
              <w:bottom w:val="single" w:sz="8" w:space="0" w:color="auto"/>
              <w:right w:val="nil"/>
            </w:tcBorders>
            <w:shd w:val="clear" w:color="auto" w:fill="auto"/>
            <w:noWrap/>
            <w:vAlign w:val="center"/>
            <w:hideMark/>
          </w:tcPr>
          <w:p w14:paraId="6FBC7AA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5</w:t>
            </w:r>
          </w:p>
        </w:tc>
        <w:tc>
          <w:tcPr>
            <w:tcW w:w="1200" w:type="dxa"/>
            <w:gridSpan w:val="2"/>
            <w:tcBorders>
              <w:top w:val="nil"/>
              <w:left w:val="nil"/>
              <w:bottom w:val="single" w:sz="8" w:space="0" w:color="auto"/>
              <w:right w:val="nil"/>
            </w:tcBorders>
            <w:shd w:val="clear" w:color="auto" w:fill="auto"/>
            <w:noWrap/>
            <w:vAlign w:val="center"/>
            <w:hideMark/>
          </w:tcPr>
          <w:p w14:paraId="2CBAFAD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3.8</w:t>
            </w:r>
          </w:p>
        </w:tc>
        <w:tc>
          <w:tcPr>
            <w:tcW w:w="1200" w:type="dxa"/>
            <w:gridSpan w:val="2"/>
            <w:tcBorders>
              <w:top w:val="nil"/>
              <w:left w:val="nil"/>
              <w:bottom w:val="single" w:sz="8" w:space="0" w:color="auto"/>
              <w:right w:val="nil"/>
            </w:tcBorders>
            <w:shd w:val="clear" w:color="auto" w:fill="auto"/>
            <w:noWrap/>
            <w:vAlign w:val="center"/>
            <w:hideMark/>
          </w:tcPr>
          <w:p w14:paraId="1C36DD2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0.4</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7FCF1E7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-0.7</w:t>
            </w:r>
          </w:p>
        </w:tc>
      </w:tr>
      <w:tr w:rsidR="00FB07C0" w:rsidRPr="00FB07C0" w14:paraId="736BA735" w14:textId="77777777" w:rsidTr="00265C09">
        <w:trPr>
          <w:trHeight w:val="300"/>
        </w:trPr>
        <w:tc>
          <w:tcPr>
            <w:tcW w:w="1134" w:type="dxa"/>
            <w:tcBorders>
              <w:top w:val="nil"/>
              <w:left w:val="single" w:sz="8" w:space="0" w:color="auto"/>
              <w:bottom w:val="nil"/>
              <w:right w:val="nil"/>
            </w:tcBorders>
            <w:shd w:val="clear" w:color="auto" w:fill="auto"/>
            <w:hideMark/>
          </w:tcPr>
          <w:p w14:paraId="0F3FC1CE"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14:paraId="1BFAC26C"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EM7</w:t>
            </w:r>
          </w:p>
        </w:tc>
        <w:tc>
          <w:tcPr>
            <w:tcW w:w="1200" w:type="dxa"/>
            <w:gridSpan w:val="2"/>
            <w:tcBorders>
              <w:top w:val="nil"/>
              <w:left w:val="nil"/>
              <w:bottom w:val="nil"/>
              <w:right w:val="nil"/>
            </w:tcBorders>
            <w:shd w:val="clear" w:color="auto" w:fill="auto"/>
            <w:noWrap/>
            <w:vAlign w:val="center"/>
            <w:hideMark/>
          </w:tcPr>
          <w:p w14:paraId="7E0160C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w:t>
            </w:r>
          </w:p>
        </w:tc>
        <w:tc>
          <w:tcPr>
            <w:tcW w:w="1200" w:type="dxa"/>
            <w:gridSpan w:val="2"/>
            <w:tcBorders>
              <w:top w:val="nil"/>
              <w:left w:val="nil"/>
              <w:bottom w:val="nil"/>
              <w:right w:val="nil"/>
            </w:tcBorders>
            <w:shd w:val="clear" w:color="auto" w:fill="auto"/>
            <w:noWrap/>
            <w:vAlign w:val="center"/>
            <w:hideMark/>
          </w:tcPr>
          <w:p w14:paraId="15E9BCCF"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14:paraId="42FD0BDE"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14:paraId="00BD261C"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-0.8</w:t>
            </w:r>
          </w:p>
        </w:tc>
      </w:tr>
      <w:tr w:rsidR="00FB07C0" w:rsidRPr="00FB07C0" w14:paraId="46D6AC45" w14:textId="77777777" w:rsidTr="00265C09">
        <w:trPr>
          <w:trHeight w:val="480"/>
        </w:trPr>
        <w:tc>
          <w:tcPr>
            <w:tcW w:w="1134" w:type="dxa"/>
            <w:tcBorders>
              <w:top w:val="nil"/>
              <w:left w:val="single" w:sz="8" w:space="0" w:color="auto"/>
              <w:bottom w:val="single" w:sz="8" w:space="0" w:color="auto"/>
              <w:right w:val="nil"/>
            </w:tcBorders>
            <w:shd w:val="clear" w:color="auto" w:fill="auto"/>
            <w:hideMark/>
          </w:tcPr>
          <w:p w14:paraId="03FA8E73"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14:paraId="3E3789E6"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Todo el mundo (ponderaciones basadas en la PPA)</w:t>
            </w:r>
            <w:r w:rsidRPr="00FB07C0">
              <w:rPr>
                <w:rFonts w:eastAsia="Times New Roman" w:cs="Calibri"/>
                <w:color w:val="000000"/>
                <w:sz w:val="16"/>
                <w:szCs w:val="16"/>
                <w:vertAlign w:val="superscript"/>
                <w:lang w:eastAsia="es-MX"/>
              </w:rPr>
              <w:t>4</w:t>
            </w:r>
          </w:p>
        </w:tc>
        <w:tc>
          <w:tcPr>
            <w:tcW w:w="1200" w:type="dxa"/>
            <w:gridSpan w:val="2"/>
            <w:tcBorders>
              <w:top w:val="nil"/>
              <w:left w:val="nil"/>
              <w:bottom w:val="single" w:sz="8" w:space="0" w:color="auto"/>
              <w:right w:val="nil"/>
            </w:tcBorders>
            <w:shd w:val="clear" w:color="auto" w:fill="auto"/>
            <w:noWrap/>
            <w:vAlign w:val="center"/>
            <w:hideMark/>
          </w:tcPr>
          <w:p w14:paraId="73B21844"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3.1</w:t>
            </w:r>
          </w:p>
        </w:tc>
        <w:tc>
          <w:tcPr>
            <w:tcW w:w="1200" w:type="dxa"/>
            <w:gridSpan w:val="2"/>
            <w:tcBorders>
              <w:top w:val="nil"/>
              <w:left w:val="nil"/>
              <w:bottom w:val="single" w:sz="8" w:space="0" w:color="auto"/>
              <w:right w:val="nil"/>
            </w:tcBorders>
            <w:shd w:val="clear" w:color="auto" w:fill="auto"/>
            <w:noWrap/>
            <w:vAlign w:val="center"/>
            <w:hideMark/>
          </w:tcPr>
          <w:p w14:paraId="1259CF2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2.2</w:t>
            </w:r>
          </w:p>
        </w:tc>
        <w:tc>
          <w:tcPr>
            <w:tcW w:w="1200" w:type="dxa"/>
            <w:gridSpan w:val="2"/>
            <w:tcBorders>
              <w:top w:val="nil"/>
              <w:left w:val="nil"/>
              <w:bottom w:val="single" w:sz="8" w:space="0" w:color="auto"/>
              <w:right w:val="nil"/>
            </w:tcBorders>
            <w:shd w:val="clear" w:color="auto" w:fill="auto"/>
            <w:noWrap/>
            <w:vAlign w:val="center"/>
            <w:hideMark/>
          </w:tcPr>
          <w:p w14:paraId="1A6C0A8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3DDC488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-1.2</w:t>
            </w:r>
          </w:p>
        </w:tc>
      </w:tr>
      <w:tr w:rsidR="00FB07C0" w:rsidRPr="00FB07C0" w14:paraId="4748F037" w14:textId="77777777" w:rsidTr="00265C09">
        <w:trPr>
          <w:gridAfter w:val="1"/>
          <w:wAfter w:w="6" w:type="dxa"/>
          <w:trHeight w:val="315"/>
        </w:trPr>
        <w:tc>
          <w:tcPr>
            <w:tcW w:w="3968" w:type="dxa"/>
            <w:gridSpan w:val="3"/>
            <w:tcBorders>
              <w:top w:val="single" w:sz="8" w:space="0" w:color="auto"/>
              <w:left w:val="single" w:sz="8" w:space="0" w:color="auto"/>
              <w:bottom w:val="single" w:sz="8" w:space="0" w:color="auto"/>
              <w:right w:val="nil"/>
            </w:tcBorders>
            <w:shd w:val="clear" w:color="auto" w:fill="auto"/>
            <w:vAlign w:val="center"/>
            <w:hideMark/>
          </w:tcPr>
          <w:p w14:paraId="349BB560"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Volumen del comercio mundial</w:t>
            </w:r>
            <w:r w:rsidRPr="00FB07C0">
              <w:rPr>
                <w:rFonts w:eastAsia="Times New Roman" w:cs="Calibri"/>
                <w:b/>
                <w:bCs/>
                <w:color w:val="000000"/>
                <w:sz w:val="16"/>
                <w:szCs w:val="16"/>
                <w:vertAlign w:val="superscript"/>
                <w:lang w:eastAsia="es-MX"/>
              </w:rPr>
              <w:t>5</w:t>
            </w:r>
          </w:p>
        </w:tc>
        <w:tc>
          <w:tcPr>
            <w:tcW w:w="1200" w:type="dxa"/>
            <w:gridSpan w:val="2"/>
            <w:tcBorders>
              <w:top w:val="nil"/>
              <w:left w:val="nil"/>
              <w:bottom w:val="single" w:sz="8" w:space="0" w:color="auto"/>
              <w:right w:val="nil"/>
            </w:tcBorders>
            <w:shd w:val="clear" w:color="auto" w:fill="auto"/>
            <w:noWrap/>
            <w:vAlign w:val="center"/>
            <w:hideMark/>
          </w:tcPr>
          <w:p w14:paraId="5489E357"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4</w:t>
            </w:r>
          </w:p>
        </w:tc>
        <w:tc>
          <w:tcPr>
            <w:tcW w:w="1200" w:type="dxa"/>
            <w:gridSpan w:val="2"/>
            <w:tcBorders>
              <w:top w:val="nil"/>
              <w:left w:val="nil"/>
              <w:bottom w:val="single" w:sz="8" w:space="0" w:color="auto"/>
              <w:right w:val="nil"/>
            </w:tcBorders>
            <w:shd w:val="clear" w:color="auto" w:fill="auto"/>
            <w:noWrap/>
            <w:vAlign w:val="center"/>
            <w:hideMark/>
          </w:tcPr>
          <w:p w14:paraId="48E354AD"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1.6</w:t>
            </w:r>
          </w:p>
        </w:tc>
        <w:tc>
          <w:tcPr>
            <w:tcW w:w="1200" w:type="dxa"/>
            <w:gridSpan w:val="2"/>
            <w:tcBorders>
              <w:top w:val="nil"/>
              <w:left w:val="nil"/>
              <w:bottom w:val="single" w:sz="8" w:space="0" w:color="auto"/>
              <w:right w:val="nil"/>
            </w:tcBorders>
            <w:shd w:val="clear" w:color="auto" w:fill="auto"/>
            <w:noWrap/>
            <w:vAlign w:val="center"/>
            <w:hideMark/>
          </w:tcPr>
          <w:p w14:paraId="5434430B"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73FCE0CC"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-2.7</w:t>
            </w:r>
          </w:p>
        </w:tc>
      </w:tr>
      <w:tr w:rsidR="00FB07C0" w:rsidRPr="00FB07C0" w14:paraId="64B60AB0" w14:textId="77777777" w:rsidTr="00265C09">
        <w:trPr>
          <w:trHeight w:val="315"/>
        </w:trPr>
        <w:tc>
          <w:tcPr>
            <w:tcW w:w="1134" w:type="dxa"/>
            <w:tcBorders>
              <w:top w:val="nil"/>
              <w:left w:val="single" w:sz="8" w:space="0" w:color="auto"/>
              <w:bottom w:val="single" w:sz="8" w:space="0" w:color="auto"/>
              <w:right w:val="nil"/>
            </w:tcBorders>
            <w:shd w:val="clear" w:color="auto" w:fill="auto"/>
            <w:hideMark/>
          </w:tcPr>
          <w:p w14:paraId="54343C6E"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14:paraId="72FF289E"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hideMark/>
          </w:tcPr>
          <w:p w14:paraId="41C61B60" w14:textId="77777777" w:rsidR="00FB07C0" w:rsidRPr="00FB07C0" w:rsidRDefault="00FB07C0" w:rsidP="00FB07C0">
            <w:pPr>
              <w:spacing w:after="0" w:line="240" w:lineRule="auto"/>
              <w:rPr>
                <w:rFonts w:eastAsia="Times New Roman" w:cs="Calibri"/>
                <w:color w:val="000000"/>
                <w:sz w:val="20"/>
                <w:szCs w:val="20"/>
                <w:lang w:eastAsia="es-MX"/>
              </w:rPr>
            </w:pPr>
            <w:r w:rsidRPr="00FB07C0">
              <w:rPr>
                <w:rFonts w:eastAsia="Times New Roman" w:cs="Calibri"/>
                <w:color w:val="000000"/>
                <w:sz w:val="20"/>
                <w:szCs w:val="20"/>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681513F4"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0BAB6EEE"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4ACB5A88"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14:paraId="765CE47A" w14:textId="77777777" w:rsidR="00FB07C0" w:rsidRPr="00FB07C0" w:rsidRDefault="00FB07C0" w:rsidP="00FB07C0">
            <w:pPr>
              <w:spacing w:after="0" w:line="240" w:lineRule="auto"/>
              <w:jc w:val="center"/>
              <w:rPr>
                <w:rFonts w:eastAsia="Times New Roman" w:cs="Calibri"/>
                <w:b/>
                <w:bCs/>
                <w:color w:val="262626"/>
                <w:sz w:val="16"/>
                <w:szCs w:val="16"/>
                <w:lang w:eastAsia="es-MX"/>
              </w:rPr>
            </w:pPr>
            <w:r w:rsidRPr="00FB07C0">
              <w:rPr>
                <w:rFonts w:eastAsia="Times New Roman" w:cs="Calibri"/>
                <w:b/>
                <w:bCs/>
                <w:color w:val="262626"/>
                <w:sz w:val="16"/>
                <w:szCs w:val="16"/>
                <w:lang w:eastAsia="es-MX"/>
              </w:rPr>
              <w:t> </w:t>
            </w:r>
          </w:p>
        </w:tc>
      </w:tr>
      <w:tr w:rsidR="00FB07C0" w:rsidRPr="00FB07C0" w14:paraId="6D824F7A" w14:textId="77777777" w:rsidTr="00265C09">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14:paraId="36C4F135" w14:textId="77777777" w:rsidR="00FB07C0" w:rsidRPr="00FB07C0" w:rsidRDefault="00FB07C0" w:rsidP="00FB07C0">
            <w:pPr>
              <w:spacing w:after="0" w:line="240" w:lineRule="auto"/>
              <w:rPr>
                <w:rFonts w:eastAsia="Times New Roman" w:cs="Calibri"/>
                <w:b/>
                <w:bCs/>
                <w:color w:val="000000"/>
                <w:sz w:val="16"/>
                <w:szCs w:val="16"/>
                <w:lang w:eastAsia="es-MX"/>
              </w:rPr>
            </w:pPr>
            <w:r w:rsidRPr="00FB07C0">
              <w:rPr>
                <w:rFonts w:eastAsia="Times New Roman" w:cs="Calibri"/>
                <w:b/>
                <w:bCs/>
                <w:color w:val="000000"/>
                <w:sz w:val="16"/>
                <w:szCs w:val="16"/>
                <w:lang w:eastAsia="es-MX"/>
              </w:rPr>
              <w:t>Precios de los productos básicos</w:t>
            </w:r>
            <w:r w:rsidRPr="00FB07C0">
              <w:rPr>
                <w:rFonts w:eastAsia="Times New Roman" w:cs="Calibri"/>
                <w:b/>
                <w:bCs/>
                <w:color w:val="000000"/>
                <w:sz w:val="16"/>
                <w:szCs w:val="16"/>
                <w:vertAlign w:val="superscript"/>
                <w:lang w:eastAsia="es-MX"/>
              </w:rPr>
              <w:t>6</w:t>
            </w:r>
          </w:p>
        </w:tc>
        <w:tc>
          <w:tcPr>
            <w:tcW w:w="1200" w:type="dxa"/>
            <w:gridSpan w:val="2"/>
            <w:tcBorders>
              <w:top w:val="nil"/>
              <w:left w:val="nil"/>
              <w:bottom w:val="nil"/>
              <w:right w:val="nil"/>
            </w:tcBorders>
            <w:shd w:val="clear" w:color="auto" w:fill="auto"/>
            <w:noWrap/>
            <w:vAlign w:val="center"/>
            <w:hideMark/>
          </w:tcPr>
          <w:p w14:paraId="3C664DFA" w14:textId="77777777" w:rsidR="00FB07C0" w:rsidRPr="00FB07C0" w:rsidRDefault="00FB07C0" w:rsidP="00FB07C0">
            <w:pPr>
              <w:spacing w:after="0" w:line="240" w:lineRule="auto"/>
              <w:rPr>
                <w:rFonts w:eastAsia="Times New Roman" w:cs="Calibri"/>
                <w:b/>
                <w:bCs/>
                <w:color w:val="000000"/>
                <w:sz w:val="16"/>
                <w:szCs w:val="16"/>
                <w:lang w:eastAsia="es-MX"/>
              </w:rPr>
            </w:pPr>
          </w:p>
        </w:tc>
        <w:tc>
          <w:tcPr>
            <w:tcW w:w="1200" w:type="dxa"/>
            <w:gridSpan w:val="2"/>
            <w:tcBorders>
              <w:top w:val="nil"/>
              <w:left w:val="nil"/>
              <w:bottom w:val="nil"/>
              <w:right w:val="nil"/>
            </w:tcBorders>
            <w:shd w:val="clear" w:color="auto" w:fill="auto"/>
            <w:noWrap/>
            <w:vAlign w:val="center"/>
            <w:hideMark/>
          </w:tcPr>
          <w:p w14:paraId="3BCA53DA" w14:textId="77777777" w:rsidR="00FB07C0" w:rsidRPr="00FB07C0" w:rsidRDefault="00FB07C0" w:rsidP="00FB07C0">
            <w:pPr>
              <w:spacing w:after="0" w:line="240" w:lineRule="auto"/>
              <w:jc w:val="right"/>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14:paraId="5BFF987A" w14:textId="77777777" w:rsidR="00FB07C0" w:rsidRPr="00FB07C0" w:rsidRDefault="00FB07C0" w:rsidP="00FB07C0">
            <w:pPr>
              <w:spacing w:after="0" w:line="240" w:lineRule="auto"/>
              <w:jc w:val="right"/>
              <w:rPr>
                <w:rFonts w:ascii="Times New Roman" w:eastAsia="Times New Roman" w:hAnsi="Times New Roman"/>
                <w:sz w:val="20"/>
                <w:szCs w:val="20"/>
                <w:lang w:eastAsia="es-MX"/>
              </w:rPr>
            </w:pPr>
          </w:p>
        </w:tc>
        <w:tc>
          <w:tcPr>
            <w:tcW w:w="1200" w:type="dxa"/>
            <w:gridSpan w:val="2"/>
            <w:tcBorders>
              <w:top w:val="nil"/>
              <w:left w:val="nil"/>
              <w:bottom w:val="nil"/>
              <w:right w:val="single" w:sz="8" w:space="0" w:color="auto"/>
            </w:tcBorders>
            <w:shd w:val="clear" w:color="auto" w:fill="auto"/>
            <w:noWrap/>
            <w:vAlign w:val="center"/>
            <w:hideMark/>
          </w:tcPr>
          <w:p w14:paraId="778968B1" w14:textId="77777777" w:rsidR="00FB07C0" w:rsidRPr="00FB07C0" w:rsidRDefault="00FB07C0" w:rsidP="00FB07C0">
            <w:pPr>
              <w:spacing w:after="0" w:line="240" w:lineRule="auto"/>
              <w:jc w:val="right"/>
              <w:rPr>
                <w:rFonts w:eastAsia="Times New Roman" w:cs="Calibri"/>
                <w:color w:val="244062"/>
                <w:sz w:val="16"/>
                <w:szCs w:val="16"/>
                <w:lang w:eastAsia="es-MX"/>
              </w:rPr>
            </w:pPr>
            <w:r w:rsidRPr="00FB07C0">
              <w:rPr>
                <w:rFonts w:eastAsia="Times New Roman" w:cs="Calibri"/>
                <w:color w:val="244062"/>
                <w:sz w:val="16"/>
                <w:szCs w:val="16"/>
                <w:lang w:eastAsia="es-MX"/>
              </w:rPr>
              <w:t> </w:t>
            </w:r>
          </w:p>
        </w:tc>
      </w:tr>
      <w:tr w:rsidR="00FB07C0" w:rsidRPr="00FB07C0" w14:paraId="0D8C77E6" w14:textId="77777777" w:rsidTr="00265C09">
        <w:trPr>
          <w:trHeight w:val="300"/>
        </w:trPr>
        <w:tc>
          <w:tcPr>
            <w:tcW w:w="1134" w:type="dxa"/>
            <w:tcBorders>
              <w:top w:val="nil"/>
              <w:left w:val="single" w:sz="8" w:space="0" w:color="auto"/>
              <w:bottom w:val="nil"/>
              <w:right w:val="nil"/>
            </w:tcBorders>
            <w:shd w:val="clear" w:color="auto" w:fill="auto"/>
            <w:hideMark/>
          </w:tcPr>
          <w:p w14:paraId="3B2FDADB" w14:textId="77777777" w:rsidR="00FB07C0" w:rsidRPr="00FB07C0" w:rsidRDefault="00FB07C0" w:rsidP="00FB07C0">
            <w:pPr>
              <w:spacing w:after="0" w:line="240" w:lineRule="auto"/>
              <w:jc w:val="right"/>
              <w:rPr>
                <w:rFonts w:eastAsia="Times New Roman" w:cs="Calibri"/>
                <w:color w:val="244062"/>
                <w:sz w:val="16"/>
                <w:szCs w:val="16"/>
                <w:lang w:eastAsia="es-MX"/>
              </w:rPr>
            </w:pPr>
          </w:p>
        </w:tc>
        <w:tc>
          <w:tcPr>
            <w:tcW w:w="2840" w:type="dxa"/>
            <w:gridSpan w:val="3"/>
            <w:tcBorders>
              <w:top w:val="nil"/>
              <w:left w:val="nil"/>
              <w:bottom w:val="nil"/>
              <w:right w:val="nil"/>
            </w:tcBorders>
            <w:shd w:val="clear" w:color="auto" w:fill="auto"/>
            <w:vAlign w:val="center"/>
            <w:hideMark/>
          </w:tcPr>
          <w:p w14:paraId="35EBCDD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Índice de precios de la energía</w:t>
            </w:r>
          </w:p>
        </w:tc>
        <w:tc>
          <w:tcPr>
            <w:tcW w:w="1200" w:type="dxa"/>
            <w:gridSpan w:val="2"/>
            <w:tcBorders>
              <w:top w:val="nil"/>
              <w:left w:val="nil"/>
              <w:bottom w:val="nil"/>
              <w:right w:val="nil"/>
            </w:tcBorders>
            <w:shd w:val="clear" w:color="auto" w:fill="auto"/>
            <w:noWrap/>
            <w:vAlign w:val="center"/>
            <w:hideMark/>
          </w:tcPr>
          <w:p w14:paraId="32437EA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151.7</w:t>
            </w:r>
          </w:p>
        </w:tc>
        <w:tc>
          <w:tcPr>
            <w:tcW w:w="1200" w:type="dxa"/>
            <w:gridSpan w:val="2"/>
            <w:tcBorders>
              <w:top w:val="nil"/>
              <w:left w:val="nil"/>
              <w:bottom w:val="nil"/>
              <w:right w:val="nil"/>
            </w:tcBorders>
            <w:shd w:val="clear" w:color="auto" w:fill="auto"/>
            <w:noWrap/>
            <w:vAlign w:val="center"/>
            <w:hideMark/>
          </w:tcPr>
          <w:p w14:paraId="625DA6B3"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130.5</w:t>
            </w:r>
          </w:p>
        </w:tc>
        <w:tc>
          <w:tcPr>
            <w:tcW w:w="1200" w:type="dxa"/>
            <w:gridSpan w:val="2"/>
            <w:tcBorders>
              <w:top w:val="nil"/>
              <w:left w:val="nil"/>
              <w:bottom w:val="nil"/>
              <w:right w:val="nil"/>
            </w:tcBorders>
            <w:shd w:val="clear" w:color="auto" w:fill="auto"/>
            <w:noWrap/>
            <w:vAlign w:val="center"/>
            <w:hideMark/>
          </w:tcPr>
          <w:p w14:paraId="3DD1146B"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7.1</w:t>
            </w:r>
          </w:p>
        </w:tc>
        <w:tc>
          <w:tcPr>
            <w:tcW w:w="1200" w:type="dxa"/>
            <w:gridSpan w:val="2"/>
            <w:tcBorders>
              <w:top w:val="nil"/>
              <w:left w:val="nil"/>
              <w:bottom w:val="nil"/>
              <w:right w:val="single" w:sz="8" w:space="0" w:color="auto"/>
            </w:tcBorders>
            <w:shd w:val="clear" w:color="auto" w:fill="auto"/>
            <w:noWrap/>
            <w:vAlign w:val="center"/>
            <w:hideMark/>
          </w:tcPr>
          <w:p w14:paraId="19091C3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4.4</w:t>
            </w:r>
          </w:p>
        </w:tc>
      </w:tr>
      <w:tr w:rsidR="00FB07C0" w:rsidRPr="00FB07C0" w14:paraId="72B078FC" w14:textId="77777777" w:rsidTr="00265C09">
        <w:trPr>
          <w:trHeight w:val="675"/>
        </w:trPr>
        <w:tc>
          <w:tcPr>
            <w:tcW w:w="1134" w:type="dxa"/>
            <w:tcBorders>
              <w:top w:val="nil"/>
              <w:left w:val="single" w:sz="8" w:space="0" w:color="auto"/>
              <w:bottom w:val="nil"/>
              <w:right w:val="nil"/>
            </w:tcBorders>
            <w:shd w:val="clear" w:color="auto" w:fill="auto"/>
            <w:hideMark/>
          </w:tcPr>
          <w:p w14:paraId="60E06714" w14:textId="77777777" w:rsidR="00FB07C0" w:rsidRPr="00FB07C0" w:rsidRDefault="00FB07C0" w:rsidP="00FB07C0">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14:paraId="1BDF50C5" w14:textId="77777777" w:rsidR="00FB07C0" w:rsidRPr="00FB07C0" w:rsidRDefault="00FB07C0" w:rsidP="00FB07C0">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14:paraId="612A5B9F"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Precio del petróleo (USD por barril)</w:t>
            </w:r>
          </w:p>
        </w:tc>
        <w:tc>
          <w:tcPr>
            <w:tcW w:w="1200" w:type="dxa"/>
            <w:gridSpan w:val="2"/>
            <w:tcBorders>
              <w:top w:val="nil"/>
              <w:left w:val="nil"/>
              <w:bottom w:val="nil"/>
              <w:right w:val="nil"/>
            </w:tcBorders>
            <w:shd w:val="clear" w:color="auto" w:fill="auto"/>
            <w:noWrap/>
            <w:vAlign w:val="center"/>
            <w:hideMark/>
          </w:tcPr>
          <w:p w14:paraId="3109DC99"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100</w:t>
            </w:r>
          </w:p>
        </w:tc>
        <w:tc>
          <w:tcPr>
            <w:tcW w:w="1200" w:type="dxa"/>
            <w:gridSpan w:val="2"/>
            <w:tcBorders>
              <w:top w:val="nil"/>
              <w:left w:val="nil"/>
              <w:bottom w:val="nil"/>
              <w:right w:val="nil"/>
            </w:tcBorders>
            <w:shd w:val="clear" w:color="auto" w:fill="auto"/>
            <w:noWrap/>
            <w:vAlign w:val="center"/>
            <w:hideMark/>
          </w:tcPr>
          <w:p w14:paraId="62609A65"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88</w:t>
            </w:r>
          </w:p>
        </w:tc>
        <w:tc>
          <w:tcPr>
            <w:tcW w:w="1200" w:type="dxa"/>
            <w:gridSpan w:val="2"/>
            <w:tcBorders>
              <w:top w:val="nil"/>
              <w:left w:val="nil"/>
              <w:bottom w:val="nil"/>
              <w:right w:val="nil"/>
            </w:tcBorders>
            <w:shd w:val="clear" w:color="auto" w:fill="auto"/>
            <w:noWrap/>
            <w:vAlign w:val="center"/>
            <w:hideMark/>
          </w:tcPr>
          <w:p w14:paraId="2F0FF31A"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14:paraId="11EE0131"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-4</w:t>
            </w:r>
          </w:p>
        </w:tc>
      </w:tr>
      <w:tr w:rsidR="00FB07C0" w:rsidRPr="00FB07C0" w14:paraId="66C5605B" w14:textId="77777777" w:rsidTr="00265C09">
        <w:trPr>
          <w:trHeight w:val="450"/>
        </w:trPr>
        <w:tc>
          <w:tcPr>
            <w:tcW w:w="1134" w:type="dxa"/>
            <w:tcBorders>
              <w:top w:val="nil"/>
              <w:left w:val="single" w:sz="8" w:space="0" w:color="auto"/>
              <w:bottom w:val="single" w:sz="8" w:space="0" w:color="auto"/>
              <w:right w:val="nil"/>
            </w:tcBorders>
            <w:shd w:val="clear" w:color="auto" w:fill="auto"/>
            <w:vAlign w:val="center"/>
            <w:hideMark/>
          </w:tcPr>
          <w:p w14:paraId="771E409F"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 </w:t>
            </w:r>
          </w:p>
        </w:tc>
        <w:tc>
          <w:tcPr>
            <w:tcW w:w="2840" w:type="dxa"/>
            <w:gridSpan w:val="3"/>
            <w:tcBorders>
              <w:top w:val="nil"/>
              <w:left w:val="nil"/>
              <w:bottom w:val="single" w:sz="8" w:space="0" w:color="auto"/>
              <w:right w:val="nil"/>
            </w:tcBorders>
            <w:shd w:val="clear" w:color="auto" w:fill="auto"/>
            <w:vAlign w:val="center"/>
            <w:hideMark/>
          </w:tcPr>
          <w:p w14:paraId="5EA21550" w14:textId="77777777" w:rsidR="00FB07C0" w:rsidRPr="00FB07C0" w:rsidRDefault="00FB07C0" w:rsidP="00FB07C0">
            <w:pPr>
              <w:spacing w:after="0" w:line="240" w:lineRule="auto"/>
              <w:rPr>
                <w:rFonts w:eastAsia="Times New Roman" w:cs="Calibri"/>
                <w:color w:val="000000"/>
                <w:sz w:val="16"/>
                <w:szCs w:val="16"/>
                <w:lang w:eastAsia="es-MX"/>
              </w:rPr>
            </w:pPr>
            <w:r w:rsidRPr="00FB07C0">
              <w:rPr>
                <w:rFonts w:eastAsia="Times New Roman" w:cs="Calibri"/>
                <w:color w:val="000000"/>
                <w:sz w:val="16"/>
                <w:szCs w:val="16"/>
                <w:lang w:eastAsia="es-MX"/>
              </w:rPr>
              <w:t>Índice de precios de productos básicos no energéticos</w:t>
            </w:r>
          </w:p>
        </w:tc>
        <w:tc>
          <w:tcPr>
            <w:tcW w:w="1200" w:type="dxa"/>
            <w:gridSpan w:val="2"/>
            <w:tcBorders>
              <w:top w:val="nil"/>
              <w:left w:val="nil"/>
              <w:bottom w:val="single" w:sz="8" w:space="0" w:color="auto"/>
              <w:right w:val="nil"/>
            </w:tcBorders>
            <w:shd w:val="clear" w:color="auto" w:fill="auto"/>
            <w:noWrap/>
            <w:vAlign w:val="center"/>
            <w:hideMark/>
          </w:tcPr>
          <w:p w14:paraId="0B187A27"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123.7</w:t>
            </w:r>
          </w:p>
        </w:tc>
        <w:tc>
          <w:tcPr>
            <w:tcW w:w="1200" w:type="dxa"/>
            <w:gridSpan w:val="2"/>
            <w:tcBorders>
              <w:top w:val="nil"/>
              <w:left w:val="nil"/>
              <w:bottom w:val="single" w:sz="8" w:space="0" w:color="auto"/>
              <w:right w:val="nil"/>
            </w:tcBorders>
            <w:shd w:val="clear" w:color="auto" w:fill="auto"/>
            <w:noWrap/>
            <w:vAlign w:val="center"/>
            <w:hideMark/>
          </w:tcPr>
          <w:p w14:paraId="4512E6B6"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113.7</w:t>
            </w:r>
          </w:p>
        </w:tc>
        <w:tc>
          <w:tcPr>
            <w:tcW w:w="1200" w:type="dxa"/>
            <w:gridSpan w:val="2"/>
            <w:tcBorders>
              <w:top w:val="nil"/>
              <w:left w:val="nil"/>
              <w:bottom w:val="single" w:sz="8" w:space="0" w:color="auto"/>
              <w:right w:val="nil"/>
            </w:tcBorders>
            <w:shd w:val="clear" w:color="auto" w:fill="auto"/>
            <w:noWrap/>
            <w:vAlign w:val="center"/>
            <w:hideMark/>
          </w:tcPr>
          <w:p w14:paraId="0129A4F8"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-8.4</w:t>
            </w:r>
          </w:p>
        </w:tc>
        <w:tc>
          <w:tcPr>
            <w:tcW w:w="1200" w:type="dxa"/>
            <w:gridSpan w:val="2"/>
            <w:tcBorders>
              <w:top w:val="nil"/>
              <w:left w:val="nil"/>
              <w:bottom w:val="single" w:sz="8" w:space="0" w:color="auto"/>
              <w:right w:val="single" w:sz="8" w:space="0" w:color="auto"/>
            </w:tcBorders>
            <w:shd w:val="clear" w:color="auto" w:fill="auto"/>
            <w:noWrap/>
            <w:vAlign w:val="center"/>
            <w:hideMark/>
          </w:tcPr>
          <w:p w14:paraId="35AA7132" w14:textId="77777777" w:rsidR="00FB07C0" w:rsidRPr="00FB07C0" w:rsidRDefault="00FB07C0" w:rsidP="00FB07C0">
            <w:pPr>
              <w:spacing w:after="0" w:line="240" w:lineRule="auto"/>
              <w:jc w:val="center"/>
              <w:rPr>
                <w:rFonts w:eastAsia="Times New Roman" w:cs="Calibri"/>
                <w:color w:val="000000"/>
                <w:sz w:val="16"/>
                <w:szCs w:val="16"/>
                <w:lang w:eastAsia="es-MX"/>
              </w:rPr>
            </w:pPr>
            <w:r w:rsidRPr="00FB07C0">
              <w:rPr>
                <w:rFonts w:eastAsia="Times New Roman" w:cs="Calibri"/>
                <w:color w:val="000000"/>
                <w:sz w:val="16"/>
                <w:szCs w:val="16"/>
                <w:lang w:eastAsia="es-MX"/>
              </w:rPr>
              <w:t>-7.6</w:t>
            </w:r>
          </w:p>
        </w:tc>
      </w:tr>
    </w:tbl>
    <w:p w14:paraId="0B1ABE0D" w14:textId="6EB8964F" w:rsidR="00FB07C0" w:rsidRDefault="00FB07C0" w:rsidP="00E92EC1">
      <w:pPr>
        <w:jc w:val="both"/>
        <w:rPr>
          <w:rFonts w:asciiTheme="minorHAnsi" w:hAnsiTheme="minorHAnsi" w:cstheme="minorHAnsi"/>
          <w:sz w:val="18"/>
          <w:szCs w:val="18"/>
        </w:rPr>
      </w:pPr>
      <w:r>
        <w:rPr>
          <w:rFonts w:asciiTheme="minorHAnsi" w:hAnsiTheme="minorHAnsi" w:cstheme="minorHAnsi"/>
          <w:sz w:val="18"/>
          <w:szCs w:val="18"/>
        </w:rPr>
        <w:fldChar w:fldCharType="end"/>
      </w:r>
    </w:p>
    <w:p w14:paraId="55EDDF93" w14:textId="21A6F82D" w:rsidR="00FB07C0" w:rsidRDefault="00FB07C0" w:rsidP="00E92EC1">
      <w:pPr>
        <w:jc w:val="both"/>
        <w:rPr>
          <w:rFonts w:asciiTheme="minorHAnsi" w:hAnsiTheme="minorHAnsi" w:cstheme="minorHAnsi"/>
          <w:sz w:val="18"/>
          <w:szCs w:val="18"/>
        </w:rPr>
      </w:pPr>
    </w:p>
    <w:p w14:paraId="1D8B8DCC" w14:textId="0DCB8E79" w:rsidR="00FB07C0" w:rsidRDefault="00FB07C0" w:rsidP="00E92EC1">
      <w:pPr>
        <w:jc w:val="both"/>
        <w:rPr>
          <w:rFonts w:asciiTheme="minorHAnsi" w:hAnsiTheme="minorHAnsi" w:cstheme="minorHAnsi"/>
          <w:sz w:val="18"/>
          <w:szCs w:val="18"/>
        </w:rPr>
      </w:pPr>
    </w:p>
    <w:p w14:paraId="552576BF" w14:textId="19495F78" w:rsidR="00FB07C0" w:rsidRDefault="00FB07C0" w:rsidP="00E92EC1">
      <w:pPr>
        <w:jc w:val="both"/>
        <w:rPr>
          <w:rFonts w:asciiTheme="minorHAnsi" w:hAnsiTheme="minorHAnsi" w:cstheme="minorHAnsi"/>
          <w:sz w:val="18"/>
          <w:szCs w:val="18"/>
        </w:rPr>
      </w:pPr>
    </w:p>
    <w:p w14:paraId="2EE04F85" w14:textId="77777777" w:rsidR="00FB07C0" w:rsidRDefault="00FB07C0" w:rsidP="00E92EC1">
      <w:pPr>
        <w:jc w:val="both"/>
        <w:rPr>
          <w:rFonts w:asciiTheme="minorHAnsi" w:hAnsiTheme="minorHAnsi" w:cstheme="minorHAnsi"/>
          <w:sz w:val="18"/>
          <w:szCs w:val="18"/>
        </w:rPr>
      </w:pPr>
    </w:p>
    <w:p w14:paraId="15A078F1" w14:textId="484C67AD" w:rsidR="00FB07C0" w:rsidRDefault="00FB07C0" w:rsidP="00E92EC1">
      <w:pPr>
        <w:jc w:val="both"/>
        <w:rPr>
          <w:rFonts w:asciiTheme="minorHAnsi" w:hAnsiTheme="minorHAnsi" w:cstheme="minorHAnsi"/>
          <w:sz w:val="18"/>
          <w:szCs w:val="18"/>
        </w:rPr>
      </w:pPr>
    </w:p>
    <w:p w14:paraId="3632458B" w14:textId="41A2BC57" w:rsidR="00FB07C0" w:rsidRDefault="00FB07C0" w:rsidP="00E92EC1">
      <w:pPr>
        <w:jc w:val="both"/>
        <w:rPr>
          <w:rFonts w:asciiTheme="minorHAnsi" w:hAnsiTheme="minorHAnsi" w:cstheme="minorHAnsi"/>
          <w:sz w:val="18"/>
          <w:szCs w:val="18"/>
        </w:rPr>
      </w:pPr>
    </w:p>
    <w:p w14:paraId="1B201D17" w14:textId="3A08B9C5" w:rsidR="00FB07C0" w:rsidRDefault="00FB07C0" w:rsidP="00E92EC1">
      <w:pPr>
        <w:jc w:val="both"/>
        <w:rPr>
          <w:rFonts w:asciiTheme="minorHAnsi" w:hAnsiTheme="minorHAnsi" w:cstheme="minorHAnsi"/>
          <w:sz w:val="18"/>
          <w:szCs w:val="18"/>
        </w:rPr>
      </w:pPr>
    </w:p>
    <w:p w14:paraId="7BCBA02A" w14:textId="4DCC7726" w:rsidR="00FB07C0" w:rsidRDefault="00FB07C0" w:rsidP="00E92EC1">
      <w:pPr>
        <w:jc w:val="both"/>
        <w:rPr>
          <w:rFonts w:asciiTheme="minorHAnsi" w:hAnsiTheme="minorHAnsi" w:cstheme="minorHAnsi"/>
          <w:sz w:val="18"/>
          <w:szCs w:val="18"/>
        </w:rPr>
      </w:pPr>
    </w:p>
    <w:p w14:paraId="3803CB71" w14:textId="04A07157" w:rsidR="00FB07C0" w:rsidRDefault="00FB07C0" w:rsidP="00E92EC1">
      <w:pPr>
        <w:jc w:val="both"/>
        <w:rPr>
          <w:rFonts w:asciiTheme="minorHAnsi" w:hAnsiTheme="minorHAnsi" w:cstheme="minorHAnsi"/>
          <w:sz w:val="18"/>
          <w:szCs w:val="18"/>
        </w:rPr>
      </w:pPr>
    </w:p>
    <w:p w14:paraId="1A28CE6E" w14:textId="2A8411CD" w:rsidR="00FB07C0" w:rsidRDefault="00FB07C0" w:rsidP="00E92EC1">
      <w:pPr>
        <w:jc w:val="both"/>
        <w:rPr>
          <w:rFonts w:asciiTheme="minorHAnsi" w:hAnsiTheme="minorHAnsi" w:cstheme="minorHAnsi"/>
          <w:sz w:val="18"/>
          <w:szCs w:val="18"/>
        </w:rPr>
      </w:pPr>
    </w:p>
    <w:p w14:paraId="5D010767" w14:textId="0849D889" w:rsidR="00E92EC1" w:rsidRPr="00E850D6" w:rsidRDefault="00E92EC1" w:rsidP="00E92EC1">
      <w:pPr>
        <w:jc w:val="both"/>
        <w:rPr>
          <w:rFonts w:asciiTheme="minorHAnsi" w:hAnsiTheme="minorHAnsi" w:cstheme="minorHAnsi"/>
          <w:b/>
          <w:bCs/>
          <w:sz w:val="18"/>
          <w:szCs w:val="18"/>
        </w:rPr>
      </w:pPr>
      <w:r w:rsidRPr="00E850D6">
        <w:rPr>
          <w:rFonts w:asciiTheme="minorHAnsi" w:hAnsiTheme="minorHAnsi" w:cstheme="minorHAnsi"/>
          <w:b/>
          <w:bCs/>
          <w:sz w:val="18"/>
          <w:szCs w:val="18"/>
        </w:rPr>
        <w:t xml:space="preserve">2.1.5.- </w:t>
      </w:r>
      <w:r w:rsidR="00901A86" w:rsidRPr="00E850D6">
        <w:rPr>
          <w:rFonts w:asciiTheme="minorHAnsi" w:hAnsiTheme="minorHAnsi" w:cstheme="minorHAnsi"/>
          <w:b/>
          <w:bCs/>
          <w:sz w:val="18"/>
          <w:szCs w:val="18"/>
        </w:rPr>
        <w:t>Inflación</w:t>
      </w:r>
      <w:r w:rsidRPr="00E850D6">
        <w:rPr>
          <w:rFonts w:asciiTheme="minorHAnsi" w:hAnsiTheme="minorHAnsi" w:cstheme="minorHAnsi"/>
          <w:b/>
          <w:bCs/>
          <w:sz w:val="18"/>
          <w:szCs w:val="18"/>
        </w:rPr>
        <w:t xml:space="preserve"> </w:t>
      </w:r>
      <w:r w:rsidR="00291DC2" w:rsidRPr="00E850D6">
        <w:rPr>
          <w:rFonts w:asciiTheme="minorHAnsi" w:hAnsiTheme="minorHAnsi" w:cstheme="minorHAnsi"/>
          <w:b/>
          <w:bCs/>
          <w:sz w:val="18"/>
          <w:szCs w:val="18"/>
        </w:rPr>
        <w:t>Mundial. -</w:t>
      </w:r>
    </w:p>
    <w:p w14:paraId="0B85E5A5" w14:textId="77777777" w:rsidR="00E92EC1" w:rsidRPr="00E850D6" w:rsidRDefault="00E92EC1" w:rsidP="00E92EC1">
      <w:pPr>
        <w:pStyle w:val="NormalWeb"/>
        <w:spacing w:before="240" w:beforeAutospacing="0" w:after="240" w:afterAutospacing="0"/>
        <w:jc w:val="both"/>
        <w:rPr>
          <w:rFonts w:asciiTheme="minorHAnsi" w:hAnsiTheme="minorHAnsi" w:cstheme="minorHAnsi"/>
          <w:sz w:val="18"/>
          <w:szCs w:val="18"/>
        </w:rPr>
      </w:pPr>
      <w:r w:rsidRPr="00E850D6">
        <w:rPr>
          <w:rFonts w:asciiTheme="minorHAnsi" w:hAnsiTheme="minorHAnsi" w:cstheme="minorHAnsi"/>
          <w:sz w:val="18"/>
          <w:szCs w:val="18"/>
        </w:rPr>
        <w:t>La actividad económica mundial está experimentando una desaceleración generalizada y más acentuada de lo previsto, con la inflación más alta registrada en varios decenios. La crisis del costo de vida, el endurecimiento de las condiciones financieras en la mayoría de las regiones, la invasión rusa de Ucrania y la persistencia de la pandemia de COVID-19 inciden notablemente en las perspectivas. Según los pronósticos, el crecimiento mundial se desacelerará de 6,0% en 2021 a 3,2% en 2022 y 2,7% en 2023. Exceptuando la crisis financiera mundial y la fase aguda de la pandemia de COVID-19, este es el perfil de crecimiento más flojo desde 2001.</w:t>
      </w:r>
    </w:p>
    <w:p w14:paraId="2AC79BA5" w14:textId="77777777" w:rsidR="00E92EC1" w:rsidRPr="00E850D6" w:rsidRDefault="00E92EC1" w:rsidP="00E92EC1">
      <w:pPr>
        <w:pStyle w:val="NormalWeb"/>
        <w:spacing w:before="240" w:beforeAutospacing="0" w:after="240" w:afterAutospacing="0"/>
        <w:jc w:val="both"/>
        <w:rPr>
          <w:rFonts w:asciiTheme="minorHAnsi" w:hAnsiTheme="minorHAnsi" w:cstheme="minorHAnsi"/>
          <w:sz w:val="18"/>
          <w:szCs w:val="18"/>
        </w:rPr>
      </w:pPr>
      <w:r w:rsidRPr="00E850D6">
        <w:rPr>
          <w:rFonts w:asciiTheme="minorHAnsi" w:hAnsiTheme="minorHAnsi" w:cstheme="minorHAnsi"/>
          <w:sz w:val="18"/>
          <w:szCs w:val="18"/>
        </w:rPr>
        <w:t>Se debe mantener el curso de política monetaria para restaurar la estabilidad de precios, y la política fiscal debe procurar aliviar las presiones sobre el costo de vida, manteniendo una orientación lo suficientemente restrictiva para que esté alineada con la política monetaria. Para contribuir más a la lucha con la inflación se puede recurrir a reformas estructurales que mejoren la productividad y alivien las restricciones sobre la oferta, en tanto que la cooperación multilateral es necesaria para acelerar la transición a la energía verde y evitar la fragmentación.</w:t>
      </w:r>
    </w:p>
    <w:p w14:paraId="46AAE554" w14:textId="31ED867B" w:rsidR="00E92EC1" w:rsidRPr="00E850D6" w:rsidRDefault="00E92EC1" w:rsidP="00E92EC1">
      <w:pPr>
        <w:pStyle w:val="NormalWeb"/>
        <w:rPr>
          <w:rFonts w:asciiTheme="minorHAnsi" w:hAnsiTheme="minorHAnsi" w:cstheme="minorHAnsi"/>
          <w:b/>
          <w:bCs/>
          <w:sz w:val="18"/>
          <w:szCs w:val="18"/>
        </w:rPr>
      </w:pPr>
      <w:r w:rsidRPr="00E850D6">
        <w:rPr>
          <w:rFonts w:asciiTheme="minorHAnsi" w:hAnsiTheme="minorHAnsi" w:cstheme="minorHAnsi"/>
          <w:b/>
          <w:bCs/>
          <w:sz w:val="18"/>
          <w:szCs w:val="18"/>
        </w:rPr>
        <w:t xml:space="preserve">2.2.- Escenarios </w:t>
      </w:r>
      <w:r w:rsidR="00901A86" w:rsidRPr="00E850D6">
        <w:rPr>
          <w:rFonts w:asciiTheme="minorHAnsi" w:hAnsiTheme="minorHAnsi" w:cstheme="minorHAnsi"/>
          <w:b/>
          <w:bCs/>
          <w:sz w:val="18"/>
          <w:szCs w:val="18"/>
        </w:rPr>
        <w:t>Económicos</w:t>
      </w:r>
      <w:r w:rsidRPr="00E850D6">
        <w:rPr>
          <w:rFonts w:asciiTheme="minorHAnsi" w:hAnsiTheme="minorHAnsi" w:cstheme="minorHAnsi"/>
          <w:b/>
          <w:bCs/>
          <w:sz w:val="18"/>
          <w:szCs w:val="18"/>
        </w:rPr>
        <w:t xml:space="preserve"> para </w:t>
      </w:r>
      <w:r w:rsidR="00901A86" w:rsidRPr="00E850D6">
        <w:rPr>
          <w:rFonts w:asciiTheme="minorHAnsi" w:hAnsiTheme="minorHAnsi" w:cstheme="minorHAnsi"/>
          <w:b/>
          <w:bCs/>
          <w:sz w:val="18"/>
          <w:szCs w:val="18"/>
        </w:rPr>
        <w:t>México</w:t>
      </w:r>
      <w:r w:rsidRPr="00E850D6">
        <w:rPr>
          <w:rFonts w:asciiTheme="minorHAnsi" w:hAnsiTheme="minorHAnsi" w:cstheme="minorHAnsi"/>
          <w:b/>
          <w:bCs/>
          <w:sz w:val="18"/>
          <w:szCs w:val="18"/>
        </w:rPr>
        <w:t xml:space="preserve"> al cierre del cuarto trimestre del 2022. </w:t>
      </w:r>
    </w:p>
    <w:p w14:paraId="252C9FEF" w14:textId="7C7E7504" w:rsidR="00E92EC1" w:rsidRPr="00E850D6" w:rsidRDefault="00E92EC1" w:rsidP="00E92EC1">
      <w:pPr>
        <w:pStyle w:val="NormalWeb"/>
        <w:rPr>
          <w:rFonts w:asciiTheme="minorHAnsi" w:hAnsiTheme="minorHAnsi" w:cstheme="minorHAnsi"/>
          <w:b/>
          <w:bCs/>
          <w:sz w:val="18"/>
          <w:szCs w:val="18"/>
        </w:rPr>
      </w:pPr>
      <w:r w:rsidRPr="00E850D6">
        <w:rPr>
          <w:rFonts w:asciiTheme="minorHAnsi" w:hAnsiTheme="minorHAnsi" w:cstheme="minorHAnsi"/>
          <w:b/>
          <w:bCs/>
          <w:sz w:val="18"/>
          <w:szCs w:val="18"/>
        </w:rPr>
        <w:t xml:space="preserve">2.2.1.- Producto Interno Bruto del </w:t>
      </w:r>
      <w:r w:rsidR="00901A86" w:rsidRPr="00E850D6">
        <w:rPr>
          <w:rFonts w:asciiTheme="minorHAnsi" w:hAnsiTheme="minorHAnsi" w:cstheme="minorHAnsi"/>
          <w:b/>
          <w:bCs/>
          <w:sz w:val="18"/>
          <w:szCs w:val="18"/>
        </w:rPr>
        <w:t>país</w:t>
      </w:r>
      <w:r w:rsidRPr="00E850D6">
        <w:rPr>
          <w:rFonts w:asciiTheme="minorHAnsi" w:hAnsiTheme="minorHAnsi" w:cstheme="minorHAnsi"/>
          <w:b/>
          <w:bCs/>
          <w:sz w:val="18"/>
          <w:szCs w:val="18"/>
        </w:rPr>
        <w:t xml:space="preserve"> </w:t>
      </w:r>
      <w:r w:rsidR="00291DC2" w:rsidRPr="00E850D6">
        <w:rPr>
          <w:rFonts w:asciiTheme="minorHAnsi" w:hAnsiTheme="minorHAnsi" w:cstheme="minorHAnsi"/>
          <w:b/>
          <w:bCs/>
          <w:sz w:val="18"/>
          <w:szCs w:val="18"/>
        </w:rPr>
        <w:t>PIB. -</w:t>
      </w:r>
    </w:p>
    <w:p w14:paraId="3C005430" w14:textId="05630A08" w:rsidR="00E92EC1" w:rsidRPr="00E850D6" w:rsidRDefault="00E92EC1" w:rsidP="00E92EC1">
      <w:pPr>
        <w:pStyle w:val="NormalWeb"/>
        <w:rPr>
          <w:rFonts w:asciiTheme="minorHAnsi" w:hAnsiTheme="minorHAnsi" w:cstheme="minorHAnsi"/>
          <w:sz w:val="18"/>
          <w:szCs w:val="18"/>
        </w:rPr>
      </w:pPr>
      <w:r w:rsidRPr="00E850D6">
        <w:rPr>
          <w:rFonts w:asciiTheme="minorHAnsi" w:hAnsiTheme="minorHAnsi" w:cstheme="minorHAnsi"/>
          <w:sz w:val="18"/>
          <w:szCs w:val="18"/>
        </w:rPr>
        <w:t xml:space="preserve">Por lo que corresponde al comportamiento del PIB durante el 2022, el INEGI informó que por el tercer trimestre de 2022 y con cifras </w:t>
      </w:r>
      <w:proofErr w:type="spellStart"/>
      <w:r w:rsidRPr="00E850D6">
        <w:rPr>
          <w:rFonts w:asciiTheme="minorHAnsi" w:hAnsiTheme="minorHAnsi" w:cstheme="minorHAnsi"/>
          <w:sz w:val="18"/>
          <w:szCs w:val="18"/>
        </w:rPr>
        <w:t>desestacionalizadas</w:t>
      </w:r>
      <w:proofErr w:type="spellEnd"/>
      <w:r w:rsidRPr="00E850D6">
        <w:rPr>
          <w:rFonts w:asciiTheme="minorHAnsi" w:hAnsiTheme="minorHAnsi" w:cstheme="minorHAnsi"/>
          <w:sz w:val="18"/>
          <w:szCs w:val="18"/>
        </w:rPr>
        <w:t>,</w:t>
      </w:r>
      <w:r w:rsidRPr="00E850D6">
        <w:rPr>
          <w:rFonts w:asciiTheme="minorHAnsi" w:hAnsiTheme="minorHAnsi" w:cstheme="minorHAnsi"/>
          <w:position w:val="8"/>
          <w:sz w:val="18"/>
          <w:szCs w:val="18"/>
        </w:rPr>
        <w:t xml:space="preserve"> </w:t>
      </w:r>
      <w:r w:rsidRPr="00E850D6">
        <w:rPr>
          <w:rFonts w:asciiTheme="minorHAnsi" w:hAnsiTheme="minorHAnsi" w:cstheme="minorHAnsi"/>
          <w:sz w:val="18"/>
          <w:szCs w:val="18"/>
        </w:rPr>
        <w:t>el Producto Interno Bruto (PIB)</w:t>
      </w:r>
      <w:r w:rsidRPr="00E850D6">
        <w:rPr>
          <w:rFonts w:asciiTheme="minorHAnsi" w:hAnsiTheme="minorHAnsi" w:cstheme="minorHAnsi"/>
          <w:position w:val="8"/>
          <w:sz w:val="18"/>
          <w:szCs w:val="18"/>
        </w:rPr>
        <w:t xml:space="preserve"> </w:t>
      </w:r>
      <w:r w:rsidRPr="00E850D6">
        <w:rPr>
          <w:rFonts w:asciiTheme="minorHAnsi" w:hAnsiTheme="minorHAnsi" w:cstheme="minorHAnsi"/>
          <w:sz w:val="18"/>
          <w:szCs w:val="18"/>
        </w:rPr>
        <w:t xml:space="preserve">avanzó 0.9 % a tasa trimestral, en </w:t>
      </w:r>
      <w:r w:rsidR="00901A86" w:rsidRPr="00E850D6">
        <w:rPr>
          <w:rFonts w:asciiTheme="minorHAnsi" w:hAnsiTheme="minorHAnsi" w:cstheme="minorHAnsi"/>
          <w:sz w:val="18"/>
          <w:szCs w:val="18"/>
        </w:rPr>
        <w:t>términos</w:t>
      </w:r>
      <w:r w:rsidRPr="00E850D6">
        <w:rPr>
          <w:rFonts w:asciiTheme="minorHAnsi" w:hAnsiTheme="minorHAnsi" w:cstheme="minorHAnsi"/>
          <w:sz w:val="18"/>
          <w:szCs w:val="18"/>
        </w:rPr>
        <w:t xml:space="preserve"> reales. </w:t>
      </w:r>
    </w:p>
    <w:p w14:paraId="73AA9066" w14:textId="5FA2D51B" w:rsidR="00E92EC1" w:rsidRPr="00E850D6" w:rsidRDefault="00E92EC1" w:rsidP="00E92EC1">
      <w:pPr>
        <w:pStyle w:val="NormalWeb"/>
        <w:rPr>
          <w:rFonts w:asciiTheme="minorHAnsi" w:hAnsiTheme="minorHAnsi" w:cstheme="minorHAnsi"/>
          <w:sz w:val="18"/>
          <w:szCs w:val="18"/>
        </w:rPr>
      </w:pPr>
      <w:r w:rsidRPr="00E850D6">
        <w:rPr>
          <w:rFonts w:asciiTheme="minorHAnsi" w:hAnsiTheme="minorHAnsi" w:cstheme="minorHAnsi"/>
          <w:sz w:val="18"/>
          <w:szCs w:val="18"/>
        </w:rPr>
        <w:t xml:space="preserve">Por componente y con series ajustadas por estacionalidad, el comportamiento fue el siguiente: el PIB de las actividades primarias </w:t>
      </w:r>
      <w:r w:rsidR="00396A2F" w:rsidRPr="00E850D6">
        <w:rPr>
          <w:rFonts w:asciiTheme="minorHAnsi" w:hAnsiTheme="minorHAnsi" w:cstheme="minorHAnsi"/>
          <w:sz w:val="18"/>
          <w:szCs w:val="18"/>
        </w:rPr>
        <w:t>creció</w:t>
      </w:r>
      <w:r w:rsidRPr="00E850D6">
        <w:rPr>
          <w:rFonts w:asciiTheme="minorHAnsi" w:hAnsiTheme="minorHAnsi" w:cstheme="minorHAnsi"/>
          <w:sz w:val="18"/>
          <w:szCs w:val="18"/>
        </w:rPr>
        <w:t xml:space="preserve">́ 2 %; el de las terciarias, 1.1 % y el de las secundarias, 0.6 % respecto al trimestre anterior. </w:t>
      </w:r>
    </w:p>
    <w:p w14:paraId="71728686" w14:textId="55F4D2CF" w:rsidR="00E92EC1" w:rsidRPr="00E850D6" w:rsidRDefault="00E92EC1" w:rsidP="00E92EC1">
      <w:pPr>
        <w:pStyle w:val="NormalWeb"/>
        <w:rPr>
          <w:rFonts w:asciiTheme="minorHAnsi" w:hAnsiTheme="minorHAnsi" w:cstheme="minorHAnsi"/>
          <w:sz w:val="18"/>
          <w:szCs w:val="18"/>
        </w:rPr>
      </w:pPr>
      <w:r w:rsidRPr="00E850D6">
        <w:rPr>
          <w:rFonts w:asciiTheme="minorHAnsi" w:hAnsiTheme="minorHAnsi" w:cstheme="minorHAnsi"/>
          <w:sz w:val="18"/>
          <w:szCs w:val="18"/>
        </w:rPr>
        <w:t xml:space="preserve">A tasa anual y con series </w:t>
      </w:r>
      <w:proofErr w:type="spellStart"/>
      <w:r w:rsidRPr="00E850D6">
        <w:rPr>
          <w:rFonts w:asciiTheme="minorHAnsi" w:hAnsiTheme="minorHAnsi" w:cstheme="minorHAnsi"/>
          <w:sz w:val="18"/>
          <w:szCs w:val="18"/>
        </w:rPr>
        <w:t>desestacionalizadas</w:t>
      </w:r>
      <w:proofErr w:type="spellEnd"/>
      <w:r w:rsidRPr="00E850D6">
        <w:rPr>
          <w:rFonts w:asciiTheme="minorHAnsi" w:hAnsiTheme="minorHAnsi" w:cstheme="minorHAnsi"/>
          <w:sz w:val="18"/>
          <w:szCs w:val="18"/>
        </w:rPr>
        <w:t xml:space="preserve">, en el tercer trimestre de 2022, el PIB incrementó 4.3 % en </w:t>
      </w:r>
      <w:r w:rsidR="00396A2F" w:rsidRPr="00E850D6">
        <w:rPr>
          <w:rFonts w:asciiTheme="minorHAnsi" w:hAnsiTheme="minorHAnsi" w:cstheme="minorHAnsi"/>
          <w:sz w:val="18"/>
          <w:szCs w:val="18"/>
        </w:rPr>
        <w:t>términos</w:t>
      </w:r>
      <w:r w:rsidRPr="00E850D6">
        <w:rPr>
          <w:rFonts w:asciiTheme="minorHAnsi" w:hAnsiTheme="minorHAnsi" w:cstheme="minorHAnsi"/>
          <w:sz w:val="18"/>
          <w:szCs w:val="18"/>
        </w:rPr>
        <w:t xml:space="preserve"> reales. Por grandes grupos de actividades </w:t>
      </w:r>
      <w:r w:rsidR="00396A2F" w:rsidRPr="00E850D6">
        <w:rPr>
          <w:rFonts w:asciiTheme="minorHAnsi" w:hAnsiTheme="minorHAnsi" w:cstheme="minorHAnsi"/>
          <w:sz w:val="18"/>
          <w:szCs w:val="18"/>
        </w:rPr>
        <w:t>económicas</w:t>
      </w:r>
      <w:r w:rsidRPr="00E850D6">
        <w:rPr>
          <w:rFonts w:asciiTheme="minorHAnsi" w:hAnsiTheme="minorHAnsi" w:cstheme="minorHAnsi"/>
          <w:sz w:val="18"/>
          <w:szCs w:val="18"/>
        </w:rPr>
        <w:t xml:space="preserve">, el PIB de las actividades terciarias </w:t>
      </w:r>
      <w:r w:rsidR="00396A2F" w:rsidRPr="00E850D6">
        <w:rPr>
          <w:rFonts w:asciiTheme="minorHAnsi" w:hAnsiTheme="minorHAnsi" w:cstheme="minorHAnsi"/>
          <w:sz w:val="18"/>
          <w:szCs w:val="18"/>
        </w:rPr>
        <w:t>ascendió</w:t>
      </w:r>
      <w:r w:rsidRPr="00E850D6">
        <w:rPr>
          <w:rFonts w:asciiTheme="minorHAnsi" w:hAnsiTheme="minorHAnsi" w:cstheme="minorHAnsi"/>
          <w:sz w:val="18"/>
          <w:szCs w:val="18"/>
        </w:rPr>
        <w:t xml:space="preserve">́ 4.5 %; el de las secundarias, 3.7 % y el de las primarias, 3.2 por ciento. </w:t>
      </w:r>
    </w:p>
    <w:p w14:paraId="519FAB0E" w14:textId="77777777" w:rsidR="00E92EC1" w:rsidRPr="00E850D6" w:rsidRDefault="00E92EC1" w:rsidP="00E92EC1">
      <w:pPr>
        <w:pStyle w:val="NormalWeb"/>
        <w:rPr>
          <w:rFonts w:asciiTheme="minorHAnsi" w:hAnsiTheme="minorHAnsi" w:cstheme="minorHAnsi"/>
          <w:sz w:val="18"/>
          <w:szCs w:val="18"/>
        </w:rPr>
      </w:pPr>
      <w:r w:rsidRPr="00E850D6">
        <w:rPr>
          <w:rFonts w:asciiTheme="minorHAnsi" w:hAnsiTheme="minorHAnsi" w:cstheme="minorHAnsi"/>
          <w:sz w:val="18"/>
          <w:szCs w:val="18"/>
        </w:rPr>
        <w:t xml:space="preserve">Por lo que en los primeros nueve meses de 2022 y con series </w:t>
      </w:r>
      <w:proofErr w:type="spellStart"/>
      <w:r w:rsidRPr="00E850D6">
        <w:rPr>
          <w:rFonts w:asciiTheme="minorHAnsi" w:hAnsiTheme="minorHAnsi" w:cstheme="minorHAnsi"/>
          <w:sz w:val="18"/>
          <w:szCs w:val="18"/>
        </w:rPr>
        <w:t>desestacionalizadas</w:t>
      </w:r>
      <w:proofErr w:type="spellEnd"/>
      <w:r w:rsidRPr="00E850D6">
        <w:rPr>
          <w:rFonts w:asciiTheme="minorHAnsi" w:hAnsiTheme="minorHAnsi" w:cstheme="minorHAnsi"/>
          <w:sz w:val="18"/>
          <w:szCs w:val="18"/>
        </w:rPr>
        <w:t xml:space="preserve">, el PIB aumentó 2.8 % a tasa anual. </w:t>
      </w:r>
    </w:p>
    <w:p w14:paraId="4C4D636D" w14:textId="77777777" w:rsidR="00E92EC1" w:rsidRPr="00676CED" w:rsidRDefault="00E92EC1" w:rsidP="00E92EC1">
      <w:pPr>
        <w:pStyle w:val="NormalWeb"/>
        <w:spacing w:before="0" w:beforeAutospacing="0" w:after="0" w:afterAutospacing="0"/>
        <w:jc w:val="center"/>
        <w:rPr>
          <w:rFonts w:asciiTheme="minorHAnsi" w:hAnsiTheme="minorHAnsi" w:cstheme="minorHAnsi"/>
          <w:sz w:val="18"/>
          <w:szCs w:val="18"/>
        </w:rPr>
      </w:pPr>
      <w:r w:rsidRPr="00676CED">
        <w:rPr>
          <w:rFonts w:asciiTheme="minorHAnsi" w:hAnsiTheme="minorHAnsi" w:cstheme="minorHAnsi"/>
          <w:b/>
          <w:bCs/>
          <w:sz w:val="18"/>
          <w:szCs w:val="18"/>
        </w:rPr>
        <w:t>PRODUCTO INTERNO BRUTO</w:t>
      </w:r>
    </w:p>
    <w:p w14:paraId="4FEC2011" w14:textId="77777777" w:rsidR="00E92EC1" w:rsidRPr="00676CED" w:rsidRDefault="00E92EC1" w:rsidP="00E92EC1">
      <w:pPr>
        <w:pStyle w:val="NormalWeb"/>
        <w:spacing w:before="0" w:beforeAutospacing="0" w:after="0" w:afterAutospacing="0"/>
        <w:jc w:val="center"/>
        <w:rPr>
          <w:rFonts w:asciiTheme="minorHAnsi" w:hAnsiTheme="minorHAnsi" w:cstheme="minorHAnsi"/>
          <w:b/>
          <w:bCs/>
          <w:sz w:val="18"/>
          <w:szCs w:val="18"/>
        </w:rPr>
      </w:pPr>
      <w:r w:rsidRPr="00676CED">
        <w:rPr>
          <w:rFonts w:asciiTheme="minorHAnsi" w:hAnsiTheme="minorHAnsi" w:cstheme="minorHAnsi"/>
          <w:b/>
          <w:bCs/>
          <w:sz w:val="18"/>
          <w:szCs w:val="18"/>
        </w:rPr>
        <w:t>TERCER TRIMESTRE DE 2022</w:t>
      </w:r>
    </w:p>
    <w:p w14:paraId="3097135A" w14:textId="7D1CADDA" w:rsidR="00E92EC1" w:rsidRDefault="00E92EC1" w:rsidP="00E92EC1">
      <w:pPr>
        <w:pStyle w:val="NormalWeb"/>
        <w:spacing w:before="0" w:beforeAutospacing="0" w:after="0" w:afterAutospacing="0"/>
        <w:jc w:val="center"/>
        <w:rPr>
          <w:rFonts w:asciiTheme="minorHAnsi" w:hAnsiTheme="minorHAnsi" w:cstheme="minorHAnsi"/>
          <w:b/>
          <w:bCs/>
          <w:sz w:val="18"/>
          <w:szCs w:val="18"/>
        </w:rPr>
      </w:pPr>
      <w:r w:rsidRPr="00676CED">
        <w:rPr>
          <w:rFonts w:asciiTheme="minorHAnsi" w:hAnsiTheme="minorHAnsi" w:cstheme="minorHAnsi"/>
          <w:b/>
          <w:bCs/>
          <w:sz w:val="18"/>
          <w:szCs w:val="18"/>
        </w:rPr>
        <w:t>CIFRAS DESESTACIONALIZADAS</w:t>
      </w:r>
    </w:p>
    <w:p w14:paraId="5046866C" w14:textId="77777777" w:rsidR="00C254F8" w:rsidRPr="00676CED" w:rsidRDefault="00C254F8" w:rsidP="00E92EC1">
      <w:pPr>
        <w:pStyle w:val="NormalWeb"/>
        <w:spacing w:before="0" w:beforeAutospacing="0" w:after="0" w:afterAutospacing="0"/>
        <w:jc w:val="center"/>
        <w:rPr>
          <w:rFonts w:asciiTheme="minorHAnsi" w:hAnsiTheme="minorHAnsi" w:cstheme="minorHAnsi"/>
          <w:sz w:val="18"/>
          <w:szCs w:val="18"/>
        </w:rPr>
      </w:pPr>
    </w:p>
    <w:tbl>
      <w:tblPr>
        <w:tblW w:w="6755" w:type="dxa"/>
        <w:jc w:val="center"/>
        <w:tblCellMar>
          <w:left w:w="70" w:type="dxa"/>
          <w:right w:w="70" w:type="dxa"/>
        </w:tblCellMar>
        <w:tblLook w:val="04A0" w:firstRow="1" w:lastRow="0" w:firstColumn="1" w:lastColumn="0" w:noHBand="0" w:noVBand="1"/>
      </w:tblPr>
      <w:tblGrid>
        <w:gridCol w:w="2520"/>
        <w:gridCol w:w="1186"/>
        <w:gridCol w:w="1791"/>
        <w:gridCol w:w="1258"/>
      </w:tblGrid>
      <w:tr w:rsidR="00E92EC1" w:rsidRPr="00676CED" w14:paraId="362F3DC6" w14:textId="77777777" w:rsidTr="00C254F8">
        <w:trPr>
          <w:trHeight w:val="284"/>
          <w:jc w:val="center"/>
        </w:trPr>
        <w:tc>
          <w:tcPr>
            <w:tcW w:w="2520" w:type="dxa"/>
            <w:vMerge w:val="restart"/>
            <w:tcBorders>
              <w:top w:val="double" w:sz="6" w:space="0" w:color="auto"/>
              <w:left w:val="double" w:sz="6" w:space="0" w:color="auto"/>
              <w:bottom w:val="single" w:sz="4" w:space="0" w:color="auto"/>
              <w:right w:val="single" w:sz="4" w:space="0" w:color="auto"/>
            </w:tcBorders>
            <w:shd w:val="clear" w:color="auto" w:fill="990033"/>
            <w:noWrap/>
            <w:vAlign w:val="center"/>
            <w:hideMark/>
          </w:tcPr>
          <w:p w14:paraId="2ECE421B" w14:textId="77777777" w:rsidR="00E92EC1" w:rsidRPr="00676CED" w:rsidRDefault="00E92EC1" w:rsidP="00A24CED">
            <w:pPr>
              <w:jc w:val="center"/>
              <w:rPr>
                <w:rFonts w:asciiTheme="minorHAnsi" w:hAnsiTheme="minorHAnsi" w:cstheme="minorHAnsi"/>
                <w:color w:val="FFFFFF" w:themeColor="background1"/>
                <w:sz w:val="18"/>
                <w:szCs w:val="18"/>
              </w:rPr>
            </w:pPr>
            <w:r w:rsidRPr="00676CED">
              <w:rPr>
                <w:rFonts w:asciiTheme="minorHAnsi" w:hAnsiTheme="minorHAnsi" w:cstheme="minorHAnsi"/>
                <w:color w:val="FFFFFF" w:themeColor="background1"/>
                <w:sz w:val="18"/>
                <w:szCs w:val="18"/>
              </w:rPr>
              <w:t xml:space="preserve">Concepto </w:t>
            </w:r>
          </w:p>
        </w:tc>
        <w:tc>
          <w:tcPr>
            <w:tcW w:w="4235" w:type="dxa"/>
            <w:gridSpan w:val="3"/>
            <w:tcBorders>
              <w:top w:val="double" w:sz="6" w:space="0" w:color="auto"/>
              <w:left w:val="nil"/>
              <w:bottom w:val="single" w:sz="4" w:space="0" w:color="auto"/>
              <w:right w:val="double" w:sz="6" w:space="0" w:color="000000"/>
            </w:tcBorders>
            <w:shd w:val="clear" w:color="auto" w:fill="990033"/>
            <w:noWrap/>
            <w:vAlign w:val="center"/>
            <w:hideMark/>
          </w:tcPr>
          <w:p w14:paraId="39CADA8E" w14:textId="77777777" w:rsidR="00E92EC1" w:rsidRPr="00676CED" w:rsidRDefault="00E92EC1" w:rsidP="00A24CED">
            <w:pPr>
              <w:jc w:val="center"/>
              <w:rPr>
                <w:rFonts w:asciiTheme="minorHAnsi" w:hAnsiTheme="minorHAnsi" w:cstheme="minorHAnsi"/>
                <w:color w:val="FFFFFF" w:themeColor="background1"/>
                <w:sz w:val="18"/>
                <w:szCs w:val="18"/>
              </w:rPr>
            </w:pPr>
            <w:proofErr w:type="spellStart"/>
            <w:r w:rsidRPr="00676CED">
              <w:rPr>
                <w:rFonts w:asciiTheme="minorHAnsi" w:hAnsiTheme="minorHAnsi" w:cstheme="minorHAnsi"/>
                <w:color w:val="FFFFFF" w:themeColor="background1"/>
                <w:sz w:val="18"/>
                <w:szCs w:val="18"/>
              </w:rPr>
              <w:t>Variación</w:t>
            </w:r>
            <w:proofErr w:type="spellEnd"/>
            <w:r w:rsidRPr="00676CED">
              <w:rPr>
                <w:rFonts w:asciiTheme="minorHAnsi" w:hAnsiTheme="minorHAnsi" w:cstheme="minorHAnsi"/>
                <w:color w:val="FFFFFF" w:themeColor="background1"/>
                <w:sz w:val="18"/>
                <w:szCs w:val="18"/>
              </w:rPr>
              <w:t xml:space="preserve"> porcentual real respecto al: </w:t>
            </w:r>
          </w:p>
        </w:tc>
      </w:tr>
      <w:tr w:rsidR="00E92EC1" w:rsidRPr="00676CED" w14:paraId="6E14B4F3" w14:textId="77777777" w:rsidTr="00A24CED">
        <w:trPr>
          <w:trHeight w:val="820"/>
          <w:jc w:val="center"/>
        </w:trPr>
        <w:tc>
          <w:tcPr>
            <w:tcW w:w="2520" w:type="dxa"/>
            <w:vMerge/>
            <w:tcBorders>
              <w:top w:val="double" w:sz="6" w:space="0" w:color="auto"/>
              <w:left w:val="double" w:sz="6" w:space="0" w:color="auto"/>
              <w:bottom w:val="single" w:sz="4" w:space="0" w:color="auto"/>
              <w:right w:val="single" w:sz="4" w:space="0" w:color="auto"/>
            </w:tcBorders>
            <w:shd w:val="clear" w:color="auto" w:fill="990033"/>
            <w:vAlign w:val="center"/>
            <w:hideMark/>
          </w:tcPr>
          <w:p w14:paraId="4D6193A5" w14:textId="77777777" w:rsidR="00E92EC1" w:rsidRPr="00676CED" w:rsidRDefault="00E92EC1" w:rsidP="00A24CED">
            <w:pPr>
              <w:rPr>
                <w:rFonts w:asciiTheme="minorHAnsi" w:hAnsiTheme="minorHAnsi" w:cstheme="minorHAnsi"/>
                <w:color w:val="FFFFFF" w:themeColor="background1"/>
                <w:sz w:val="18"/>
                <w:szCs w:val="18"/>
              </w:rPr>
            </w:pPr>
          </w:p>
        </w:tc>
        <w:tc>
          <w:tcPr>
            <w:tcW w:w="1186" w:type="dxa"/>
            <w:tcBorders>
              <w:top w:val="nil"/>
              <w:left w:val="nil"/>
              <w:bottom w:val="single" w:sz="4" w:space="0" w:color="auto"/>
              <w:right w:val="single" w:sz="4" w:space="0" w:color="auto"/>
            </w:tcBorders>
            <w:shd w:val="clear" w:color="auto" w:fill="990033"/>
            <w:noWrap/>
            <w:vAlign w:val="center"/>
            <w:hideMark/>
          </w:tcPr>
          <w:p w14:paraId="3369FC0E" w14:textId="77777777" w:rsidR="00E92EC1" w:rsidRPr="00676CED" w:rsidRDefault="00E92EC1" w:rsidP="00A24CED">
            <w:pPr>
              <w:jc w:val="center"/>
              <w:rPr>
                <w:rFonts w:asciiTheme="minorHAnsi" w:hAnsiTheme="minorHAnsi" w:cstheme="minorHAnsi"/>
                <w:color w:val="FFFFFF" w:themeColor="background1"/>
                <w:sz w:val="18"/>
                <w:szCs w:val="18"/>
              </w:rPr>
            </w:pPr>
            <w:r w:rsidRPr="00676CED">
              <w:rPr>
                <w:rFonts w:asciiTheme="minorHAnsi" w:hAnsiTheme="minorHAnsi" w:cstheme="minorHAnsi"/>
                <w:color w:val="FFFFFF" w:themeColor="background1"/>
                <w:sz w:val="18"/>
                <w:szCs w:val="18"/>
              </w:rPr>
              <w:t xml:space="preserve">Trimestre previo </w:t>
            </w:r>
          </w:p>
        </w:tc>
        <w:tc>
          <w:tcPr>
            <w:tcW w:w="1791" w:type="dxa"/>
            <w:tcBorders>
              <w:top w:val="nil"/>
              <w:left w:val="nil"/>
              <w:bottom w:val="single" w:sz="4" w:space="0" w:color="auto"/>
              <w:right w:val="single" w:sz="4" w:space="0" w:color="auto"/>
            </w:tcBorders>
            <w:shd w:val="clear" w:color="auto" w:fill="990033"/>
            <w:noWrap/>
            <w:vAlign w:val="center"/>
            <w:hideMark/>
          </w:tcPr>
          <w:p w14:paraId="03F77A22" w14:textId="77777777" w:rsidR="00E92EC1" w:rsidRPr="00676CED" w:rsidRDefault="00E92EC1" w:rsidP="00A24CED">
            <w:pPr>
              <w:jc w:val="center"/>
              <w:rPr>
                <w:rFonts w:asciiTheme="minorHAnsi" w:hAnsiTheme="minorHAnsi" w:cstheme="minorHAnsi"/>
                <w:color w:val="FFFFFF" w:themeColor="background1"/>
                <w:sz w:val="18"/>
                <w:szCs w:val="18"/>
              </w:rPr>
            </w:pPr>
            <w:r w:rsidRPr="00676CED">
              <w:rPr>
                <w:rFonts w:asciiTheme="minorHAnsi" w:hAnsiTheme="minorHAnsi" w:cstheme="minorHAnsi"/>
                <w:color w:val="FFFFFF" w:themeColor="background1"/>
                <w:sz w:val="18"/>
                <w:szCs w:val="18"/>
              </w:rPr>
              <w:t xml:space="preserve">Mismo trimestre de 2021 </w:t>
            </w:r>
          </w:p>
        </w:tc>
        <w:tc>
          <w:tcPr>
            <w:tcW w:w="1258" w:type="dxa"/>
            <w:tcBorders>
              <w:top w:val="nil"/>
              <w:left w:val="nil"/>
              <w:bottom w:val="single" w:sz="4" w:space="0" w:color="auto"/>
              <w:right w:val="double" w:sz="6" w:space="0" w:color="auto"/>
            </w:tcBorders>
            <w:shd w:val="clear" w:color="auto" w:fill="990033"/>
            <w:noWrap/>
            <w:vAlign w:val="center"/>
            <w:hideMark/>
          </w:tcPr>
          <w:p w14:paraId="4815240C" w14:textId="77777777" w:rsidR="00E92EC1" w:rsidRPr="00676CED" w:rsidRDefault="00E92EC1" w:rsidP="00A24CED">
            <w:pPr>
              <w:jc w:val="center"/>
              <w:rPr>
                <w:rFonts w:asciiTheme="minorHAnsi" w:hAnsiTheme="minorHAnsi" w:cstheme="minorHAnsi"/>
                <w:color w:val="FFFFFF" w:themeColor="background1"/>
                <w:sz w:val="18"/>
                <w:szCs w:val="18"/>
              </w:rPr>
            </w:pPr>
            <w:r w:rsidRPr="00676CED">
              <w:rPr>
                <w:rFonts w:asciiTheme="minorHAnsi" w:hAnsiTheme="minorHAnsi" w:cstheme="minorHAnsi"/>
                <w:color w:val="FFFFFF" w:themeColor="background1"/>
                <w:sz w:val="18"/>
                <w:szCs w:val="18"/>
              </w:rPr>
              <w:t xml:space="preserve">9 meses de 2021 </w:t>
            </w:r>
          </w:p>
        </w:tc>
      </w:tr>
      <w:tr w:rsidR="00E92EC1" w:rsidRPr="00676CED" w14:paraId="34FD7EC5" w14:textId="77777777" w:rsidTr="00A24CED">
        <w:trPr>
          <w:trHeight w:val="320"/>
          <w:jc w:val="center"/>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14:paraId="2B6ED141" w14:textId="77777777" w:rsidR="00E92EC1" w:rsidRPr="00676CED" w:rsidRDefault="00E92EC1" w:rsidP="00A24CED">
            <w:pPr>
              <w:jc w:val="center"/>
              <w:rPr>
                <w:rFonts w:asciiTheme="minorHAnsi" w:hAnsiTheme="minorHAnsi" w:cstheme="minorHAnsi"/>
                <w:b/>
                <w:bCs/>
                <w:color w:val="000000"/>
                <w:sz w:val="18"/>
                <w:szCs w:val="18"/>
              </w:rPr>
            </w:pPr>
            <w:r w:rsidRPr="00676CED">
              <w:rPr>
                <w:rFonts w:asciiTheme="minorHAnsi" w:hAnsiTheme="minorHAnsi" w:cstheme="minorHAnsi"/>
                <w:b/>
                <w:bCs/>
                <w:color w:val="000000"/>
                <w:sz w:val="18"/>
                <w:szCs w:val="18"/>
              </w:rPr>
              <w:t xml:space="preserve">PIB </w:t>
            </w:r>
          </w:p>
        </w:tc>
        <w:tc>
          <w:tcPr>
            <w:tcW w:w="1186" w:type="dxa"/>
            <w:tcBorders>
              <w:top w:val="nil"/>
              <w:left w:val="nil"/>
              <w:bottom w:val="single" w:sz="4" w:space="0" w:color="auto"/>
              <w:right w:val="single" w:sz="4" w:space="0" w:color="auto"/>
            </w:tcBorders>
            <w:shd w:val="clear" w:color="auto" w:fill="auto"/>
            <w:noWrap/>
            <w:vAlign w:val="center"/>
            <w:hideMark/>
          </w:tcPr>
          <w:p w14:paraId="555E7192" w14:textId="77777777" w:rsidR="00E92EC1" w:rsidRPr="00676CED" w:rsidRDefault="00E92EC1" w:rsidP="00A24CED">
            <w:pPr>
              <w:jc w:val="center"/>
              <w:rPr>
                <w:rFonts w:asciiTheme="minorHAnsi" w:hAnsiTheme="minorHAnsi" w:cstheme="minorHAnsi"/>
                <w:b/>
                <w:bCs/>
                <w:color w:val="000000"/>
                <w:sz w:val="18"/>
                <w:szCs w:val="18"/>
              </w:rPr>
            </w:pPr>
            <w:r w:rsidRPr="00676CED">
              <w:rPr>
                <w:rFonts w:asciiTheme="minorHAnsi" w:hAnsiTheme="minorHAnsi" w:cstheme="minorHAnsi"/>
                <w:b/>
                <w:bCs/>
                <w:color w:val="000000"/>
                <w:sz w:val="18"/>
                <w:szCs w:val="18"/>
              </w:rPr>
              <w:t>0.9</w:t>
            </w:r>
          </w:p>
        </w:tc>
        <w:tc>
          <w:tcPr>
            <w:tcW w:w="1791" w:type="dxa"/>
            <w:tcBorders>
              <w:top w:val="nil"/>
              <w:left w:val="nil"/>
              <w:bottom w:val="single" w:sz="4" w:space="0" w:color="auto"/>
              <w:right w:val="single" w:sz="4" w:space="0" w:color="auto"/>
            </w:tcBorders>
            <w:shd w:val="clear" w:color="auto" w:fill="auto"/>
            <w:noWrap/>
            <w:vAlign w:val="center"/>
            <w:hideMark/>
          </w:tcPr>
          <w:p w14:paraId="2337C868" w14:textId="77777777" w:rsidR="00E92EC1" w:rsidRPr="00676CED" w:rsidRDefault="00E92EC1" w:rsidP="00A24CED">
            <w:pPr>
              <w:jc w:val="center"/>
              <w:rPr>
                <w:rFonts w:asciiTheme="minorHAnsi" w:hAnsiTheme="minorHAnsi" w:cstheme="minorHAnsi"/>
                <w:b/>
                <w:bCs/>
                <w:color w:val="000000"/>
                <w:sz w:val="18"/>
                <w:szCs w:val="18"/>
              </w:rPr>
            </w:pPr>
            <w:r w:rsidRPr="00676CED">
              <w:rPr>
                <w:rFonts w:asciiTheme="minorHAnsi" w:hAnsiTheme="minorHAnsi" w:cstheme="minorHAnsi"/>
                <w:b/>
                <w:bCs/>
                <w:color w:val="000000"/>
                <w:sz w:val="18"/>
                <w:szCs w:val="18"/>
              </w:rPr>
              <w:t>4.3</w:t>
            </w:r>
          </w:p>
        </w:tc>
        <w:tc>
          <w:tcPr>
            <w:tcW w:w="1258" w:type="dxa"/>
            <w:tcBorders>
              <w:top w:val="nil"/>
              <w:left w:val="nil"/>
              <w:bottom w:val="single" w:sz="4" w:space="0" w:color="auto"/>
              <w:right w:val="double" w:sz="6" w:space="0" w:color="auto"/>
            </w:tcBorders>
            <w:shd w:val="clear" w:color="auto" w:fill="auto"/>
            <w:noWrap/>
            <w:vAlign w:val="center"/>
            <w:hideMark/>
          </w:tcPr>
          <w:p w14:paraId="2E0FF382" w14:textId="77777777" w:rsidR="00E92EC1" w:rsidRPr="00676CED" w:rsidRDefault="00E92EC1" w:rsidP="00A24CED">
            <w:pPr>
              <w:jc w:val="center"/>
              <w:rPr>
                <w:rFonts w:asciiTheme="minorHAnsi" w:hAnsiTheme="minorHAnsi" w:cstheme="minorHAnsi"/>
                <w:b/>
                <w:bCs/>
                <w:color w:val="000000"/>
                <w:sz w:val="18"/>
                <w:szCs w:val="18"/>
              </w:rPr>
            </w:pPr>
            <w:r w:rsidRPr="00676CED">
              <w:rPr>
                <w:rFonts w:asciiTheme="minorHAnsi" w:hAnsiTheme="minorHAnsi" w:cstheme="minorHAnsi"/>
                <w:b/>
                <w:bCs/>
                <w:color w:val="000000"/>
                <w:sz w:val="18"/>
                <w:szCs w:val="18"/>
              </w:rPr>
              <w:t>2.8</w:t>
            </w:r>
          </w:p>
        </w:tc>
      </w:tr>
      <w:tr w:rsidR="00E92EC1" w:rsidRPr="00676CED" w14:paraId="57AC901B" w14:textId="77777777" w:rsidTr="00A24CED">
        <w:trPr>
          <w:trHeight w:val="320"/>
          <w:jc w:val="center"/>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14:paraId="7BF51C69"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lastRenderedPageBreak/>
              <w:t>Actividades Primarias</w:t>
            </w:r>
          </w:p>
        </w:tc>
        <w:tc>
          <w:tcPr>
            <w:tcW w:w="1186" w:type="dxa"/>
            <w:tcBorders>
              <w:top w:val="nil"/>
              <w:left w:val="nil"/>
              <w:bottom w:val="single" w:sz="4" w:space="0" w:color="auto"/>
              <w:right w:val="single" w:sz="4" w:space="0" w:color="auto"/>
            </w:tcBorders>
            <w:shd w:val="clear" w:color="auto" w:fill="auto"/>
            <w:noWrap/>
            <w:vAlign w:val="center"/>
            <w:hideMark/>
          </w:tcPr>
          <w:p w14:paraId="054FE7FA"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2.0</w:t>
            </w:r>
          </w:p>
        </w:tc>
        <w:tc>
          <w:tcPr>
            <w:tcW w:w="1791" w:type="dxa"/>
            <w:tcBorders>
              <w:top w:val="nil"/>
              <w:left w:val="nil"/>
              <w:bottom w:val="single" w:sz="4" w:space="0" w:color="auto"/>
              <w:right w:val="single" w:sz="4" w:space="0" w:color="auto"/>
            </w:tcBorders>
            <w:shd w:val="clear" w:color="auto" w:fill="auto"/>
            <w:noWrap/>
            <w:vAlign w:val="center"/>
            <w:hideMark/>
          </w:tcPr>
          <w:p w14:paraId="658310CC"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3.2</w:t>
            </w:r>
          </w:p>
        </w:tc>
        <w:tc>
          <w:tcPr>
            <w:tcW w:w="1258" w:type="dxa"/>
            <w:tcBorders>
              <w:top w:val="nil"/>
              <w:left w:val="nil"/>
              <w:bottom w:val="single" w:sz="4" w:space="0" w:color="auto"/>
              <w:right w:val="double" w:sz="6" w:space="0" w:color="auto"/>
            </w:tcBorders>
            <w:shd w:val="clear" w:color="auto" w:fill="auto"/>
            <w:noWrap/>
            <w:vAlign w:val="center"/>
            <w:hideMark/>
          </w:tcPr>
          <w:p w14:paraId="70285E0A"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1.5</w:t>
            </w:r>
          </w:p>
        </w:tc>
      </w:tr>
      <w:tr w:rsidR="00E92EC1" w:rsidRPr="00676CED" w14:paraId="6237B09F" w14:textId="77777777" w:rsidTr="00A24CED">
        <w:trPr>
          <w:trHeight w:val="320"/>
          <w:jc w:val="center"/>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14:paraId="122139FF"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Actividades Secundarias</w:t>
            </w:r>
          </w:p>
        </w:tc>
        <w:tc>
          <w:tcPr>
            <w:tcW w:w="1186" w:type="dxa"/>
            <w:tcBorders>
              <w:top w:val="nil"/>
              <w:left w:val="nil"/>
              <w:bottom w:val="single" w:sz="4" w:space="0" w:color="auto"/>
              <w:right w:val="single" w:sz="4" w:space="0" w:color="auto"/>
            </w:tcBorders>
            <w:shd w:val="clear" w:color="auto" w:fill="auto"/>
            <w:noWrap/>
            <w:vAlign w:val="center"/>
            <w:hideMark/>
          </w:tcPr>
          <w:p w14:paraId="1FBAAB7A"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w:t>
            </w:r>
          </w:p>
        </w:tc>
        <w:tc>
          <w:tcPr>
            <w:tcW w:w="1791" w:type="dxa"/>
            <w:tcBorders>
              <w:top w:val="nil"/>
              <w:left w:val="nil"/>
              <w:bottom w:val="single" w:sz="4" w:space="0" w:color="auto"/>
              <w:right w:val="single" w:sz="4" w:space="0" w:color="auto"/>
            </w:tcBorders>
            <w:shd w:val="clear" w:color="auto" w:fill="auto"/>
            <w:noWrap/>
            <w:vAlign w:val="center"/>
            <w:hideMark/>
          </w:tcPr>
          <w:p w14:paraId="575137DE"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3.7</w:t>
            </w:r>
          </w:p>
        </w:tc>
        <w:tc>
          <w:tcPr>
            <w:tcW w:w="1258" w:type="dxa"/>
            <w:tcBorders>
              <w:top w:val="nil"/>
              <w:left w:val="nil"/>
              <w:bottom w:val="single" w:sz="4" w:space="0" w:color="auto"/>
              <w:right w:val="double" w:sz="6" w:space="0" w:color="auto"/>
            </w:tcBorders>
            <w:shd w:val="clear" w:color="auto" w:fill="auto"/>
            <w:noWrap/>
            <w:vAlign w:val="center"/>
            <w:hideMark/>
          </w:tcPr>
          <w:p w14:paraId="61D9239A"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3.3.</w:t>
            </w:r>
          </w:p>
        </w:tc>
      </w:tr>
      <w:tr w:rsidR="00E92EC1" w:rsidRPr="00676CED" w14:paraId="60A42A0C" w14:textId="77777777" w:rsidTr="00A24CED">
        <w:trPr>
          <w:trHeight w:val="340"/>
          <w:jc w:val="center"/>
        </w:trPr>
        <w:tc>
          <w:tcPr>
            <w:tcW w:w="2520" w:type="dxa"/>
            <w:tcBorders>
              <w:top w:val="nil"/>
              <w:left w:val="double" w:sz="6" w:space="0" w:color="auto"/>
              <w:bottom w:val="double" w:sz="6" w:space="0" w:color="auto"/>
              <w:right w:val="single" w:sz="4" w:space="0" w:color="auto"/>
            </w:tcBorders>
            <w:shd w:val="clear" w:color="auto" w:fill="auto"/>
            <w:noWrap/>
            <w:vAlign w:val="center"/>
            <w:hideMark/>
          </w:tcPr>
          <w:p w14:paraId="0D7FB043"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Actividades Terciarias</w:t>
            </w:r>
          </w:p>
        </w:tc>
        <w:tc>
          <w:tcPr>
            <w:tcW w:w="1186" w:type="dxa"/>
            <w:tcBorders>
              <w:top w:val="nil"/>
              <w:left w:val="nil"/>
              <w:bottom w:val="double" w:sz="6" w:space="0" w:color="auto"/>
              <w:right w:val="single" w:sz="4" w:space="0" w:color="auto"/>
            </w:tcBorders>
            <w:shd w:val="clear" w:color="auto" w:fill="auto"/>
            <w:noWrap/>
            <w:vAlign w:val="center"/>
            <w:hideMark/>
          </w:tcPr>
          <w:p w14:paraId="7699AE69"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1.1.</w:t>
            </w:r>
          </w:p>
        </w:tc>
        <w:tc>
          <w:tcPr>
            <w:tcW w:w="1791" w:type="dxa"/>
            <w:tcBorders>
              <w:top w:val="nil"/>
              <w:left w:val="nil"/>
              <w:bottom w:val="double" w:sz="6" w:space="0" w:color="auto"/>
              <w:right w:val="single" w:sz="4" w:space="0" w:color="auto"/>
            </w:tcBorders>
            <w:shd w:val="clear" w:color="auto" w:fill="auto"/>
            <w:noWrap/>
            <w:vAlign w:val="center"/>
            <w:hideMark/>
          </w:tcPr>
          <w:p w14:paraId="00C4FB91"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4.5</w:t>
            </w:r>
          </w:p>
        </w:tc>
        <w:tc>
          <w:tcPr>
            <w:tcW w:w="1258" w:type="dxa"/>
            <w:tcBorders>
              <w:top w:val="nil"/>
              <w:left w:val="nil"/>
              <w:bottom w:val="double" w:sz="6" w:space="0" w:color="auto"/>
              <w:right w:val="double" w:sz="6" w:space="0" w:color="auto"/>
            </w:tcBorders>
            <w:shd w:val="clear" w:color="auto" w:fill="auto"/>
            <w:noWrap/>
            <w:vAlign w:val="center"/>
            <w:hideMark/>
          </w:tcPr>
          <w:p w14:paraId="1FF3A240"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2.4</w:t>
            </w:r>
          </w:p>
        </w:tc>
      </w:tr>
    </w:tbl>
    <w:p w14:paraId="14EDE791" w14:textId="77777777" w:rsidR="00E92EC1" w:rsidRPr="00676CED" w:rsidRDefault="00E92EC1" w:rsidP="00E92EC1">
      <w:pPr>
        <w:pStyle w:val="NormalWeb"/>
        <w:spacing w:before="0" w:beforeAutospacing="0" w:after="0" w:afterAutospacing="0"/>
        <w:ind w:left="993"/>
        <w:rPr>
          <w:rFonts w:asciiTheme="minorHAnsi" w:hAnsiTheme="minorHAnsi" w:cstheme="minorHAnsi"/>
          <w:sz w:val="14"/>
          <w:szCs w:val="14"/>
        </w:rPr>
      </w:pPr>
      <w:r w:rsidRPr="00676CED">
        <w:rPr>
          <w:rFonts w:asciiTheme="minorHAnsi" w:hAnsiTheme="minorHAnsi" w:cstheme="minorHAnsi"/>
          <w:sz w:val="14"/>
          <w:szCs w:val="14"/>
        </w:rPr>
        <w:t xml:space="preserve">Nota: La serie </w:t>
      </w:r>
      <w:proofErr w:type="spellStart"/>
      <w:r w:rsidRPr="00676CED">
        <w:rPr>
          <w:rFonts w:asciiTheme="minorHAnsi" w:hAnsiTheme="minorHAnsi" w:cstheme="minorHAnsi"/>
          <w:sz w:val="14"/>
          <w:szCs w:val="14"/>
        </w:rPr>
        <w:t>desestacionalizada</w:t>
      </w:r>
      <w:proofErr w:type="spellEnd"/>
      <w:r w:rsidRPr="00676CED">
        <w:rPr>
          <w:rFonts w:asciiTheme="minorHAnsi" w:hAnsiTheme="minorHAnsi" w:cstheme="minorHAnsi"/>
          <w:sz w:val="14"/>
          <w:szCs w:val="14"/>
        </w:rPr>
        <w:t xml:space="preserve"> de los agregados se calcula de manera independiente a la de sus componentes.</w:t>
      </w:r>
    </w:p>
    <w:p w14:paraId="05D94F57" w14:textId="77777777" w:rsidR="00E92EC1" w:rsidRPr="00676CED" w:rsidRDefault="00E92EC1" w:rsidP="00E92EC1">
      <w:pPr>
        <w:pStyle w:val="NormalWeb"/>
        <w:spacing w:before="0" w:beforeAutospacing="0" w:after="0" w:afterAutospacing="0"/>
        <w:ind w:left="993"/>
        <w:rPr>
          <w:rFonts w:asciiTheme="minorHAnsi" w:hAnsiTheme="minorHAnsi" w:cstheme="minorHAnsi"/>
          <w:sz w:val="14"/>
          <w:szCs w:val="14"/>
        </w:rPr>
      </w:pPr>
      <w:r w:rsidRPr="00676CED">
        <w:rPr>
          <w:rFonts w:asciiTheme="minorHAnsi" w:hAnsiTheme="minorHAnsi" w:cstheme="minorHAnsi"/>
          <w:sz w:val="14"/>
          <w:szCs w:val="14"/>
        </w:rPr>
        <w:t>Fuente: INEGI</w:t>
      </w:r>
    </w:p>
    <w:p w14:paraId="7CC56FC7" w14:textId="77777777" w:rsidR="00E92EC1" w:rsidRPr="00676CED" w:rsidRDefault="00E92EC1" w:rsidP="00E92EC1">
      <w:pPr>
        <w:pStyle w:val="NormalWeb"/>
        <w:spacing w:before="0" w:beforeAutospacing="0" w:after="0" w:afterAutospacing="0"/>
        <w:jc w:val="center"/>
        <w:rPr>
          <w:rFonts w:asciiTheme="minorHAnsi" w:hAnsiTheme="minorHAnsi" w:cstheme="minorHAnsi"/>
        </w:rPr>
      </w:pPr>
    </w:p>
    <w:p w14:paraId="3D5E27D2"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r w:rsidRPr="00E850D6">
        <w:rPr>
          <w:rFonts w:asciiTheme="minorHAnsi" w:hAnsiTheme="minorHAnsi" w:cstheme="minorHAnsi"/>
          <w:b/>
          <w:sz w:val="18"/>
          <w:szCs w:val="18"/>
        </w:rPr>
        <w:t>2.2.2.- Tasa de Interés referencial a un día del Banxico.</w:t>
      </w:r>
    </w:p>
    <w:p w14:paraId="602A66F3" w14:textId="77777777" w:rsidR="00E92EC1" w:rsidRPr="00E850D6" w:rsidRDefault="00E92EC1" w:rsidP="00E92EC1">
      <w:pPr>
        <w:jc w:val="both"/>
        <w:rPr>
          <w:rFonts w:asciiTheme="minorHAnsi" w:hAnsiTheme="minorHAnsi" w:cstheme="minorHAnsi"/>
          <w:sz w:val="18"/>
          <w:szCs w:val="18"/>
        </w:rPr>
      </w:pPr>
    </w:p>
    <w:p w14:paraId="34C6B926" w14:textId="74DE644D"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 Junta de Gobierno del Banco de </w:t>
      </w:r>
      <w:r w:rsidR="00396A2F" w:rsidRPr="00E850D6">
        <w:rPr>
          <w:rFonts w:asciiTheme="minorHAnsi" w:hAnsiTheme="minorHAnsi" w:cstheme="minorHAnsi"/>
          <w:sz w:val="18"/>
          <w:szCs w:val="18"/>
        </w:rPr>
        <w:t>México</w:t>
      </w:r>
      <w:r w:rsidRPr="00E850D6">
        <w:rPr>
          <w:rFonts w:asciiTheme="minorHAnsi" w:hAnsiTheme="minorHAnsi" w:cstheme="minorHAnsi"/>
          <w:sz w:val="18"/>
          <w:szCs w:val="18"/>
        </w:rPr>
        <w:t xml:space="preserve"> </w:t>
      </w:r>
      <w:r w:rsidR="00396A2F" w:rsidRPr="00E850D6">
        <w:rPr>
          <w:rFonts w:asciiTheme="minorHAnsi" w:hAnsiTheme="minorHAnsi" w:cstheme="minorHAnsi"/>
          <w:sz w:val="18"/>
          <w:szCs w:val="18"/>
        </w:rPr>
        <w:t>decidió</w:t>
      </w:r>
      <w:r w:rsidRPr="00E850D6">
        <w:rPr>
          <w:rFonts w:asciiTheme="minorHAnsi" w:hAnsiTheme="minorHAnsi" w:cstheme="minorHAnsi"/>
          <w:sz w:val="18"/>
          <w:szCs w:val="18"/>
        </w:rPr>
        <w:t xml:space="preserve">́ incrementar en 50 puntos base el objetivo para la Tasa de </w:t>
      </w:r>
      <w:r w:rsidR="00396A2F" w:rsidRPr="00E850D6">
        <w:rPr>
          <w:rFonts w:asciiTheme="minorHAnsi" w:hAnsiTheme="minorHAnsi" w:cstheme="minorHAnsi"/>
          <w:sz w:val="18"/>
          <w:szCs w:val="18"/>
        </w:rPr>
        <w:t>Interés</w:t>
      </w:r>
      <w:r w:rsidRPr="00E850D6">
        <w:rPr>
          <w:rFonts w:asciiTheme="minorHAnsi" w:hAnsiTheme="minorHAnsi" w:cstheme="minorHAnsi"/>
          <w:sz w:val="18"/>
          <w:szCs w:val="18"/>
        </w:rPr>
        <w:t xml:space="preserve"> Interbancaria a un </w:t>
      </w:r>
      <w:r w:rsidR="00396A2F" w:rsidRPr="00E850D6">
        <w:rPr>
          <w:rFonts w:asciiTheme="minorHAnsi" w:hAnsiTheme="minorHAnsi" w:cstheme="minorHAnsi"/>
          <w:sz w:val="18"/>
          <w:szCs w:val="18"/>
        </w:rPr>
        <w:t>día</w:t>
      </w:r>
      <w:r w:rsidRPr="00E850D6">
        <w:rPr>
          <w:rFonts w:asciiTheme="minorHAnsi" w:hAnsiTheme="minorHAnsi" w:cstheme="minorHAnsi"/>
          <w:sz w:val="18"/>
          <w:szCs w:val="18"/>
        </w:rPr>
        <w:t xml:space="preserve"> a un nivel de 10.50%, con efectos a partir del 16 de diciembre de 2022.</w:t>
      </w:r>
    </w:p>
    <w:p w14:paraId="5E03B86A" w14:textId="2C6D8455"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 actividad </w:t>
      </w:r>
      <w:r w:rsidR="00396A2F" w:rsidRPr="00E850D6">
        <w:rPr>
          <w:rFonts w:asciiTheme="minorHAnsi" w:hAnsiTheme="minorHAnsi" w:cstheme="minorHAnsi"/>
          <w:sz w:val="18"/>
          <w:szCs w:val="18"/>
        </w:rPr>
        <w:t>económica</w:t>
      </w:r>
      <w:r w:rsidRPr="00E850D6">
        <w:rPr>
          <w:rFonts w:asciiTheme="minorHAnsi" w:hAnsiTheme="minorHAnsi" w:cstheme="minorHAnsi"/>
          <w:sz w:val="18"/>
          <w:szCs w:val="18"/>
        </w:rPr>
        <w:t xml:space="preserve"> mundial se </w:t>
      </w:r>
      <w:r w:rsidR="00396A2F" w:rsidRPr="00E850D6">
        <w:rPr>
          <w:rFonts w:asciiTheme="minorHAnsi" w:hAnsiTheme="minorHAnsi" w:cstheme="minorHAnsi"/>
          <w:sz w:val="18"/>
          <w:szCs w:val="18"/>
        </w:rPr>
        <w:t>recuperó</w:t>
      </w:r>
      <w:r w:rsidRPr="00E850D6">
        <w:rPr>
          <w:rFonts w:asciiTheme="minorHAnsi" w:hAnsiTheme="minorHAnsi" w:cstheme="minorHAnsi"/>
          <w:sz w:val="18"/>
          <w:szCs w:val="18"/>
        </w:rPr>
        <w:t xml:space="preserve">́ moderadamente en el tercer trimestre, aunque las perspectivas para 2023 siguieron </w:t>
      </w:r>
      <w:r w:rsidR="00396A2F" w:rsidRPr="00E850D6">
        <w:rPr>
          <w:rFonts w:asciiTheme="minorHAnsi" w:hAnsiTheme="minorHAnsi" w:cstheme="minorHAnsi"/>
          <w:sz w:val="18"/>
          <w:szCs w:val="18"/>
        </w:rPr>
        <w:t>deteriorándose</w:t>
      </w:r>
      <w:r w:rsidRPr="00E850D6">
        <w:rPr>
          <w:rFonts w:asciiTheme="minorHAnsi" w:hAnsiTheme="minorHAnsi" w:cstheme="minorHAnsi"/>
          <w:sz w:val="18"/>
          <w:szCs w:val="18"/>
        </w:rPr>
        <w:t xml:space="preserve">. La </w:t>
      </w:r>
      <w:r w:rsidR="00396A2F"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global se mantiene elevada, si bien la general disminuyó en diversas </w:t>
      </w:r>
      <w:r w:rsidR="00396A2F" w:rsidRPr="00E850D6">
        <w:rPr>
          <w:rFonts w:asciiTheme="minorHAnsi" w:hAnsiTheme="minorHAnsi" w:cstheme="minorHAnsi"/>
          <w:sz w:val="18"/>
          <w:szCs w:val="18"/>
        </w:rPr>
        <w:t>economías</w:t>
      </w:r>
      <w:r w:rsidRPr="00E850D6">
        <w:rPr>
          <w:rFonts w:asciiTheme="minorHAnsi" w:hAnsiTheme="minorHAnsi" w:cstheme="minorHAnsi"/>
          <w:sz w:val="18"/>
          <w:szCs w:val="18"/>
        </w:rPr>
        <w:t xml:space="preserve"> ante menores presiones en los precios de alimentos y </w:t>
      </w:r>
      <w:r w:rsidR="00291DC2" w:rsidRPr="00E850D6">
        <w:rPr>
          <w:rFonts w:asciiTheme="minorHAnsi" w:hAnsiTheme="minorHAnsi" w:cstheme="minorHAnsi"/>
          <w:sz w:val="18"/>
          <w:szCs w:val="18"/>
        </w:rPr>
        <w:t>energéticos</w:t>
      </w:r>
      <w:r w:rsidRPr="00E850D6">
        <w:rPr>
          <w:rFonts w:asciiTheme="minorHAnsi" w:hAnsiTheme="minorHAnsi" w:cstheme="minorHAnsi"/>
          <w:sz w:val="18"/>
          <w:szCs w:val="18"/>
        </w:rPr>
        <w:t xml:space="preserve">. Un amplio </w:t>
      </w:r>
      <w:r w:rsidR="00291DC2" w:rsidRPr="00E850D6">
        <w:rPr>
          <w:rFonts w:asciiTheme="minorHAnsi" w:hAnsiTheme="minorHAnsi" w:cstheme="minorHAnsi"/>
          <w:sz w:val="18"/>
          <w:szCs w:val="18"/>
        </w:rPr>
        <w:t>número</w:t>
      </w:r>
      <w:r w:rsidRPr="00E850D6">
        <w:rPr>
          <w:rFonts w:asciiTheme="minorHAnsi" w:hAnsiTheme="minorHAnsi" w:cstheme="minorHAnsi"/>
          <w:sz w:val="18"/>
          <w:szCs w:val="18"/>
        </w:rPr>
        <w:t xml:space="preserve"> de bancos centrales continuó incrementando sus tasas de referencia. Algunos mencionaron que </w:t>
      </w:r>
      <w:r w:rsidR="00291DC2" w:rsidRPr="00E850D6">
        <w:rPr>
          <w:rFonts w:asciiTheme="minorHAnsi" w:hAnsiTheme="minorHAnsi" w:cstheme="minorHAnsi"/>
          <w:sz w:val="18"/>
          <w:szCs w:val="18"/>
        </w:rPr>
        <w:t>comenzarían</w:t>
      </w:r>
      <w:r w:rsidRPr="00E850D6">
        <w:rPr>
          <w:rFonts w:asciiTheme="minorHAnsi" w:hAnsiTheme="minorHAnsi" w:cstheme="minorHAnsi"/>
          <w:sz w:val="18"/>
          <w:szCs w:val="18"/>
        </w:rPr>
        <w:t xml:space="preserve"> a moderar la magnitud de sus aumentos. No obstante, se anticipa que dichas tasas permanezcan en niveles altos por un periodo prolongado. En su </w:t>
      </w:r>
      <w:r w:rsidR="00291DC2" w:rsidRPr="00E850D6">
        <w:rPr>
          <w:rFonts w:asciiTheme="minorHAnsi" w:hAnsiTheme="minorHAnsi" w:cstheme="minorHAnsi"/>
          <w:sz w:val="18"/>
          <w:szCs w:val="18"/>
        </w:rPr>
        <w:t>decisión</w:t>
      </w:r>
      <w:r w:rsidRPr="00E850D6">
        <w:rPr>
          <w:rFonts w:asciiTheme="minorHAnsi" w:hAnsiTheme="minorHAnsi" w:cstheme="minorHAnsi"/>
          <w:sz w:val="18"/>
          <w:szCs w:val="18"/>
        </w:rPr>
        <w:t xml:space="preserve"> </w:t>
      </w:r>
      <w:r w:rsidR="00291DC2" w:rsidRPr="00E850D6">
        <w:rPr>
          <w:rFonts w:asciiTheme="minorHAnsi" w:hAnsiTheme="minorHAnsi" w:cstheme="minorHAnsi"/>
          <w:sz w:val="18"/>
          <w:szCs w:val="18"/>
        </w:rPr>
        <w:t>más</w:t>
      </w:r>
      <w:r w:rsidRPr="00E850D6">
        <w:rPr>
          <w:rFonts w:asciiTheme="minorHAnsi" w:hAnsiTheme="minorHAnsi" w:cstheme="minorHAnsi"/>
          <w:sz w:val="18"/>
          <w:szCs w:val="18"/>
        </w:rPr>
        <w:t xml:space="preserve"> reciente, la Reserva Federal de Estados Unidos aumentó el rango objetivo para la tasa de fondos federales en 50 puntos base, </w:t>
      </w:r>
      <w:r w:rsidR="00291DC2" w:rsidRPr="00E850D6">
        <w:rPr>
          <w:rFonts w:asciiTheme="minorHAnsi" w:hAnsiTheme="minorHAnsi" w:cstheme="minorHAnsi"/>
          <w:sz w:val="18"/>
          <w:szCs w:val="18"/>
        </w:rPr>
        <w:t>después</w:t>
      </w:r>
      <w:r w:rsidRPr="00E850D6">
        <w:rPr>
          <w:rFonts w:asciiTheme="minorHAnsi" w:hAnsiTheme="minorHAnsi" w:cstheme="minorHAnsi"/>
          <w:sz w:val="18"/>
          <w:szCs w:val="18"/>
        </w:rPr>
        <w:t xml:space="preserve"> de cuatro incrementos consecutivos de 75 puntos base. Asimismo, anticipó incrementos adicionales. Entre los riesgos globales destacan los asociados a la pandemia, la </w:t>
      </w:r>
      <w:r w:rsidR="00291DC2" w:rsidRPr="00E850D6">
        <w:rPr>
          <w:rFonts w:asciiTheme="minorHAnsi" w:hAnsiTheme="minorHAnsi" w:cstheme="minorHAnsi"/>
          <w:sz w:val="18"/>
          <w:szCs w:val="18"/>
        </w:rPr>
        <w:t>prolongación</w:t>
      </w:r>
      <w:r w:rsidRPr="00E850D6">
        <w:rPr>
          <w:rFonts w:asciiTheme="minorHAnsi" w:hAnsiTheme="minorHAnsi" w:cstheme="minorHAnsi"/>
          <w:sz w:val="18"/>
          <w:szCs w:val="18"/>
        </w:rPr>
        <w:t xml:space="preserve"> de las presiones inflacionarias, el agravamiento de las tensiones </w:t>
      </w:r>
      <w:r w:rsidR="00291DC2" w:rsidRPr="00E850D6">
        <w:rPr>
          <w:rFonts w:asciiTheme="minorHAnsi" w:hAnsiTheme="minorHAnsi" w:cstheme="minorHAnsi"/>
          <w:sz w:val="18"/>
          <w:szCs w:val="18"/>
        </w:rPr>
        <w:t>geopolíticas</w:t>
      </w:r>
      <w:r w:rsidRPr="00E850D6">
        <w:rPr>
          <w:rFonts w:asciiTheme="minorHAnsi" w:hAnsiTheme="minorHAnsi" w:cstheme="minorHAnsi"/>
          <w:sz w:val="18"/>
          <w:szCs w:val="18"/>
        </w:rPr>
        <w:t xml:space="preserve"> y condiciones monetarias y financieras </w:t>
      </w:r>
      <w:proofErr w:type="spellStart"/>
      <w:r w:rsidRPr="00E850D6">
        <w:rPr>
          <w:rFonts w:asciiTheme="minorHAnsi" w:hAnsiTheme="minorHAnsi" w:cstheme="minorHAnsi"/>
          <w:sz w:val="18"/>
          <w:szCs w:val="18"/>
        </w:rPr>
        <w:t>más</w:t>
      </w:r>
      <w:proofErr w:type="spellEnd"/>
      <w:r w:rsidRPr="00E850D6">
        <w:rPr>
          <w:rFonts w:asciiTheme="minorHAnsi" w:hAnsiTheme="minorHAnsi" w:cstheme="minorHAnsi"/>
          <w:sz w:val="18"/>
          <w:szCs w:val="18"/>
        </w:rPr>
        <w:t xml:space="preserve"> apretadas.</w:t>
      </w:r>
    </w:p>
    <w:p w14:paraId="13CAE2C0" w14:textId="625A1E2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El peso mexicano </w:t>
      </w:r>
      <w:proofErr w:type="spellStart"/>
      <w:r w:rsidRPr="00E850D6">
        <w:rPr>
          <w:rFonts w:asciiTheme="minorHAnsi" w:hAnsiTheme="minorHAnsi" w:cstheme="minorHAnsi"/>
          <w:sz w:val="18"/>
          <w:szCs w:val="18"/>
        </w:rPr>
        <w:t>siguio</w:t>
      </w:r>
      <w:proofErr w:type="spellEnd"/>
      <w:r w:rsidRPr="00E850D6">
        <w:rPr>
          <w:rFonts w:asciiTheme="minorHAnsi" w:hAnsiTheme="minorHAnsi" w:cstheme="minorHAnsi"/>
          <w:sz w:val="18"/>
          <w:szCs w:val="18"/>
        </w:rPr>
        <w:t xml:space="preserve">́ mostrando resiliencia, si bien con cierta volatilidad. Por su parte, las tasas de </w:t>
      </w:r>
      <w:r w:rsidR="00291DC2" w:rsidRPr="00E850D6">
        <w:rPr>
          <w:rFonts w:asciiTheme="minorHAnsi" w:hAnsiTheme="minorHAnsi" w:cstheme="minorHAnsi"/>
          <w:sz w:val="18"/>
          <w:szCs w:val="18"/>
        </w:rPr>
        <w:t>interés</w:t>
      </w:r>
      <w:r w:rsidRPr="00E850D6">
        <w:rPr>
          <w:rFonts w:asciiTheme="minorHAnsi" w:hAnsiTheme="minorHAnsi" w:cstheme="minorHAnsi"/>
          <w:sz w:val="18"/>
          <w:szCs w:val="18"/>
        </w:rPr>
        <w:t xml:space="preserve"> de corto plazo aumentaron y las de mediano y largo plazos disminuyeron significativamente. Se espera que en el cuarto trimestre la </w:t>
      </w:r>
      <w:r w:rsidR="00291DC2" w:rsidRPr="00E850D6">
        <w:rPr>
          <w:rFonts w:asciiTheme="minorHAnsi" w:hAnsiTheme="minorHAnsi" w:cstheme="minorHAnsi"/>
          <w:sz w:val="18"/>
          <w:szCs w:val="18"/>
        </w:rPr>
        <w:t>economía</w:t>
      </w:r>
      <w:r w:rsidRPr="00E850D6">
        <w:rPr>
          <w:rFonts w:asciiTheme="minorHAnsi" w:hAnsiTheme="minorHAnsi" w:cstheme="minorHAnsi"/>
          <w:sz w:val="18"/>
          <w:szCs w:val="18"/>
        </w:rPr>
        <w:t xml:space="preserve"> mexicana haya continuado </w:t>
      </w:r>
      <w:r w:rsidR="00291DC2" w:rsidRPr="00E850D6">
        <w:rPr>
          <w:rFonts w:asciiTheme="minorHAnsi" w:hAnsiTheme="minorHAnsi" w:cstheme="minorHAnsi"/>
          <w:sz w:val="18"/>
          <w:szCs w:val="18"/>
        </w:rPr>
        <w:t>recuperándose</w:t>
      </w:r>
      <w:r w:rsidRPr="00E850D6">
        <w:rPr>
          <w:rFonts w:asciiTheme="minorHAnsi" w:hAnsiTheme="minorHAnsi" w:cstheme="minorHAnsi"/>
          <w:sz w:val="18"/>
          <w:szCs w:val="18"/>
        </w:rPr>
        <w:t xml:space="preserve">, si bien a un ritmo menor. </w:t>
      </w:r>
      <w:proofErr w:type="spellStart"/>
      <w:r w:rsidRPr="00E850D6">
        <w:rPr>
          <w:rFonts w:asciiTheme="minorHAnsi" w:hAnsiTheme="minorHAnsi" w:cstheme="minorHAnsi"/>
          <w:sz w:val="18"/>
          <w:szCs w:val="18"/>
        </w:rPr>
        <w:t>Asi</w:t>
      </w:r>
      <w:proofErr w:type="spellEnd"/>
      <w:r w:rsidRPr="00E850D6">
        <w:rPr>
          <w:rFonts w:asciiTheme="minorHAnsi" w:hAnsiTheme="minorHAnsi" w:cstheme="minorHAnsi"/>
          <w:sz w:val="18"/>
          <w:szCs w:val="18"/>
        </w:rPr>
        <w:t xml:space="preserve">́, se </w:t>
      </w:r>
      <w:proofErr w:type="spellStart"/>
      <w:r w:rsidRPr="00E850D6">
        <w:rPr>
          <w:rFonts w:asciiTheme="minorHAnsi" w:hAnsiTheme="minorHAnsi" w:cstheme="minorHAnsi"/>
          <w:sz w:val="18"/>
          <w:szCs w:val="18"/>
        </w:rPr>
        <w:t>preve</w:t>
      </w:r>
      <w:proofErr w:type="spellEnd"/>
      <w:r w:rsidRPr="00E850D6">
        <w:rPr>
          <w:rFonts w:asciiTheme="minorHAnsi" w:hAnsiTheme="minorHAnsi" w:cstheme="minorHAnsi"/>
          <w:sz w:val="18"/>
          <w:szCs w:val="18"/>
        </w:rPr>
        <w:t xml:space="preserve">́ que las condiciones de holgura sigan </w:t>
      </w:r>
      <w:proofErr w:type="spellStart"/>
      <w:r w:rsidRPr="00E850D6">
        <w:rPr>
          <w:rFonts w:asciiTheme="minorHAnsi" w:hAnsiTheme="minorHAnsi" w:cstheme="minorHAnsi"/>
          <w:sz w:val="18"/>
          <w:szCs w:val="18"/>
        </w:rPr>
        <w:t>reduciéndose</w:t>
      </w:r>
      <w:proofErr w:type="spellEnd"/>
      <w:r w:rsidRPr="00E850D6">
        <w:rPr>
          <w:rFonts w:asciiTheme="minorHAnsi" w:hAnsiTheme="minorHAnsi" w:cstheme="minorHAnsi"/>
          <w:sz w:val="18"/>
          <w:szCs w:val="18"/>
        </w:rPr>
        <w:t>.</w:t>
      </w:r>
    </w:p>
    <w:p w14:paraId="16669A06" w14:textId="7850EC34"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general continuó disminuyendo en noviembre para ubicarse en 7.80%, reflejando la </w:t>
      </w:r>
      <w:r w:rsidR="00291DC2" w:rsidRPr="00E850D6">
        <w:rPr>
          <w:rFonts w:asciiTheme="minorHAnsi" w:hAnsiTheme="minorHAnsi" w:cstheme="minorHAnsi"/>
          <w:sz w:val="18"/>
          <w:szCs w:val="18"/>
        </w:rPr>
        <w:t>reducción</w:t>
      </w:r>
      <w:r w:rsidRPr="00E850D6">
        <w:rPr>
          <w:rFonts w:asciiTheme="minorHAnsi" w:hAnsiTheme="minorHAnsi" w:cstheme="minorHAnsi"/>
          <w:sz w:val="18"/>
          <w:szCs w:val="18"/>
        </w:rPr>
        <w:t xml:space="preserve"> del componente no subyacente. En cambio, la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subyacente mantuvo su tendencia al alza, para ubicarse en 8.51%. La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general como la subyacente fueron menores que las expectativas de los analistas. Las expectativas de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para 2022 y 2023 disminuyeron para la general, mientras que para la subyacente volvieron a ajustarse moderadamente al alza. Las de mediano y largo plazos se mantuvieron estables, si bien por arriba de la meta.</w:t>
      </w:r>
    </w:p>
    <w:p w14:paraId="3210068E" w14:textId="34A6F494"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Los </w:t>
      </w:r>
      <w:r w:rsidR="00094E52" w:rsidRPr="00E850D6">
        <w:rPr>
          <w:rFonts w:asciiTheme="minorHAnsi" w:hAnsiTheme="minorHAnsi" w:cstheme="minorHAnsi"/>
          <w:sz w:val="18"/>
          <w:szCs w:val="18"/>
        </w:rPr>
        <w:t>pronósticos</w:t>
      </w:r>
      <w:r w:rsidRPr="00E850D6">
        <w:rPr>
          <w:rFonts w:asciiTheme="minorHAnsi" w:hAnsiTheme="minorHAnsi" w:cstheme="minorHAnsi"/>
          <w:sz w:val="18"/>
          <w:szCs w:val="18"/>
        </w:rPr>
        <w:t xml:space="preserve"> para la </w:t>
      </w:r>
      <w:r w:rsidR="00094E5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general se ajustaron a la baja para los dos primeros trimestres y posteriormente se revisaron marginalmente al alza hasta el cuarto trimestre de 2023, ante cierto incremento en la trayectoria prevista de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subyacente. Se sigue anticipando que la </w:t>
      </w:r>
      <w:r w:rsidR="00291DC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converja a la meta de 3% en el tercer trimestre de 2024 (ver cuadro). Estas previsiones </w:t>
      </w:r>
      <w:r w:rsidR="00291DC2" w:rsidRPr="00E850D6">
        <w:rPr>
          <w:rFonts w:asciiTheme="minorHAnsi" w:hAnsiTheme="minorHAnsi" w:cstheme="minorHAnsi"/>
          <w:sz w:val="18"/>
          <w:szCs w:val="18"/>
        </w:rPr>
        <w:t>están</w:t>
      </w:r>
      <w:r w:rsidRPr="00E850D6">
        <w:rPr>
          <w:rFonts w:asciiTheme="minorHAnsi" w:hAnsiTheme="minorHAnsi" w:cstheme="minorHAnsi"/>
          <w:sz w:val="18"/>
          <w:szCs w:val="18"/>
        </w:rPr>
        <w:t xml:space="preserve"> sujetas a riesgos. Al alza: i) persistencia de la </w:t>
      </w:r>
      <w:r w:rsidR="00094E52"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subyacente en niveles elevados; ii) presiones inflacionarias externas derivadas de la pandemia; iii) presiones en los precios agropecuarios y </w:t>
      </w:r>
      <w:r w:rsidR="00291DC2" w:rsidRPr="00E850D6">
        <w:rPr>
          <w:rFonts w:asciiTheme="minorHAnsi" w:hAnsiTheme="minorHAnsi" w:cstheme="minorHAnsi"/>
          <w:sz w:val="18"/>
          <w:szCs w:val="18"/>
        </w:rPr>
        <w:t>energéticos</w:t>
      </w:r>
      <w:r w:rsidRPr="00E850D6">
        <w:rPr>
          <w:rFonts w:asciiTheme="minorHAnsi" w:hAnsiTheme="minorHAnsi" w:cstheme="minorHAnsi"/>
          <w:sz w:val="18"/>
          <w:szCs w:val="18"/>
        </w:rPr>
        <w:t xml:space="preserve"> por el conflicto </w:t>
      </w:r>
      <w:r w:rsidR="00C254F8" w:rsidRPr="00E850D6">
        <w:rPr>
          <w:rFonts w:asciiTheme="minorHAnsi" w:hAnsiTheme="minorHAnsi" w:cstheme="minorHAnsi"/>
          <w:sz w:val="18"/>
          <w:szCs w:val="18"/>
        </w:rPr>
        <w:t>geopolítico</w:t>
      </w:r>
      <w:r w:rsidRPr="00E850D6">
        <w:rPr>
          <w:rFonts w:asciiTheme="minorHAnsi" w:hAnsiTheme="minorHAnsi" w:cstheme="minorHAnsi"/>
          <w:sz w:val="18"/>
          <w:szCs w:val="18"/>
        </w:rPr>
        <w:t xml:space="preserve">; iv) </w:t>
      </w:r>
      <w:r w:rsidR="00094E52" w:rsidRPr="00E850D6">
        <w:rPr>
          <w:rFonts w:asciiTheme="minorHAnsi" w:hAnsiTheme="minorHAnsi" w:cstheme="minorHAnsi"/>
          <w:sz w:val="18"/>
          <w:szCs w:val="18"/>
        </w:rPr>
        <w:t>depreciación</w:t>
      </w:r>
      <w:r w:rsidRPr="00E850D6">
        <w:rPr>
          <w:rFonts w:asciiTheme="minorHAnsi" w:hAnsiTheme="minorHAnsi" w:cstheme="minorHAnsi"/>
          <w:sz w:val="18"/>
          <w:szCs w:val="18"/>
        </w:rPr>
        <w:t xml:space="preserve"> cambiaria; y v) mayores presiones de costos. A la baja: i) una </w:t>
      </w:r>
      <w:r w:rsidR="00291DC2" w:rsidRPr="00E850D6">
        <w:rPr>
          <w:rFonts w:asciiTheme="minorHAnsi" w:hAnsiTheme="minorHAnsi" w:cstheme="minorHAnsi"/>
          <w:sz w:val="18"/>
          <w:szCs w:val="18"/>
        </w:rPr>
        <w:t>desaceleración</w:t>
      </w:r>
      <w:r w:rsidRPr="00E850D6">
        <w:rPr>
          <w:rFonts w:asciiTheme="minorHAnsi" w:hAnsiTheme="minorHAnsi" w:cstheme="minorHAnsi"/>
          <w:sz w:val="18"/>
          <w:szCs w:val="18"/>
        </w:rPr>
        <w:t xml:space="preserve"> de la </w:t>
      </w:r>
      <w:r w:rsidR="00C254F8" w:rsidRPr="00E850D6">
        <w:rPr>
          <w:rFonts w:asciiTheme="minorHAnsi" w:hAnsiTheme="minorHAnsi" w:cstheme="minorHAnsi"/>
          <w:sz w:val="18"/>
          <w:szCs w:val="18"/>
        </w:rPr>
        <w:t>economía</w:t>
      </w:r>
      <w:r w:rsidRPr="00E850D6">
        <w:rPr>
          <w:rFonts w:asciiTheme="minorHAnsi" w:hAnsiTheme="minorHAnsi" w:cstheme="minorHAnsi"/>
          <w:sz w:val="18"/>
          <w:szCs w:val="18"/>
        </w:rPr>
        <w:t xml:space="preserve"> global mayor a la anticipada; ii) una </w:t>
      </w:r>
      <w:r w:rsidR="00094E52" w:rsidRPr="00E850D6">
        <w:rPr>
          <w:rFonts w:asciiTheme="minorHAnsi" w:hAnsiTheme="minorHAnsi" w:cstheme="minorHAnsi"/>
          <w:sz w:val="18"/>
          <w:szCs w:val="18"/>
        </w:rPr>
        <w:t>disminución</w:t>
      </w:r>
      <w:r w:rsidRPr="00E850D6">
        <w:rPr>
          <w:rFonts w:asciiTheme="minorHAnsi" w:hAnsiTheme="minorHAnsi" w:cstheme="minorHAnsi"/>
          <w:sz w:val="18"/>
          <w:szCs w:val="18"/>
        </w:rPr>
        <w:t xml:space="preserve"> en la intensidad del conflicto </w:t>
      </w:r>
      <w:r w:rsidR="00094E52" w:rsidRPr="00E850D6">
        <w:rPr>
          <w:rFonts w:asciiTheme="minorHAnsi" w:hAnsiTheme="minorHAnsi" w:cstheme="minorHAnsi"/>
          <w:sz w:val="18"/>
          <w:szCs w:val="18"/>
        </w:rPr>
        <w:t>geopolítico</w:t>
      </w:r>
      <w:r w:rsidRPr="00E850D6">
        <w:rPr>
          <w:rFonts w:asciiTheme="minorHAnsi" w:hAnsiTheme="minorHAnsi" w:cstheme="minorHAnsi"/>
          <w:sz w:val="18"/>
          <w:szCs w:val="18"/>
        </w:rPr>
        <w:t xml:space="preserve">; iii) un mejor funcionamiento de las cadenas de suministro; iv) un menor traspaso de algunas presiones de costos; y v) un efecto mayor al previsto de las medidas del Gobierno Federal ante la </w:t>
      </w:r>
      <w:r w:rsidR="00C254F8" w:rsidRPr="00E850D6">
        <w:rPr>
          <w:rFonts w:asciiTheme="minorHAnsi" w:hAnsiTheme="minorHAnsi" w:cstheme="minorHAnsi"/>
          <w:sz w:val="18"/>
          <w:szCs w:val="18"/>
        </w:rPr>
        <w:t>carestía</w:t>
      </w:r>
      <w:r w:rsidRPr="00E850D6">
        <w:rPr>
          <w:rFonts w:asciiTheme="minorHAnsi" w:hAnsiTheme="minorHAnsi" w:cstheme="minorHAnsi"/>
          <w:sz w:val="18"/>
          <w:szCs w:val="18"/>
        </w:rPr>
        <w:t xml:space="preserve">. Si bien algunos choques han dado </w:t>
      </w:r>
      <w:r w:rsidR="00C254F8" w:rsidRPr="00E850D6">
        <w:rPr>
          <w:rFonts w:asciiTheme="minorHAnsi" w:hAnsiTheme="minorHAnsi" w:cstheme="minorHAnsi"/>
          <w:sz w:val="18"/>
          <w:szCs w:val="18"/>
        </w:rPr>
        <w:t>señales</w:t>
      </w:r>
      <w:r w:rsidRPr="00E850D6">
        <w:rPr>
          <w:rFonts w:asciiTheme="minorHAnsi" w:hAnsiTheme="minorHAnsi" w:cstheme="minorHAnsi"/>
          <w:sz w:val="18"/>
          <w:szCs w:val="18"/>
        </w:rPr>
        <w:t xml:space="preserve"> de </w:t>
      </w:r>
      <w:r w:rsidR="00C254F8" w:rsidRPr="00E850D6">
        <w:rPr>
          <w:rFonts w:asciiTheme="minorHAnsi" w:hAnsiTheme="minorHAnsi" w:cstheme="minorHAnsi"/>
          <w:sz w:val="18"/>
          <w:szCs w:val="18"/>
        </w:rPr>
        <w:t>mitigación</w:t>
      </w:r>
      <w:r w:rsidRPr="00E850D6">
        <w:rPr>
          <w:rFonts w:asciiTheme="minorHAnsi" w:hAnsiTheme="minorHAnsi" w:cstheme="minorHAnsi"/>
          <w:sz w:val="18"/>
          <w:szCs w:val="18"/>
        </w:rPr>
        <w:t xml:space="preserve">, el balance de riesgos en la trayectoria prevista para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en el horizonte de </w:t>
      </w:r>
      <w:r w:rsidR="00C254F8" w:rsidRPr="00E850D6">
        <w:rPr>
          <w:rFonts w:asciiTheme="minorHAnsi" w:hAnsiTheme="minorHAnsi" w:cstheme="minorHAnsi"/>
          <w:sz w:val="18"/>
          <w:szCs w:val="18"/>
        </w:rPr>
        <w:t>pronóstico</w:t>
      </w:r>
      <w:r w:rsidRPr="00E850D6">
        <w:rPr>
          <w:rFonts w:asciiTheme="minorHAnsi" w:hAnsiTheme="minorHAnsi" w:cstheme="minorHAnsi"/>
          <w:sz w:val="18"/>
          <w:szCs w:val="18"/>
        </w:rPr>
        <w:t xml:space="preserve"> sigue sesgado al alza.</w:t>
      </w:r>
    </w:p>
    <w:p w14:paraId="230D2A0D" w14:textId="6935071F"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 Junta de Gobierno </w:t>
      </w:r>
      <w:r w:rsidR="00C254F8" w:rsidRPr="00E850D6">
        <w:rPr>
          <w:rFonts w:asciiTheme="minorHAnsi" w:hAnsiTheme="minorHAnsi" w:cstheme="minorHAnsi"/>
          <w:sz w:val="18"/>
          <w:szCs w:val="18"/>
        </w:rPr>
        <w:t>evaluó</w:t>
      </w:r>
      <w:r w:rsidRPr="00E850D6">
        <w:rPr>
          <w:rFonts w:asciiTheme="minorHAnsi" w:hAnsiTheme="minorHAnsi" w:cstheme="minorHAnsi"/>
          <w:sz w:val="18"/>
          <w:szCs w:val="18"/>
        </w:rPr>
        <w:t xml:space="preserve">́ la magnitud y diversidad de los choques que han afectado a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y sus determinantes, </w:t>
      </w:r>
      <w:proofErr w:type="spellStart"/>
      <w:r w:rsidRPr="00E850D6">
        <w:rPr>
          <w:rFonts w:asciiTheme="minorHAnsi" w:hAnsiTheme="minorHAnsi" w:cstheme="minorHAnsi"/>
          <w:sz w:val="18"/>
          <w:szCs w:val="18"/>
        </w:rPr>
        <w:t>asi</w:t>
      </w:r>
      <w:proofErr w:type="spellEnd"/>
      <w:r w:rsidRPr="00E850D6">
        <w:rPr>
          <w:rFonts w:asciiTheme="minorHAnsi" w:hAnsiTheme="minorHAnsi" w:cstheme="minorHAnsi"/>
          <w:sz w:val="18"/>
          <w:szCs w:val="18"/>
        </w:rPr>
        <w:t xml:space="preserve">́ como la </w:t>
      </w:r>
      <w:r w:rsidR="00C254F8" w:rsidRPr="00E850D6">
        <w:rPr>
          <w:rFonts w:asciiTheme="minorHAnsi" w:hAnsiTheme="minorHAnsi" w:cstheme="minorHAnsi"/>
          <w:sz w:val="18"/>
          <w:szCs w:val="18"/>
        </w:rPr>
        <w:t>evolución</w:t>
      </w:r>
      <w:r w:rsidRPr="00E850D6">
        <w:rPr>
          <w:rFonts w:asciiTheme="minorHAnsi" w:hAnsiTheme="minorHAnsi" w:cstheme="minorHAnsi"/>
          <w:sz w:val="18"/>
          <w:szCs w:val="18"/>
        </w:rPr>
        <w:t xml:space="preserve"> de las expectativas de mediano y largo plazos y el proceso de </w:t>
      </w:r>
      <w:r w:rsidR="00C254F8" w:rsidRPr="00E850D6">
        <w:rPr>
          <w:rFonts w:asciiTheme="minorHAnsi" w:hAnsiTheme="minorHAnsi" w:cstheme="minorHAnsi"/>
          <w:sz w:val="18"/>
          <w:szCs w:val="18"/>
        </w:rPr>
        <w:t>formación</w:t>
      </w:r>
      <w:r w:rsidRPr="00E850D6">
        <w:rPr>
          <w:rFonts w:asciiTheme="minorHAnsi" w:hAnsiTheme="minorHAnsi" w:cstheme="minorHAnsi"/>
          <w:sz w:val="18"/>
          <w:szCs w:val="18"/>
        </w:rPr>
        <w:t xml:space="preserve"> de precios. Consideró los retos para la </w:t>
      </w:r>
      <w:r w:rsidR="00C254F8" w:rsidRPr="00E850D6">
        <w:rPr>
          <w:rFonts w:asciiTheme="minorHAnsi" w:hAnsiTheme="minorHAnsi" w:cstheme="minorHAnsi"/>
          <w:sz w:val="18"/>
          <w:szCs w:val="18"/>
        </w:rPr>
        <w:t>conducción</w:t>
      </w:r>
      <w:r w:rsidRPr="00E850D6">
        <w:rPr>
          <w:rFonts w:asciiTheme="minorHAnsi" w:hAnsiTheme="minorHAnsi" w:cstheme="minorHAnsi"/>
          <w:sz w:val="18"/>
          <w:szCs w:val="18"/>
        </w:rPr>
        <w:t xml:space="preserve"> de la </w:t>
      </w:r>
      <w:r w:rsidR="00C254F8" w:rsidRPr="00E850D6">
        <w:rPr>
          <w:rFonts w:asciiTheme="minorHAnsi" w:hAnsiTheme="minorHAnsi" w:cstheme="minorHAnsi"/>
          <w:sz w:val="18"/>
          <w:szCs w:val="18"/>
        </w:rPr>
        <w:t>política</w:t>
      </w:r>
      <w:r w:rsidRPr="00E850D6">
        <w:rPr>
          <w:rFonts w:asciiTheme="minorHAnsi" w:hAnsiTheme="minorHAnsi" w:cstheme="minorHAnsi"/>
          <w:sz w:val="18"/>
          <w:szCs w:val="18"/>
        </w:rPr>
        <w:t xml:space="preserve"> monetaria ante el apretamiento de las condiciones financieras globales, el entorno de </w:t>
      </w:r>
      <w:r w:rsidRPr="00E850D6">
        <w:rPr>
          <w:rFonts w:asciiTheme="minorHAnsi" w:hAnsiTheme="minorHAnsi" w:cstheme="minorHAnsi"/>
          <w:sz w:val="18"/>
          <w:szCs w:val="18"/>
        </w:rPr>
        <w:lastRenderedPageBreak/>
        <w:t xml:space="preserve">incertidumbre, las presiones inflacionarias acumuladas de la pandemia y del conflicto </w:t>
      </w:r>
      <w:r w:rsidR="00C254F8" w:rsidRPr="00E850D6">
        <w:rPr>
          <w:rFonts w:asciiTheme="minorHAnsi" w:hAnsiTheme="minorHAnsi" w:cstheme="minorHAnsi"/>
          <w:sz w:val="18"/>
          <w:szCs w:val="18"/>
        </w:rPr>
        <w:t>geopolítico</w:t>
      </w:r>
      <w:r w:rsidRPr="00E850D6">
        <w:rPr>
          <w:rFonts w:asciiTheme="minorHAnsi" w:hAnsiTheme="minorHAnsi" w:cstheme="minorHAnsi"/>
          <w:sz w:val="18"/>
          <w:szCs w:val="18"/>
        </w:rPr>
        <w:t xml:space="preserve">, y la posibilidad de mayores afectaciones a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w:t>
      </w:r>
      <w:r w:rsidR="00C254F8" w:rsidRPr="00E850D6">
        <w:rPr>
          <w:rFonts w:asciiTheme="minorHAnsi" w:hAnsiTheme="minorHAnsi" w:cstheme="minorHAnsi"/>
          <w:sz w:val="18"/>
          <w:szCs w:val="18"/>
        </w:rPr>
        <w:t>así</w:t>
      </w:r>
      <w:r w:rsidRPr="00E850D6">
        <w:rPr>
          <w:rFonts w:asciiTheme="minorHAnsi" w:hAnsiTheme="minorHAnsi" w:cstheme="minorHAnsi"/>
          <w:sz w:val="18"/>
          <w:szCs w:val="18"/>
        </w:rPr>
        <w:t xml:space="preserve">́ como la postura monetaria que ya se ha alcanzado en este ciclo alcista. Con base en ello, </w:t>
      </w:r>
      <w:r w:rsidR="00C254F8" w:rsidRPr="00E850D6">
        <w:rPr>
          <w:rFonts w:asciiTheme="minorHAnsi" w:hAnsiTheme="minorHAnsi" w:cstheme="minorHAnsi"/>
          <w:sz w:val="18"/>
          <w:szCs w:val="18"/>
        </w:rPr>
        <w:t>decidió</w:t>
      </w:r>
      <w:r w:rsidRPr="00E850D6">
        <w:rPr>
          <w:rFonts w:asciiTheme="minorHAnsi" w:hAnsiTheme="minorHAnsi" w:cstheme="minorHAnsi"/>
          <w:sz w:val="18"/>
          <w:szCs w:val="18"/>
        </w:rPr>
        <w:t xml:space="preserve">́ por </w:t>
      </w:r>
      <w:r w:rsidR="00C254F8" w:rsidRPr="00E850D6">
        <w:rPr>
          <w:rFonts w:asciiTheme="minorHAnsi" w:hAnsiTheme="minorHAnsi" w:cstheme="minorHAnsi"/>
          <w:sz w:val="18"/>
          <w:szCs w:val="18"/>
        </w:rPr>
        <w:t>mayoría</w:t>
      </w:r>
      <w:r w:rsidRPr="00E850D6">
        <w:rPr>
          <w:rFonts w:asciiTheme="minorHAnsi" w:hAnsiTheme="minorHAnsi" w:cstheme="minorHAnsi"/>
          <w:sz w:val="18"/>
          <w:szCs w:val="18"/>
        </w:rPr>
        <w:t xml:space="preserve"> incrementar en 50 puntos base el objetivo para la Tasa de </w:t>
      </w:r>
      <w:r w:rsidR="00C254F8" w:rsidRPr="00E850D6">
        <w:rPr>
          <w:rFonts w:asciiTheme="minorHAnsi" w:hAnsiTheme="minorHAnsi" w:cstheme="minorHAnsi"/>
          <w:sz w:val="18"/>
          <w:szCs w:val="18"/>
        </w:rPr>
        <w:t>Interés</w:t>
      </w:r>
      <w:r w:rsidRPr="00E850D6">
        <w:rPr>
          <w:rFonts w:asciiTheme="minorHAnsi" w:hAnsiTheme="minorHAnsi" w:cstheme="minorHAnsi"/>
          <w:sz w:val="18"/>
          <w:szCs w:val="18"/>
        </w:rPr>
        <w:t xml:space="preserve"> Interbancaria a un </w:t>
      </w:r>
      <w:r w:rsidR="00C254F8" w:rsidRPr="00E850D6">
        <w:rPr>
          <w:rFonts w:asciiTheme="minorHAnsi" w:hAnsiTheme="minorHAnsi" w:cstheme="minorHAnsi"/>
          <w:sz w:val="18"/>
          <w:szCs w:val="18"/>
        </w:rPr>
        <w:t>día</w:t>
      </w:r>
      <w:r w:rsidRPr="00E850D6">
        <w:rPr>
          <w:rFonts w:asciiTheme="minorHAnsi" w:hAnsiTheme="minorHAnsi" w:cstheme="minorHAnsi"/>
          <w:sz w:val="18"/>
          <w:szCs w:val="18"/>
        </w:rPr>
        <w:t xml:space="preserve"> a un nivel de 10.50%. Con esta </w:t>
      </w:r>
      <w:r w:rsidR="00C254F8" w:rsidRPr="00E850D6">
        <w:rPr>
          <w:rFonts w:asciiTheme="minorHAnsi" w:hAnsiTheme="minorHAnsi" w:cstheme="minorHAnsi"/>
          <w:sz w:val="18"/>
          <w:szCs w:val="18"/>
        </w:rPr>
        <w:t>acción</w:t>
      </w:r>
      <w:r w:rsidRPr="00E850D6">
        <w:rPr>
          <w:rFonts w:asciiTheme="minorHAnsi" w:hAnsiTheme="minorHAnsi" w:cstheme="minorHAnsi"/>
          <w:sz w:val="18"/>
          <w:szCs w:val="18"/>
        </w:rPr>
        <w:t xml:space="preserve">, la postura de </w:t>
      </w:r>
      <w:r w:rsidR="00C254F8" w:rsidRPr="00E850D6">
        <w:rPr>
          <w:rFonts w:asciiTheme="minorHAnsi" w:hAnsiTheme="minorHAnsi" w:cstheme="minorHAnsi"/>
          <w:sz w:val="18"/>
          <w:szCs w:val="18"/>
        </w:rPr>
        <w:t>política</w:t>
      </w:r>
      <w:r w:rsidRPr="00E850D6">
        <w:rPr>
          <w:rFonts w:asciiTheme="minorHAnsi" w:hAnsiTheme="minorHAnsi" w:cstheme="minorHAnsi"/>
          <w:sz w:val="18"/>
          <w:szCs w:val="18"/>
        </w:rPr>
        <w:t xml:space="preserve"> monetaria se ajusta a la trayectoria que se requiere para que la </w:t>
      </w:r>
      <w:r w:rsidR="00C254F8" w:rsidRPr="00E850D6">
        <w:rPr>
          <w:rFonts w:asciiTheme="minorHAnsi" w:hAnsiTheme="minorHAnsi" w:cstheme="minorHAnsi"/>
          <w:sz w:val="18"/>
          <w:szCs w:val="18"/>
        </w:rPr>
        <w:t>inflación</w:t>
      </w:r>
      <w:r w:rsidRPr="00E850D6">
        <w:rPr>
          <w:rFonts w:asciiTheme="minorHAnsi" w:hAnsiTheme="minorHAnsi" w:cstheme="minorHAnsi"/>
          <w:sz w:val="18"/>
          <w:szCs w:val="18"/>
        </w:rPr>
        <w:t xml:space="preserve"> converja a su meta de 3% dentro del horizonte de </w:t>
      </w:r>
      <w:r w:rsidR="00C254F8" w:rsidRPr="00E850D6">
        <w:rPr>
          <w:rFonts w:asciiTheme="minorHAnsi" w:hAnsiTheme="minorHAnsi" w:cstheme="minorHAnsi"/>
          <w:sz w:val="18"/>
          <w:szCs w:val="18"/>
        </w:rPr>
        <w:t>pronóstico</w:t>
      </w:r>
      <w:r w:rsidRPr="00E850D6">
        <w:rPr>
          <w:rFonts w:asciiTheme="minorHAnsi" w:hAnsiTheme="minorHAnsi" w:cstheme="minorHAnsi"/>
          <w:sz w:val="18"/>
          <w:szCs w:val="18"/>
        </w:rPr>
        <w:t>.</w:t>
      </w:r>
    </w:p>
    <w:p w14:paraId="4B12EBCB" w14:textId="77777777" w:rsidR="00E92EC1" w:rsidRPr="00676CED" w:rsidRDefault="00E92EC1" w:rsidP="00E92EC1">
      <w:pPr>
        <w:jc w:val="both"/>
        <w:rPr>
          <w:rFonts w:asciiTheme="minorHAnsi" w:hAnsiTheme="minorHAnsi" w:cstheme="minorHAnsi"/>
          <w:sz w:val="18"/>
          <w:szCs w:val="18"/>
        </w:rPr>
      </w:pPr>
      <w:r w:rsidRPr="00676CED">
        <w:rPr>
          <w:rFonts w:asciiTheme="minorHAnsi" w:hAnsiTheme="minorHAnsi" w:cstheme="minorHAnsi"/>
          <w:noProof/>
          <w:sz w:val="18"/>
          <w:szCs w:val="18"/>
          <w:lang w:eastAsia="es-MX"/>
        </w:rPr>
        <w:drawing>
          <wp:inline distT="0" distB="0" distL="0" distR="0" wp14:anchorId="59F50478" wp14:editId="27B951D4">
            <wp:extent cx="5612130" cy="2917190"/>
            <wp:effectExtent l="0" t="0" r="127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2917190"/>
                    </a:xfrm>
                    <a:prstGeom prst="rect">
                      <a:avLst/>
                    </a:prstGeom>
                  </pic:spPr>
                </pic:pic>
              </a:graphicData>
            </a:graphic>
          </wp:inline>
        </w:drawing>
      </w:r>
    </w:p>
    <w:p w14:paraId="2FECB7FE" w14:textId="77777777" w:rsidR="00E92EC1" w:rsidRPr="00676CED" w:rsidRDefault="00E92EC1" w:rsidP="00E92EC1">
      <w:pPr>
        <w:pStyle w:val="NormalWeb"/>
        <w:spacing w:before="0" w:beforeAutospacing="0" w:after="0" w:afterAutospacing="0"/>
        <w:jc w:val="both"/>
        <w:rPr>
          <w:rFonts w:asciiTheme="minorHAnsi" w:hAnsiTheme="minorHAnsi" w:cstheme="minorHAnsi"/>
          <w:b/>
          <w:color w:val="000000"/>
          <w:sz w:val="18"/>
          <w:szCs w:val="18"/>
        </w:rPr>
      </w:pPr>
    </w:p>
    <w:p w14:paraId="774BA653" w14:textId="08C2CDF6"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r w:rsidRPr="00E850D6">
        <w:rPr>
          <w:rFonts w:asciiTheme="minorHAnsi" w:hAnsiTheme="minorHAnsi" w:cstheme="minorHAnsi"/>
          <w:b/>
          <w:sz w:val="18"/>
          <w:szCs w:val="18"/>
        </w:rPr>
        <w:t>2.2.3.- Paridad cambiaria Peso/Dólar.</w:t>
      </w:r>
    </w:p>
    <w:p w14:paraId="1938EBCE" w14:textId="4CEDC454" w:rsidR="00E92EC1" w:rsidRPr="00E850D6" w:rsidRDefault="00E92EC1" w:rsidP="00E92EC1">
      <w:pPr>
        <w:jc w:val="both"/>
        <w:rPr>
          <w:rFonts w:asciiTheme="minorHAnsi" w:hAnsiTheme="minorHAnsi" w:cstheme="minorHAnsi"/>
          <w:b/>
          <w:bCs/>
          <w:sz w:val="18"/>
          <w:szCs w:val="18"/>
        </w:rPr>
      </w:pPr>
      <w:r w:rsidRPr="00E850D6">
        <w:rPr>
          <w:rFonts w:asciiTheme="minorHAnsi" w:hAnsiTheme="minorHAnsi" w:cstheme="minorHAnsi"/>
          <w:b/>
          <w:bCs/>
          <w:sz w:val="18"/>
          <w:szCs w:val="18"/>
        </w:rPr>
        <w:t xml:space="preserve">El peso mexicano es una de las divisas con mejor </w:t>
      </w:r>
      <w:r w:rsidR="00291DC2" w:rsidRPr="00E850D6">
        <w:rPr>
          <w:rFonts w:asciiTheme="minorHAnsi" w:hAnsiTheme="minorHAnsi" w:cstheme="minorHAnsi"/>
          <w:b/>
          <w:bCs/>
          <w:sz w:val="18"/>
          <w:szCs w:val="18"/>
        </w:rPr>
        <w:t>desempeño</w:t>
      </w:r>
      <w:r w:rsidRPr="00E850D6">
        <w:rPr>
          <w:rFonts w:asciiTheme="minorHAnsi" w:hAnsiTheme="minorHAnsi" w:cstheme="minorHAnsi"/>
          <w:b/>
          <w:bCs/>
          <w:sz w:val="18"/>
          <w:szCs w:val="18"/>
        </w:rPr>
        <w:t xml:space="preserve"> en 2022</w:t>
      </w:r>
    </w:p>
    <w:p w14:paraId="1DDBCCCB" w14:textId="31C8544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Por segundo </w:t>
      </w:r>
      <w:r w:rsidR="00291DC2" w:rsidRPr="00E850D6">
        <w:rPr>
          <w:rFonts w:asciiTheme="minorHAnsi" w:hAnsiTheme="minorHAnsi" w:cstheme="minorHAnsi"/>
          <w:sz w:val="18"/>
          <w:szCs w:val="18"/>
        </w:rPr>
        <w:t>año</w:t>
      </w:r>
      <w:r w:rsidRPr="00E850D6">
        <w:rPr>
          <w:rFonts w:asciiTheme="minorHAnsi" w:hAnsiTheme="minorHAnsi" w:cstheme="minorHAnsi"/>
          <w:sz w:val="18"/>
          <w:szCs w:val="18"/>
        </w:rPr>
        <w:t xml:space="preserve"> consecutivo el peso mexicano ha tenido un </w:t>
      </w:r>
      <w:r w:rsidR="00291DC2" w:rsidRPr="00E850D6">
        <w:rPr>
          <w:rFonts w:asciiTheme="minorHAnsi" w:hAnsiTheme="minorHAnsi" w:cstheme="minorHAnsi"/>
          <w:sz w:val="18"/>
          <w:szCs w:val="18"/>
        </w:rPr>
        <w:t>desempeño</w:t>
      </w:r>
      <w:r w:rsidRPr="00E850D6">
        <w:rPr>
          <w:rFonts w:asciiTheme="minorHAnsi" w:hAnsiTheme="minorHAnsi" w:cstheme="minorHAnsi"/>
          <w:sz w:val="18"/>
          <w:szCs w:val="18"/>
        </w:rPr>
        <w:t xml:space="preserve"> superior al promedio de una canasta de divisas de </w:t>
      </w:r>
      <w:r w:rsidR="00291DC2" w:rsidRPr="00E850D6">
        <w:rPr>
          <w:rFonts w:asciiTheme="minorHAnsi" w:hAnsiTheme="minorHAnsi" w:cstheme="minorHAnsi"/>
          <w:sz w:val="18"/>
          <w:szCs w:val="18"/>
        </w:rPr>
        <w:t>economías</w:t>
      </w:r>
      <w:r w:rsidRPr="00E850D6">
        <w:rPr>
          <w:rFonts w:asciiTheme="minorHAnsi" w:hAnsiTheme="minorHAnsi" w:cstheme="minorHAnsi"/>
          <w:sz w:val="18"/>
          <w:szCs w:val="18"/>
        </w:rPr>
        <w:t xml:space="preserve"> emergentes. El alto diferencial de tasas de </w:t>
      </w:r>
      <w:r w:rsidR="00291DC2" w:rsidRPr="00E850D6">
        <w:rPr>
          <w:rFonts w:asciiTheme="minorHAnsi" w:hAnsiTheme="minorHAnsi" w:cstheme="minorHAnsi"/>
          <w:sz w:val="18"/>
          <w:szCs w:val="18"/>
        </w:rPr>
        <w:t>interés</w:t>
      </w:r>
      <w:r w:rsidRPr="00E850D6">
        <w:rPr>
          <w:rFonts w:asciiTheme="minorHAnsi" w:hAnsiTheme="minorHAnsi" w:cstheme="minorHAnsi"/>
          <w:sz w:val="18"/>
          <w:szCs w:val="18"/>
        </w:rPr>
        <w:t xml:space="preserve"> con respecto a EE.UU., el manejo prudente de las finanzas </w:t>
      </w:r>
      <w:r w:rsidR="00291DC2" w:rsidRPr="00E850D6">
        <w:rPr>
          <w:rFonts w:asciiTheme="minorHAnsi" w:hAnsiTheme="minorHAnsi" w:cstheme="minorHAnsi"/>
          <w:sz w:val="18"/>
          <w:szCs w:val="18"/>
        </w:rPr>
        <w:t>públicas</w:t>
      </w:r>
      <w:r w:rsidRPr="00E850D6">
        <w:rPr>
          <w:rFonts w:asciiTheme="minorHAnsi" w:hAnsiTheme="minorHAnsi" w:cstheme="minorHAnsi"/>
          <w:sz w:val="18"/>
          <w:szCs w:val="18"/>
        </w:rPr>
        <w:t xml:space="preserve"> por parte del gobierno federal, en un contexto de </w:t>
      </w:r>
      <w:r w:rsidR="00291DC2" w:rsidRPr="00E850D6">
        <w:rPr>
          <w:rFonts w:asciiTheme="minorHAnsi" w:hAnsiTheme="minorHAnsi" w:cstheme="minorHAnsi"/>
          <w:sz w:val="18"/>
          <w:szCs w:val="18"/>
        </w:rPr>
        <w:t>expansión</w:t>
      </w:r>
      <w:r w:rsidRPr="00E850D6">
        <w:rPr>
          <w:rFonts w:asciiTheme="minorHAnsi" w:hAnsiTheme="minorHAnsi" w:cstheme="minorHAnsi"/>
          <w:sz w:val="18"/>
          <w:szCs w:val="18"/>
        </w:rPr>
        <w:t xml:space="preserve"> fiscal en la gran </w:t>
      </w:r>
      <w:r w:rsidR="00291DC2" w:rsidRPr="00E850D6">
        <w:rPr>
          <w:rFonts w:asciiTheme="minorHAnsi" w:hAnsiTheme="minorHAnsi" w:cstheme="minorHAnsi"/>
          <w:sz w:val="18"/>
          <w:szCs w:val="18"/>
        </w:rPr>
        <w:t>mayoría</w:t>
      </w:r>
      <w:r w:rsidRPr="00E850D6">
        <w:rPr>
          <w:rFonts w:asciiTheme="minorHAnsi" w:hAnsiTheme="minorHAnsi" w:cstheme="minorHAnsi"/>
          <w:sz w:val="18"/>
          <w:szCs w:val="18"/>
        </w:rPr>
        <w:t xml:space="preserve"> de </w:t>
      </w:r>
      <w:r w:rsidR="00291DC2" w:rsidRPr="00E850D6">
        <w:rPr>
          <w:rFonts w:asciiTheme="minorHAnsi" w:hAnsiTheme="minorHAnsi" w:cstheme="minorHAnsi"/>
          <w:sz w:val="18"/>
          <w:szCs w:val="18"/>
        </w:rPr>
        <w:t>países</w:t>
      </w:r>
      <w:r w:rsidRPr="00E850D6">
        <w:rPr>
          <w:rFonts w:asciiTheme="minorHAnsi" w:hAnsiTheme="minorHAnsi" w:cstheme="minorHAnsi"/>
          <w:sz w:val="18"/>
          <w:szCs w:val="18"/>
        </w:rPr>
        <w:t xml:space="preserve"> y la </w:t>
      </w:r>
      <w:r w:rsidR="00291DC2" w:rsidRPr="00E850D6">
        <w:rPr>
          <w:rFonts w:asciiTheme="minorHAnsi" w:hAnsiTheme="minorHAnsi" w:cstheme="minorHAnsi"/>
          <w:sz w:val="18"/>
          <w:szCs w:val="18"/>
        </w:rPr>
        <w:t>previsión</w:t>
      </w:r>
      <w:r w:rsidRPr="00E850D6">
        <w:rPr>
          <w:rFonts w:asciiTheme="minorHAnsi" w:hAnsiTheme="minorHAnsi" w:cstheme="minorHAnsi"/>
          <w:sz w:val="18"/>
          <w:szCs w:val="18"/>
        </w:rPr>
        <w:t xml:space="preserve"> de bajos </w:t>
      </w:r>
      <w:proofErr w:type="spellStart"/>
      <w:r w:rsidRPr="00E850D6">
        <w:rPr>
          <w:rFonts w:asciiTheme="minorHAnsi" w:hAnsiTheme="minorHAnsi" w:cstheme="minorHAnsi"/>
          <w:sz w:val="18"/>
          <w:szCs w:val="18"/>
        </w:rPr>
        <w:t>déficits</w:t>
      </w:r>
      <w:proofErr w:type="spellEnd"/>
      <w:r w:rsidRPr="00E850D6">
        <w:rPr>
          <w:rFonts w:asciiTheme="minorHAnsi" w:hAnsiTheme="minorHAnsi" w:cstheme="minorHAnsi"/>
          <w:sz w:val="18"/>
          <w:szCs w:val="18"/>
        </w:rPr>
        <w:t xml:space="preserve"> de cuenta corriente en el corto y mediano plazo son los principales factores que explican la relativa fortaleza del peso mexicano en el pasado reciente y </w:t>
      </w:r>
      <w:r w:rsidR="00291DC2" w:rsidRPr="00E850D6">
        <w:rPr>
          <w:rFonts w:asciiTheme="minorHAnsi" w:hAnsiTheme="minorHAnsi" w:cstheme="minorHAnsi"/>
          <w:sz w:val="18"/>
          <w:szCs w:val="18"/>
        </w:rPr>
        <w:t>continuarán</w:t>
      </w:r>
      <w:r w:rsidRPr="00E850D6">
        <w:rPr>
          <w:rFonts w:asciiTheme="minorHAnsi" w:hAnsiTheme="minorHAnsi" w:cstheme="minorHAnsi"/>
          <w:sz w:val="18"/>
          <w:szCs w:val="18"/>
        </w:rPr>
        <w:t xml:space="preserve"> apoyando el </w:t>
      </w:r>
      <w:r w:rsidR="00291DC2" w:rsidRPr="00E850D6">
        <w:rPr>
          <w:rFonts w:asciiTheme="minorHAnsi" w:hAnsiTheme="minorHAnsi" w:cstheme="minorHAnsi"/>
          <w:sz w:val="18"/>
          <w:szCs w:val="18"/>
        </w:rPr>
        <w:t>desempeño</w:t>
      </w:r>
      <w:r w:rsidRPr="00E850D6">
        <w:rPr>
          <w:rFonts w:asciiTheme="minorHAnsi" w:hAnsiTheme="minorHAnsi" w:cstheme="minorHAnsi"/>
          <w:sz w:val="18"/>
          <w:szCs w:val="18"/>
        </w:rPr>
        <w:t xml:space="preserve"> del mismo en los </w:t>
      </w:r>
      <w:r w:rsidR="00291DC2" w:rsidRPr="00E850D6">
        <w:rPr>
          <w:rFonts w:asciiTheme="minorHAnsi" w:hAnsiTheme="minorHAnsi" w:cstheme="minorHAnsi"/>
          <w:sz w:val="18"/>
          <w:szCs w:val="18"/>
        </w:rPr>
        <w:t>próximos</w:t>
      </w:r>
      <w:r w:rsidRPr="00E850D6">
        <w:rPr>
          <w:rFonts w:asciiTheme="minorHAnsi" w:hAnsiTheme="minorHAnsi" w:cstheme="minorHAnsi"/>
          <w:sz w:val="18"/>
          <w:szCs w:val="18"/>
        </w:rPr>
        <w:t xml:space="preserve"> meses. Prevemos que el tipo de cambio sea 19.6 pesos por </w:t>
      </w:r>
      <w:r w:rsidR="00291DC2" w:rsidRPr="00E850D6">
        <w:rPr>
          <w:rFonts w:asciiTheme="minorHAnsi" w:hAnsiTheme="minorHAnsi" w:cstheme="minorHAnsi"/>
          <w:sz w:val="18"/>
          <w:szCs w:val="18"/>
        </w:rPr>
        <w:t>dólar</w:t>
      </w:r>
      <w:r w:rsidRPr="00E850D6">
        <w:rPr>
          <w:rFonts w:asciiTheme="minorHAnsi" w:hAnsiTheme="minorHAnsi" w:cstheme="minorHAnsi"/>
          <w:sz w:val="18"/>
          <w:szCs w:val="18"/>
        </w:rPr>
        <w:t xml:space="preserve"> para diciembre de 2022 y 20.1 pesos por </w:t>
      </w:r>
      <w:r w:rsidR="00291DC2" w:rsidRPr="00E850D6">
        <w:rPr>
          <w:rFonts w:asciiTheme="minorHAnsi" w:hAnsiTheme="minorHAnsi" w:cstheme="minorHAnsi"/>
          <w:sz w:val="18"/>
          <w:szCs w:val="18"/>
        </w:rPr>
        <w:t>dólar</w:t>
      </w:r>
      <w:r w:rsidRPr="00E850D6">
        <w:rPr>
          <w:rFonts w:asciiTheme="minorHAnsi" w:hAnsiTheme="minorHAnsi" w:cstheme="minorHAnsi"/>
          <w:sz w:val="18"/>
          <w:szCs w:val="18"/>
        </w:rPr>
        <w:t xml:space="preserve"> para fines de 2023.</w:t>
      </w:r>
    </w:p>
    <w:p w14:paraId="4B802BC4" w14:textId="693E2452"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La política cambiaria es responsabilidad de la Comisión de Cambios, la cual está integrada por funcionarios de la Secretaría de Hacienda y Crédito Público y el Banco de México. A finales de 1994, dicha Comisión acordó que el tipo de cambio fuera determinado libremente por las fuerzas del mercado (tipo de cambio flexible o flotante).</w:t>
      </w:r>
    </w:p>
    <w:p w14:paraId="0F1BE3F6" w14:textId="77777777" w:rsidR="00E92EC1" w:rsidRPr="00E850D6" w:rsidRDefault="00E92EC1" w:rsidP="00E92EC1">
      <w:pPr>
        <w:pStyle w:val="NormalWeb"/>
        <w:spacing w:before="0" w:beforeAutospacing="0" w:after="0" w:afterAutospacing="0"/>
        <w:jc w:val="both"/>
        <w:rPr>
          <w:rFonts w:asciiTheme="minorHAnsi" w:hAnsiTheme="minorHAnsi" w:cstheme="minorHAnsi"/>
          <w:sz w:val="18"/>
          <w:szCs w:val="18"/>
        </w:rPr>
      </w:pPr>
      <w:r w:rsidRPr="00E850D6">
        <w:rPr>
          <w:rFonts w:asciiTheme="minorHAnsi" w:hAnsiTheme="minorHAnsi" w:cstheme="minorHAnsi"/>
          <w:bCs/>
          <w:sz w:val="18"/>
          <w:szCs w:val="18"/>
        </w:rPr>
        <w:t xml:space="preserve">En relación con este tema, la SHCP informó que se renovó de nueva cuenta la Línea de Crédito Flexible con el Fondo Monetario Internacional, disminuyéndola de 61 mil </w:t>
      </w:r>
      <w:proofErr w:type="spellStart"/>
      <w:r w:rsidRPr="00E850D6">
        <w:rPr>
          <w:rFonts w:asciiTheme="minorHAnsi" w:hAnsiTheme="minorHAnsi" w:cstheme="minorHAnsi"/>
          <w:bCs/>
          <w:sz w:val="18"/>
          <w:szCs w:val="18"/>
        </w:rPr>
        <w:t>mdd</w:t>
      </w:r>
      <w:proofErr w:type="spellEnd"/>
      <w:r w:rsidRPr="00E850D6">
        <w:rPr>
          <w:rFonts w:asciiTheme="minorHAnsi" w:hAnsiTheme="minorHAnsi" w:cstheme="minorHAnsi"/>
          <w:bCs/>
          <w:sz w:val="18"/>
          <w:szCs w:val="18"/>
        </w:rPr>
        <w:t xml:space="preserve"> a 50 mil </w:t>
      </w:r>
      <w:proofErr w:type="spellStart"/>
      <w:r w:rsidRPr="00E850D6">
        <w:rPr>
          <w:rFonts w:asciiTheme="minorHAnsi" w:hAnsiTheme="minorHAnsi" w:cstheme="minorHAnsi"/>
          <w:bCs/>
          <w:sz w:val="18"/>
          <w:szCs w:val="18"/>
        </w:rPr>
        <w:t>mdd</w:t>
      </w:r>
      <w:proofErr w:type="spellEnd"/>
      <w:r w:rsidRPr="00E850D6">
        <w:rPr>
          <w:rFonts w:asciiTheme="minorHAnsi" w:hAnsiTheme="minorHAnsi" w:cstheme="minorHAnsi"/>
          <w:bCs/>
          <w:sz w:val="18"/>
          <w:szCs w:val="18"/>
        </w:rPr>
        <w:t xml:space="preserve">, y manifestando que podría solicitar otra reducción a mediados del 2022, opción que no realizó dada la estabilidad del Peso vs él Dólar. </w:t>
      </w:r>
    </w:p>
    <w:p w14:paraId="3C04FB1B" w14:textId="77777777" w:rsidR="00E92EC1" w:rsidRPr="00E850D6" w:rsidRDefault="00E92EC1" w:rsidP="00E92EC1">
      <w:pPr>
        <w:jc w:val="both"/>
        <w:rPr>
          <w:rFonts w:asciiTheme="minorHAnsi" w:hAnsiTheme="minorHAnsi" w:cstheme="minorHAnsi"/>
          <w:sz w:val="18"/>
          <w:szCs w:val="18"/>
        </w:rPr>
      </w:pPr>
    </w:p>
    <w:p w14:paraId="26221121"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r w:rsidRPr="00E850D6">
        <w:rPr>
          <w:rFonts w:asciiTheme="minorHAnsi" w:hAnsiTheme="minorHAnsi" w:cstheme="minorHAnsi"/>
          <w:b/>
          <w:sz w:val="18"/>
          <w:szCs w:val="18"/>
        </w:rPr>
        <w:t>2.2.4.- Tasa de Inflación al Consumidor. INPC</w:t>
      </w:r>
    </w:p>
    <w:p w14:paraId="03F7DC0F"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p>
    <w:p w14:paraId="66C8994F" w14:textId="2CC98ECF"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En la primera quincena de diciembre de 2022, el </w:t>
      </w:r>
      <w:r w:rsidR="005520BE"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Nacional de Precios al Consumidor (INPC) aumentó 0.39 % respecto a la quincena anterior. Con este resultado, la </w:t>
      </w:r>
      <w:r w:rsidR="00E11288" w:rsidRPr="00E850D6">
        <w:rPr>
          <w:rFonts w:asciiTheme="minorHAnsi" w:hAnsiTheme="minorHAnsi" w:cstheme="minorHAnsi"/>
          <w:bCs/>
          <w:sz w:val="18"/>
          <w:szCs w:val="18"/>
        </w:rPr>
        <w:t>inflación</w:t>
      </w:r>
      <w:r w:rsidRPr="00E850D6">
        <w:rPr>
          <w:rFonts w:asciiTheme="minorHAnsi" w:hAnsiTheme="minorHAnsi" w:cstheme="minorHAnsi"/>
          <w:bCs/>
          <w:sz w:val="18"/>
          <w:szCs w:val="18"/>
        </w:rPr>
        <w:t xml:space="preserve"> general anual se </w:t>
      </w:r>
      <w:proofErr w:type="spellStart"/>
      <w:r w:rsidRPr="00E850D6">
        <w:rPr>
          <w:rFonts w:asciiTheme="minorHAnsi" w:hAnsiTheme="minorHAnsi" w:cstheme="minorHAnsi"/>
          <w:bCs/>
          <w:sz w:val="18"/>
          <w:szCs w:val="18"/>
        </w:rPr>
        <w:t>ubico</w:t>
      </w:r>
      <w:proofErr w:type="spellEnd"/>
      <w:r w:rsidRPr="00E850D6">
        <w:rPr>
          <w:rFonts w:asciiTheme="minorHAnsi" w:hAnsiTheme="minorHAnsi" w:cstheme="minorHAnsi"/>
          <w:bCs/>
          <w:sz w:val="18"/>
          <w:szCs w:val="18"/>
        </w:rPr>
        <w:t xml:space="preserve">́ en 7.77 por ciento. En la misma quincena de 2021, la </w:t>
      </w:r>
      <w:r w:rsidR="00E11288" w:rsidRPr="00E850D6">
        <w:rPr>
          <w:rFonts w:asciiTheme="minorHAnsi" w:hAnsiTheme="minorHAnsi" w:cstheme="minorHAnsi"/>
          <w:bCs/>
          <w:sz w:val="18"/>
          <w:szCs w:val="18"/>
        </w:rPr>
        <w:t>inflación</w:t>
      </w:r>
      <w:r w:rsidRPr="00E850D6">
        <w:rPr>
          <w:rFonts w:asciiTheme="minorHAnsi" w:hAnsiTheme="minorHAnsi" w:cstheme="minorHAnsi"/>
          <w:bCs/>
          <w:sz w:val="18"/>
          <w:szCs w:val="18"/>
        </w:rPr>
        <w:t xml:space="preserve"> quincenal fue de 0.10 % y la anual, de 7.45 por ciento.</w:t>
      </w:r>
    </w:p>
    <w:p w14:paraId="1620B216" w14:textId="2570518E"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lastRenderedPageBreak/>
        <w:t xml:space="preserve">El </w:t>
      </w:r>
      <w:r w:rsidR="00E11288"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de precios subyacente1 registró un incremento de 0.57 % a tasa quincenal y de 8.35 % a tasa anual. En el mismo periodo, el </w:t>
      </w:r>
      <w:r w:rsidR="00E11288"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de precios no subyacente disminuyó 0.14 % a tasa quincenal y </w:t>
      </w:r>
      <w:proofErr w:type="spellStart"/>
      <w:r w:rsidRPr="00E850D6">
        <w:rPr>
          <w:rFonts w:asciiTheme="minorHAnsi" w:hAnsiTheme="minorHAnsi" w:cstheme="minorHAnsi"/>
          <w:bCs/>
          <w:sz w:val="18"/>
          <w:szCs w:val="18"/>
        </w:rPr>
        <w:t>subio</w:t>
      </w:r>
      <w:proofErr w:type="spellEnd"/>
      <w:r w:rsidRPr="00E850D6">
        <w:rPr>
          <w:rFonts w:asciiTheme="minorHAnsi" w:hAnsiTheme="minorHAnsi" w:cstheme="minorHAnsi"/>
          <w:bCs/>
          <w:sz w:val="18"/>
          <w:szCs w:val="18"/>
        </w:rPr>
        <w:t>́ 6.08 % a tasa anual.</w:t>
      </w:r>
    </w:p>
    <w:p w14:paraId="203A59A4" w14:textId="24F50E75"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Al interior del </w:t>
      </w:r>
      <w:r w:rsidR="00E11288"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subyacente, los precios de las </w:t>
      </w:r>
      <w:r w:rsidR="00E11288" w:rsidRPr="00E850D6">
        <w:rPr>
          <w:rFonts w:asciiTheme="minorHAnsi" w:hAnsiTheme="minorHAnsi" w:cstheme="minorHAnsi"/>
          <w:bCs/>
          <w:sz w:val="18"/>
          <w:szCs w:val="18"/>
        </w:rPr>
        <w:t>mercancías</w:t>
      </w:r>
      <w:r w:rsidRPr="00E850D6">
        <w:rPr>
          <w:rFonts w:asciiTheme="minorHAnsi" w:hAnsiTheme="minorHAnsi" w:cstheme="minorHAnsi"/>
          <w:bCs/>
          <w:sz w:val="18"/>
          <w:szCs w:val="18"/>
        </w:rPr>
        <w:t xml:space="preserve"> crecieron 0.62 % y los de servicios, 0.51 % a tasa quincenal.</w:t>
      </w:r>
    </w:p>
    <w:p w14:paraId="5EB063A2" w14:textId="545E1F23"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Dentro del </w:t>
      </w:r>
      <w:r w:rsidR="00E11288" w:rsidRPr="00E850D6">
        <w:rPr>
          <w:rFonts w:asciiTheme="minorHAnsi" w:hAnsiTheme="minorHAnsi" w:cstheme="minorHAnsi"/>
          <w:bCs/>
          <w:sz w:val="18"/>
          <w:szCs w:val="18"/>
        </w:rPr>
        <w:t>índice</w:t>
      </w:r>
      <w:r w:rsidRPr="00E850D6">
        <w:rPr>
          <w:rFonts w:asciiTheme="minorHAnsi" w:hAnsiTheme="minorHAnsi" w:cstheme="minorHAnsi"/>
          <w:bCs/>
          <w:sz w:val="18"/>
          <w:szCs w:val="18"/>
        </w:rPr>
        <w:t xml:space="preserve"> no subyacente y a tasa quincenal, los precios de los productos agropecuarios aumentaron 0.34 % y los de </w:t>
      </w:r>
      <w:r w:rsidR="00E11288" w:rsidRPr="00E850D6">
        <w:rPr>
          <w:rFonts w:asciiTheme="minorHAnsi" w:hAnsiTheme="minorHAnsi" w:cstheme="minorHAnsi"/>
          <w:bCs/>
          <w:sz w:val="18"/>
          <w:szCs w:val="18"/>
        </w:rPr>
        <w:t>energéticos</w:t>
      </w:r>
      <w:r w:rsidRPr="00E850D6">
        <w:rPr>
          <w:rFonts w:asciiTheme="minorHAnsi" w:hAnsiTheme="minorHAnsi" w:cstheme="minorHAnsi"/>
          <w:bCs/>
          <w:sz w:val="18"/>
          <w:szCs w:val="18"/>
        </w:rPr>
        <w:t xml:space="preserve"> y tarifas autorizadas por el gobierno bajaron 0.54 por ciento.</w:t>
      </w:r>
    </w:p>
    <w:p w14:paraId="6ABEF58A" w14:textId="605DC6B8" w:rsidR="00E92EC1" w:rsidRPr="00E850D6" w:rsidRDefault="00E92EC1" w:rsidP="00E92EC1">
      <w:pPr>
        <w:jc w:val="both"/>
        <w:rPr>
          <w:rFonts w:asciiTheme="minorHAnsi" w:hAnsiTheme="minorHAnsi" w:cstheme="minorHAnsi"/>
          <w:b/>
          <w:bCs/>
          <w:sz w:val="18"/>
          <w:szCs w:val="18"/>
        </w:rPr>
      </w:pPr>
      <w:r w:rsidRPr="00E850D6">
        <w:rPr>
          <w:rFonts w:asciiTheme="minorHAnsi" w:hAnsiTheme="minorHAnsi" w:cstheme="minorHAnsi"/>
          <w:b/>
          <w:bCs/>
          <w:sz w:val="18"/>
          <w:szCs w:val="18"/>
        </w:rPr>
        <w:t xml:space="preserve">Componentes del </w:t>
      </w:r>
      <w:r w:rsidR="00E11288" w:rsidRPr="00E850D6">
        <w:rPr>
          <w:rFonts w:asciiTheme="minorHAnsi" w:hAnsiTheme="minorHAnsi" w:cstheme="minorHAnsi"/>
          <w:b/>
          <w:bCs/>
          <w:sz w:val="18"/>
          <w:szCs w:val="18"/>
        </w:rPr>
        <w:t>Índice</w:t>
      </w:r>
      <w:r w:rsidRPr="00E850D6">
        <w:rPr>
          <w:rFonts w:asciiTheme="minorHAnsi" w:hAnsiTheme="minorHAnsi" w:cstheme="minorHAnsi"/>
          <w:b/>
          <w:bCs/>
          <w:sz w:val="18"/>
          <w:szCs w:val="18"/>
        </w:rPr>
        <w:t xml:space="preserve"> Nacional de Precios al Consumidor</w:t>
      </w:r>
    </w:p>
    <w:p w14:paraId="3ADEA6DE" w14:textId="15A86673"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En la primera quincena de diciembre de 2022, la </w:t>
      </w:r>
      <w:r w:rsidR="00E11288"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de los </w:t>
      </w:r>
      <w:r w:rsidR="00E11288" w:rsidRPr="00E850D6">
        <w:rPr>
          <w:rFonts w:asciiTheme="minorHAnsi" w:hAnsiTheme="minorHAnsi" w:cstheme="minorHAnsi"/>
          <w:sz w:val="18"/>
          <w:szCs w:val="18"/>
        </w:rPr>
        <w:t>índices</w:t>
      </w:r>
      <w:r w:rsidRPr="00E850D6">
        <w:rPr>
          <w:rFonts w:asciiTheme="minorHAnsi" w:hAnsiTheme="minorHAnsi" w:cstheme="minorHAnsi"/>
          <w:sz w:val="18"/>
          <w:szCs w:val="18"/>
        </w:rPr>
        <w:t xml:space="preserve"> subyacente y no subyacente fue de 0.57 y -0.14%, respectivamente. En la misma quincena de 2021 fue de 0.59 y -1.29 por ciento, </w:t>
      </w:r>
      <w:proofErr w:type="spellStart"/>
      <w:r w:rsidRPr="00E850D6">
        <w:rPr>
          <w:rFonts w:asciiTheme="minorHAnsi" w:hAnsiTheme="minorHAnsi" w:cstheme="minorHAnsi"/>
          <w:sz w:val="18"/>
          <w:szCs w:val="18"/>
        </w:rPr>
        <w:t>asi</w:t>
      </w:r>
      <w:proofErr w:type="spellEnd"/>
      <w:r w:rsidRPr="00E850D6">
        <w:rPr>
          <w:rFonts w:asciiTheme="minorHAnsi" w:hAnsiTheme="minorHAnsi" w:cstheme="minorHAnsi"/>
          <w:sz w:val="18"/>
          <w:szCs w:val="18"/>
        </w:rPr>
        <w:t xml:space="preserve"> mismo la </w:t>
      </w:r>
      <w:r w:rsidR="00E11288"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anual del INPC fue de 7.77 % y la de los </w:t>
      </w:r>
      <w:r w:rsidR="00E11288" w:rsidRPr="00E850D6">
        <w:rPr>
          <w:rFonts w:asciiTheme="minorHAnsi" w:hAnsiTheme="minorHAnsi" w:cstheme="minorHAnsi"/>
          <w:sz w:val="18"/>
          <w:szCs w:val="18"/>
        </w:rPr>
        <w:t>índices</w:t>
      </w:r>
      <w:r w:rsidRPr="00E850D6">
        <w:rPr>
          <w:rFonts w:asciiTheme="minorHAnsi" w:hAnsiTheme="minorHAnsi" w:cstheme="minorHAnsi"/>
          <w:sz w:val="18"/>
          <w:szCs w:val="18"/>
        </w:rPr>
        <w:t xml:space="preserve"> subyacente y no subyacente de 8.35 y 6.08 %, respectivamente. En el mismo periodo del </w:t>
      </w:r>
      <w:r w:rsidR="00E11288" w:rsidRPr="00E850D6">
        <w:rPr>
          <w:rFonts w:asciiTheme="minorHAnsi" w:hAnsiTheme="minorHAnsi" w:cstheme="minorHAnsi"/>
          <w:sz w:val="18"/>
          <w:szCs w:val="18"/>
        </w:rPr>
        <w:t>año</w:t>
      </w:r>
      <w:r w:rsidRPr="00E850D6">
        <w:rPr>
          <w:rFonts w:asciiTheme="minorHAnsi" w:hAnsiTheme="minorHAnsi" w:cstheme="minorHAnsi"/>
          <w:sz w:val="18"/>
          <w:szCs w:val="18"/>
        </w:rPr>
        <w:t xml:space="preserve"> anterior, el INPC aumentó 7.45 % y sus componentes, 5.87 y 12.34 %, en ese orden.</w:t>
      </w:r>
    </w:p>
    <w:p w14:paraId="4833F7C1" w14:textId="7777777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En el siguiente cuadro se muestran las entidades federativas en las que el INPC alcanzó las mayores y menores variaciones en la primera quincena de diciembre de 2022.</w:t>
      </w:r>
    </w:p>
    <w:p w14:paraId="0CB4715F" w14:textId="77777777" w:rsidR="00E92EC1" w:rsidRPr="00676CED" w:rsidRDefault="00E92EC1" w:rsidP="00E92EC1">
      <w:pPr>
        <w:jc w:val="both"/>
        <w:rPr>
          <w:rFonts w:asciiTheme="minorHAnsi" w:hAnsiTheme="minorHAnsi" w:cstheme="minorHAnsi"/>
          <w:sz w:val="18"/>
          <w:szCs w:val="18"/>
        </w:rPr>
      </w:pPr>
    </w:p>
    <w:p w14:paraId="016DFD37" w14:textId="77777777" w:rsidR="00E92EC1" w:rsidRPr="00676CED"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 xml:space="preserve">ÍNDICE NACIONAL DE PRECIOS AL CONSUMIDOR </w:t>
      </w:r>
    </w:p>
    <w:p w14:paraId="7397E731" w14:textId="77777777" w:rsidR="00E92EC1" w:rsidRPr="00676CED"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ENTIDADES FEDERATIVAS CON MAYOR Y MENOR VARIACIÓN *</w:t>
      </w:r>
    </w:p>
    <w:p w14:paraId="3564D0B1" w14:textId="0B940486" w:rsidR="00E92EC1" w:rsidRPr="00676CED"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Diciembre de 2022</w:t>
      </w:r>
    </w:p>
    <w:tbl>
      <w:tblPr>
        <w:tblW w:w="7960" w:type="dxa"/>
        <w:jc w:val="center"/>
        <w:tblCellMar>
          <w:left w:w="70" w:type="dxa"/>
          <w:right w:w="70" w:type="dxa"/>
        </w:tblCellMar>
        <w:tblLook w:val="04A0" w:firstRow="1" w:lastRow="0" w:firstColumn="1" w:lastColumn="0" w:noHBand="0" w:noVBand="1"/>
      </w:tblPr>
      <w:tblGrid>
        <w:gridCol w:w="2420"/>
        <w:gridCol w:w="1500"/>
        <w:gridCol w:w="2420"/>
        <w:gridCol w:w="1620"/>
      </w:tblGrid>
      <w:tr w:rsidR="00E92EC1" w:rsidRPr="00676CED" w14:paraId="7D82B269" w14:textId="77777777" w:rsidTr="00094E52">
        <w:trPr>
          <w:trHeight w:val="520"/>
          <w:jc w:val="center"/>
        </w:trPr>
        <w:tc>
          <w:tcPr>
            <w:tcW w:w="242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7A6D670" w14:textId="77777777" w:rsidR="00E92EC1" w:rsidRPr="00676CED" w:rsidRDefault="00E92EC1" w:rsidP="00A24CED">
            <w:pPr>
              <w:jc w:val="center"/>
              <w:rPr>
                <w:rFonts w:asciiTheme="minorHAnsi" w:hAnsiTheme="minorHAnsi" w:cstheme="minorHAnsi"/>
                <w:b/>
                <w:bCs/>
                <w:color w:val="FFFFFF"/>
                <w:sz w:val="18"/>
                <w:szCs w:val="18"/>
              </w:rPr>
            </w:pPr>
            <w:r w:rsidRPr="00676CED">
              <w:rPr>
                <w:rFonts w:asciiTheme="minorHAnsi" w:hAnsiTheme="minorHAnsi" w:cstheme="minorHAnsi"/>
                <w:b/>
                <w:bCs/>
                <w:color w:val="FFFFFF"/>
                <w:sz w:val="18"/>
                <w:szCs w:val="18"/>
              </w:rPr>
              <w:t xml:space="preserve">Entidades con </w:t>
            </w:r>
            <w:proofErr w:type="spellStart"/>
            <w:r w:rsidRPr="00676CED">
              <w:rPr>
                <w:rFonts w:asciiTheme="minorHAnsi" w:hAnsiTheme="minorHAnsi" w:cstheme="minorHAnsi"/>
                <w:b/>
                <w:bCs/>
                <w:color w:val="FFFFFF"/>
                <w:sz w:val="18"/>
                <w:szCs w:val="18"/>
              </w:rPr>
              <w:t>variación</w:t>
            </w:r>
            <w:proofErr w:type="spellEnd"/>
            <w:r w:rsidRPr="00676CED">
              <w:rPr>
                <w:rFonts w:asciiTheme="minorHAnsi" w:hAnsiTheme="minorHAnsi" w:cstheme="minorHAnsi"/>
                <w:b/>
                <w:bCs/>
                <w:color w:val="FFFFFF"/>
                <w:sz w:val="18"/>
                <w:szCs w:val="18"/>
              </w:rPr>
              <w:t xml:space="preserve"> por arriba del promedio nacional</w:t>
            </w:r>
          </w:p>
        </w:tc>
        <w:tc>
          <w:tcPr>
            <w:tcW w:w="1500" w:type="dxa"/>
            <w:tcBorders>
              <w:top w:val="single" w:sz="4" w:space="0" w:color="auto"/>
              <w:left w:val="nil"/>
              <w:bottom w:val="single" w:sz="4" w:space="0" w:color="auto"/>
              <w:right w:val="single" w:sz="4" w:space="0" w:color="auto"/>
            </w:tcBorders>
            <w:shd w:val="clear" w:color="auto" w:fill="AB0033"/>
            <w:vAlign w:val="center"/>
            <w:hideMark/>
          </w:tcPr>
          <w:p w14:paraId="567D731C" w14:textId="77777777" w:rsidR="00E92EC1" w:rsidRPr="00676CED" w:rsidRDefault="00E92EC1" w:rsidP="00A24CED">
            <w:pPr>
              <w:jc w:val="center"/>
              <w:rPr>
                <w:rFonts w:asciiTheme="minorHAnsi" w:hAnsiTheme="minorHAnsi" w:cstheme="minorHAnsi"/>
                <w:b/>
                <w:bCs/>
                <w:color w:val="FFFFFF"/>
                <w:sz w:val="18"/>
                <w:szCs w:val="18"/>
              </w:rPr>
            </w:pPr>
            <w:proofErr w:type="spellStart"/>
            <w:r w:rsidRPr="00676CED">
              <w:rPr>
                <w:rFonts w:asciiTheme="minorHAnsi" w:hAnsiTheme="minorHAnsi" w:cstheme="minorHAnsi"/>
                <w:b/>
                <w:bCs/>
                <w:color w:val="FFFFFF"/>
                <w:sz w:val="18"/>
                <w:szCs w:val="18"/>
              </w:rPr>
              <w:t>Variación</w:t>
            </w:r>
            <w:proofErr w:type="spellEnd"/>
            <w:r w:rsidRPr="00676CED">
              <w:rPr>
                <w:rFonts w:asciiTheme="minorHAnsi" w:hAnsiTheme="minorHAnsi" w:cstheme="minorHAnsi"/>
                <w:b/>
                <w:bCs/>
                <w:color w:val="FFFFFF"/>
                <w:sz w:val="18"/>
                <w:szCs w:val="18"/>
              </w:rPr>
              <w:t xml:space="preserve"> % quincenal</w:t>
            </w:r>
          </w:p>
        </w:tc>
        <w:tc>
          <w:tcPr>
            <w:tcW w:w="2420" w:type="dxa"/>
            <w:tcBorders>
              <w:top w:val="single" w:sz="4" w:space="0" w:color="auto"/>
              <w:left w:val="nil"/>
              <w:bottom w:val="single" w:sz="4" w:space="0" w:color="auto"/>
              <w:right w:val="single" w:sz="4" w:space="0" w:color="auto"/>
            </w:tcBorders>
            <w:shd w:val="clear" w:color="auto" w:fill="AB0033"/>
            <w:vAlign w:val="center"/>
            <w:hideMark/>
          </w:tcPr>
          <w:p w14:paraId="25B5CCB8" w14:textId="77777777" w:rsidR="00E92EC1" w:rsidRPr="00676CED" w:rsidRDefault="00E92EC1" w:rsidP="00A24CED">
            <w:pPr>
              <w:jc w:val="center"/>
              <w:rPr>
                <w:rFonts w:asciiTheme="minorHAnsi" w:hAnsiTheme="minorHAnsi" w:cstheme="minorHAnsi"/>
                <w:b/>
                <w:bCs/>
                <w:color w:val="FFFFFF"/>
                <w:sz w:val="18"/>
                <w:szCs w:val="18"/>
              </w:rPr>
            </w:pPr>
            <w:r w:rsidRPr="00676CED">
              <w:rPr>
                <w:rFonts w:asciiTheme="minorHAnsi" w:hAnsiTheme="minorHAnsi" w:cstheme="minorHAnsi"/>
                <w:b/>
                <w:bCs/>
                <w:color w:val="FFFFFF"/>
                <w:sz w:val="18"/>
                <w:szCs w:val="18"/>
              </w:rPr>
              <w:t xml:space="preserve">Entidades con </w:t>
            </w:r>
            <w:proofErr w:type="spellStart"/>
            <w:r w:rsidRPr="00676CED">
              <w:rPr>
                <w:rFonts w:asciiTheme="minorHAnsi" w:hAnsiTheme="minorHAnsi" w:cstheme="minorHAnsi"/>
                <w:b/>
                <w:bCs/>
                <w:color w:val="FFFFFF"/>
                <w:sz w:val="18"/>
                <w:szCs w:val="18"/>
              </w:rPr>
              <w:t>variación</w:t>
            </w:r>
            <w:proofErr w:type="spellEnd"/>
            <w:r w:rsidRPr="00676CED">
              <w:rPr>
                <w:rFonts w:asciiTheme="minorHAnsi" w:hAnsiTheme="minorHAnsi" w:cstheme="minorHAnsi"/>
                <w:b/>
                <w:bCs/>
                <w:color w:val="FFFFFF"/>
                <w:sz w:val="18"/>
                <w:szCs w:val="18"/>
              </w:rPr>
              <w:t xml:space="preserve"> por debajo del promedio nacional</w:t>
            </w:r>
          </w:p>
        </w:tc>
        <w:tc>
          <w:tcPr>
            <w:tcW w:w="1620" w:type="dxa"/>
            <w:tcBorders>
              <w:top w:val="single" w:sz="4" w:space="0" w:color="auto"/>
              <w:left w:val="nil"/>
              <w:bottom w:val="single" w:sz="4" w:space="0" w:color="auto"/>
              <w:right w:val="single" w:sz="4" w:space="0" w:color="auto"/>
            </w:tcBorders>
            <w:shd w:val="clear" w:color="auto" w:fill="AB0033"/>
            <w:vAlign w:val="center"/>
            <w:hideMark/>
          </w:tcPr>
          <w:p w14:paraId="4A7B76A0" w14:textId="77777777" w:rsidR="00E92EC1" w:rsidRPr="00676CED" w:rsidRDefault="00E92EC1" w:rsidP="00A24CED">
            <w:pPr>
              <w:jc w:val="center"/>
              <w:rPr>
                <w:rFonts w:asciiTheme="minorHAnsi" w:hAnsiTheme="minorHAnsi" w:cstheme="minorHAnsi"/>
                <w:b/>
                <w:bCs/>
                <w:color w:val="FFFFFF"/>
                <w:sz w:val="18"/>
                <w:szCs w:val="18"/>
              </w:rPr>
            </w:pPr>
            <w:proofErr w:type="spellStart"/>
            <w:r w:rsidRPr="00676CED">
              <w:rPr>
                <w:rFonts w:asciiTheme="minorHAnsi" w:hAnsiTheme="minorHAnsi" w:cstheme="minorHAnsi"/>
                <w:b/>
                <w:bCs/>
                <w:color w:val="FFFFFF"/>
                <w:sz w:val="18"/>
                <w:szCs w:val="18"/>
              </w:rPr>
              <w:t>Variación</w:t>
            </w:r>
            <w:proofErr w:type="spellEnd"/>
            <w:r w:rsidRPr="00676CED">
              <w:rPr>
                <w:rFonts w:asciiTheme="minorHAnsi" w:hAnsiTheme="minorHAnsi" w:cstheme="minorHAnsi"/>
                <w:b/>
                <w:bCs/>
                <w:color w:val="FFFFFF"/>
                <w:sz w:val="18"/>
                <w:szCs w:val="18"/>
              </w:rPr>
              <w:t xml:space="preserve"> % quincenal</w:t>
            </w:r>
          </w:p>
        </w:tc>
      </w:tr>
      <w:tr w:rsidR="00E92EC1" w:rsidRPr="00676CED" w14:paraId="6953AC1C" w14:textId="77777777" w:rsidTr="00A24CED">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A0361A1"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Campeche </w:t>
            </w:r>
          </w:p>
        </w:tc>
        <w:tc>
          <w:tcPr>
            <w:tcW w:w="1500" w:type="dxa"/>
            <w:tcBorders>
              <w:top w:val="nil"/>
              <w:left w:val="nil"/>
              <w:bottom w:val="single" w:sz="4" w:space="0" w:color="auto"/>
              <w:right w:val="single" w:sz="4" w:space="0" w:color="auto"/>
            </w:tcBorders>
            <w:shd w:val="clear" w:color="auto" w:fill="auto"/>
            <w:noWrap/>
            <w:vAlign w:val="bottom"/>
            <w:hideMark/>
          </w:tcPr>
          <w:p w14:paraId="0EC51E28"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0.99</w:t>
            </w:r>
          </w:p>
        </w:tc>
        <w:tc>
          <w:tcPr>
            <w:tcW w:w="2420" w:type="dxa"/>
            <w:tcBorders>
              <w:top w:val="nil"/>
              <w:left w:val="nil"/>
              <w:bottom w:val="single" w:sz="4" w:space="0" w:color="auto"/>
              <w:right w:val="single" w:sz="4" w:space="0" w:color="auto"/>
            </w:tcBorders>
            <w:shd w:val="clear" w:color="auto" w:fill="auto"/>
            <w:noWrap/>
            <w:vAlign w:val="bottom"/>
            <w:hideMark/>
          </w:tcPr>
          <w:p w14:paraId="3B228EA4"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Chiapas</w:t>
            </w:r>
          </w:p>
        </w:tc>
        <w:tc>
          <w:tcPr>
            <w:tcW w:w="1620" w:type="dxa"/>
            <w:tcBorders>
              <w:top w:val="nil"/>
              <w:left w:val="nil"/>
              <w:bottom w:val="single" w:sz="4" w:space="0" w:color="auto"/>
              <w:right w:val="single" w:sz="4" w:space="0" w:color="auto"/>
            </w:tcBorders>
            <w:shd w:val="clear" w:color="auto" w:fill="auto"/>
            <w:noWrap/>
            <w:vAlign w:val="bottom"/>
            <w:hideMark/>
          </w:tcPr>
          <w:p w14:paraId="37C70691"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-0.16</w:t>
            </w:r>
          </w:p>
        </w:tc>
      </w:tr>
      <w:tr w:rsidR="00E92EC1" w:rsidRPr="00676CED" w14:paraId="0D07D42F" w14:textId="77777777" w:rsidTr="00A24CED">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9FE9A4B"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Tlaxcala </w:t>
            </w:r>
          </w:p>
        </w:tc>
        <w:tc>
          <w:tcPr>
            <w:tcW w:w="1500" w:type="dxa"/>
            <w:tcBorders>
              <w:top w:val="nil"/>
              <w:left w:val="nil"/>
              <w:bottom w:val="single" w:sz="4" w:space="0" w:color="auto"/>
              <w:right w:val="single" w:sz="4" w:space="0" w:color="auto"/>
            </w:tcBorders>
            <w:shd w:val="clear" w:color="auto" w:fill="auto"/>
            <w:noWrap/>
            <w:vAlign w:val="bottom"/>
            <w:hideMark/>
          </w:tcPr>
          <w:p w14:paraId="47720D35"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0.82</w:t>
            </w:r>
          </w:p>
        </w:tc>
        <w:tc>
          <w:tcPr>
            <w:tcW w:w="2420" w:type="dxa"/>
            <w:tcBorders>
              <w:top w:val="nil"/>
              <w:left w:val="nil"/>
              <w:bottom w:val="single" w:sz="4" w:space="0" w:color="auto"/>
              <w:right w:val="single" w:sz="4" w:space="0" w:color="auto"/>
            </w:tcBorders>
            <w:shd w:val="clear" w:color="auto" w:fill="auto"/>
            <w:noWrap/>
            <w:vAlign w:val="bottom"/>
            <w:hideMark/>
          </w:tcPr>
          <w:p w14:paraId="7D717B8C"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San Luis Potosí</w:t>
            </w:r>
          </w:p>
        </w:tc>
        <w:tc>
          <w:tcPr>
            <w:tcW w:w="1620" w:type="dxa"/>
            <w:tcBorders>
              <w:top w:val="nil"/>
              <w:left w:val="nil"/>
              <w:bottom w:val="single" w:sz="4" w:space="0" w:color="auto"/>
              <w:right w:val="single" w:sz="4" w:space="0" w:color="auto"/>
            </w:tcBorders>
            <w:shd w:val="clear" w:color="auto" w:fill="auto"/>
            <w:noWrap/>
            <w:vAlign w:val="bottom"/>
            <w:hideMark/>
          </w:tcPr>
          <w:p w14:paraId="059DAD23"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-0.03</w:t>
            </w:r>
          </w:p>
        </w:tc>
      </w:tr>
      <w:tr w:rsidR="00E92EC1" w:rsidRPr="00676CED" w14:paraId="252F995D" w14:textId="77777777" w:rsidTr="00A24CED">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063D8F5"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Aguascalientes </w:t>
            </w:r>
          </w:p>
        </w:tc>
        <w:tc>
          <w:tcPr>
            <w:tcW w:w="1500" w:type="dxa"/>
            <w:tcBorders>
              <w:top w:val="nil"/>
              <w:left w:val="nil"/>
              <w:bottom w:val="single" w:sz="4" w:space="0" w:color="auto"/>
              <w:right w:val="single" w:sz="4" w:space="0" w:color="auto"/>
            </w:tcBorders>
            <w:shd w:val="clear" w:color="auto" w:fill="auto"/>
            <w:noWrap/>
            <w:vAlign w:val="bottom"/>
            <w:hideMark/>
          </w:tcPr>
          <w:p w14:paraId="1186E63B"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0.69</w:t>
            </w:r>
          </w:p>
        </w:tc>
        <w:tc>
          <w:tcPr>
            <w:tcW w:w="2420" w:type="dxa"/>
            <w:tcBorders>
              <w:top w:val="nil"/>
              <w:left w:val="nil"/>
              <w:bottom w:val="single" w:sz="4" w:space="0" w:color="auto"/>
              <w:right w:val="single" w:sz="4" w:space="0" w:color="auto"/>
            </w:tcBorders>
            <w:shd w:val="clear" w:color="auto" w:fill="auto"/>
            <w:noWrap/>
            <w:vAlign w:val="bottom"/>
            <w:hideMark/>
          </w:tcPr>
          <w:p w14:paraId="7F3B13E3"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Sonora</w:t>
            </w:r>
          </w:p>
        </w:tc>
        <w:tc>
          <w:tcPr>
            <w:tcW w:w="1620" w:type="dxa"/>
            <w:tcBorders>
              <w:top w:val="nil"/>
              <w:left w:val="nil"/>
              <w:bottom w:val="single" w:sz="4" w:space="0" w:color="auto"/>
              <w:right w:val="single" w:sz="4" w:space="0" w:color="auto"/>
            </w:tcBorders>
            <w:shd w:val="clear" w:color="auto" w:fill="auto"/>
            <w:noWrap/>
            <w:vAlign w:val="bottom"/>
            <w:hideMark/>
          </w:tcPr>
          <w:p w14:paraId="1876EB5A"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0.01</w:t>
            </w:r>
          </w:p>
        </w:tc>
      </w:tr>
      <w:tr w:rsidR="00E92EC1" w:rsidRPr="00676CED" w14:paraId="29C35C04" w14:textId="77777777" w:rsidTr="00A24CED">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E1B4B12"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Jalisco </w:t>
            </w:r>
          </w:p>
        </w:tc>
        <w:tc>
          <w:tcPr>
            <w:tcW w:w="1500" w:type="dxa"/>
            <w:tcBorders>
              <w:top w:val="nil"/>
              <w:left w:val="nil"/>
              <w:bottom w:val="single" w:sz="4" w:space="0" w:color="auto"/>
              <w:right w:val="single" w:sz="4" w:space="0" w:color="auto"/>
            </w:tcBorders>
            <w:shd w:val="clear" w:color="auto" w:fill="auto"/>
            <w:noWrap/>
            <w:vAlign w:val="bottom"/>
            <w:hideMark/>
          </w:tcPr>
          <w:p w14:paraId="681BB38C"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0.65</w:t>
            </w:r>
          </w:p>
        </w:tc>
        <w:tc>
          <w:tcPr>
            <w:tcW w:w="2420" w:type="dxa"/>
            <w:tcBorders>
              <w:top w:val="nil"/>
              <w:left w:val="nil"/>
              <w:bottom w:val="single" w:sz="4" w:space="0" w:color="auto"/>
              <w:right w:val="single" w:sz="4" w:space="0" w:color="auto"/>
            </w:tcBorders>
            <w:shd w:val="clear" w:color="auto" w:fill="auto"/>
            <w:noWrap/>
            <w:vAlign w:val="bottom"/>
            <w:hideMark/>
          </w:tcPr>
          <w:p w14:paraId="09C4030A" w14:textId="1605D0DE" w:rsidR="00E92EC1" w:rsidRPr="00676CED" w:rsidRDefault="00396A2F"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Querétaro</w:t>
            </w:r>
          </w:p>
        </w:tc>
        <w:tc>
          <w:tcPr>
            <w:tcW w:w="1620" w:type="dxa"/>
            <w:tcBorders>
              <w:top w:val="nil"/>
              <w:left w:val="nil"/>
              <w:bottom w:val="single" w:sz="4" w:space="0" w:color="auto"/>
              <w:right w:val="single" w:sz="4" w:space="0" w:color="auto"/>
            </w:tcBorders>
            <w:shd w:val="clear" w:color="auto" w:fill="auto"/>
            <w:noWrap/>
            <w:vAlign w:val="bottom"/>
            <w:hideMark/>
          </w:tcPr>
          <w:p w14:paraId="3FB54FCE"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0.10</w:t>
            </w:r>
          </w:p>
        </w:tc>
      </w:tr>
      <w:tr w:rsidR="00E92EC1" w:rsidRPr="00676CED" w14:paraId="0B7310DF" w14:textId="77777777" w:rsidTr="00A24CED">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6ADD88C"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Oaxaca </w:t>
            </w:r>
          </w:p>
        </w:tc>
        <w:tc>
          <w:tcPr>
            <w:tcW w:w="1500" w:type="dxa"/>
            <w:tcBorders>
              <w:top w:val="nil"/>
              <w:left w:val="nil"/>
              <w:bottom w:val="single" w:sz="4" w:space="0" w:color="auto"/>
              <w:right w:val="single" w:sz="4" w:space="0" w:color="auto"/>
            </w:tcBorders>
            <w:shd w:val="clear" w:color="auto" w:fill="auto"/>
            <w:noWrap/>
            <w:vAlign w:val="bottom"/>
            <w:hideMark/>
          </w:tcPr>
          <w:p w14:paraId="16595D8F"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0.64</w:t>
            </w:r>
          </w:p>
        </w:tc>
        <w:tc>
          <w:tcPr>
            <w:tcW w:w="2420" w:type="dxa"/>
            <w:tcBorders>
              <w:top w:val="nil"/>
              <w:left w:val="nil"/>
              <w:bottom w:val="single" w:sz="4" w:space="0" w:color="auto"/>
              <w:right w:val="single" w:sz="4" w:space="0" w:color="auto"/>
            </w:tcBorders>
            <w:shd w:val="clear" w:color="auto" w:fill="auto"/>
            <w:noWrap/>
            <w:vAlign w:val="bottom"/>
            <w:hideMark/>
          </w:tcPr>
          <w:p w14:paraId="7D670399" w14:textId="77777777" w:rsidR="00E92EC1" w:rsidRPr="00676CED" w:rsidRDefault="00E92EC1" w:rsidP="00A24CED">
            <w:pPr>
              <w:rPr>
                <w:rFonts w:asciiTheme="minorHAnsi" w:hAnsiTheme="minorHAnsi" w:cstheme="minorHAnsi"/>
                <w:color w:val="000000"/>
                <w:sz w:val="18"/>
                <w:szCs w:val="18"/>
              </w:rPr>
            </w:pPr>
            <w:r w:rsidRPr="00676CED">
              <w:rPr>
                <w:rFonts w:asciiTheme="minorHAnsi" w:hAnsiTheme="minorHAnsi" w:cstheme="minorHAnsi"/>
                <w:color w:val="000000"/>
                <w:sz w:val="18"/>
                <w:szCs w:val="18"/>
              </w:rPr>
              <w:t>Baja California</w:t>
            </w:r>
          </w:p>
        </w:tc>
        <w:tc>
          <w:tcPr>
            <w:tcW w:w="1620" w:type="dxa"/>
            <w:tcBorders>
              <w:top w:val="nil"/>
              <w:left w:val="nil"/>
              <w:bottom w:val="single" w:sz="4" w:space="0" w:color="auto"/>
              <w:right w:val="single" w:sz="4" w:space="0" w:color="auto"/>
            </w:tcBorders>
            <w:shd w:val="clear" w:color="auto" w:fill="auto"/>
            <w:noWrap/>
            <w:vAlign w:val="bottom"/>
            <w:hideMark/>
          </w:tcPr>
          <w:p w14:paraId="7401FDD0" w14:textId="77777777" w:rsidR="00E92EC1" w:rsidRPr="00676CED" w:rsidRDefault="00E92EC1" w:rsidP="00A24CED">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0.13</w:t>
            </w:r>
          </w:p>
        </w:tc>
      </w:tr>
    </w:tbl>
    <w:p w14:paraId="585AFBAC" w14:textId="77777777" w:rsidR="00E92EC1" w:rsidRPr="00676CED" w:rsidRDefault="00E92EC1" w:rsidP="00E92EC1">
      <w:pPr>
        <w:rPr>
          <w:rFonts w:asciiTheme="minorHAnsi" w:hAnsiTheme="minorHAnsi" w:cstheme="minorHAnsi"/>
          <w:b/>
          <w:bCs/>
          <w:sz w:val="14"/>
          <w:szCs w:val="14"/>
        </w:rPr>
      </w:pPr>
    </w:p>
    <w:p w14:paraId="3575EC52" w14:textId="77777777" w:rsidR="00E92EC1" w:rsidRPr="00676CED" w:rsidRDefault="00E92EC1" w:rsidP="00E92EC1">
      <w:pPr>
        <w:pStyle w:val="NormalWeb"/>
        <w:spacing w:before="0" w:beforeAutospacing="0" w:after="0" w:afterAutospacing="0"/>
        <w:ind w:left="426"/>
        <w:rPr>
          <w:rFonts w:asciiTheme="minorHAnsi" w:hAnsiTheme="minorHAnsi" w:cstheme="minorHAnsi"/>
          <w:sz w:val="14"/>
          <w:szCs w:val="14"/>
        </w:rPr>
      </w:pPr>
      <w:r w:rsidRPr="00676CED">
        <w:rPr>
          <w:rFonts w:asciiTheme="minorHAnsi" w:hAnsiTheme="minorHAnsi" w:cstheme="minorHAnsi"/>
          <w:sz w:val="14"/>
          <w:szCs w:val="14"/>
        </w:rPr>
        <w:t xml:space="preserve">* Las desagregaciones del INPC solo tienen valor informativo. </w:t>
      </w:r>
    </w:p>
    <w:p w14:paraId="07F7E2C7" w14:textId="77777777" w:rsidR="00E92EC1" w:rsidRPr="00676CED" w:rsidRDefault="00E92EC1" w:rsidP="00E92EC1">
      <w:pPr>
        <w:pStyle w:val="NormalWeb"/>
        <w:spacing w:before="0" w:beforeAutospacing="0"/>
        <w:ind w:left="426"/>
        <w:rPr>
          <w:rFonts w:asciiTheme="minorHAnsi" w:hAnsiTheme="minorHAnsi" w:cstheme="minorHAnsi"/>
          <w:sz w:val="14"/>
          <w:szCs w:val="14"/>
        </w:rPr>
      </w:pPr>
      <w:r w:rsidRPr="00676CED">
        <w:rPr>
          <w:rFonts w:asciiTheme="minorHAnsi" w:hAnsiTheme="minorHAnsi" w:cstheme="minorHAnsi"/>
          <w:sz w:val="14"/>
          <w:szCs w:val="14"/>
        </w:rPr>
        <w:t>Fuente: INEGI</w:t>
      </w:r>
    </w:p>
    <w:p w14:paraId="4BC3AFBA"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r w:rsidRPr="00E850D6">
        <w:rPr>
          <w:rFonts w:asciiTheme="minorHAnsi" w:hAnsiTheme="minorHAnsi" w:cstheme="minorHAnsi"/>
          <w:b/>
          <w:sz w:val="18"/>
          <w:szCs w:val="18"/>
        </w:rPr>
        <w:t>2.2.5.- Precio de la Mezcla Mexicana de Exportación de Petróleo.</w:t>
      </w:r>
    </w:p>
    <w:p w14:paraId="2D395EB1"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p>
    <w:p w14:paraId="0CF28A44" w14:textId="77777777" w:rsidR="00E92EC1" w:rsidRPr="00E850D6" w:rsidRDefault="00E92EC1" w:rsidP="00E92EC1">
      <w:pPr>
        <w:pStyle w:val="NormalWeb"/>
        <w:spacing w:before="0" w:beforeAutospacing="0" w:after="0" w:afterAutospacing="0"/>
        <w:jc w:val="both"/>
        <w:rPr>
          <w:rFonts w:asciiTheme="minorHAnsi" w:hAnsiTheme="minorHAnsi" w:cstheme="minorHAnsi"/>
          <w:bCs/>
          <w:sz w:val="18"/>
          <w:szCs w:val="18"/>
        </w:rPr>
      </w:pPr>
      <w:r w:rsidRPr="00E850D6">
        <w:rPr>
          <w:rFonts w:asciiTheme="minorHAnsi" w:hAnsiTheme="minorHAnsi" w:cstheme="minorHAnsi"/>
          <w:bCs/>
          <w:sz w:val="18"/>
          <w:szCs w:val="18"/>
        </w:rPr>
        <w:t xml:space="preserve">El ejercicio 2022 fue un año turbulento y de mucha volatilidad, en gran medida </w:t>
      </w:r>
      <w:proofErr w:type="gramStart"/>
      <w:r w:rsidRPr="00E850D6">
        <w:rPr>
          <w:rFonts w:asciiTheme="minorHAnsi" w:hAnsiTheme="minorHAnsi" w:cstheme="minorHAnsi"/>
          <w:bCs/>
          <w:sz w:val="18"/>
          <w:szCs w:val="18"/>
        </w:rPr>
        <w:t>provocada</w:t>
      </w:r>
      <w:proofErr w:type="gramEnd"/>
      <w:r w:rsidRPr="00E850D6">
        <w:rPr>
          <w:rFonts w:asciiTheme="minorHAnsi" w:hAnsiTheme="minorHAnsi" w:cstheme="minorHAnsi"/>
          <w:bCs/>
          <w:sz w:val="18"/>
          <w:szCs w:val="18"/>
        </w:rPr>
        <w:t xml:space="preserve"> por la guerra de Ucrania y por la demanda debilitada de China, luego de su lucha contra el Covid-19. Al último día hábil, el precio del petróleo ganó para cerrar el 2022 con su última ganancia.</w:t>
      </w:r>
    </w:p>
    <w:p w14:paraId="4FAEFDA3"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p>
    <w:p w14:paraId="07453321" w14:textId="77777777" w:rsidR="00E92EC1" w:rsidRPr="00E850D6" w:rsidRDefault="00E92EC1" w:rsidP="00E92EC1">
      <w:pPr>
        <w:pStyle w:val="NormalWeb"/>
        <w:spacing w:before="0" w:beforeAutospacing="0" w:after="0" w:afterAutospacing="0"/>
        <w:jc w:val="both"/>
        <w:rPr>
          <w:rFonts w:asciiTheme="minorHAnsi" w:hAnsiTheme="minorHAnsi" w:cstheme="minorHAnsi"/>
          <w:bCs/>
          <w:sz w:val="18"/>
          <w:szCs w:val="18"/>
        </w:rPr>
      </w:pPr>
      <w:r w:rsidRPr="00E850D6">
        <w:rPr>
          <w:rFonts w:asciiTheme="minorHAnsi" w:hAnsiTheme="minorHAnsi" w:cstheme="minorHAnsi"/>
          <w:bCs/>
          <w:sz w:val="18"/>
          <w:szCs w:val="18"/>
        </w:rPr>
        <w:t>El petróleo Brent subió 0.7% para cerrar en $84.01 dólares por barril, mientras que el WTI cayó dos centavos y cerró en $78.38 dólares por barril. Por su parte, la mezcla mexicana de petróleo perdió 0.96% y cerró en $67.32 dólares por barril.</w:t>
      </w:r>
    </w:p>
    <w:p w14:paraId="04C73576" w14:textId="77777777" w:rsidR="00E92EC1" w:rsidRPr="00E850D6" w:rsidRDefault="00E92EC1" w:rsidP="00E92EC1">
      <w:pPr>
        <w:pStyle w:val="NormalWeb"/>
        <w:spacing w:before="0" w:beforeAutospacing="0" w:after="0" w:afterAutospacing="0"/>
        <w:jc w:val="both"/>
        <w:rPr>
          <w:rFonts w:asciiTheme="minorHAnsi" w:hAnsiTheme="minorHAnsi" w:cstheme="minorHAnsi"/>
          <w:bCs/>
          <w:sz w:val="18"/>
          <w:szCs w:val="18"/>
        </w:rPr>
      </w:pPr>
    </w:p>
    <w:p w14:paraId="695A9362" w14:textId="77777777" w:rsidR="00E92EC1" w:rsidRPr="00E850D6" w:rsidRDefault="00E92EC1" w:rsidP="00E92EC1">
      <w:pPr>
        <w:pStyle w:val="NormalWeb"/>
        <w:spacing w:before="0" w:beforeAutospacing="0" w:after="0" w:afterAutospacing="0"/>
        <w:jc w:val="both"/>
        <w:rPr>
          <w:rFonts w:asciiTheme="minorHAnsi" w:hAnsiTheme="minorHAnsi" w:cstheme="minorHAnsi"/>
          <w:bCs/>
          <w:sz w:val="18"/>
          <w:szCs w:val="18"/>
        </w:rPr>
      </w:pPr>
      <w:r w:rsidRPr="00E850D6">
        <w:rPr>
          <w:rFonts w:asciiTheme="minorHAnsi" w:hAnsiTheme="minorHAnsi" w:cstheme="minorHAnsi"/>
          <w:bCs/>
          <w:sz w:val="18"/>
          <w:szCs w:val="18"/>
        </w:rPr>
        <w:lastRenderedPageBreak/>
        <w:t>Sobre este tema, la SHCP confirmó que se contrataron las coberturas petroleras para 2023, blindando los ingresos de Pemex por la exportación de crudo, y los del gobierno federal también, el precio contratado fue de 68.70 dólares por barril y protege el precio de entre 200 y 300 millones de barriles de petróleo de exportación.</w:t>
      </w:r>
    </w:p>
    <w:p w14:paraId="52D4F430" w14:textId="77777777" w:rsidR="00E92EC1" w:rsidRPr="00E850D6" w:rsidRDefault="00E92EC1" w:rsidP="00E92EC1">
      <w:pPr>
        <w:pStyle w:val="NormalWeb"/>
        <w:jc w:val="both"/>
        <w:rPr>
          <w:rFonts w:asciiTheme="minorHAnsi" w:hAnsiTheme="minorHAnsi" w:cstheme="minorHAnsi"/>
          <w:bCs/>
          <w:sz w:val="18"/>
          <w:szCs w:val="18"/>
        </w:rPr>
      </w:pPr>
      <w:r w:rsidRPr="00E850D6">
        <w:rPr>
          <w:rFonts w:asciiTheme="minorHAnsi" w:hAnsiTheme="minorHAnsi" w:cstheme="minorHAnsi"/>
          <w:bCs/>
          <w:sz w:val="18"/>
          <w:szCs w:val="18"/>
        </w:rPr>
        <w:t>En relación a la operación de Pemex, esta se ha beneficiado de los altos precios que registra la mezcla mexicana de exportación en este 2022, lo cual le reporta un fuerte incremento en sus ingresos, y dado que sigue arrastrando una considerable deuda externa, el gobierno federal a través de la SHCP la sigue apoyando, otorgándole importantes apoyos presupuestales para sanear sus finanzas internas.</w:t>
      </w:r>
    </w:p>
    <w:p w14:paraId="4EA8AA41" w14:textId="77777777" w:rsidR="00E92EC1" w:rsidRPr="00E850D6" w:rsidRDefault="00E92EC1" w:rsidP="00E92EC1">
      <w:pPr>
        <w:pStyle w:val="NormalWeb"/>
        <w:jc w:val="both"/>
        <w:rPr>
          <w:rFonts w:asciiTheme="minorHAnsi" w:hAnsiTheme="minorHAnsi" w:cstheme="minorHAnsi"/>
          <w:bCs/>
          <w:sz w:val="18"/>
          <w:szCs w:val="18"/>
        </w:rPr>
      </w:pPr>
      <w:r w:rsidRPr="00E850D6">
        <w:rPr>
          <w:rFonts w:asciiTheme="minorHAnsi" w:hAnsiTheme="minorHAnsi" w:cstheme="minorHAnsi"/>
          <w:bCs/>
          <w:sz w:val="18"/>
          <w:szCs w:val="18"/>
        </w:rPr>
        <w:t>Pero si bien la vacunación global empujó la recuperación de la economía mundial, y con ello también a los precios del barriles de petróleo mexicano de exportación, marcando precios máximos de cierre en la segunda parte del 2021, la invasión de Rusia en Ucrania en febrero del 2022, catapultó lo precios aún más, acercándose a los 120 dólares por barril el 08 de Marzo del 2022, mes el cual terminaría en 98 dólares por barril.</w:t>
      </w:r>
    </w:p>
    <w:p w14:paraId="6133B2B7" w14:textId="77777777" w:rsidR="00C97B78" w:rsidRPr="00E850D6" w:rsidRDefault="00C97B78" w:rsidP="00E92EC1">
      <w:pPr>
        <w:jc w:val="both"/>
        <w:rPr>
          <w:rFonts w:asciiTheme="minorHAnsi" w:hAnsiTheme="minorHAnsi" w:cstheme="minorHAnsi"/>
          <w:b/>
          <w:sz w:val="18"/>
          <w:szCs w:val="18"/>
        </w:rPr>
      </w:pPr>
    </w:p>
    <w:p w14:paraId="37987121" w14:textId="7197A221" w:rsidR="00E92EC1" w:rsidRPr="00E850D6" w:rsidRDefault="00E92EC1" w:rsidP="00E92EC1">
      <w:pPr>
        <w:jc w:val="both"/>
        <w:rPr>
          <w:rFonts w:asciiTheme="minorHAnsi" w:hAnsiTheme="minorHAnsi" w:cstheme="minorHAnsi"/>
          <w:b/>
          <w:sz w:val="18"/>
          <w:szCs w:val="18"/>
        </w:rPr>
      </w:pPr>
      <w:r w:rsidRPr="00E850D6">
        <w:rPr>
          <w:rFonts w:asciiTheme="minorHAnsi" w:hAnsiTheme="minorHAnsi" w:cstheme="minorHAnsi"/>
          <w:b/>
          <w:sz w:val="18"/>
          <w:szCs w:val="18"/>
        </w:rPr>
        <w:t>Tipos de crudo en México</w:t>
      </w:r>
    </w:p>
    <w:p w14:paraId="2ED89B04" w14:textId="24026972"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De acuerdo con indicadores de Pemex, de la producción petrolera en el país, el 54% es </w:t>
      </w:r>
      <w:proofErr w:type="gramStart"/>
      <w:r w:rsidRPr="00E850D6">
        <w:rPr>
          <w:rFonts w:asciiTheme="minorHAnsi" w:hAnsiTheme="minorHAnsi" w:cstheme="minorHAnsi"/>
          <w:bCs/>
          <w:sz w:val="18"/>
          <w:szCs w:val="18"/>
        </w:rPr>
        <w:t>considerada</w:t>
      </w:r>
      <w:proofErr w:type="gramEnd"/>
      <w:r w:rsidRPr="00E850D6">
        <w:rPr>
          <w:rFonts w:asciiTheme="minorHAnsi" w:hAnsiTheme="minorHAnsi" w:cstheme="minorHAnsi"/>
          <w:bCs/>
          <w:sz w:val="18"/>
          <w:szCs w:val="18"/>
        </w:rPr>
        <w:t xml:space="preserve"> como crudo pesado (Maya), el 33% como ligero (Istmo) y el 12% restante corresponde a crudo </w:t>
      </w:r>
      <w:proofErr w:type="spellStart"/>
      <w:r w:rsidRPr="00E850D6">
        <w:rPr>
          <w:rFonts w:asciiTheme="minorHAnsi" w:hAnsiTheme="minorHAnsi" w:cstheme="minorHAnsi"/>
          <w:bCs/>
          <w:sz w:val="18"/>
          <w:szCs w:val="18"/>
        </w:rPr>
        <w:t>superligero</w:t>
      </w:r>
      <w:proofErr w:type="spellEnd"/>
      <w:r w:rsidRPr="00E850D6">
        <w:rPr>
          <w:rFonts w:asciiTheme="minorHAnsi" w:hAnsiTheme="minorHAnsi" w:cstheme="minorHAnsi"/>
          <w:bCs/>
          <w:sz w:val="18"/>
          <w:szCs w:val="18"/>
        </w:rPr>
        <w:t xml:space="preserve"> (Olmeca).</w:t>
      </w:r>
    </w:p>
    <w:p w14:paraId="4470F5B9" w14:textId="28AA300F"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Se considera que la mezcla Maya es la más competitiva de las mexicanas al ser la de mayor exportación, además de utilizarse como mezcla sustituta de las otras dos. Por tratarse de un crudo "pesado" tiene un menor rendimiento en la producción de gasolinas y </w:t>
      </w:r>
      <w:proofErr w:type="spellStart"/>
      <w:r w:rsidRPr="00E850D6">
        <w:rPr>
          <w:rFonts w:asciiTheme="minorHAnsi" w:hAnsiTheme="minorHAnsi" w:cstheme="minorHAnsi"/>
          <w:bCs/>
          <w:sz w:val="18"/>
          <w:szCs w:val="18"/>
        </w:rPr>
        <w:t>diesel</w:t>
      </w:r>
      <w:proofErr w:type="spellEnd"/>
      <w:r w:rsidRPr="00E850D6">
        <w:rPr>
          <w:rFonts w:asciiTheme="minorHAnsi" w:hAnsiTheme="minorHAnsi" w:cstheme="minorHAnsi"/>
          <w:bCs/>
          <w:sz w:val="18"/>
          <w:szCs w:val="18"/>
        </w:rPr>
        <w:t>, sin embargo, gracias a esta característica, es la principal fuente de energía para la producción de energía para uso doméstico.</w:t>
      </w:r>
    </w:p>
    <w:p w14:paraId="69049AFD" w14:textId="6274749A"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El Istmo, al ser un crudo ligero, puede dar mayor rendimiento en la producción de gasolinas y destilados intermedios (productos derivados del petróleo que se obtienen en el intervalo "medio" de ebullición, entre 180°C y 360°C).</w:t>
      </w:r>
    </w:p>
    <w:p w14:paraId="4A0008B3" w14:textId="50A2B868"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La mezcla Olmeca está considerada como “extra ligera”, característica que la hace útil para la producción de lubricantes y petroquímicos.</w:t>
      </w:r>
    </w:p>
    <w:p w14:paraId="7613430A" w14:textId="6CFD6899" w:rsidR="00E92EC1" w:rsidRPr="00E850D6" w:rsidRDefault="00E92EC1" w:rsidP="00E92EC1">
      <w:pPr>
        <w:jc w:val="both"/>
        <w:rPr>
          <w:rFonts w:asciiTheme="minorHAnsi" w:hAnsiTheme="minorHAnsi" w:cstheme="minorHAnsi"/>
          <w:b/>
          <w:sz w:val="18"/>
          <w:szCs w:val="18"/>
        </w:rPr>
      </w:pPr>
      <w:r w:rsidRPr="00E850D6">
        <w:rPr>
          <w:rFonts w:asciiTheme="minorHAnsi" w:hAnsiTheme="minorHAnsi" w:cstheme="minorHAnsi"/>
          <w:b/>
          <w:sz w:val="18"/>
          <w:szCs w:val="18"/>
        </w:rPr>
        <w:t>2.2.6.- Remesas recibidas de los paisanos que trabajan en el extranjero.</w:t>
      </w:r>
    </w:p>
    <w:p w14:paraId="7EE7B83F" w14:textId="10717E0D"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Las remesas contribuyen a la macroeconomía de las naciones a donde son enviadas, impactando en el consumo global. A nivel microeconómico, en la economía del hogar, ayudan a las familias que las reciben en sus gastos cotidianos.</w:t>
      </w:r>
    </w:p>
    <w:p w14:paraId="4634E422" w14:textId="7A7C5FBB"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La principal fuente de ingresos al país fueron las remesas recibidas desde el extranjero, pero prevé una afectación negativa ante el aumento de la tasa de desempleo en Estados Unidos.</w:t>
      </w:r>
    </w:p>
    <w:p w14:paraId="634EACBD" w14:textId="66C89953" w:rsidR="00E92EC1" w:rsidRPr="00E850D6" w:rsidRDefault="00E92EC1" w:rsidP="00192CDA">
      <w:pPr>
        <w:ind w:left="708" w:hanging="708"/>
        <w:jc w:val="both"/>
        <w:rPr>
          <w:rFonts w:asciiTheme="minorHAnsi" w:hAnsiTheme="minorHAnsi" w:cstheme="minorHAnsi"/>
          <w:bCs/>
          <w:sz w:val="18"/>
          <w:szCs w:val="18"/>
        </w:rPr>
      </w:pPr>
      <w:r w:rsidRPr="00E850D6">
        <w:rPr>
          <w:rFonts w:asciiTheme="minorHAnsi" w:hAnsiTheme="minorHAnsi" w:cstheme="minorHAnsi"/>
          <w:bCs/>
          <w:sz w:val="18"/>
          <w:szCs w:val="18"/>
        </w:rPr>
        <w:t>México ha podido mantener una importante estabilidad en materia económica, así como una recuperación en varios ámbitos luego de diversos acontecimientos mundiales que provocaron importantes alteraciones. Uno de los pilares que durante 2022 fue clave para la economía nacional fue la cantidad histórica de remesas que se recibieron desde el extranjero, un nuevo récord que sólo en 11 meses superó cualquier año previo.</w:t>
      </w:r>
    </w:p>
    <w:p w14:paraId="5C45AB58" w14:textId="77777777"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No obstante, y a pesar de que son múltiples los indicadores que dan muestra de un fortalecimiento respecto a los dos años anteriores, el país lidió con la inflación como el principal reto. Debido al impacto que tiene directamente sobre los bolsillos de las familias mexicanas, el aumento en los precios de bienes y servicios fue el problema central que las autoridades debieron gestionar y que, para 2023, se mantendrá en esta misma condición.</w:t>
      </w:r>
    </w:p>
    <w:p w14:paraId="6E016DE1" w14:textId="3CE11A9A"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En relación al dinero enviado desde el extranjero, el Banco de México calcula que se han recibido más de 53 mil millones de dólares (</w:t>
      </w:r>
      <w:proofErr w:type="spellStart"/>
      <w:r w:rsidRPr="00E850D6">
        <w:rPr>
          <w:rFonts w:asciiTheme="minorHAnsi" w:hAnsiTheme="minorHAnsi" w:cstheme="minorHAnsi"/>
          <w:bCs/>
          <w:sz w:val="18"/>
          <w:szCs w:val="18"/>
        </w:rPr>
        <w:t>mmdd</w:t>
      </w:r>
      <w:proofErr w:type="spellEnd"/>
      <w:r w:rsidRPr="00E850D6">
        <w:rPr>
          <w:rFonts w:asciiTheme="minorHAnsi" w:hAnsiTheme="minorHAnsi" w:cstheme="minorHAnsi"/>
          <w:bCs/>
          <w:sz w:val="18"/>
          <w:szCs w:val="18"/>
        </w:rPr>
        <w:t xml:space="preserve">) de enero a noviembre de 2022. Con ello, se ha superado el máximo histórico de 51.5 </w:t>
      </w:r>
      <w:proofErr w:type="spellStart"/>
      <w:r w:rsidRPr="00E850D6">
        <w:rPr>
          <w:rFonts w:asciiTheme="minorHAnsi" w:hAnsiTheme="minorHAnsi" w:cstheme="minorHAnsi"/>
          <w:bCs/>
          <w:sz w:val="18"/>
          <w:szCs w:val="18"/>
        </w:rPr>
        <w:t>mmdd</w:t>
      </w:r>
      <w:proofErr w:type="spellEnd"/>
      <w:r w:rsidRPr="00E850D6">
        <w:rPr>
          <w:rFonts w:asciiTheme="minorHAnsi" w:hAnsiTheme="minorHAnsi" w:cstheme="minorHAnsi"/>
          <w:bCs/>
          <w:sz w:val="18"/>
          <w:szCs w:val="18"/>
        </w:rPr>
        <w:t xml:space="preserve"> registrado durante </w:t>
      </w:r>
      <w:r w:rsidRPr="00E850D6">
        <w:rPr>
          <w:rFonts w:asciiTheme="minorHAnsi" w:hAnsiTheme="minorHAnsi" w:cstheme="minorHAnsi"/>
          <w:bCs/>
          <w:sz w:val="18"/>
          <w:szCs w:val="18"/>
        </w:rPr>
        <w:lastRenderedPageBreak/>
        <w:t xml:space="preserve">2021. Sin embargo, con diciembre aún por contabilizar la cifra se acercará a los 60 </w:t>
      </w:r>
      <w:proofErr w:type="spellStart"/>
      <w:r w:rsidRPr="00E850D6">
        <w:rPr>
          <w:rFonts w:asciiTheme="minorHAnsi" w:hAnsiTheme="minorHAnsi" w:cstheme="minorHAnsi"/>
          <w:bCs/>
          <w:sz w:val="18"/>
          <w:szCs w:val="18"/>
        </w:rPr>
        <w:t>mmdd</w:t>
      </w:r>
      <w:proofErr w:type="spellEnd"/>
      <w:r w:rsidRPr="00E850D6">
        <w:rPr>
          <w:rFonts w:asciiTheme="minorHAnsi" w:hAnsiTheme="minorHAnsi" w:cstheme="minorHAnsi"/>
          <w:bCs/>
          <w:sz w:val="18"/>
          <w:szCs w:val="18"/>
        </w:rPr>
        <w:t>, algo nunca antes visto en la economía mexicana.</w:t>
      </w:r>
    </w:p>
    <w:p w14:paraId="260B4BFE" w14:textId="4E8C1E4D"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r w:rsidRPr="00E850D6">
        <w:rPr>
          <w:rFonts w:asciiTheme="minorHAnsi" w:hAnsiTheme="minorHAnsi" w:cstheme="minorHAnsi"/>
          <w:b/>
          <w:sz w:val="18"/>
          <w:szCs w:val="18"/>
        </w:rPr>
        <w:t>2.2.7.- Bolsa Mexicana de Valores y Bolsa Institucional de Valores.</w:t>
      </w:r>
    </w:p>
    <w:p w14:paraId="70735666" w14:textId="77777777" w:rsidR="00291DC2" w:rsidRPr="00E850D6" w:rsidRDefault="00291DC2" w:rsidP="00E92EC1">
      <w:pPr>
        <w:pStyle w:val="NormalWeb"/>
        <w:spacing w:before="0" w:beforeAutospacing="0" w:after="0" w:afterAutospacing="0"/>
        <w:jc w:val="both"/>
        <w:rPr>
          <w:rFonts w:asciiTheme="minorHAnsi" w:hAnsiTheme="minorHAnsi" w:cstheme="minorHAnsi"/>
          <w:b/>
          <w:sz w:val="18"/>
          <w:szCs w:val="18"/>
        </w:rPr>
      </w:pPr>
    </w:p>
    <w:p w14:paraId="3227D623" w14:textId="59BCD917"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 xml:space="preserve">En un año marcado por las políticas restrictivas de los bancos centrales, por la inflación y la incertidumbre ante el conflicto ruso en Ucrania y el aumento de contagios de </w:t>
      </w:r>
      <w:proofErr w:type="spellStart"/>
      <w:r w:rsidRPr="00E850D6">
        <w:rPr>
          <w:rFonts w:asciiTheme="minorHAnsi" w:hAnsiTheme="minorHAnsi" w:cstheme="minorHAnsi"/>
          <w:bCs/>
          <w:sz w:val="18"/>
          <w:szCs w:val="18"/>
        </w:rPr>
        <w:t>covid</w:t>
      </w:r>
      <w:proofErr w:type="spellEnd"/>
      <w:r w:rsidRPr="00E850D6">
        <w:rPr>
          <w:rFonts w:asciiTheme="minorHAnsi" w:hAnsiTheme="minorHAnsi" w:cstheme="minorHAnsi"/>
          <w:bCs/>
          <w:sz w:val="18"/>
          <w:szCs w:val="18"/>
        </w:rPr>
        <w:t xml:space="preserve"> en China, la Bolsa Mexicana de Valores ha seguido la estela de las grandes Bolsas mundiales, que se han teñido de rojo, y concluye 2022 con una caída del 9%, su peor resultado desde 2018, año en que su pérdida fue del 15%, y el éxodo de empresas. </w:t>
      </w:r>
    </w:p>
    <w:p w14:paraId="10A46423" w14:textId="677A4BDA" w:rsidR="00E92EC1" w:rsidRPr="00E850D6" w:rsidRDefault="00E92EC1" w:rsidP="00E92EC1">
      <w:pPr>
        <w:jc w:val="both"/>
        <w:rPr>
          <w:rFonts w:asciiTheme="minorHAnsi" w:hAnsiTheme="minorHAnsi" w:cstheme="minorHAnsi"/>
          <w:bCs/>
          <w:sz w:val="18"/>
          <w:szCs w:val="18"/>
        </w:rPr>
      </w:pPr>
      <w:r w:rsidRPr="00E850D6">
        <w:rPr>
          <w:rFonts w:asciiTheme="minorHAnsi" w:hAnsiTheme="minorHAnsi" w:cstheme="minorHAnsi"/>
          <w:bCs/>
          <w:sz w:val="18"/>
          <w:szCs w:val="18"/>
        </w:rPr>
        <w:t>El índice IPC de la Bolsa Mexicana de Valores (BMV) —integrado por las 36 firmas más líquidas del mercado doméstico cerró con 48.463,8 puntos, un 9% menos respecto a las 53.175,2 unidades reportadas el 30 de diciembre de 2021.</w:t>
      </w:r>
    </w:p>
    <w:p w14:paraId="0DA2504F" w14:textId="77777777" w:rsidR="00E92EC1" w:rsidRPr="00E850D6" w:rsidRDefault="00E92EC1" w:rsidP="00E92EC1">
      <w:pPr>
        <w:pStyle w:val="NormalWeb"/>
        <w:spacing w:before="0" w:beforeAutospacing="0" w:after="0" w:afterAutospacing="0"/>
        <w:jc w:val="both"/>
        <w:rPr>
          <w:rFonts w:asciiTheme="minorHAnsi" w:hAnsiTheme="minorHAnsi" w:cstheme="minorHAnsi"/>
          <w:b/>
          <w:sz w:val="18"/>
          <w:szCs w:val="18"/>
        </w:rPr>
      </w:pPr>
      <w:r w:rsidRPr="00E850D6">
        <w:rPr>
          <w:rFonts w:asciiTheme="minorHAnsi" w:hAnsiTheme="minorHAnsi" w:cstheme="minorHAnsi"/>
          <w:b/>
          <w:sz w:val="18"/>
          <w:szCs w:val="18"/>
        </w:rPr>
        <w:t xml:space="preserve">2.3.- Escenario Económico Estatal al cierre del cuarto trimestre del 2022. </w:t>
      </w:r>
    </w:p>
    <w:p w14:paraId="26EFA604" w14:textId="77777777" w:rsidR="00E92EC1" w:rsidRPr="00E850D6" w:rsidRDefault="00E92EC1" w:rsidP="00E92EC1">
      <w:pPr>
        <w:jc w:val="both"/>
        <w:rPr>
          <w:rFonts w:asciiTheme="minorHAnsi" w:hAnsiTheme="minorHAnsi" w:cstheme="minorHAnsi"/>
          <w:b/>
          <w:bCs/>
          <w:sz w:val="18"/>
          <w:szCs w:val="18"/>
        </w:rPr>
      </w:pPr>
      <w:r w:rsidRPr="00E850D6">
        <w:rPr>
          <w:rFonts w:asciiTheme="minorHAnsi" w:hAnsiTheme="minorHAnsi" w:cstheme="minorHAnsi"/>
          <w:b/>
          <w:bCs/>
          <w:sz w:val="18"/>
          <w:szCs w:val="18"/>
        </w:rPr>
        <w:t>2.3.1. Tamaulipas y la frontera norte, fortaleza del comercio exterior de México.</w:t>
      </w:r>
    </w:p>
    <w:p w14:paraId="44D02DEE" w14:textId="5FB2BFF0"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Tamaulipas es una entidad federativa ubicada en la frontera norte del país, con una extensión territorial de 80,249 kilómetros cuadrados, comparte con los Estados Unidos de América una frontera común de 370 kilómetros con el Estado de Texas, colinda también con los Estados de Nuevo León, Veracruz y San Luis Potosí, además cuenta con un litoral de 433 kilómetros con el Golfo de México, que incluye la operación de los Puertos de Tampico, Altamira y Matamoros.</w:t>
      </w:r>
    </w:p>
    <w:p w14:paraId="7C5E34BC" w14:textId="30A94206"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En el rubro de servicios de aeronavegación, Tamaulipas cuenta con los Aeropuertos internacionales de Tampico, Cd. Victoria, Matamoros, Reynosa y Nuevo Laredo.</w:t>
      </w:r>
    </w:p>
    <w:p w14:paraId="12AD4A96" w14:textId="7D6BEE7E"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En su importante relación comercial con los Estados Unidos, Tamaulipas comparte con el Estado de Texas un total de 18 cruces internacionales, de los cuales 9 son comerciales, 7 vehiculares y 2 ferroviarios.</w:t>
      </w:r>
    </w:p>
    <w:p w14:paraId="1D131C09" w14:textId="7777777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De acuerdo al último Censo de Población y Vivienda 2020 publicado por el INEGI, Tamaulipas cuenta con una población de 3.52 millones de habitantes, de los cuales un 61.3% está clasificada como población económicamente activa (PEA), ello considerando a un universo de población de 12 años y más. De este universo, un 40.3% son mujeres, y el restante 59.7% son hombres. </w:t>
      </w:r>
    </w:p>
    <w:p w14:paraId="3BA3399B" w14:textId="77777777" w:rsidR="00E92EC1" w:rsidRPr="00E850D6" w:rsidRDefault="00E92EC1" w:rsidP="00E92EC1">
      <w:pPr>
        <w:jc w:val="both"/>
        <w:rPr>
          <w:rFonts w:asciiTheme="minorHAnsi" w:hAnsiTheme="minorHAnsi" w:cstheme="minorHAnsi"/>
          <w:b/>
          <w:bCs/>
          <w:sz w:val="18"/>
          <w:szCs w:val="18"/>
        </w:rPr>
      </w:pPr>
      <w:r w:rsidRPr="00E850D6">
        <w:rPr>
          <w:rFonts w:asciiTheme="minorHAnsi" w:hAnsiTheme="minorHAnsi" w:cstheme="minorHAnsi"/>
          <w:b/>
          <w:bCs/>
          <w:sz w:val="18"/>
          <w:szCs w:val="18"/>
        </w:rPr>
        <w:t xml:space="preserve">2.3.2.- Captación de Inversión Extranjera Directa. (IED) </w:t>
      </w:r>
    </w:p>
    <w:p w14:paraId="65E9F612" w14:textId="78CCB07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Según el </w:t>
      </w:r>
      <w:r w:rsidR="00396A2F" w:rsidRPr="00E850D6">
        <w:rPr>
          <w:rFonts w:asciiTheme="minorHAnsi" w:hAnsiTheme="minorHAnsi" w:cstheme="minorHAnsi"/>
          <w:sz w:val="18"/>
          <w:szCs w:val="18"/>
        </w:rPr>
        <w:t>último</w:t>
      </w:r>
      <w:r w:rsidRPr="00E850D6">
        <w:rPr>
          <w:rFonts w:asciiTheme="minorHAnsi" w:hAnsiTheme="minorHAnsi" w:cstheme="minorHAnsi"/>
          <w:sz w:val="18"/>
          <w:szCs w:val="18"/>
        </w:rPr>
        <w:t xml:space="preserve"> Informe </w:t>
      </w:r>
      <w:r w:rsidR="005D7E4E" w:rsidRPr="00E850D6">
        <w:rPr>
          <w:rFonts w:asciiTheme="minorHAnsi" w:hAnsiTheme="minorHAnsi" w:cstheme="minorHAnsi"/>
          <w:sz w:val="18"/>
          <w:szCs w:val="18"/>
        </w:rPr>
        <w:t>Estadístico</w:t>
      </w:r>
      <w:r w:rsidRPr="00E850D6">
        <w:rPr>
          <w:rFonts w:asciiTheme="minorHAnsi" w:hAnsiTheme="minorHAnsi" w:cstheme="minorHAnsi"/>
          <w:sz w:val="18"/>
          <w:szCs w:val="18"/>
        </w:rPr>
        <w:t xml:space="preserve"> sobre el Comportamiento de la </w:t>
      </w:r>
      <w:r w:rsidR="005D7E4E" w:rsidRPr="00E850D6">
        <w:rPr>
          <w:rFonts w:asciiTheme="minorHAnsi" w:hAnsiTheme="minorHAnsi" w:cstheme="minorHAnsi"/>
          <w:sz w:val="18"/>
          <w:szCs w:val="18"/>
        </w:rPr>
        <w:t>Inversión</w:t>
      </w:r>
      <w:r w:rsidRPr="00E850D6">
        <w:rPr>
          <w:rFonts w:asciiTheme="minorHAnsi" w:hAnsiTheme="minorHAnsi" w:cstheme="minorHAnsi"/>
          <w:sz w:val="18"/>
          <w:szCs w:val="18"/>
        </w:rPr>
        <w:t xml:space="preserve"> Extranjera Directa en </w:t>
      </w:r>
      <w:r w:rsidR="005D7E4E" w:rsidRPr="00E850D6">
        <w:rPr>
          <w:rFonts w:asciiTheme="minorHAnsi" w:hAnsiTheme="minorHAnsi" w:cstheme="minorHAnsi"/>
          <w:sz w:val="18"/>
          <w:szCs w:val="18"/>
        </w:rPr>
        <w:t>México</w:t>
      </w:r>
      <w:r w:rsidRPr="00E850D6">
        <w:rPr>
          <w:rFonts w:asciiTheme="minorHAnsi" w:hAnsiTheme="minorHAnsi" w:cstheme="minorHAnsi"/>
          <w:sz w:val="18"/>
          <w:szCs w:val="18"/>
        </w:rPr>
        <w:t xml:space="preserve">, emitido por la </w:t>
      </w:r>
      <w:r w:rsidR="005D7E4E" w:rsidRPr="00E850D6">
        <w:rPr>
          <w:rFonts w:asciiTheme="minorHAnsi" w:hAnsiTheme="minorHAnsi" w:cstheme="minorHAnsi"/>
          <w:sz w:val="18"/>
          <w:szCs w:val="18"/>
        </w:rPr>
        <w:t>Comisión</w:t>
      </w:r>
      <w:r w:rsidRPr="00E850D6">
        <w:rPr>
          <w:rFonts w:asciiTheme="minorHAnsi" w:hAnsiTheme="minorHAnsi" w:cstheme="minorHAnsi"/>
          <w:sz w:val="18"/>
          <w:szCs w:val="18"/>
        </w:rPr>
        <w:t xml:space="preserve"> Nacional de Inversiones Extranjeras, entre los mes de enero y septiembre de 2022, </w:t>
      </w:r>
      <w:r w:rsidR="005D7E4E" w:rsidRPr="00E850D6">
        <w:rPr>
          <w:rFonts w:asciiTheme="minorHAnsi" w:hAnsiTheme="minorHAnsi" w:cstheme="minorHAnsi"/>
          <w:sz w:val="18"/>
          <w:szCs w:val="18"/>
        </w:rPr>
        <w:t>México</w:t>
      </w:r>
      <w:r w:rsidRPr="00E850D6">
        <w:rPr>
          <w:rFonts w:asciiTheme="minorHAnsi" w:hAnsiTheme="minorHAnsi" w:cstheme="minorHAnsi"/>
          <w:sz w:val="18"/>
          <w:szCs w:val="18"/>
        </w:rPr>
        <w:t xml:space="preserve"> registró 32,147.4 millones de </w:t>
      </w:r>
      <w:r w:rsidR="005D7E4E" w:rsidRPr="00E850D6">
        <w:rPr>
          <w:rFonts w:asciiTheme="minorHAnsi" w:hAnsiTheme="minorHAnsi" w:cstheme="minorHAnsi"/>
          <w:sz w:val="18"/>
          <w:szCs w:val="18"/>
        </w:rPr>
        <w:t>dólares</w:t>
      </w:r>
      <w:r w:rsidRPr="00E850D6">
        <w:rPr>
          <w:rFonts w:asciiTheme="minorHAnsi" w:hAnsiTheme="minorHAnsi" w:cstheme="minorHAnsi"/>
          <w:sz w:val="18"/>
          <w:szCs w:val="18"/>
        </w:rPr>
        <w:t xml:space="preserve"> (</w:t>
      </w:r>
      <w:proofErr w:type="spellStart"/>
      <w:r w:rsidRPr="00E850D6">
        <w:rPr>
          <w:rFonts w:asciiTheme="minorHAnsi" w:hAnsiTheme="minorHAnsi" w:cstheme="minorHAnsi"/>
          <w:sz w:val="18"/>
          <w:szCs w:val="18"/>
        </w:rPr>
        <w:t>mdd</w:t>
      </w:r>
      <w:proofErr w:type="spellEnd"/>
      <w:r w:rsidRPr="00E850D6">
        <w:rPr>
          <w:rFonts w:asciiTheme="minorHAnsi" w:hAnsiTheme="minorHAnsi" w:cstheme="minorHAnsi"/>
          <w:sz w:val="18"/>
          <w:szCs w:val="18"/>
        </w:rPr>
        <w:t xml:space="preserve">) por concepto de Inversión Extranjera Directa, cifra 29.5% mayor que la cifra preliminar del mismo periodo de 2021 (24,831.7 </w:t>
      </w:r>
      <w:proofErr w:type="spellStart"/>
      <w:r w:rsidRPr="00E850D6">
        <w:rPr>
          <w:rFonts w:asciiTheme="minorHAnsi" w:hAnsiTheme="minorHAnsi" w:cstheme="minorHAnsi"/>
          <w:sz w:val="18"/>
          <w:szCs w:val="18"/>
        </w:rPr>
        <w:t>mdd</w:t>
      </w:r>
      <w:proofErr w:type="spellEnd"/>
      <w:r w:rsidRPr="00E850D6">
        <w:rPr>
          <w:rFonts w:asciiTheme="minorHAnsi" w:hAnsiTheme="minorHAnsi" w:cstheme="minorHAnsi"/>
          <w:sz w:val="18"/>
          <w:szCs w:val="18"/>
        </w:rPr>
        <w:t>).</w:t>
      </w:r>
    </w:p>
    <w:p w14:paraId="08D93167" w14:textId="03D2517C"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Informando que de lo anterior el Estado de Tamaulipas captó un total de 834.0 millones de dólares, con una </w:t>
      </w:r>
      <w:r w:rsidR="005D7E4E" w:rsidRPr="00E850D6">
        <w:rPr>
          <w:rFonts w:asciiTheme="minorHAnsi" w:hAnsiTheme="minorHAnsi" w:cstheme="minorHAnsi"/>
          <w:sz w:val="18"/>
          <w:szCs w:val="18"/>
        </w:rPr>
        <w:t>participación</w:t>
      </w:r>
      <w:r w:rsidRPr="00E850D6">
        <w:rPr>
          <w:rFonts w:asciiTheme="minorHAnsi" w:hAnsiTheme="minorHAnsi" w:cstheme="minorHAnsi"/>
          <w:sz w:val="18"/>
          <w:szCs w:val="18"/>
        </w:rPr>
        <w:t xml:space="preserve"> del 2.6 % a nivel nacional, </w:t>
      </w:r>
      <w:r w:rsidR="005D7E4E" w:rsidRPr="00E850D6">
        <w:rPr>
          <w:rFonts w:asciiTheme="minorHAnsi" w:hAnsiTheme="minorHAnsi" w:cstheme="minorHAnsi"/>
          <w:sz w:val="18"/>
          <w:szCs w:val="18"/>
        </w:rPr>
        <w:t>posicionándose</w:t>
      </w:r>
      <w:r w:rsidRPr="00E850D6">
        <w:rPr>
          <w:rFonts w:asciiTheme="minorHAnsi" w:hAnsiTheme="minorHAnsi" w:cstheme="minorHAnsi"/>
          <w:sz w:val="18"/>
          <w:szCs w:val="18"/>
        </w:rPr>
        <w:t xml:space="preserve"> con </w:t>
      </w:r>
      <w:r w:rsidR="005D7E4E" w:rsidRPr="00E850D6">
        <w:rPr>
          <w:rFonts w:asciiTheme="minorHAnsi" w:hAnsiTheme="minorHAnsi" w:cstheme="minorHAnsi"/>
          <w:sz w:val="18"/>
          <w:szCs w:val="18"/>
        </w:rPr>
        <w:t>ello</w:t>
      </w:r>
      <w:r w:rsidRPr="00E850D6">
        <w:rPr>
          <w:rFonts w:asciiTheme="minorHAnsi" w:hAnsiTheme="minorHAnsi" w:cstheme="minorHAnsi"/>
          <w:sz w:val="18"/>
          <w:szCs w:val="18"/>
        </w:rPr>
        <w:t xml:space="preserve"> en el noveno lugar de participación según su acumulado </w:t>
      </w:r>
      <w:r w:rsidR="005D7E4E" w:rsidRPr="00E850D6">
        <w:rPr>
          <w:rFonts w:asciiTheme="minorHAnsi" w:hAnsiTheme="minorHAnsi" w:cstheme="minorHAnsi"/>
          <w:sz w:val="18"/>
          <w:szCs w:val="18"/>
        </w:rPr>
        <w:t>histórico</w:t>
      </w:r>
      <w:r w:rsidRPr="00E850D6">
        <w:rPr>
          <w:rFonts w:asciiTheme="minorHAnsi" w:hAnsiTheme="minorHAnsi" w:cstheme="minorHAnsi"/>
          <w:sz w:val="18"/>
          <w:szCs w:val="18"/>
        </w:rPr>
        <w:t xml:space="preserve"> de Inversión Extranjera Directa por el periodo acumulado de 1999 a 2022, con un valor de inversión de 24,815.9 millones </w:t>
      </w:r>
      <w:r w:rsidR="005D7E4E" w:rsidRPr="00E850D6">
        <w:rPr>
          <w:rFonts w:asciiTheme="minorHAnsi" w:hAnsiTheme="minorHAnsi" w:cstheme="minorHAnsi"/>
          <w:sz w:val="18"/>
          <w:szCs w:val="18"/>
        </w:rPr>
        <w:t>dólares</w:t>
      </w:r>
      <w:r w:rsidRPr="00E850D6">
        <w:rPr>
          <w:rFonts w:asciiTheme="minorHAnsi" w:hAnsiTheme="minorHAnsi" w:cstheme="minorHAnsi"/>
          <w:sz w:val="18"/>
          <w:szCs w:val="18"/>
        </w:rPr>
        <w:t xml:space="preserve"> (</w:t>
      </w:r>
      <w:proofErr w:type="spellStart"/>
      <w:r w:rsidRPr="00E850D6">
        <w:rPr>
          <w:rFonts w:asciiTheme="minorHAnsi" w:hAnsiTheme="minorHAnsi" w:cstheme="minorHAnsi"/>
          <w:sz w:val="18"/>
          <w:szCs w:val="18"/>
        </w:rPr>
        <w:t>mdd</w:t>
      </w:r>
      <w:proofErr w:type="spellEnd"/>
      <w:r w:rsidRPr="00E850D6">
        <w:rPr>
          <w:rFonts w:asciiTheme="minorHAnsi" w:hAnsiTheme="minorHAnsi" w:cstheme="minorHAnsi"/>
          <w:sz w:val="18"/>
          <w:szCs w:val="18"/>
        </w:rPr>
        <w:t>) alcanzando un porcentaje de participación del 3.7%.</w:t>
      </w:r>
    </w:p>
    <w:p w14:paraId="7E9D798A" w14:textId="32544E0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La información oficial anterior puede ser consultada en la siguiente liga.</w:t>
      </w:r>
    </w:p>
    <w:p w14:paraId="660C6F7A" w14:textId="7DD42493" w:rsidR="00E92EC1" w:rsidRPr="00E850D6" w:rsidRDefault="00291DC2" w:rsidP="00E92EC1">
      <w:pPr>
        <w:jc w:val="both"/>
        <w:rPr>
          <w:rFonts w:asciiTheme="minorHAnsi" w:hAnsiTheme="minorHAnsi" w:cstheme="minorHAnsi"/>
          <w:b/>
          <w:sz w:val="18"/>
          <w:szCs w:val="18"/>
        </w:rPr>
      </w:pPr>
      <w:r w:rsidRPr="00E850D6">
        <w:rPr>
          <w:rFonts w:asciiTheme="minorHAnsi" w:hAnsiTheme="minorHAnsi" w:cstheme="minorHAnsi"/>
          <w:b/>
          <w:sz w:val="18"/>
          <w:szCs w:val="18"/>
        </w:rPr>
        <w:t>COMISIÓN</w:t>
      </w:r>
      <w:r w:rsidR="00E92EC1" w:rsidRPr="00E850D6">
        <w:rPr>
          <w:rFonts w:asciiTheme="minorHAnsi" w:hAnsiTheme="minorHAnsi" w:cstheme="minorHAnsi"/>
          <w:b/>
          <w:sz w:val="18"/>
          <w:szCs w:val="18"/>
        </w:rPr>
        <w:t xml:space="preserve"> NACIONAL DE INVERSIONES EXTRANJERAS (</w:t>
      </w:r>
      <w:hyperlink r:id="rId12" w:history="1">
        <w:r w:rsidR="00E92EC1" w:rsidRPr="00E850D6">
          <w:rPr>
            <w:rStyle w:val="Hipervnculo"/>
            <w:rFonts w:asciiTheme="minorHAnsi" w:hAnsiTheme="minorHAnsi" w:cstheme="minorHAnsi"/>
            <w:b/>
            <w:color w:val="auto"/>
            <w:sz w:val="18"/>
            <w:szCs w:val="18"/>
          </w:rPr>
          <w:t>www.gob.mx</w:t>
        </w:r>
      </w:hyperlink>
      <w:r w:rsidR="00E92EC1" w:rsidRPr="00E850D6">
        <w:rPr>
          <w:rFonts w:asciiTheme="minorHAnsi" w:hAnsiTheme="minorHAnsi" w:cstheme="minorHAnsi"/>
          <w:b/>
          <w:sz w:val="18"/>
          <w:szCs w:val="18"/>
        </w:rPr>
        <w:t>)</w:t>
      </w:r>
    </w:p>
    <w:p w14:paraId="061D898B" w14:textId="77777777" w:rsidR="00E92EC1" w:rsidRPr="00E850D6" w:rsidRDefault="00E92EC1" w:rsidP="00E92EC1">
      <w:pPr>
        <w:jc w:val="both"/>
        <w:rPr>
          <w:rFonts w:asciiTheme="minorHAnsi" w:hAnsiTheme="minorHAnsi" w:cstheme="minorHAnsi"/>
          <w:b/>
          <w:sz w:val="18"/>
          <w:szCs w:val="18"/>
        </w:rPr>
      </w:pPr>
      <w:r w:rsidRPr="00E850D6">
        <w:rPr>
          <w:rFonts w:asciiTheme="minorHAnsi" w:hAnsiTheme="minorHAnsi" w:cstheme="minorHAnsi"/>
          <w:b/>
          <w:bCs/>
          <w:sz w:val="18"/>
          <w:szCs w:val="18"/>
        </w:rPr>
        <w:t>2.3.3.- Producto Interno Bruto Estatal. (PIB Estatal)</w:t>
      </w:r>
    </w:p>
    <w:p w14:paraId="43DC5153" w14:textId="58BE9B8A"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Durante el segundo trimestre de 2022, la actividad </w:t>
      </w:r>
      <w:r w:rsidR="005D7E4E" w:rsidRPr="00E850D6">
        <w:rPr>
          <w:rFonts w:asciiTheme="minorHAnsi" w:hAnsiTheme="minorHAnsi" w:cstheme="minorHAnsi"/>
          <w:sz w:val="18"/>
          <w:szCs w:val="18"/>
        </w:rPr>
        <w:t>económica</w:t>
      </w:r>
      <w:r w:rsidRPr="00E850D6">
        <w:rPr>
          <w:rFonts w:asciiTheme="minorHAnsi" w:hAnsiTheme="minorHAnsi" w:cstheme="minorHAnsi"/>
          <w:sz w:val="18"/>
          <w:szCs w:val="18"/>
        </w:rPr>
        <w:t xml:space="preserve"> de Tamaulipas mostró un crecimiento anual de 3 %, que resultó del avance de las Actividades Primarias, Secundarias y Terciarias de 44.7, 3 y 1.8 %, respectivamente.</w:t>
      </w:r>
    </w:p>
    <w:p w14:paraId="7628C48D" w14:textId="77777777" w:rsidR="00E92EC1" w:rsidRPr="00E850D6" w:rsidRDefault="00E92EC1" w:rsidP="00E92EC1">
      <w:pPr>
        <w:jc w:val="both"/>
        <w:rPr>
          <w:rFonts w:asciiTheme="minorHAnsi" w:hAnsiTheme="minorHAnsi" w:cstheme="minorHAnsi"/>
          <w:sz w:val="18"/>
          <w:szCs w:val="18"/>
        </w:rPr>
      </w:pPr>
    </w:p>
    <w:p w14:paraId="1509488A" w14:textId="590F88E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Durante el periodo enero a junio de 2022, el acumulado de la actividad </w:t>
      </w:r>
      <w:r w:rsidR="00291DC2" w:rsidRPr="00E850D6">
        <w:rPr>
          <w:rFonts w:asciiTheme="minorHAnsi" w:hAnsiTheme="minorHAnsi" w:cstheme="minorHAnsi"/>
          <w:sz w:val="18"/>
          <w:szCs w:val="18"/>
        </w:rPr>
        <w:t>económica</w:t>
      </w:r>
      <w:r w:rsidRPr="00E850D6">
        <w:rPr>
          <w:rFonts w:asciiTheme="minorHAnsi" w:hAnsiTheme="minorHAnsi" w:cstheme="minorHAnsi"/>
          <w:sz w:val="18"/>
          <w:szCs w:val="18"/>
        </w:rPr>
        <w:t xml:space="preserve"> estatal </w:t>
      </w:r>
      <w:r w:rsidR="00291DC2" w:rsidRPr="00E850D6">
        <w:rPr>
          <w:rFonts w:asciiTheme="minorHAnsi" w:hAnsiTheme="minorHAnsi" w:cstheme="minorHAnsi"/>
          <w:sz w:val="18"/>
          <w:szCs w:val="18"/>
        </w:rPr>
        <w:t>creció</w:t>
      </w:r>
      <w:r w:rsidRPr="00E850D6">
        <w:rPr>
          <w:rFonts w:asciiTheme="minorHAnsi" w:hAnsiTheme="minorHAnsi" w:cstheme="minorHAnsi"/>
          <w:sz w:val="18"/>
          <w:szCs w:val="18"/>
        </w:rPr>
        <w:t>́ 2.7 %, por el aumento en las Actividades Primarias, Secundarias y Terciarias de 28.8, 2.8 y 1.3 %, respectivamente.</w:t>
      </w:r>
    </w:p>
    <w:p w14:paraId="0440D323" w14:textId="0E372F4C"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De lo cual las Actividades Terciarias contribuyeron 1.1 %, seguidas de las Secundarias con 1 %, a la </w:t>
      </w:r>
      <w:r w:rsidR="00291DC2"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total del estado. Por su parte, en los primeros seis meses del </w:t>
      </w:r>
      <w:r w:rsidR="005D7E4E" w:rsidRPr="00E850D6">
        <w:rPr>
          <w:rFonts w:asciiTheme="minorHAnsi" w:hAnsiTheme="minorHAnsi" w:cstheme="minorHAnsi"/>
          <w:sz w:val="18"/>
          <w:szCs w:val="18"/>
        </w:rPr>
        <w:t>año</w:t>
      </w:r>
      <w:r w:rsidRPr="00E850D6">
        <w:rPr>
          <w:rFonts w:asciiTheme="minorHAnsi" w:hAnsiTheme="minorHAnsi" w:cstheme="minorHAnsi"/>
          <w:sz w:val="18"/>
          <w:szCs w:val="18"/>
        </w:rPr>
        <w:t xml:space="preserve">, las Actividades Secundarias fueron las de mayor </w:t>
      </w:r>
      <w:r w:rsidR="00291DC2" w:rsidRPr="00E850D6">
        <w:rPr>
          <w:rFonts w:asciiTheme="minorHAnsi" w:hAnsiTheme="minorHAnsi" w:cstheme="minorHAnsi"/>
          <w:sz w:val="18"/>
          <w:szCs w:val="18"/>
        </w:rPr>
        <w:t>aportación</w:t>
      </w:r>
      <w:r w:rsidRPr="00E850D6">
        <w:rPr>
          <w:rFonts w:asciiTheme="minorHAnsi" w:hAnsiTheme="minorHAnsi" w:cstheme="minorHAnsi"/>
          <w:sz w:val="18"/>
          <w:szCs w:val="18"/>
        </w:rPr>
        <w:t>.</w:t>
      </w:r>
    </w:p>
    <w:p w14:paraId="39AD846C" w14:textId="77777777" w:rsidR="00E92EC1" w:rsidRPr="00E850D6" w:rsidRDefault="00E92EC1" w:rsidP="00E92EC1">
      <w:pPr>
        <w:jc w:val="both"/>
        <w:rPr>
          <w:rFonts w:asciiTheme="minorHAnsi" w:hAnsiTheme="minorHAnsi" w:cstheme="minorHAnsi"/>
          <w:b/>
          <w:bCs/>
          <w:sz w:val="18"/>
          <w:szCs w:val="18"/>
        </w:rPr>
      </w:pPr>
      <w:r w:rsidRPr="00E850D6">
        <w:rPr>
          <w:rFonts w:asciiTheme="minorHAnsi" w:hAnsiTheme="minorHAnsi" w:cstheme="minorHAnsi"/>
          <w:b/>
          <w:bCs/>
          <w:sz w:val="18"/>
          <w:szCs w:val="18"/>
        </w:rPr>
        <w:t>Actividades Primarias.-</w:t>
      </w:r>
    </w:p>
    <w:p w14:paraId="50BDFA60" w14:textId="081678A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En el segundo trimestre de 2022, las Actividades Primarias (agricultura, </w:t>
      </w:r>
      <w:r w:rsidR="00291DC2" w:rsidRPr="00E850D6">
        <w:rPr>
          <w:rFonts w:asciiTheme="minorHAnsi" w:hAnsiTheme="minorHAnsi" w:cstheme="minorHAnsi"/>
          <w:sz w:val="18"/>
          <w:szCs w:val="18"/>
        </w:rPr>
        <w:t>cría</w:t>
      </w:r>
      <w:r w:rsidRPr="00E850D6">
        <w:rPr>
          <w:rFonts w:asciiTheme="minorHAnsi" w:hAnsiTheme="minorHAnsi" w:cstheme="minorHAnsi"/>
          <w:sz w:val="18"/>
          <w:szCs w:val="18"/>
        </w:rPr>
        <w:t xml:space="preserve"> y </w:t>
      </w:r>
      <w:r w:rsidR="00291DC2" w:rsidRPr="00E850D6">
        <w:rPr>
          <w:rFonts w:asciiTheme="minorHAnsi" w:hAnsiTheme="minorHAnsi" w:cstheme="minorHAnsi"/>
          <w:sz w:val="18"/>
          <w:szCs w:val="18"/>
        </w:rPr>
        <w:t>explotación</w:t>
      </w:r>
      <w:r w:rsidRPr="00E850D6">
        <w:rPr>
          <w:rFonts w:asciiTheme="minorHAnsi" w:hAnsiTheme="minorHAnsi" w:cstheme="minorHAnsi"/>
          <w:sz w:val="18"/>
          <w:szCs w:val="18"/>
        </w:rPr>
        <w:t xml:space="preserve"> de animales, aprovechamiento forestal, pesca y caza) reportaron un aumento anual de 44.7 %, principalmente por el comportamiento de la agricultura. Con ello, Tamaulipas se </w:t>
      </w:r>
      <w:r w:rsidR="005D7E4E" w:rsidRPr="00E850D6">
        <w:rPr>
          <w:rFonts w:asciiTheme="minorHAnsi" w:hAnsiTheme="minorHAnsi" w:cstheme="minorHAnsi"/>
          <w:sz w:val="18"/>
          <w:szCs w:val="18"/>
        </w:rPr>
        <w:t>situó</w:t>
      </w:r>
      <w:r w:rsidRPr="00E850D6">
        <w:rPr>
          <w:rFonts w:asciiTheme="minorHAnsi" w:hAnsiTheme="minorHAnsi" w:cstheme="minorHAnsi"/>
          <w:sz w:val="18"/>
          <w:szCs w:val="18"/>
        </w:rPr>
        <w:t>́ en el primer lugar a nivel nacional.</w:t>
      </w:r>
    </w:p>
    <w:p w14:paraId="2D1D63BB" w14:textId="77777777" w:rsidR="00E92EC1" w:rsidRPr="00E850D6" w:rsidRDefault="00E92EC1" w:rsidP="00E92EC1">
      <w:pPr>
        <w:jc w:val="both"/>
        <w:rPr>
          <w:rFonts w:asciiTheme="minorHAnsi" w:hAnsiTheme="minorHAnsi" w:cstheme="minorHAnsi"/>
          <w:b/>
          <w:bCs/>
          <w:sz w:val="18"/>
          <w:szCs w:val="18"/>
        </w:rPr>
      </w:pPr>
      <w:r w:rsidRPr="00E850D6">
        <w:rPr>
          <w:rFonts w:asciiTheme="minorHAnsi" w:hAnsiTheme="minorHAnsi" w:cstheme="minorHAnsi"/>
          <w:b/>
          <w:bCs/>
          <w:sz w:val="18"/>
          <w:szCs w:val="18"/>
        </w:rPr>
        <w:t>Actividades Secundarias.-</w:t>
      </w:r>
    </w:p>
    <w:p w14:paraId="5B87BDAC" w14:textId="6B037B40"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Las Actividades Secundarias corresponden a los sectores dedicados a la industria de la </w:t>
      </w:r>
      <w:r w:rsidR="005D7E4E" w:rsidRPr="00E850D6">
        <w:rPr>
          <w:rFonts w:asciiTheme="minorHAnsi" w:hAnsiTheme="minorHAnsi" w:cstheme="minorHAnsi"/>
          <w:sz w:val="18"/>
          <w:szCs w:val="18"/>
        </w:rPr>
        <w:t>minería</w:t>
      </w:r>
      <w:r w:rsidRPr="00E850D6">
        <w:rPr>
          <w:rFonts w:asciiTheme="minorHAnsi" w:hAnsiTheme="minorHAnsi" w:cstheme="minorHAnsi"/>
          <w:sz w:val="18"/>
          <w:szCs w:val="18"/>
        </w:rPr>
        <w:t xml:space="preserve">, manufacturas, </w:t>
      </w:r>
      <w:r w:rsidR="00291DC2" w:rsidRPr="00E850D6">
        <w:rPr>
          <w:rFonts w:asciiTheme="minorHAnsi" w:hAnsiTheme="minorHAnsi" w:cstheme="minorHAnsi"/>
          <w:sz w:val="18"/>
          <w:szCs w:val="18"/>
        </w:rPr>
        <w:t>construcción</w:t>
      </w:r>
      <w:r w:rsidRPr="00E850D6">
        <w:rPr>
          <w:rFonts w:asciiTheme="minorHAnsi" w:hAnsiTheme="minorHAnsi" w:cstheme="minorHAnsi"/>
          <w:sz w:val="18"/>
          <w:szCs w:val="18"/>
        </w:rPr>
        <w:t xml:space="preserve"> y electricidad. El alza anual de 3 % de las Actividades Secundarias ubicó a Tamaulipas en el lugar 15 entre las 32 entidades federativas del </w:t>
      </w:r>
      <w:proofErr w:type="spellStart"/>
      <w:r w:rsidRPr="00E850D6">
        <w:rPr>
          <w:rFonts w:asciiTheme="minorHAnsi" w:hAnsiTheme="minorHAnsi" w:cstheme="minorHAnsi"/>
          <w:sz w:val="18"/>
          <w:szCs w:val="18"/>
        </w:rPr>
        <w:t>país</w:t>
      </w:r>
      <w:proofErr w:type="spellEnd"/>
      <w:r w:rsidRPr="00E850D6">
        <w:rPr>
          <w:rFonts w:asciiTheme="minorHAnsi" w:hAnsiTheme="minorHAnsi" w:cstheme="minorHAnsi"/>
          <w:sz w:val="18"/>
          <w:szCs w:val="18"/>
        </w:rPr>
        <w:t>.</w:t>
      </w:r>
    </w:p>
    <w:p w14:paraId="4AA1CAF6" w14:textId="77777777" w:rsidR="00E92EC1" w:rsidRPr="00E850D6" w:rsidRDefault="00E92EC1" w:rsidP="00E92EC1">
      <w:pPr>
        <w:jc w:val="both"/>
        <w:rPr>
          <w:rFonts w:asciiTheme="minorHAnsi" w:hAnsiTheme="minorHAnsi" w:cstheme="minorHAnsi"/>
          <w:b/>
          <w:bCs/>
          <w:sz w:val="18"/>
          <w:szCs w:val="18"/>
        </w:rPr>
      </w:pPr>
      <w:r w:rsidRPr="00E850D6">
        <w:rPr>
          <w:rFonts w:asciiTheme="minorHAnsi" w:hAnsiTheme="minorHAnsi" w:cstheme="minorHAnsi"/>
          <w:b/>
          <w:bCs/>
          <w:sz w:val="18"/>
          <w:szCs w:val="18"/>
        </w:rPr>
        <w:t>Actividades Terciarias.-</w:t>
      </w:r>
    </w:p>
    <w:p w14:paraId="20EA8733" w14:textId="0F2D60E1"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Las Actividades Terciarias incluyen los sectores dedicados a la </w:t>
      </w:r>
      <w:r w:rsidR="00291DC2" w:rsidRPr="00E850D6">
        <w:rPr>
          <w:rFonts w:asciiTheme="minorHAnsi" w:hAnsiTheme="minorHAnsi" w:cstheme="minorHAnsi"/>
          <w:sz w:val="18"/>
          <w:szCs w:val="18"/>
        </w:rPr>
        <w:t>distribución</w:t>
      </w:r>
      <w:r w:rsidRPr="00E850D6">
        <w:rPr>
          <w:rFonts w:asciiTheme="minorHAnsi" w:hAnsiTheme="minorHAnsi" w:cstheme="minorHAnsi"/>
          <w:sz w:val="18"/>
          <w:szCs w:val="18"/>
        </w:rPr>
        <w:t xml:space="preserve"> de bienes y aquellas actividades relativas a operaciones con </w:t>
      </w:r>
      <w:r w:rsidR="00291DC2" w:rsidRPr="00E850D6">
        <w:rPr>
          <w:rFonts w:asciiTheme="minorHAnsi" w:hAnsiTheme="minorHAnsi" w:cstheme="minorHAnsi"/>
          <w:sz w:val="18"/>
          <w:szCs w:val="18"/>
        </w:rPr>
        <w:t>información</w:t>
      </w:r>
      <w:r w:rsidRPr="00E850D6">
        <w:rPr>
          <w:rFonts w:asciiTheme="minorHAnsi" w:hAnsiTheme="minorHAnsi" w:cstheme="minorHAnsi"/>
          <w:sz w:val="18"/>
          <w:szCs w:val="18"/>
        </w:rPr>
        <w:t xml:space="preserve"> o con activos, </w:t>
      </w:r>
      <w:r w:rsidR="00291DC2" w:rsidRPr="00E850D6">
        <w:rPr>
          <w:rFonts w:asciiTheme="minorHAnsi" w:hAnsiTheme="minorHAnsi" w:cstheme="minorHAnsi"/>
          <w:sz w:val="18"/>
          <w:szCs w:val="18"/>
        </w:rPr>
        <w:t>así</w:t>
      </w:r>
      <w:r w:rsidRPr="00E850D6">
        <w:rPr>
          <w:rFonts w:asciiTheme="minorHAnsi" w:hAnsiTheme="minorHAnsi" w:cstheme="minorHAnsi"/>
          <w:sz w:val="18"/>
          <w:szCs w:val="18"/>
        </w:rPr>
        <w:t xml:space="preserve">́ como a servicios cuyo insumo principal es el conocimiento y la experiencia de personal. Incluyen </w:t>
      </w:r>
      <w:r w:rsidR="00291DC2" w:rsidRPr="00E850D6">
        <w:rPr>
          <w:rFonts w:asciiTheme="minorHAnsi" w:hAnsiTheme="minorHAnsi" w:cstheme="minorHAnsi"/>
          <w:sz w:val="18"/>
          <w:szCs w:val="18"/>
        </w:rPr>
        <w:t>también</w:t>
      </w:r>
      <w:r w:rsidRPr="00E850D6">
        <w:rPr>
          <w:rFonts w:asciiTheme="minorHAnsi" w:hAnsiTheme="minorHAnsi" w:cstheme="minorHAnsi"/>
          <w:sz w:val="18"/>
          <w:szCs w:val="18"/>
        </w:rPr>
        <w:t xml:space="preserve"> los relacionados con la </w:t>
      </w:r>
      <w:r w:rsidR="00291DC2" w:rsidRPr="00E850D6">
        <w:rPr>
          <w:rFonts w:asciiTheme="minorHAnsi" w:hAnsiTheme="minorHAnsi" w:cstheme="minorHAnsi"/>
          <w:sz w:val="18"/>
          <w:szCs w:val="18"/>
        </w:rPr>
        <w:t>recreación</w:t>
      </w:r>
      <w:r w:rsidRPr="00E850D6">
        <w:rPr>
          <w:rFonts w:asciiTheme="minorHAnsi" w:hAnsiTheme="minorHAnsi" w:cstheme="minorHAnsi"/>
          <w:sz w:val="18"/>
          <w:szCs w:val="18"/>
        </w:rPr>
        <w:t xml:space="preserve"> y el gobierno, entre otros. En el segundo trimestre de 2022, Tamaulipas registró en estas actividades una </w:t>
      </w:r>
      <w:r w:rsidR="00291DC2"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anual de 1.8 %, lo que ubicó a este estado en el lugar 22 a nivel nacional.</w:t>
      </w:r>
    </w:p>
    <w:p w14:paraId="2F63B71C" w14:textId="55AF214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Finalmente, en el segundo trimestre de 2022, el resultado de 3 % en el total de la actividad </w:t>
      </w:r>
      <w:r w:rsidR="00291DC2" w:rsidRPr="00E850D6">
        <w:rPr>
          <w:rFonts w:asciiTheme="minorHAnsi" w:hAnsiTheme="minorHAnsi" w:cstheme="minorHAnsi"/>
          <w:sz w:val="18"/>
          <w:szCs w:val="18"/>
        </w:rPr>
        <w:t>económica</w:t>
      </w:r>
      <w:r w:rsidRPr="00E850D6">
        <w:rPr>
          <w:rFonts w:asciiTheme="minorHAnsi" w:hAnsiTheme="minorHAnsi" w:cstheme="minorHAnsi"/>
          <w:sz w:val="18"/>
          <w:szCs w:val="18"/>
        </w:rPr>
        <w:t xml:space="preserve"> ubicó a Tamaulipas en el lugar 13 a nivel nacional. </w:t>
      </w:r>
      <w:r w:rsidR="00291DC2" w:rsidRPr="00E850D6">
        <w:rPr>
          <w:rFonts w:asciiTheme="minorHAnsi" w:hAnsiTheme="minorHAnsi" w:cstheme="minorHAnsi"/>
          <w:sz w:val="18"/>
          <w:szCs w:val="18"/>
        </w:rPr>
        <w:t>Además</w:t>
      </w:r>
      <w:r w:rsidRPr="00E850D6">
        <w:rPr>
          <w:rFonts w:asciiTheme="minorHAnsi" w:hAnsiTheme="minorHAnsi" w:cstheme="minorHAnsi"/>
          <w:sz w:val="18"/>
          <w:szCs w:val="18"/>
        </w:rPr>
        <w:t xml:space="preserve">, su </w:t>
      </w:r>
      <w:r w:rsidR="00291DC2" w:rsidRPr="00E850D6">
        <w:rPr>
          <w:rFonts w:asciiTheme="minorHAnsi" w:hAnsiTheme="minorHAnsi" w:cstheme="minorHAnsi"/>
          <w:sz w:val="18"/>
          <w:szCs w:val="18"/>
        </w:rPr>
        <w:t>aportación</w:t>
      </w:r>
      <w:r w:rsidRPr="00E850D6">
        <w:rPr>
          <w:rFonts w:asciiTheme="minorHAnsi" w:hAnsiTheme="minorHAnsi" w:cstheme="minorHAnsi"/>
          <w:sz w:val="18"/>
          <w:szCs w:val="18"/>
        </w:rPr>
        <w:t xml:space="preserve"> a la </w:t>
      </w:r>
      <w:r w:rsidR="00291DC2" w:rsidRPr="00E850D6">
        <w:rPr>
          <w:rFonts w:asciiTheme="minorHAnsi" w:hAnsiTheme="minorHAnsi" w:cstheme="minorHAnsi"/>
          <w:sz w:val="18"/>
          <w:szCs w:val="18"/>
        </w:rPr>
        <w:t>variación</w:t>
      </w:r>
      <w:r w:rsidRPr="00E850D6">
        <w:rPr>
          <w:rFonts w:asciiTheme="minorHAnsi" w:hAnsiTheme="minorHAnsi" w:cstheme="minorHAnsi"/>
          <w:sz w:val="18"/>
          <w:szCs w:val="18"/>
        </w:rPr>
        <w:t xml:space="preserve"> nacional fue de 0.08 por ciento.</w:t>
      </w:r>
    </w:p>
    <w:p w14:paraId="1F748B6F" w14:textId="7777777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La información oficial anterior puede ser consultada en la siguiente liga.</w:t>
      </w:r>
    </w:p>
    <w:p w14:paraId="44772CC7" w14:textId="77777777" w:rsidR="00E92EC1" w:rsidRPr="00E850D6" w:rsidRDefault="00E92EC1" w:rsidP="00E92EC1">
      <w:pPr>
        <w:jc w:val="both"/>
        <w:rPr>
          <w:rFonts w:asciiTheme="minorHAnsi" w:hAnsiTheme="minorHAnsi" w:cstheme="minorHAnsi"/>
          <w:color w:val="8A002B"/>
          <w:sz w:val="18"/>
          <w:szCs w:val="18"/>
        </w:rPr>
      </w:pPr>
      <w:r w:rsidRPr="00E850D6">
        <w:rPr>
          <w:rFonts w:asciiTheme="minorHAnsi" w:hAnsiTheme="minorHAnsi" w:cstheme="minorHAnsi"/>
          <w:color w:val="8A002B"/>
          <w:sz w:val="18"/>
          <w:szCs w:val="18"/>
        </w:rPr>
        <w:t>https://www.inegi.org.mx/contenidos/saladeprensa/boletines/2022/itaee/itaee2022_10_Tamps.pdf</w:t>
      </w:r>
    </w:p>
    <w:p w14:paraId="2FE67C03" w14:textId="77777777" w:rsidR="00E850D6" w:rsidRDefault="00E850D6" w:rsidP="00E92EC1">
      <w:pPr>
        <w:jc w:val="both"/>
        <w:rPr>
          <w:rFonts w:asciiTheme="minorHAnsi" w:hAnsiTheme="minorHAnsi" w:cstheme="minorHAnsi"/>
          <w:b/>
          <w:bCs/>
          <w:sz w:val="18"/>
          <w:szCs w:val="18"/>
        </w:rPr>
      </w:pPr>
    </w:p>
    <w:p w14:paraId="61BA5FEB" w14:textId="4F27409C" w:rsidR="00E92EC1" w:rsidRPr="00E850D6" w:rsidRDefault="00E92EC1" w:rsidP="00E92EC1">
      <w:pPr>
        <w:jc w:val="both"/>
        <w:rPr>
          <w:rFonts w:asciiTheme="minorHAnsi" w:hAnsiTheme="minorHAnsi" w:cstheme="minorHAnsi"/>
          <w:b/>
          <w:sz w:val="18"/>
          <w:szCs w:val="18"/>
        </w:rPr>
      </w:pPr>
      <w:r w:rsidRPr="00E850D6">
        <w:rPr>
          <w:rFonts w:asciiTheme="minorHAnsi" w:hAnsiTheme="minorHAnsi" w:cstheme="minorHAnsi"/>
          <w:b/>
          <w:bCs/>
          <w:sz w:val="18"/>
          <w:szCs w:val="18"/>
        </w:rPr>
        <w:t>2.3.4.- Nivel de Exportaciones</w:t>
      </w:r>
      <w:r w:rsidRPr="00E850D6">
        <w:rPr>
          <w:rFonts w:asciiTheme="minorHAnsi" w:hAnsiTheme="minorHAnsi" w:cstheme="minorHAnsi"/>
          <w:b/>
          <w:sz w:val="18"/>
          <w:szCs w:val="18"/>
        </w:rPr>
        <w:t>.</w:t>
      </w:r>
    </w:p>
    <w:p w14:paraId="523DF0A7" w14:textId="3572EE90"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En el tercer trimestre de 2022, el estado de Tamaulipas se encuentra el quinto lugar de los estados con mayor </w:t>
      </w:r>
      <w:r w:rsidR="005D7E4E" w:rsidRPr="00E850D6">
        <w:rPr>
          <w:rFonts w:asciiTheme="minorHAnsi" w:hAnsiTheme="minorHAnsi" w:cstheme="minorHAnsi"/>
          <w:sz w:val="18"/>
          <w:szCs w:val="18"/>
        </w:rPr>
        <w:t>contribución</w:t>
      </w:r>
      <w:r w:rsidRPr="00E850D6">
        <w:rPr>
          <w:rFonts w:asciiTheme="minorHAnsi" w:hAnsiTheme="minorHAnsi" w:cstheme="minorHAnsi"/>
          <w:sz w:val="18"/>
          <w:szCs w:val="18"/>
        </w:rPr>
        <w:t xml:space="preserve"> al valor total de las exportaciones, con una </w:t>
      </w:r>
      <w:r w:rsidR="005D7E4E" w:rsidRPr="00E850D6">
        <w:rPr>
          <w:rFonts w:asciiTheme="minorHAnsi" w:hAnsiTheme="minorHAnsi" w:cstheme="minorHAnsi"/>
          <w:sz w:val="18"/>
          <w:szCs w:val="18"/>
        </w:rPr>
        <w:t>representación</w:t>
      </w:r>
      <w:r w:rsidRPr="00E850D6">
        <w:rPr>
          <w:rFonts w:asciiTheme="minorHAnsi" w:hAnsiTheme="minorHAnsi" w:cstheme="minorHAnsi"/>
          <w:sz w:val="18"/>
          <w:szCs w:val="18"/>
        </w:rPr>
        <w:t xml:space="preserve"> del 6.4 % del total del </w:t>
      </w:r>
      <w:r w:rsidR="005D7E4E" w:rsidRPr="00E850D6">
        <w:rPr>
          <w:rFonts w:asciiTheme="minorHAnsi" w:hAnsiTheme="minorHAnsi" w:cstheme="minorHAnsi"/>
          <w:sz w:val="18"/>
          <w:szCs w:val="18"/>
        </w:rPr>
        <w:t>país</w:t>
      </w:r>
      <w:r w:rsidRPr="00E850D6">
        <w:rPr>
          <w:rFonts w:asciiTheme="minorHAnsi" w:hAnsiTheme="minorHAnsi" w:cstheme="minorHAnsi"/>
          <w:sz w:val="18"/>
          <w:szCs w:val="18"/>
        </w:rPr>
        <w:t>, según datos publicados por INEGI  y que se puede apreciar en la siguiente tabla:</w:t>
      </w:r>
    </w:p>
    <w:p w14:paraId="373DD9BA" w14:textId="09E5293C" w:rsidR="00E92EC1" w:rsidRPr="00E850D6" w:rsidRDefault="00E92EC1" w:rsidP="00E92EC1">
      <w:pPr>
        <w:jc w:val="center"/>
        <w:rPr>
          <w:rFonts w:asciiTheme="minorHAnsi" w:hAnsiTheme="minorHAnsi" w:cstheme="minorHAnsi"/>
          <w:b/>
          <w:bCs/>
          <w:sz w:val="18"/>
          <w:szCs w:val="18"/>
        </w:rPr>
      </w:pPr>
    </w:p>
    <w:p w14:paraId="376B8BDC" w14:textId="33E13F14" w:rsidR="006E7E43" w:rsidRPr="00E850D6" w:rsidRDefault="006E7E43" w:rsidP="00E92EC1">
      <w:pPr>
        <w:jc w:val="center"/>
        <w:rPr>
          <w:rFonts w:asciiTheme="minorHAnsi" w:hAnsiTheme="minorHAnsi" w:cstheme="minorHAnsi"/>
          <w:b/>
          <w:bCs/>
          <w:sz w:val="18"/>
          <w:szCs w:val="18"/>
        </w:rPr>
      </w:pPr>
    </w:p>
    <w:p w14:paraId="633DB908" w14:textId="51F04EC8" w:rsidR="006E7E43" w:rsidRDefault="006E7E43" w:rsidP="00E92EC1">
      <w:pPr>
        <w:jc w:val="center"/>
        <w:rPr>
          <w:rFonts w:asciiTheme="minorHAnsi" w:hAnsiTheme="minorHAnsi" w:cstheme="minorHAnsi"/>
          <w:b/>
          <w:bCs/>
          <w:sz w:val="18"/>
          <w:szCs w:val="18"/>
        </w:rPr>
      </w:pPr>
    </w:p>
    <w:p w14:paraId="0B0B378F" w14:textId="485F27D0" w:rsidR="006E7E43" w:rsidRDefault="006E7E43" w:rsidP="00E92EC1">
      <w:pPr>
        <w:jc w:val="center"/>
        <w:rPr>
          <w:rFonts w:asciiTheme="minorHAnsi" w:hAnsiTheme="minorHAnsi" w:cstheme="minorHAnsi"/>
          <w:b/>
          <w:bCs/>
          <w:sz w:val="18"/>
          <w:szCs w:val="18"/>
        </w:rPr>
      </w:pPr>
    </w:p>
    <w:p w14:paraId="05873F9E" w14:textId="30A036D7" w:rsidR="006E7E43" w:rsidRDefault="006E7E43" w:rsidP="00E92EC1">
      <w:pPr>
        <w:jc w:val="center"/>
        <w:rPr>
          <w:rFonts w:asciiTheme="minorHAnsi" w:hAnsiTheme="minorHAnsi" w:cstheme="minorHAnsi"/>
          <w:b/>
          <w:bCs/>
          <w:sz w:val="18"/>
          <w:szCs w:val="18"/>
        </w:rPr>
      </w:pPr>
    </w:p>
    <w:p w14:paraId="0D64908E" w14:textId="77777777" w:rsidR="006E7E43" w:rsidRPr="00676CED" w:rsidRDefault="006E7E43" w:rsidP="00E92EC1">
      <w:pPr>
        <w:jc w:val="center"/>
        <w:rPr>
          <w:rFonts w:asciiTheme="minorHAnsi" w:hAnsiTheme="minorHAnsi" w:cstheme="minorHAnsi"/>
          <w:b/>
          <w:bCs/>
          <w:sz w:val="18"/>
          <w:szCs w:val="18"/>
        </w:rPr>
      </w:pPr>
    </w:p>
    <w:p w14:paraId="5AD683D8" w14:textId="153D369C" w:rsidR="00E92EC1" w:rsidRPr="00676CED"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 xml:space="preserve">VALOR DE LAS EXPORTACIONES POR ENTIDADES FEDERATIVAS CON MAYOR </w:t>
      </w:r>
      <w:r w:rsidR="006F7FB0" w:rsidRPr="00676CED">
        <w:rPr>
          <w:rFonts w:asciiTheme="minorHAnsi" w:hAnsiTheme="minorHAnsi" w:cstheme="minorHAnsi"/>
          <w:b/>
          <w:bCs/>
          <w:sz w:val="18"/>
          <w:szCs w:val="18"/>
        </w:rPr>
        <w:t>PARTICIPACIÓN</w:t>
      </w:r>
    </w:p>
    <w:p w14:paraId="728CD60C" w14:textId="1E309B4B" w:rsidR="00E92EC1" w:rsidRDefault="00E92EC1" w:rsidP="00E92EC1">
      <w:pPr>
        <w:jc w:val="center"/>
        <w:rPr>
          <w:rFonts w:asciiTheme="minorHAnsi" w:hAnsiTheme="minorHAnsi" w:cstheme="minorHAnsi"/>
          <w:b/>
          <w:bCs/>
          <w:sz w:val="18"/>
          <w:szCs w:val="18"/>
        </w:rPr>
      </w:pPr>
      <w:r w:rsidRPr="00676CED">
        <w:rPr>
          <w:rFonts w:asciiTheme="minorHAnsi" w:hAnsiTheme="minorHAnsi" w:cstheme="minorHAnsi"/>
          <w:b/>
          <w:bCs/>
          <w:sz w:val="18"/>
          <w:szCs w:val="18"/>
        </w:rPr>
        <w:t>TERCER TRIMESTRE DE 2022</w:t>
      </w:r>
    </w:p>
    <w:tbl>
      <w:tblPr>
        <w:tblW w:w="9260" w:type="dxa"/>
        <w:tblInd w:w="-10" w:type="dxa"/>
        <w:tblCellMar>
          <w:left w:w="70" w:type="dxa"/>
          <w:right w:w="70" w:type="dxa"/>
        </w:tblCellMar>
        <w:tblLook w:val="04A0" w:firstRow="1" w:lastRow="0" w:firstColumn="1" w:lastColumn="0" w:noHBand="0" w:noVBand="1"/>
      </w:tblPr>
      <w:tblGrid>
        <w:gridCol w:w="2500"/>
        <w:gridCol w:w="1760"/>
        <w:gridCol w:w="1680"/>
        <w:gridCol w:w="1660"/>
        <w:gridCol w:w="1660"/>
      </w:tblGrid>
      <w:tr w:rsidR="006F7FB0" w:rsidRPr="006F7FB0" w14:paraId="4A992381" w14:textId="77777777" w:rsidTr="006F7FB0">
        <w:trPr>
          <w:trHeight w:val="885"/>
        </w:trPr>
        <w:tc>
          <w:tcPr>
            <w:tcW w:w="250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1ABA9B85" w14:textId="77777777" w:rsidR="006F7FB0" w:rsidRPr="006F7FB0" w:rsidRDefault="006F7FB0" w:rsidP="006F7FB0">
            <w:pPr>
              <w:spacing w:after="0" w:line="240" w:lineRule="auto"/>
              <w:jc w:val="center"/>
              <w:rPr>
                <w:rFonts w:eastAsia="Times New Roman" w:cs="Calibri"/>
                <w:b/>
                <w:bCs/>
                <w:color w:val="FFFFFF"/>
                <w:sz w:val="18"/>
                <w:szCs w:val="18"/>
                <w:lang w:eastAsia="es-MX"/>
              </w:rPr>
            </w:pPr>
            <w:r w:rsidRPr="006F7FB0">
              <w:rPr>
                <w:rFonts w:eastAsia="Times New Roman" w:cs="Calibri"/>
                <w:b/>
                <w:bCs/>
                <w:color w:val="FFFFFF"/>
                <w:sz w:val="18"/>
                <w:szCs w:val="18"/>
                <w:lang w:eastAsia="es-MX"/>
              </w:rPr>
              <w:t>Entidad</w:t>
            </w:r>
          </w:p>
        </w:tc>
        <w:tc>
          <w:tcPr>
            <w:tcW w:w="1760" w:type="dxa"/>
            <w:tcBorders>
              <w:top w:val="single" w:sz="8" w:space="0" w:color="auto"/>
              <w:left w:val="nil"/>
              <w:bottom w:val="single" w:sz="8" w:space="0" w:color="auto"/>
              <w:right w:val="single" w:sz="8" w:space="0" w:color="auto"/>
            </w:tcBorders>
            <w:shd w:val="clear" w:color="000000" w:fill="AB0033"/>
            <w:vAlign w:val="center"/>
            <w:hideMark/>
          </w:tcPr>
          <w:p w14:paraId="03ECECC0" w14:textId="53DFAEC5" w:rsidR="006F7FB0" w:rsidRPr="006F7FB0" w:rsidRDefault="006F7FB0" w:rsidP="006F7FB0">
            <w:pPr>
              <w:spacing w:after="0" w:line="240" w:lineRule="auto"/>
              <w:jc w:val="center"/>
              <w:rPr>
                <w:rFonts w:eastAsia="Times New Roman" w:cs="Calibri"/>
                <w:b/>
                <w:bCs/>
                <w:color w:val="FFFFFF"/>
                <w:sz w:val="18"/>
                <w:szCs w:val="18"/>
                <w:lang w:eastAsia="es-MX"/>
              </w:rPr>
            </w:pPr>
            <w:r w:rsidRPr="006F7FB0">
              <w:rPr>
                <w:rFonts w:eastAsia="Times New Roman" w:cs="Calibri"/>
                <w:b/>
                <w:bCs/>
                <w:color w:val="FFFFFF"/>
                <w:sz w:val="18"/>
                <w:szCs w:val="18"/>
                <w:lang w:eastAsia="es-MX"/>
              </w:rPr>
              <w:t>Millones de dólares</w:t>
            </w:r>
          </w:p>
        </w:tc>
        <w:tc>
          <w:tcPr>
            <w:tcW w:w="1680" w:type="dxa"/>
            <w:tcBorders>
              <w:top w:val="single" w:sz="8" w:space="0" w:color="auto"/>
              <w:left w:val="nil"/>
              <w:bottom w:val="single" w:sz="8" w:space="0" w:color="auto"/>
              <w:right w:val="single" w:sz="8" w:space="0" w:color="auto"/>
            </w:tcBorders>
            <w:shd w:val="clear" w:color="000000" w:fill="AB0033"/>
            <w:vAlign w:val="center"/>
            <w:hideMark/>
          </w:tcPr>
          <w:p w14:paraId="33433467" w14:textId="77777777" w:rsidR="006F7FB0" w:rsidRPr="006F7FB0" w:rsidRDefault="006F7FB0" w:rsidP="006F7FB0">
            <w:pPr>
              <w:spacing w:after="0" w:line="240" w:lineRule="auto"/>
              <w:jc w:val="center"/>
              <w:rPr>
                <w:rFonts w:eastAsia="Times New Roman" w:cs="Calibri"/>
                <w:b/>
                <w:bCs/>
                <w:color w:val="FFFFFF"/>
                <w:sz w:val="18"/>
                <w:szCs w:val="18"/>
                <w:lang w:eastAsia="es-MX"/>
              </w:rPr>
            </w:pPr>
            <w:proofErr w:type="spellStart"/>
            <w:r w:rsidRPr="006F7FB0">
              <w:rPr>
                <w:rFonts w:eastAsia="Times New Roman" w:cs="Calibri"/>
                <w:b/>
                <w:bCs/>
                <w:color w:val="FFFFFF"/>
                <w:sz w:val="18"/>
                <w:szCs w:val="18"/>
                <w:lang w:eastAsia="es-MX"/>
              </w:rPr>
              <w:t>Variación</w:t>
            </w:r>
            <w:proofErr w:type="spellEnd"/>
            <w:r w:rsidRPr="006F7FB0">
              <w:rPr>
                <w:rFonts w:eastAsia="Times New Roman" w:cs="Calibri"/>
                <w:b/>
                <w:bCs/>
                <w:color w:val="FFFFFF"/>
                <w:sz w:val="18"/>
                <w:szCs w:val="18"/>
                <w:lang w:eastAsia="es-MX"/>
              </w:rPr>
              <w:t xml:space="preserve"> porcentual anual</w:t>
            </w:r>
          </w:p>
        </w:tc>
        <w:tc>
          <w:tcPr>
            <w:tcW w:w="1660" w:type="dxa"/>
            <w:tcBorders>
              <w:top w:val="single" w:sz="8" w:space="0" w:color="auto"/>
              <w:left w:val="nil"/>
              <w:bottom w:val="single" w:sz="8" w:space="0" w:color="auto"/>
              <w:right w:val="single" w:sz="8" w:space="0" w:color="auto"/>
            </w:tcBorders>
            <w:shd w:val="clear" w:color="000000" w:fill="AB0033"/>
            <w:vAlign w:val="center"/>
            <w:hideMark/>
          </w:tcPr>
          <w:p w14:paraId="343E252A" w14:textId="77777777" w:rsidR="006F7FB0" w:rsidRPr="006F7FB0" w:rsidRDefault="006F7FB0" w:rsidP="006F7FB0">
            <w:pPr>
              <w:spacing w:after="0" w:line="240" w:lineRule="auto"/>
              <w:jc w:val="center"/>
              <w:rPr>
                <w:rFonts w:eastAsia="Times New Roman" w:cs="Calibri"/>
                <w:b/>
                <w:bCs/>
                <w:color w:val="FFFFFF"/>
                <w:sz w:val="18"/>
                <w:szCs w:val="18"/>
                <w:lang w:eastAsia="es-MX"/>
              </w:rPr>
            </w:pPr>
            <w:proofErr w:type="spellStart"/>
            <w:r w:rsidRPr="006F7FB0">
              <w:rPr>
                <w:rFonts w:eastAsia="Times New Roman" w:cs="Calibri"/>
                <w:b/>
                <w:bCs/>
                <w:color w:val="FFFFFF"/>
                <w:sz w:val="18"/>
                <w:szCs w:val="18"/>
                <w:lang w:eastAsia="es-MX"/>
              </w:rPr>
              <w:t>Participación</w:t>
            </w:r>
            <w:proofErr w:type="spellEnd"/>
            <w:r w:rsidRPr="006F7FB0">
              <w:rPr>
                <w:rFonts w:eastAsia="Times New Roman" w:cs="Calibri"/>
                <w:b/>
                <w:bCs/>
                <w:color w:val="FFFFFF"/>
                <w:sz w:val="18"/>
                <w:szCs w:val="18"/>
                <w:lang w:eastAsia="es-MX"/>
              </w:rPr>
              <w:t xml:space="preserve"> porcentual</w:t>
            </w:r>
          </w:p>
        </w:tc>
        <w:tc>
          <w:tcPr>
            <w:tcW w:w="1660" w:type="dxa"/>
            <w:tcBorders>
              <w:top w:val="single" w:sz="8" w:space="0" w:color="auto"/>
              <w:left w:val="nil"/>
              <w:bottom w:val="single" w:sz="8" w:space="0" w:color="auto"/>
              <w:right w:val="single" w:sz="8" w:space="0" w:color="auto"/>
            </w:tcBorders>
            <w:shd w:val="clear" w:color="000000" w:fill="AB0033"/>
            <w:vAlign w:val="center"/>
            <w:hideMark/>
          </w:tcPr>
          <w:p w14:paraId="4F249C9D" w14:textId="77777777" w:rsidR="006F7FB0" w:rsidRPr="006F7FB0" w:rsidRDefault="006F7FB0" w:rsidP="006F7FB0">
            <w:pPr>
              <w:spacing w:after="0" w:line="240" w:lineRule="auto"/>
              <w:jc w:val="center"/>
              <w:rPr>
                <w:rFonts w:eastAsia="Times New Roman" w:cs="Calibri"/>
                <w:b/>
                <w:bCs/>
                <w:color w:val="FFFFFF"/>
                <w:sz w:val="18"/>
                <w:szCs w:val="18"/>
                <w:lang w:eastAsia="es-MX"/>
              </w:rPr>
            </w:pPr>
            <w:r w:rsidRPr="006F7FB0">
              <w:rPr>
                <w:rFonts w:eastAsia="Times New Roman" w:cs="Calibri"/>
                <w:b/>
                <w:bCs/>
                <w:color w:val="FFFFFF"/>
                <w:sz w:val="18"/>
                <w:szCs w:val="18"/>
                <w:lang w:eastAsia="es-MX"/>
              </w:rPr>
              <w:t>Lugar conforme al total de las exportaciones</w:t>
            </w:r>
          </w:p>
        </w:tc>
      </w:tr>
      <w:tr w:rsidR="006F7FB0" w:rsidRPr="006F7FB0" w14:paraId="23A8B303" w14:textId="77777777" w:rsidTr="006F7FB0">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6FF3D7FD" w14:textId="77777777" w:rsidR="006F7FB0" w:rsidRPr="006F7FB0" w:rsidRDefault="006F7FB0" w:rsidP="006F7FB0">
            <w:pPr>
              <w:spacing w:after="0" w:line="240" w:lineRule="auto"/>
              <w:rPr>
                <w:rFonts w:eastAsia="Times New Roman" w:cs="Calibri"/>
                <w:b/>
                <w:bCs/>
                <w:color w:val="000000"/>
                <w:sz w:val="16"/>
                <w:szCs w:val="16"/>
                <w:lang w:eastAsia="es-MX"/>
              </w:rPr>
            </w:pPr>
            <w:r w:rsidRPr="006F7FB0">
              <w:rPr>
                <w:rFonts w:eastAsia="Times New Roman" w:cs="Calibri"/>
                <w:b/>
                <w:bCs/>
                <w:color w:val="000000"/>
                <w:sz w:val="16"/>
                <w:szCs w:val="16"/>
                <w:lang w:eastAsia="es-MX"/>
              </w:rPr>
              <w:t>Total1/</w:t>
            </w:r>
          </w:p>
        </w:tc>
        <w:tc>
          <w:tcPr>
            <w:tcW w:w="1760" w:type="dxa"/>
            <w:tcBorders>
              <w:top w:val="nil"/>
              <w:left w:val="nil"/>
              <w:bottom w:val="single" w:sz="8" w:space="0" w:color="auto"/>
              <w:right w:val="single" w:sz="8" w:space="0" w:color="auto"/>
            </w:tcBorders>
            <w:shd w:val="clear" w:color="auto" w:fill="auto"/>
            <w:vAlign w:val="center"/>
            <w:hideMark/>
          </w:tcPr>
          <w:p w14:paraId="78B1F3BA" w14:textId="77777777" w:rsidR="006F7FB0" w:rsidRPr="006F7FB0" w:rsidRDefault="006F7FB0" w:rsidP="006F7FB0">
            <w:pPr>
              <w:spacing w:after="0" w:line="240" w:lineRule="auto"/>
              <w:jc w:val="center"/>
              <w:rPr>
                <w:rFonts w:eastAsia="Times New Roman" w:cs="Calibri"/>
                <w:b/>
                <w:bCs/>
                <w:color w:val="000000"/>
                <w:sz w:val="16"/>
                <w:szCs w:val="16"/>
                <w:lang w:eastAsia="es-MX"/>
              </w:rPr>
            </w:pPr>
            <w:r w:rsidRPr="006F7FB0">
              <w:rPr>
                <w:rFonts w:eastAsia="Times New Roman" w:cs="Calibri"/>
                <w:b/>
                <w:bCs/>
                <w:color w:val="000000"/>
                <w:sz w:val="16"/>
                <w:szCs w:val="16"/>
                <w:lang w:eastAsia="es-MX"/>
              </w:rPr>
              <w:t>134 876.4</w:t>
            </w:r>
          </w:p>
        </w:tc>
        <w:tc>
          <w:tcPr>
            <w:tcW w:w="1680" w:type="dxa"/>
            <w:tcBorders>
              <w:top w:val="nil"/>
              <w:left w:val="nil"/>
              <w:bottom w:val="single" w:sz="8" w:space="0" w:color="auto"/>
              <w:right w:val="single" w:sz="8" w:space="0" w:color="auto"/>
            </w:tcBorders>
            <w:shd w:val="clear" w:color="auto" w:fill="auto"/>
            <w:vAlign w:val="center"/>
            <w:hideMark/>
          </w:tcPr>
          <w:p w14:paraId="5DE01949" w14:textId="77777777" w:rsidR="006F7FB0" w:rsidRPr="006F7FB0" w:rsidRDefault="006F7FB0" w:rsidP="006F7FB0">
            <w:pPr>
              <w:spacing w:after="0" w:line="240" w:lineRule="auto"/>
              <w:jc w:val="center"/>
              <w:rPr>
                <w:rFonts w:eastAsia="Times New Roman" w:cs="Calibri"/>
                <w:b/>
                <w:bCs/>
                <w:color w:val="000000"/>
                <w:sz w:val="16"/>
                <w:szCs w:val="16"/>
                <w:lang w:eastAsia="es-MX"/>
              </w:rPr>
            </w:pPr>
            <w:r w:rsidRPr="006F7FB0">
              <w:rPr>
                <w:rFonts w:eastAsia="Times New Roman" w:cs="Calibri"/>
                <w:b/>
                <w:bCs/>
                <w:color w:val="000000"/>
                <w:sz w:val="16"/>
                <w:szCs w:val="16"/>
                <w:lang w:eastAsia="es-MX"/>
              </w:rPr>
              <w:t>22.9</w:t>
            </w:r>
          </w:p>
        </w:tc>
        <w:tc>
          <w:tcPr>
            <w:tcW w:w="1660" w:type="dxa"/>
            <w:tcBorders>
              <w:top w:val="nil"/>
              <w:left w:val="nil"/>
              <w:bottom w:val="single" w:sz="8" w:space="0" w:color="auto"/>
              <w:right w:val="single" w:sz="8" w:space="0" w:color="auto"/>
            </w:tcBorders>
            <w:shd w:val="clear" w:color="auto" w:fill="auto"/>
            <w:vAlign w:val="center"/>
            <w:hideMark/>
          </w:tcPr>
          <w:p w14:paraId="7936E2F4"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100</w:t>
            </w:r>
          </w:p>
        </w:tc>
        <w:tc>
          <w:tcPr>
            <w:tcW w:w="1660" w:type="dxa"/>
            <w:tcBorders>
              <w:top w:val="nil"/>
              <w:left w:val="nil"/>
              <w:bottom w:val="single" w:sz="8" w:space="0" w:color="auto"/>
              <w:right w:val="single" w:sz="8" w:space="0" w:color="auto"/>
            </w:tcBorders>
            <w:shd w:val="clear" w:color="auto" w:fill="auto"/>
            <w:vAlign w:val="center"/>
            <w:hideMark/>
          </w:tcPr>
          <w:p w14:paraId="49AD97E3" w14:textId="77777777" w:rsidR="006F7FB0" w:rsidRPr="006F7FB0" w:rsidRDefault="006F7FB0" w:rsidP="006F7FB0">
            <w:pPr>
              <w:spacing w:after="0" w:line="240" w:lineRule="auto"/>
              <w:rPr>
                <w:rFonts w:eastAsia="Times New Roman" w:cs="Calibri"/>
                <w:color w:val="000000"/>
                <w:sz w:val="20"/>
                <w:szCs w:val="20"/>
                <w:lang w:eastAsia="es-MX"/>
              </w:rPr>
            </w:pPr>
            <w:r w:rsidRPr="006F7FB0">
              <w:rPr>
                <w:rFonts w:eastAsia="Times New Roman" w:cs="Calibri"/>
                <w:color w:val="000000"/>
                <w:sz w:val="20"/>
                <w:szCs w:val="20"/>
                <w:lang w:eastAsia="es-MX"/>
              </w:rPr>
              <w:t> </w:t>
            </w:r>
          </w:p>
        </w:tc>
      </w:tr>
      <w:tr w:rsidR="006F7FB0" w:rsidRPr="006F7FB0" w14:paraId="489373E3" w14:textId="77777777" w:rsidTr="006F7FB0">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19E841E0"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Chihuahua</w:t>
            </w:r>
          </w:p>
        </w:tc>
        <w:tc>
          <w:tcPr>
            <w:tcW w:w="1760" w:type="dxa"/>
            <w:tcBorders>
              <w:top w:val="nil"/>
              <w:left w:val="nil"/>
              <w:bottom w:val="single" w:sz="8" w:space="0" w:color="auto"/>
              <w:right w:val="single" w:sz="8" w:space="0" w:color="auto"/>
            </w:tcBorders>
            <w:shd w:val="clear" w:color="auto" w:fill="auto"/>
            <w:vAlign w:val="center"/>
            <w:hideMark/>
          </w:tcPr>
          <w:p w14:paraId="7E33E24C"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20 151.0</w:t>
            </w:r>
          </w:p>
        </w:tc>
        <w:tc>
          <w:tcPr>
            <w:tcW w:w="1680" w:type="dxa"/>
            <w:tcBorders>
              <w:top w:val="nil"/>
              <w:left w:val="nil"/>
              <w:bottom w:val="single" w:sz="8" w:space="0" w:color="auto"/>
              <w:right w:val="single" w:sz="8" w:space="0" w:color="auto"/>
            </w:tcBorders>
            <w:shd w:val="clear" w:color="auto" w:fill="auto"/>
            <w:vAlign w:val="center"/>
            <w:hideMark/>
          </w:tcPr>
          <w:p w14:paraId="277D7918"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40.4</w:t>
            </w:r>
          </w:p>
        </w:tc>
        <w:tc>
          <w:tcPr>
            <w:tcW w:w="1660" w:type="dxa"/>
            <w:tcBorders>
              <w:top w:val="nil"/>
              <w:left w:val="nil"/>
              <w:bottom w:val="single" w:sz="8" w:space="0" w:color="auto"/>
              <w:right w:val="single" w:sz="8" w:space="0" w:color="auto"/>
            </w:tcBorders>
            <w:shd w:val="clear" w:color="auto" w:fill="auto"/>
            <w:vAlign w:val="center"/>
            <w:hideMark/>
          </w:tcPr>
          <w:p w14:paraId="139B4E63"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14.9</w:t>
            </w:r>
          </w:p>
        </w:tc>
        <w:tc>
          <w:tcPr>
            <w:tcW w:w="1660" w:type="dxa"/>
            <w:tcBorders>
              <w:top w:val="nil"/>
              <w:left w:val="nil"/>
              <w:bottom w:val="single" w:sz="8" w:space="0" w:color="auto"/>
              <w:right w:val="single" w:sz="8" w:space="0" w:color="auto"/>
            </w:tcBorders>
            <w:shd w:val="clear" w:color="auto" w:fill="auto"/>
            <w:vAlign w:val="center"/>
            <w:hideMark/>
          </w:tcPr>
          <w:p w14:paraId="481AD613"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w:t>
            </w:r>
          </w:p>
        </w:tc>
      </w:tr>
      <w:tr w:rsidR="006F7FB0" w:rsidRPr="006F7FB0" w14:paraId="39F0F14A" w14:textId="77777777" w:rsidTr="006F7FB0">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BD1B543"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Coahuila de Zaragoza</w:t>
            </w:r>
          </w:p>
        </w:tc>
        <w:tc>
          <w:tcPr>
            <w:tcW w:w="1760" w:type="dxa"/>
            <w:tcBorders>
              <w:top w:val="nil"/>
              <w:left w:val="nil"/>
              <w:bottom w:val="single" w:sz="8" w:space="0" w:color="auto"/>
              <w:right w:val="single" w:sz="8" w:space="0" w:color="auto"/>
            </w:tcBorders>
            <w:shd w:val="clear" w:color="auto" w:fill="auto"/>
            <w:vAlign w:val="center"/>
            <w:hideMark/>
          </w:tcPr>
          <w:p w14:paraId="1723B777"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15 613.6</w:t>
            </w:r>
          </w:p>
        </w:tc>
        <w:tc>
          <w:tcPr>
            <w:tcW w:w="1680" w:type="dxa"/>
            <w:tcBorders>
              <w:top w:val="nil"/>
              <w:left w:val="nil"/>
              <w:bottom w:val="single" w:sz="8" w:space="0" w:color="auto"/>
              <w:right w:val="single" w:sz="8" w:space="0" w:color="auto"/>
            </w:tcBorders>
            <w:shd w:val="clear" w:color="auto" w:fill="auto"/>
            <w:vAlign w:val="center"/>
            <w:hideMark/>
          </w:tcPr>
          <w:p w14:paraId="504207D4"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20.2</w:t>
            </w:r>
          </w:p>
        </w:tc>
        <w:tc>
          <w:tcPr>
            <w:tcW w:w="1660" w:type="dxa"/>
            <w:tcBorders>
              <w:top w:val="nil"/>
              <w:left w:val="nil"/>
              <w:bottom w:val="single" w:sz="8" w:space="0" w:color="auto"/>
              <w:right w:val="single" w:sz="8" w:space="0" w:color="auto"/>
            </w:tcBorders>
            <w:shd w:val="clear" w:color="auto" w:fill="auto"/>
            <w:vAlign w:val="center"/>
            <w:hideMark/>
          </w:tcPr>
          <w:p w14:paraId="10332151"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11.6</w:t>
            </w:r>
          </w:p>
        </w:tc>
        <w:tc>
          <w:tcPr>
            <w:tcW w:w="1660" w:type="dxa"/>
            <w:tcBorders>
              <w:top w:val="nil"/>
              <w:left w:val="nil"/>
              <w:bottom w:val="single" w:sz="8" w:space="0" w:color="auto"/>
              <w:right w:val="single" w:sz="8" w:space="0" w:color="auto"/>
            </w:tcBorders>
            <w:shd w:val="clear" w:color="auto" w:fill="auto"/>
            <w:vAlign w:val="center"/>
            <w:hideMark/>
          </w:tcPr>
          <w:p w14:paraId="1491D6FA"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w:t>
            </w:r>
          </w:p>
        </w:tc>
      </w:tr>
      <w:tr w:rsidR="006F7FB0" w:rsidRPr="006F7FB0" w14:paraId="0599DA69" w14:textId="77777777" w:rsidTr="006F7FB0">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6B656DC3"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Nuevo León</w:t>
            </w:r>
          </w:p>
        </w:tc>
        <w:tc>
          <w:tcPr>
            <w:tcW w:w="1760" w:type="dxa"/>
            <w:tcBorders>
              <w:top w:val="nil"/>
              <w:left w:val="nil"/>
              <w:bottom w:val="single" w:sz="8" w:space="0" w:color="auto"/>
              <w:right w:val="single" w:sz="8" w:space="0" w:color="auto"/>
            </w:tcBorders>
            <w:shd w:val="clear" w:color="auto" w:fill="auto"/>
            <w:vAlign w:val="center"/>
            <w:hideMark/>
          </w:tcPr>
          <w:p w14:paraId="2D30AF6D"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13 775.0</w:t>
            </w:r>
          </w:p>
        </w:tc>
        <w:tc>
          <w:tcPr>
            <w:tcW w:w="1680" w:type="dxa"/>
            <w:tcBorders>
              <w:top w:val="nil"/>
              <w:left w:val="nil"/>
              <w:bottom w:val="single" w:sz="8" w:space="0" w:color="auto"/>
              <w:right w:val="single" w:sz="8" w:space="0" w:color="auto"/>
            </w:tcBorders>
            <w:shd w:val="clear" w:color="auto" w:fill="auto"/>
            <w:vAlign w:val="center"/>
            <w:hideMark/>
          </w:tcPr>
          <w:p w14:paraId="3FC6BD7E"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30.2</w:t>
            </w:r>
          </w:p>
        </w:tc>
        <w:tc>
          <w:tcPr>
            <w:tcW w:w="1660" w:type="dxa"/>
            <w:tcBorders>
              <w:top w:val="nil"/>
              <w:left w:val="nil"/>
              <w:bottom w:val="single" w:sz="8" w:space="0" w:color="auto"/>
              <w:right w:val="single" w:sz="8" w:space="0" w:color="auto"/>
            </w:tcBorders>
            <w:shd w:val="clear" w:color="auto" w:fill="auto"/>
            <w:vAlign w:val="center"/>
            <w:hideMark/>
          </w:tcPr>
          <w:p w14:paraId="46605CE5"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10.2</w:t>
            </w:r>
          </w:p>
        </w:tc>
        <w:tc>
          <w:tcPr>
            <w:tcW w:w="1660" w:type="dxa"/>
            <w:tcBorders>
              <w:top w:val="nil"/>
              <w:left w:val="nil"/>
              <w:bottom w:val="single" w:sz="8" w:space="0" w:color="auto"/>
              <w:right w:val="single" w:sz="8" w:space="0" w:color="auto"/>
            </w:tcBorders>
            <w:shd w:val="clear" w:color="auto" w:fill="auto"/>
            <w:vAlign w:val="center"/>
            <w:hideMark/>
          </w:tcPr>
          <w:p w14:paraId="79D89A06"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3</w:t>
            </w:r>
          </w:p>
        </w:tc>
      </w:tr>
      <w:tr w:rsidR="006F7FB0" w:rsidRPr="006F7FB0" w14:paraId="4D283434" w14:textId="77777777" w:rsidTr="006F7FB0">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A5C95EE"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Baja California</w:t>
            </w:r>
          </w:p>
        </w:tc>
        <w:tc>
          <w:tcPr>
            <w:tcW w:w="1760" w:type="dxa"/>
            <w:tcBorders>
              <w:top w:val="nil"/>
              <w:left w:val="nil"/>
              <w:bottom w:val="single" w:sz="8" w:space="0" w:color="auto"/>
              <w:right w:val="single" w:sz="8" w:space="0" w:color="auto"/>
            </w:tcBorders>
            <w:shd w:val="clear" w:color="auto" w:fill="auto"/>
            <w:vAlign w:val="center"/>
            <w:hideMark/>
          </w:tcPr>
          <w:p w14:paraId="4CF0B69C"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13 624.3</w:t>
            </w:r>
          </w:p>
        </w:tc>
        <w:tc>
          <w:tcPr>
            <w:tcW w:w="1680" w:type="dxa"/>
            <w:tcBorders>
              <w:top w:val="nil"/>
              <w:left w:val="nil"/>
              <w:bottom w:val="single" w:sz="8" w:space="0" w:color="auto"/>
              <w:right w:val="single" w:sz="8" w:space="0" w:color="auto"/>
            </w:tcBorders>
            <w:shd w:val="clear" w:color="auto" w:fill="auto"/>
            <w:vAlign w:val="center"/>
            <w:hideMark/>
          </w:tcPr>
          <w:p w14:paraId="499A4EEB"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5</w:t>
            </w:r>
          </w:p>
        </w:tc>
        <w:tc>
          <w:tcPr>
            <w:tcW w:w="1660" w:type="dxa"/>
            <w:tcBorders>
              <w:top w:val="nil"/>
              <w:left w:val="nil"/>
              <w:bottom w:val="single" w:sz="8" w:space="0" w:color="auto"/>
              <w:right w:val="single" w:sz="8" w:space="0" w:color="auto"/>
            </w:tcBorders>
            <w:shd w:val="clear" w:color="auto" w:fill="auto"/>
            <w:vAlign w:val="center"/>
            <w:hideMark/>
          </w:tcPr>
          <w:p w14:paraId="3FD27BD1"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10.1</w:t>
            </w:r>
          </w:p>
        </w:tc>
        <w:tc>
          <w:tcPr>
            <w:tcW w:w="1660" w:type="dxa"/>
            <w:tcBorders>
              <w:top w:val="nil"/>
              <w:left w:val="nil"/>
              <w:bottom w:val="single" w:sz="8" w:space="0" w:color="auto"/>
              <w:right w:val="single" w:sz="8" w:space="0" w:color="auto"/>
            </w:tcBorders>
            <w:shd w:val="clear" w:color="auto" w:fill="auto"/>
            <w:vAlign w:val="center"/>
            <w:hideMark/>
          </w:tcPr>
          <w:p w14:paraId="08E4D0BA"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w:t>
            </w:r>
          </w:p>
        </w:tc>
      </w:tr>
      <w:tr w:rsidR="006F7FB0" w:rsidRPr="006F7FB0" w14:paraId="300417CA" w14:textId="77777777" w:rsidTr="006F7FB0">
        <w:trPr>
          <w:trHeight w:val="435"/>
        </w:trPr>
        <w:tc>
          <w:tcPr>
            <w:tcW w:w="2500" w:type="dxa"/>
            <w:tcBorders>
              <w:top w:val="nil"/>
              <w:left w:val="single" w:sz="8" w:space="0" w:color="auto"/>
              <w:bottom w:val="single" w:sz="8" w:space="0" w:color="auto"/>
              <w:right w:val="single" w:sz="8" w:space="0" w:color="auto"/>
            </w:tcBorders>
            <w:shd w:val="clear" w:color="000000" w:fill="DDC9A3"/>
            <w:vAlign w:val="center"/>
            <w:hideMark/>
          </w:tcPr>
          <w:p w14:paraId="1A67976B" w14:textId="77777777" w:rsidR="006F7FB0" w:rsidRPr="006F7FB0" w:rsidRDefault="006F7FB0" w:rsidP="006F7FB0">
            <w:pPr>
              <w:spacing w:after="0" w:line="240" w:lineRule="auto"/>
              <w:jc w:val="both"/>
              <w:rPr>
                <w:rFonts w:eastAsia="Times New Roman" w:cs="Calibri"/>
                <w:color w:val="000000"/>
                <w:sz w:val="16"/>
                <w:szCs w:val="16"/>
                <w:lang w:eastAsia="es-MX"/>
              </w:rPr>
            </w:pPr>
            <w:r w:rsidRPr="006F7FB0">
              <w:rPr>
                <w:rFonts w:eastAsia="Times New Roman" w:cs="Calibri"/>
                <w:color w:val="000000"/>
                <w:sz w:val="16"/>
                <w:szCs w:val="16"/>
                <w:lang w:eastAsia="es-MX"/>
              </w:rPr>
              <w:t>Tamaulipas</w:t>
            </w:r>
          </w:p>
        </w:tc>
        <w:tc>
          <w:tcPr>
            <w:tcW w:w="1760" w:type="dxa"/>
            <w:tcBorders>
              <w:top w:val="nil"/>
              <w:left w:val="nil"/>
              <w:bottom w:val="single" w:sz="8" w:space="0" w:color="auto"/>
              <w:right w:val="single" w:sz="8" w:space="0" w:color="auto"/>
            </w:tcBorders>
            <w:shd w:val="clear" w:color="000000" w:fill="DDC9A3"/>
            <w:vAlign w:val="center"/>
            <w:hideMark/>
          </w:tcPr>
          <w:p w14:paraId="1328A643"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8 574.0</w:t>
            </w:r>
          </w:p>
        </w:tc>
        <w:tc>
          <w:tcPr>
            <w:tcW w:w="1680" w:type="dxa"/>
            <w:tcBorders>
              <w:top w:val="nil"/>
              <w:left w:val="nil"/>
              <w:bottom w:val="single" w:sz="8" w:space="0" w:color="auto"/>
              <w:right w:val="single" w:sz="8" w:space="0" w:color="auto"/>
            </w:tcBorders>
            <w:shd w:val="clear" w:color="000000" w:fill="DDC9A3"/>
            <w:vAlign w:val="center"/>
            <w:hideMark/>
          </w:tcPr>
          <w:p w14:paraId="197F0945"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1.2</w:t>
            </w:r>
          </w:p>
        </w:tc>
        <w:tc>
          <w:tcPr>
            <w:tcW w:w="1660" w:type="dxa"/>
            <w:tcBorders>
              <w:top w:val="nil"/>
              <w:left w:val="nil"/>
              <w:bottom w:val="single" w:sz="8" w:space="0" w:color="auto"/>
              <w:right w:val="single" w:sz="8" w:space="0" w:color="auto"/>
            </w:tcBorders>
            <w:shd w:val="clear" w:color="000000" w:fill="DDC9A3"/>
            <w:vAlign w:val="center"/>
            <w:hideMark/>
          </w:tcPr>
          <w:p w14:paraId="399366FF"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6.4</w:t>
            </w:r>
          </w:p>
        </w:tc>
        <w:tc>
          <w:tcPr>
            <w:tcW w:w="1660" w:type="dxa"/>
            <w:tcBorders>
              <w:top w:val="nil"/>
              <w:left w:val="nil"/>
              <w:bottom w:val="single" w:sz="8" w:space="0" w:color="auto"/>
              <w:right w:val="single" w:sz="8" w:space="0" w:color="auto"/>
            </w:tcBorders>
            <w:shd w:val="clear" w:color="000000" w:fill="DDC9A3"/>
            <w:vAlign w:val="center"/>
            <w:hideMark/>
          </w:tcPr>
          <w:p w14:paraId="66E310B0"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5</w:t>
            </w:r>
          </w:p>
        </w:tc>
      </w:tr>
      <w:tr w:rsidR="006F7FB0" w:rsidRPr="006F7FB0" w14:paraId="34B50990" w14:textId="77777777" w:rsidTr="006F7FB0">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81170C8" w14:textId="77777777" w:rsidR="006F7FB0" w:rsidRPr="006F7FB0" w:rsidRDefault="006F7FB0" w:rsidP="006F7FB0">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Resto de las entidades</w:t>
            </w:r>
          </w:p>
        </w:tc>
        <w:tc>
          <w:tcPr>
            <w:tcW w:w="1760" w:type="dxa"/>
            <w:tcBorders>
              <w:top w:val="nil"/>
              <w:left w:val="nil"/>
              <w:bottom w:val="single" w:sz="8" w:space="0" w:color="auto"/>
              <w:right w:val="single" w:sz="8" w:space="0" w:color="auto"/>
            </w:tcBorders>
            <w:shd w:val="clear" w:color="auto" w:fill="auto"/>
            <w:vAlign w:val="center"/>
            <w:hideMark/>
          </w:tcPr>
          <w:p w14:paraId="40207EAD"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63,168.50</w:t>
            </w:r>
          </w:p>
        </w:tc>
        <w:tc>
          <w:tcPr>
            <w:tcW w:w="1680" w:type="dxa"/>
            <w:tcBorders>
              <w:top w:val="nil"/>
              <w:left w:val="nil"/>
              <w:bottom w:val="single" w:sz="8" w:space="0" w:color="auto"/>
              <w:right w:val="single" w:sz="8" w:space="0" w:color="auto"/>
            </w:tcBorders>
            <w:shd w:val="clear" w:color="auto" w:fill="auto"/>
            <w:vAlign w:val="center"/>
            <w:hideMark/>
          </w:tcPr>
          <w:p w14:paraId="39A87A68"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vAlign w:val="center"/>
            <w:hideMark/>
          </w:tcPr>
          <w:p w14:paraId="0F6CAD2B"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46.8</w:t>
            </w:r>
          </w:p>
        </w:tc>
        <w:tc>
          <w:tcPr>
            <w:tcW w:w="1660" w:type="dxa"/>
            <w:tcBorders>
              <w:top w:val="nil"/>
              <w:left w:val="nil"/>
              <w:bottom w:val="single" w:sz="8" w:space="0" w:color="auto"/>
              <w:right w:val="single" w:sz="8" w:space="0" w:color="auto"/>
            </w:tcBorders>
            <w:shd w:val="clear" w:color="auto" w:fill="auto"/>
            <w:vAlign w:val="center"/>
            <w:hideMark/>
          </w:tcPr>
          <w:p w14:paraId="573C05BD" w14:textId="77777777" w:rsidR="006F7FB0" w:rsidRPr="006F7FB0" w:rsidRDefault="006F7FB0" w:rsidP="006F7FB0">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 </w:t>
            </w:r>
          </w:p>
        </w:tc>
      </w:tr>
    </w:tbl>
    <w:p w14:paraId="3ACFB0D6" w14:textId="3A6C51C3" w:rsidR="00E92EC1" w:rsidRPr="00676CED" w:rsidRDefault="00E92EC1" w:rsidP="006F7FB0">
      <w:pPr>
        <w:pStyle w:val="NormalWeb"/>
        <w:spacing w:before="0" w:beforeAutospacing="0" w:after="0" w:afterAutospacing="0"/>
        <w:ind w:left="284"/>
        <w:rPr>
          <w:rFonts w:asciiTheme="minorHAnsi" w:hAnsiTheme="minorHAnsi" w:cstheme="minorHAnsi"/>
          <w:sz w:val="14"/>
          <w:szCs w:val="14"/>
        </w:rPr>
      </w:pPr>
      <w:r w:rsidRPr="00676CED">
        <w:rPr>
          <w:rFonts w:asciiTheme="minorHAnsi" w:hAnsiTheme="minorHAnsi" w:cstheme="minorHAnsi"/>
          <w:sz w:val="14"/>
          <w:szCs w:val="14"/>
        </w:rPr>
        <w:t>Cifras preliminares</w:t>
      </w:r>
      <w:r w:rsidRPr="00676CED">
        <w:rPr>
          <w:rFonts w:asciiTheme="minorHAnsi" w:hAnsiTheme="minorHAnsi" w:cstheme="minorHAnsi"/>
          <w:sz w:val="14"/>
          <w:szCs w:val="14"/>
        </w:rPr>
        <w:br/>
        <w:t xml:space="preserve">El total presenta una diferencia respecto al reportado por la Balanza Comercial de </w:t>
      </w:r>
      <w:proofErr w:type="spellStart"/>
      <w:r w:rsidRPr="00676CED">
        <w:rPr>
          <w:rFonts w:asciiTheme="minorHAnsi" w:hAnsiTheme="minorHAnsi" w:cstheme="minorHAnsi"/>
          <w:sz w:val="14"/>
          <w:szCs w:val="14"/>
        </w:rPr>
        <w:t>Mercancías</w:t>
      </w:r>
      <w:proofErr w:type="spellEnd"/>
      <w:r w:rsidRPr="00676CED">
        <w:rPr>
          <w:rFonts w:asciiTheme="minorHAnsi" w:hAnsiTheme="minorHAnsi" w:cstheme="minorHAnsi"/>
          <w:sz w:val="14"/>
          <w:szCs w:val="14"/>
        </w:rPr>
        <w:t xml:space="preserve"> de </w:t>
      </w:r>
      <w:r w:rsidR="006F7FB0" w:rsidRPr="00676CED">
        <w:rPr>
          <w:rFonts w:asciiTheme="minorHAnsi" w:hAnsiTheme="minorHAnsi" w:cstheme="minorHAnsi"/>
          <w:sz w:val="14"/>
          <w:szCs w:val="14"/>
        </w:rPr>
        <w:t>México</w:t>
      </w:r>
      <w:r w:rsidR="006F7FB0">
        <w:rPr>
          <w:rFonts w:asciiTheme="minorHAnsi" w:hAnsiTheme="minorHAnsi" w:cstheme="minorHAnsi"/>
          <w:sz w:val="14"/>
          <w:szCs w:val="14"/>
        </w:rPr>
        <w:t xml:space="preserve">  </w:t>
      </w:r>
      <w:r w:rsidRPr="00676CED">
        <w:rPr>
          <w:rFonts w:asciiTheme="minorHAnsi" w:hAnsiTheme="minorHAnsi" w:cstheme="minorHAnsi"/>
          <w:sz w:val="14"/>
          <w:szCs w:val="14"/>
        </w:rPr>
        <w:t xml:space="preserve">debido a que no se consideran los sectores Servicios y Comercio, </w:t>
      </w:r>
      <w:r w:rsidR="006F7FB0" w:rsidRPr="00676CED">
        <w:rPr>
          <w:rFonts w:asciiTheme="minorHAnsi" w:hAnsiTheme="minorHAnsi" w:cstheme="minorHAnsi"/>
          <w:sz w:val="14"/>
          <w:szCs w:val="14"/>
        </w:rPr>
        <w:t>así</w:t>
      </w:r>
      <w:r w:rsidRPr="00676CED">
        <w:rPr>
          <w:rFonts w:asciiTheme="minorHAnsi" w:hAnsiTheme="minorHAnsi" w:cstheme="minorHAnsi"/>
          <w:sz w:val="14"/>
          <w:szCs w:val="14"/>
        </w:rPr>
        <w:t>́ como los establecimientos no</w:t>
      </w:r>
      <w:r w:rsidR="006F7FB0">
        <w:rPr>
          <w:rFonts w:asciiTheme="minorHAnsi" w:hAnsiTheme="minorHAnsi" w:cstheme="minorHAnsi"/>
          <w:sz w:val="14"/>
          <w:szCs w:val="14"/>
        </w:rPr>
        <w:t xml:space="preserve"> </w:t>
      </w:r>
      <w:r w:rsidRPr="00676CED">
        <w:rPr>
          <w:rFonts w:asciiTheme="minorHAnsi" w:hAnsiTheme="minorHAnsi" w:cstheme="minorHAnsi"/>
          <w:sz w:val="14"/>
          <w:szCs w:val="14"/>
        </w:rPr>
        <w:t xml:space="preserve">vinculados al RENEM (ver nota </w:t>
      </w:r>
      <w:r w:rsidR="006F7FB0" w:rsidRPr="00676CED">
        <w:rPr>
          <w:rFonts w:asciiTheme="minorHAnsi" w:hAnsiTheme="minorHAnsi" w:cstheme="minorHAnsi"/>
          <w:sz w:val="14"/>
          <w:szCs w:val="14"/>
        </w:rPr>
        <w:t>metodológica</w:t>
      </w:r>
      <w:r w:rsidRPr="00676CED">
        <w:rPr>
          <w:rFonts w:asciiTheme="minorHAnsi" w:hAnsiTheme="minorHAnsi" w:cstheme="minorHAnsi"/>
          <w:sz w:val="14"/>
          <w:szCs w:val="14"/>
        </w:rPr>
        <w:t xml:space="preserve"> al final de este documento).</w:t>
      </w:r>
    </w:p>
    <w:p w14:paraId="4CBFCE05" w14:textId="77777777" w:rsidR="00E92EC1" w:rsidRPr="00676CED" w:rsidRDefault="00E92EC1" w:rsidP="006F7FB0">
      <w:pPr>
        <w:pStyle w:val="NormalWeb"/>
        <w:spacing w:before="0" w:beforeAutospacing="0" w:after="0" w:afterAutospacing="0"/>
        <w:ind w:left="709" w:hanging="425"/>
        <w:rPr>
          <w:rFonts w:asciiTheme="minorHAnsi" w:hAnsiTheme="minorHAnsi" w:cstheme="minorHAnsi"/>
          <w:sz w:val="14"/>
          <w:szCs w:val="14"/>
        </w:rPr>
      </w:pPr>
      <w:r w:rsidRPr="00676CED">
        <w:rPr>
          <w:rFonts w:asciiTheme="minorHAnsi" w:hAnsiTheme="minorHAnsi" w:cstheme="minorHAnsi"/>
          <w:sz w:val="14"/>
          <w:szCs w:val="14"/>
        </w:rPr>
        <w:t>Fuente: INEGI</w:t>
      </w:r>
    </w:p>
    <w:p w14:paraId="754F6C35" w14:textId="77777777" w:rsidR="00E92EC1" w:rsidRPr="00676CED" w:rsidRDefault="00E92EC1" w:rsidP="00E92EC1">
      <w:pPr>
        <w:jc w:val="center"/>
        <w:rPr>
          <w:rFonts w:asciiTheme="minorHAnsi" w:hAnsiTheme="minorHAnsi" w:cstheme="minorHAnsi"/>
          <w:b/>
          <w:bCs/>
          <w:sz w:val="18"/>
          <w:szCs w:val="18"/>
        </w:rPr>
      </w:pPr>
    </w:p>
    <w:p w14:paraId="38E4816D" w14:textId="62626D19"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Cabe destacar que el estado de Tamaulipas en la comparativa anual sobresalió en las siguientes exportaciones:</w:t>
      </w:r>
    </w:p>
    <w:p w14:paraId="309C49FA" w14:textId="217161F1" w:rsidR="00E92EC1" w:rsidRPr="00E850D6" w:rsidRDefault="00E92EC1" w:rsidP="00E92EC1">
      <w:pPr>
        <w:jc w:val="both"/>
        <w:rPr>
          <w:rFonts w:asciiTheme="minorHAnsi" w:hAnsiTheme="minorHAnsi" w:cstheme="minorHAnsi"/>
          <w:b/>
          <w:sz w:val="18"/>
          <w:szCs w:val="18"/>
        </w:rPr>
      </w:pPr>
      <w:r w:rsidRPr="00E850D6">
        <w:rPr>
          <w:rFonts w:asciiTheme="minorHAnsi" w:hAnsiTheme="minorHAnsi" w:cstheme="minorHAnsi"/>
          <w:b/>
          <w:sz w:val="18"/>
          <w:szCs w:val="18"/>
        </w:rPr>
        <w:t>Equipo electrónico, con un 7.9%</w:t>
      </w:r>
      <w:r w:rsidR="007E1E4D" w:rsidRPr="00E850D6">
        <w:rPr>
          <w:rFonts w:asciiTheme="minorHAnsi" w:hAnsiTheme="minorHAnsi" w:cstheme="minorHAnsi"/>
          <w:b/>
          <w:sz w:val="18"/>
          <w:szCs w:val="18"/>
        </w:rPr>
        <w:t xml:space="preserve">, </w:t>
      </w:r>
      <w:r w:rsidRPr="00E850D6">
        <w:rPr>
          <w:rFonts w:asciiTheme="minorHAnsi" w:hAnsiTheme="minorHAnsi" w:cstheme="minorHAnsi"/>
          <w:b/>
          <w:sz w:val="18"/>
          <w:szCs w:val="18"/>
        </w:rPr>
        <w:t>Equipo eléctrico, 11.3%</w:t>
      </w:r>
      <w:r w:rsidR="007E1E4D" w:rsidRPr="00E850D6">
        <w:rPr>
          <w:rFonts w:asciiTheme="minorHAnsi" w:hAnsiTheme="minorHAnsi" w:cstheme="minorHAnsi"/>
          <w:b/>
          <w:sz w:val="18"/>
          <w:szCs w:val="18"/>
        </w:rPr>
        <w:t xml:space="preserve">, </w:t>
      </w:r>
      <w:r w:rsidRPr="00E850D6">
        <w:rPr>
          <w:rFonts w:asciiTheme="minorHAnsi" w:hAnsiTheme="minorHAnsi" w:cstheme="minorHAnsi"/>
          <w:b/>
          <w:sz w:val="18"/>
          <w:szCs w:val="18"/>
        </w:rPr>
        <w:t>Subsector de extracción de petróleo, 0.6%</w:t>
      </w:r>
    </w:p>
    <w:p w14:paraId="76CEB8A9" w14:textId="7777777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Por su parte, como ya es una tradición en el sector primario, específicamente en el agroindustrial, la producción de sorgo, soya y sábila siguen distinguiendo a Tamaulipas entre los primeros lugares de producción a nivel nacional. De igual forma, el comercio y los servicios son ampliamente dinámicos, siendo de los principales Estados exportadores del país, y líder en cuanto al movimiento de importaciones y exportaciones a los Estados Unidos de Norteamérica.</w:t>
      </w:r>
    </w:p>
    <w:p w14:paraId="539CFFF4" w14:textId="77777777" w:rsidR="00E92EC1" w:rsidRPr="00E850D6" w:rsidRDefault="00E92EC1" w:rsidP="00E92EC1">
      <w:pPr>
        <w:jc w:val="both"/>
        <w:rPr>
          <w:rFonts w:asciiTheme="minorHAnsi" w:hAnsiTheme="minorHAnsi" w:cstheme="minorHAnsi"/>
          <w:b/>
          <w:sz w:val="18"/>
          <w:szCs w:val="18"/>
        </w:rPr>
      </w:pPr>
      <w:r w:rsidRPr="00E850D6">
        <w:rPr>
          <w:rFonts w:asciiTheme="minorHAnsi" w:hAnsiTheme="minorHAnsi" w:cstheme="minorHAnsi"/>
          <w:b/>
          <w:sz w:val="18"/>
          <w:szCs w:val="18"/>
        </w:rPr>
        <w:t>2.3.5.- Deuda Pública Estatal.</w:t>
      </w:r>
    </w:p>
    <w:p w14:paraId="49141160" w14:textId="66C07BC7" w:rsidR="00E92EC1" w:rsidRPr="00E850D6" w:rsidRDefault="00E92EC1" w:rsidP="00E92EC1">
      <w:pPr>
        <w:jc w:val="both"/>
        <w:rPr>
          <w:rFonts w:asciiTheme="minorHAnsi" w:hAnsiTheme="minorHAnsi" w:cstheme="minorHAnsi"/>
          <w:sz w:val="18"/>
          <w:szCs w:val="18"/>
        </w:rPr>
      </w:pPr>
      <w:r w:rsidRPr="00E850D6">
        <w:rPr>
          <w:rFonts w:asciiTheme="minorHAnsi" w:hAnsiTheme="minorHAnsi" w:cstheme="minorHAnsi"/>
          <w:sz w:val="18"/>
          <w:szCs w:val="18"/>
        </w:rPr>
        <w:t xml:space="preserve">En este rubro, al cierre del </w:t>
      </w:r>
      <w:r w:rsidR="00F54DCB" w:rsidRPr="00E850D6">
        <w:rPr>
          <w:rFonts w:asciiTheme="minorHAnsi" w:hAnsiTheme="minorHAnsi" w:cstheme="minorHAnsi"/>
          <w:sz w:val="18"/>
          <w:szCs w:val="18"/>
        </w:rPr>
        <w:t>tercer</w:t>
      </w:r>
      <w:r w:rsidRPr="00E850D6">
        <w:rPr>
          <w:rFonts w:asciiTheme="minorHAnsi" w:hAnsiTheme="minorHAnsi" w:cstheme="minorHAnsi"/>
          <w:sz w:val="18"/>
          <w:szCs w:val="18"/>
        </w:rPr>
        <w:t xml:space="preserve"> trimestre del 2022, Tamaulipas es ubicado en semáforo verde en el Sistema de Alertas publicado por la Secretaría de Hacienda y Crédito Público (SHCP), Indicador que establece una calificación considerada como sostenible para el nivel de endeudamiento del Gobierno del Estado, ello en relación a sus ingresos de libre disposición (ILD).</w:t>
      </w:r>
    </w:p>
    <w:p w14:paraId="08A8804E" w14:textId="77777777" w:rsidR="00B04353" w:rsidRPr="00E850D6" w:rsidRDefault="00B04353" w:rsidP="004056BA">
      <w:pPr>
        <w:pStyle w:val="Prrafodelista"/>
        <w:widowControl w:val="0"/>
        <w:numPr>
          <w:ilvl w:val="0"/>
          <w:numId w:val="30"/>
        </w:numPr>
        <w:spacing w:after="0" w:line="240" w:lineRule="auto"/>
        <w:ind w:right="3566"/>
        <w:jc w:val="both"/>
        <w:outlineLvl w:val="0"/>
        <w:rPr>
          <w:rFonts w:asciiTheme="minorHAnsi" w:eastAsia="Arial" w:hAnsiTheme="minorHAnsi" w:cstheme="minorHAnsi"/>
          <w:b/>
          <w:bCs/>
          <w:sz w:val="20"/>
          <w:szCs w:val="18"/>
        </w:rPr>
      </w:pPr>
      <w:r w:rsidRPr="00E850D6">
        <w:rPr>
          <w:rFonts w:asciiTheme="minorHAnsi" w:eastAsia="Arial" w:hAnsiTheme="minorHAnsi" w:cstheme="minorHAnsi"/>
          <w:b/>
          <w:bCs/>
          <w:sz w:val="20"/>
          <w:szCs w:val="18"/>
        </w:rPr>
        <w:t>Autorización e Historia</w:t>
      </w:r>
    </w:p>
    <w:p w14:paraId="434EED54" w14:textId="77777777" w:rsidR="00B04353" w:rsidRPr="00E850D6" w:rsidRDefault="00B04353" w:rsidP="004056BA">
      <w:pPr>
        <w:pStyle w:val="Prrafodelista"/>
        <w:spacing w:after="0" w:line="240" w:lineRule="auto"/>
        <w:ind w:left="360"/>
        <w:jc w:val="both"/>
        <w:rPr>
          <w:rFonts w:asciiTheme="minorHAnsi" w:eastAsia="Times New Roman" w:hAnsiTheme="minorHAnsi" w:cstheme="minorHAnsi"/>
          <w:sz w:val="20"/>
          <w:szCs w:val="18"/>
          <w:lang w:val="es-ES" w:eastAsia="es-ES"/>
        </w:rPr>
      </w:pPr>
    </w:p>
    <w:p w14:paraId="45F383CF" w14:textId="77777777" w:rsidR="00B04353" w:rsidRPr="00E850D6" w:rsidRDefault="00B04353" w:rsidP="004056BA">
      <w:pPr>
        <w:pStyle w:val="Prrafodelista"/>
        <w:numPr>
          <w:ilvl w:val="1"/>
          <w:numId w:val="6"/>
        </w:numPr>
        <w:spacing w:after="0" w:line="240" w:lineRule="auto"/>
        <w:jc w:val="both"/>
        <w:rPr>
          <w:rFonts w:asciiTheme="minorHAnsi" w:hAnsiTheme="minorHAnsi" w:cstheme="minorHAnsi"/>
          <w:sz w:val="18"/>
          <w:szCs w:val="18"/>
        </w:rPr>
      </w:pPr>
      <w:r w:rsidRPr="00E850D6">
        <w:rPr>
          <w:rFonts w:asciiTheme="minorHAnsi" w:hAnsiTheme="minorHAnsi" w:cstheme="minorHAnsi"/>
          <w:sz w:val="18"/>
          <w:szCs w:val="18"/>
        </w:rPr>
        <w:t xml:space="preserve">Fecha de creación del Ente. </w:t>
      </w:r>
    </w:p>
    <w:p w14:paraId="2A14834D" w14:textId="77777777" w:rsidR="00B04353" w:rsidRPr="00E850D6" w:rsidRDefault="00B04353" w:rsidP="004056BA">
      <w:pPr>
        <w:spacing w:after="0" w:line="240" w:lineRule="auto"/>
        <w:ind w:left="709"/>
        <w:jc w:val="both"/>
        <w:rPr>
          <w:rFonts w:asciiTheme="minorHAnsi" w:hAnsiTheme="minorHAnsi" w:cstheme="minorHAnsi"/>
          <w:sz w:val="18"/>
          <w:szCs w:val="18"/>
        </w:rPr>
      </w:pPr>
      <w:r w:rsidRPr="00E850D6">
        <w:rPr>
          <w:rFonts w:asciiTheme="minorHAnsi" w:hAnsiTheme="minorHAnsi" w:cstheme="minorHAnsi"/>
          <w:sz w:val="18"/>
          <w:szCs w:val="18"/>
        </w:rPr>
        <w:t>El principal antecedente histórico relativo a la creación del Gobierno del Estado de Tamaulipas, lo constituye la vigencia de la entonces Ley del 8 de Enero de 1824, así como el Acta Constitutiva de la Federación Mexicana del 31 de Enero del mismo año, mediante la cual quedó instalado el Primer Congreso Constituyente de Tamaulipas, ello el 7 de Julio de 1824 en la Antigua Villa de Padilla, lo cual ocurrió tres años después de haber sido jurada en Aguayo la Independencia de México.</w:t>
      </w:r>
    </w:p>
    <w:p w14:paraId="6FFDF869" w14:textId="365C8E33" w:rsidR="00B04353" w:rsidRPr="00E850D6" w:rsidRDefault="00B04353" w:rsidP="00B04353">
      <w:pPr>
        <w:spacing w:after="0" w:line="240" w:lineRule="auto"/>
        <w:ind w:left="709"/>
        <w:jc w:val="both"/>
        <w:rPr>
          <w:rFonts w:asciiTheme="minorHAnsi" w:hAnsiTheme="minorHAnsi" w:cstheme="minorHAnsi"/>
          <w:sz w:val="18"/>
          <w:szCs w:val="18"/>
        </w:rPr>
      </w:pPr>
    </w:p>
    <w:p w14:paraId="17C807DB" w14:textId="6FE2216A" w:rsidR="004056BA" w:rsidRPr="00E850D6" w:rsidRDefault="004056BA" w:rsidP="00B04353">
      <w:pPr>
        <w:spacing w:after="0" w:line="240" w:lineRule="auto"/>
        <w:ind w:left="709"/>
        <w:jc w:val="both"/>
        <w:rPr>
          <w:rFonts w:asciiTheme="minorHAnsi" w:hAnsiTheme="minorHAnsi" w:cstheme="minorHAnsi"/>
          <w:sz w:val="18"/>
          <w:szCs w:val="18"/>
        </w:rPr>
      </w:pPr>
    </w:p>
    <w:p w14:paraId="5128DCF0" w14:textId="77777777" w:rsidR="004056BA" w:rsidRPr="00E850D6" w:rsidRDefault="004056BA" w:rsidP="00B04353">
      <w:pPr>
        <w:spacing w:after="0" w:line="240" w:lineRule="auto"/>
        <w:ind w:left="709"/>
        <w:jc w:val="both"/>
        <w:rPr>
          <w:rFonts w:asciiTheme="minorHAnsi" w:hAnsiTheme="minorHAnsi" w:cstheme="minorHAnsi"/>
          <w:sz w:val="18"/>
          <w:szCs w:val="18"/>
        </w:rPr>
      </w:pPr>
    </w:p>
    <w:p w14:paraId="7D2FD35F" w14:textId="77777777" w:rsidR="00B04353" w:rsidRPr="00E850D6" w:rsidRDefault="00B04353" w:rsidP="00B04353">
      <w:pPr>
        <w:pStyle w:val="Prrafodelista"/>
        <w:numPr>
          <w:ilvl w:val="1"/>
          <w:numId w:val="6"/>
        </w:numPr>
        <w:spacing w:after="0" w:line="240" w:lineRule="auto"/>
        <w:jc w:val="both"/>
        <w:rPr>
          <w:rFonts w:asciiTheme="minorHAnsi" w:hAnsiTheme="minorHAnsi" w:cstheme="minorHAnsi"/>
          <w:sz w:val="18"/>
          <w:szCs w:val="18"/>
        </w:rPr>
      </w:pPr>
      <w:r w:rsidRPr="00E850D6">
        <w:rPr>
          <w:rFonts w:asciiTheme="minorHAnsi" w:hAnsiTheme="minorHAnsi" w:cstheme="minorHAnsi"/>
          <w:sz w:val="18"/>
          <w:szCs w:val="18"/>
        </w:rPr>
        <w:t>Principales cambios en su estructura.</w:t>
      </w:r>
    </w:p>
    <w:p w14:paraId="2ECCCDD6" w14:textId="48503C6B" w:rsidR="00B04353" w:rsidRPr="00E850D6" w:rsidRDefault="00B04353" w:rsidP="00B04353">
      <w:pPr>
        <w:spacing w:after="0" w:line="240" w:lineRule="auto"/>
        <w:ind w:left="720"/>
        <w:contextualSpacing/>
        <w:jc w:val="both"/>
        <w:rPr>
          <w:rFonts w:asciiTheme="minorHAnsi" w:hAnsiTheme="minorHAnsi" w:cstheme="minorHAnsi"/>
          <w:sz w:val="18"/>
          <w:szCs w:val="18"/>
        </w:rPr>
      </w:pPr>
      <w:r w:rsidRPr="00E850D6">
        <w:rPr>
          <w:rFonts w:asciiTheme="minorHAnsi" w:hAnsiTheme="minorHAnsi" w:cstheme="minorHAnsi"/>
          <w:sz w:val="18"/>
          <w:szCs w:val="18"/>
        </w:rPr>
        <w:t>Con la Evolución Política y Económica del País, los Tres Poderes que Constituyen el Gobierno del Estado se han adaptado al Entorno Social, Económico y Político que ha transformado a México desde su Independencia, de tal forma que han reformado permanentemente sus Leyes Orgánicas en el caso del Poder Legislativo y del Poder Judicial. Igual ha ocurrido en el Poder Ejecutivo, ya que similar proceso aplica para la Ley Orgánica de la Administración Pública del Estado de Tamaulipas, cuya</w:t>
      </w:r>
      <w:r w:rsidR="008517E0" w:rsidRPr="00E850D6">
        <w:rPr>
          <w:rFonts w:asciiTheme="minorHAnsi" w:hAnsiTheme="minorHAnsi" w:cstheme="minorHAnsi"/>
          <w:sz w:val="18"/>
          <w:szCs w:val="18"/>
        </w:rPr>
        <w:t>s</w:t>
      </w:r>
      <w:r w:rsidRPr="00E850D6">
        <w:rPr>
          <w:rFonts w:asciiTheme="minorHAnsi" w:hAnsiTheme="minorHAnsi" w:cstheme="minorHAnsi"/>
          <w:sz w:val="18"/>
          <w:szCs w:val="18"/>
        </w:rPr>
        <w:t xml:space="preserve"> última</w:t>
      </w:r>
      <w:r w:rsidR="008517E0" w:rsidRPr="00E850D6">
        <w:rPr>
          <w:rFonts w:asciiTheme="minorHAnsi" w:hAnsiTheme="minorHAnsi" w:cstheme="minorHAnsi"/>
          <w:sz w:val="18"/>
          <w:szCs w:val="18"/>
        </w:rPr>
        <w:t>s</w:t>
      </w:r>
      <w:r w:rsidRPr="00E850D6">
        <w:rPr>
          <w:rFonts w:asciiTheme="minorHAnsi" w:hAnsiTheme="minorHAnsi" w:cstheme="minorHAnsi"/>
          <w:sz w:val="18"/>
          <w:szCs w:val="18"/>
        </w:rPr>
        <w:t xml:space="preserve"> Reforma</w:t>
      </w:r>
      <w:r w:rsidR="008517E0" w:rsidRPr="00E850D6">
        <w:rPr>
          <w:rFonts w:asciiTheme="minorHAnsi" w:hAnsiTheme="minorHAnsi" w:cstheme="minorHAnsi"/>
          <w:sz w:val="18"/>
          <w:szCs w:val="18"/>
        </w:rPr>
        <w:t xml:space="preserve">s se publicadas </w:t>
      </w:r>
      <w:r w:rsidRPr="00E850D6">
        <w:rPr>
          <w:rFonts w:asciiTheme="minorHAnsi" w:hAnsiTheme="minorHAnsi" w:cstheme="minorHAnsi"/>
          <w:sz w:val="18"/>
          <w:szCs w:val="18"/>
        </w:rPr>
        <w:t xml:space="preserve">en el Periódico Oficial del Estado el </w:t>
      </w:r>
      <w:r w:rsidR="008517E0" w:rsidRPr="00E850D6">
        <w:rPr>
          <w:rFonts w:asciiTheme="minorHAnsi" w:hAnsiTheme="minorHAnsi" w:cstheme="minorHAnsi"/>
          <w:sz w:val="18"/>
          <w:szCs w:val="18"/>
        </w:rPr>
        <w:t>19 de Octubre de 2021 y el 22 de diciembre de 2022.</w:t>
      </w:r>
    </w:p>
    <w:p w14:paraId="487FD681" w14:textId="49007824" w:rsidR="00AB5FAC" w:rsidRPr="00E850D6" w:rsidRDefault="00AB5FAC" w:rsidP="00452EEE">
      <w:pPr>
        <w:spacing w:after="0" w:line="240" w:lineRule="exact"/>
        <w:jc w:val="both"/>
        <w:rPr>
          <w:rFonts w:asciiTheme="minorHAnsi" w:eastAsia="Times New Roman" w:hAnsiTheme="minorHAnsi" w:cstheme="minorHAnsi"/>
          <w:b/>
          <w:sz w:val="20"/>
          <w:szCs w:val="18"/>
          <w:lang w:eastAsia="es-ES"/>
        </w:rPr>
      </w:pPr>
    </w:p>
    <w:p w14:paraId="58169FDC" w14:textId="320F9DD3" w:rsidR="00AA7087" w:rsidRPr="00E850D6" w:rsidRDefault="00AA7087" w:rsidP="00A0694D">
      <w:pPr>
        <w:pStyle w:val="Prrafodelista"/>
        <w:numPr>
          <w:ilvl w:val="0"/>
          <w:numId w:val="30"/>
        </w:numPr>
        <w:spacing w:after="0" w:line="240" w:lineRule="exact"/>
        <w:jc w:val="both"/>
        <w:rPr>
          <w:rFonts w:asciiTheme="minorHAnsi" w:eastAsia="Times New Roman" w:hAnsiTheme="minorHAnsi" w:cstheme="minorHAnsi"/>
          <w:b/>
          <w:sz w:val="20"/>
          <w:szCs w:val="18"/>
          <w:lang w:eastAsia="es-ES"/>
        </w:rPr>
      </w:pPr>
      <w:r w:rsidRPr="00E850D6">
        <w:rPr>
          <w:rFonts w:asciiTheme="minorHAnsi" w:eastAsia="Times New Roman" w:hAnsiTheme="minorHAnsi" w:cstheme="minorHAnsi"/>
          <w:b/>
          <w:sz w:val="20"/>
          <w:szCs w:val="18"/>
          <w:lang w:eastAsia="es-ES"/>
        </w:rPr>
        <w:t>Organización y Objeto Social</w:t>
      </w:r>
    </w:p>
    <w:p w14:paraId="76FF9EA6" w14:textId="77777777" w:rsidR="00AA7087" w:rsidRPr="00E850D6" w:rsidRDefault="00AA7087" w:rsidP="0086177A">
      <w:pPr>
        <w:pStyle w:val="Prrafodelista"/>
        <w:spacing w:after="0" w:line="240" w:lineRule="exact"/>
        <w:ind w:left="360"/>
        <w:jc w:val="both"/>
        <w:rPr>
          <w:rFonts w:asciiTheme="minorHAnsi" w:eastAsia="Times New Roman" w:hAnsiTheme="minorHAnsi" w:cstheme="minorHAnsi"/>
          <w:b/>
          <w:sz w:val="18"/>
          <w:szCs w:val="18"/>
          <w:lang w:eastAsia="es-ES"/>
        </w:rPr>
      </w:pPr>
    </w:p>
    <w:p w14:paraId="47763D71" w14:textId="77777777" w:rsidR="00AA7087" w:rsidRPr="00E850D6" w:rsidRDefault="00AA7087" w:rsidP="0086177A">
      <w:pPr>
        <w:pStyle w:val="Prrafodelista"/>
        <w:numPr>
          <w:ilvl w:val="0"/>
          <w:numId w:val="8"/>
        </w:numPr>
        <w:spacing w:after="0" w:line="240" w:lineRule="exact"/>
        <w:jc w:val="both"/>
        <w:rPr>
          <w:rFonts w:asciiTheme="minorHAnsi" w:eastAsia="Times New Roman" w:hAnsiTheme="minorHAnsi" w:cstheme="minorHAnsi"/>
          <w:sz w:val="18"/>
          <w:szCs w:val="18"/>
          <w:lang w:eastAsia="es-ES"/>
        </w:rPr>
      </w:pPr>
      <w:r w:rsidRPr="00E850D6">
        <w:rPr>
          <w:rFonts w:asciiTheme="minorHAnsi" w:eastAsia="Times New Roman" w:hAnsiTheme="minorHAnsi" w:cstheme="minorHAnsi"/>
          <w:sz w:val="18"/>
          <w:szCs w:val="18"/>
          <w:lang w:eastAsia="es-ES"/>
        </w:rPr>
        <w:t>Objeto social</w:t>
      </w:r>
    </w:p>
    <w:p w14:paraId="497B95EA" w14:textId="77777777" w:rsidR="00AA7087" w:rsidRPr="00E850D6" w:rsidRDefault="00AA7087" w:rsidP="0086177A">
      <w:pPr>
        <w:spacing w:after="0" w:line="240" w:lineRule="exact"/>
        <w:ind w:left="720"/>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De acuerdo al Artículo 1 de la Constitución Política del Estado, el Estado de Tamaulipas es Libre, Soberano e Independiente en cuanto a su Gobierno y Administración Interiores; pero está ligado a los Poderes de la Unión como parte integrante de los Estados Unidos Mexicanos, en todo aquello que fija expresamente la Constitución Política de los Estados Unidos Mexicanos y las Leyes que de ella emanan.</w:t>
      </w:r>
    </w:p>
    <w:p w14:paraId="25331763" w14:textId="77777777" w:rsidR="00AA7087" w:rsidRPr="00E850D6" w:rsidRDefault="00AA7087" w:rsidP="00AA7087">
      <w:pPr>
        <w:spacing w:after="0" w:line="240" w:lineRule="exact"/>
        <w:ind w:left="720"/>
        <w:jc w:val="both"/>
        <w:rPr>
          <w:rFonts w:asciiTheme="minorHAnsi" w:eastAsia="Times New Roman" w:hAnsiTheme="minorHAnsi" w:cstheme="minorHAnsi"/>
          <w:sz w:val="18"/>
          <w:szCs w:val="18"/>
          <w:lang w:val="es-ES" w:eastAsia="es-ES"/>
        </w:rPr>
      </w:pPr>
    </w:p>
    <w:p w14:paraId="34150197" w14:textId="276F01F8" w:rsidR="00AA7087" w:rsidRPr="00E850D6"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Principal actividad</w:t>
      </w:r>
      <w:r w:rsidR="00291DC2" w:rsidRPr="00E850D6">
        <w:rPr>
          <w:rFonts w:asciiTheme="minorHAnsi" w:eastAsia="Times New Roman" w:hAnsiTheme="minorHAnsi" w:cstheme="minorHAnsi"/>
          <w:sz w:val="18"/>
          <w:szCs w:val="18"/>
          <w:lang w:val="es-ES" w:eastAsia="es-ES"/>
        </w:rPr>
        <w:t>.</w:t>
      </w:r>
    </w:p>
    <w:p w14:paraId="24EAC26B"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5D313E10"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El Gobierno del Estado de Tamaulipas está registrado para efectos fiscales como una Persona Moral con Fines no Lucrativos, cuya principal actividad es ser retenedor de acuerdo al Título III, Capítulo I de la Ley del Impuesto sobre la Renta.</w:t>
      </w:r>
    </w:p>
    <w:p w14:paraId="4526D8AF"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65A81839" w14:textId="528EA48E" w:rsidR="00AA7087" w:rsidRPr="00E850D6" w:rsidRDefault="00AA7087" w:rsidP="001E4416">
      <w:pPr>
        <w:pStyle w:val="Prrafodelista"/>
        <w:numPr>
          <w:ilvl w:val="0"/>
          <w:numId w:val="8"/>
        </w:numPr>
        <w:spacing w:after="0" w:line="240" w:lineRule="exact"/>
        <w:jc w:val="both"/>
        <w:rPr>
          <w:rFonts w:asciiTheme="minorHAnsi" w:eastAsia="Times New Roman" w:hAnsiTheme="minorHAnsi" w:cstheme="minorHAnsi"/>
          <w:b/>
          <w:sz w:val="18"/>
          <w:szCs w:val="18"/>
          <w:lang w:val="es-ES" w:eastAsia="es-ES"/>
        </w:rPr>
      </w:pPr>
      <w:r w:rsidRPr="00E850D6">
        <w:rPr>
          <w:rFonts w:asciiTheme="minorHAnsi" w:eastAsia="Times New Roman" w:hAnsiTheme="minorHAnsi" w:cstheme="minorHAnsi"/>
          <w:sz w:val="18"/>
          <w:szCs w:val="18"/>
          <w:lang w:val="es-ES" w:eastAsia="es-ES"/>
        </w:rPr>
        <w:t xml:space="preserve">Ejercicio </w:t>
      </w:r>
      <w:r w:rsidR="00813145" w:rsidRPr="00E850D6">
        <w:rPr>
          <w:rFonts w:asciiTheme="minorHAnsi" w:eastAsia="Times New Roman" w:hAnsiTheme="minorHAnsi" w:cstheme="minorHAnsi"/>
          <w:sz w:val="18"/>
          <w:szCs w:val="18"/>
          <w:lang w:val="es-ES" w:eastAsia="es-ES"/>
        </w:rPr>
        <w:t>F</w:t>
      </w:r>
      <w:r w:rsidRPr="00E850D6">
        <w:rPr>
          <w:rFonts w:asciiTheme="minorHAnsi" w:eastAsia="Times New Roman" w:hAnsiTheme="minorHAnsi" w:cstheme="minorHAnsi"/>
          <w:sz w:val="18"/>
          <w:szCs w:val="18"/>
          <w:lang w:val="es-ES" w:eastAsia="es-ES"/>
        </w:rPr>
        <w:t>iscal que se informa</w:t>
      </w:r>
      <w:r w:rsidRPr="00E850D6">
        <w:rPr>
          <w:rFonts w:asciiTheme="minorHAnsi" w:eastAsia="Times New Roman" w:hAnsiTheme="minorHAnsi" w:cstheme="minorHAnsi"/>
          <w:b/>
          <w:sz w:val="18"/>
          <w:szCs w:val="18"/>
          <w:lang w:val="es-ES" w:eastAsia="es-ES"/>
        </w:rPr>
        <w:t>:</w:t>
      </w:r>
      <w:r w:rsidR="00813145" w:rsidRPr="00E850D6">
        <w:rPr>
          <w:rFonts w:asciiTheme="minorHAnsi" w:eastAsia="Times New Roman" w:hAnsiTheme="minorHAnsi" w:cstheme="minorHAnsi"/>
          <w:sz w:val="18"/>
          <w:szCs w:val="18"/>
          <w:lang w:val="es-ES" w:eastAsia="es-ES"/>
        </w:rPr>
        <w:t xml:space="preserve"> Del 1° de enero al </w:t>
      </w:r>
      <w:r w:rsidR="005B07BA" w:rsidRPr="00E850D6">
        <w:rPr>
          <w:rFonts w:asciiTheme="minorHAnsi" w:eastAsia="Times New Roman" w:hAnsiTheme="minorHAnsi" w:cstheme="minorHAnsi"/>
          <w:sz w:val="18"/>
          <w:szCs w:val="18"/>
          <w:lang w:val="es-ES" w:eastAsia="es-ES"/>
        </w:rPr>
        <w:t>31 de Diciembre 2022</w:t>
      </w:r>
      <w:r w:rsidR="00BB51AD" w:rsidRPr="00E850D6">
        <w:rPr>
          <w:rFonts w:asciiTheme="minorHAnsi" w:eastAsia="Times New Roman" w:hAnsiTheme="minorHAnsi" w:cstheme="minorHAnsi"/>
          <w:sz w:val="18"/>
          <w:szCs w:val="18"/>
          <w:lang w:val="es-ES" w:eastAsia="es-ES"/>
        </w:rPr>
        <w:t>.</w:t>
      </w:r>
      <w:r w:rsidR="005B07BA" w:rsidRPr="00E850D6">
        <w:rPr>
          <w:rFonts w:asciiTheme="minorHAnsi" w:eastAsia="Times New Roman" w:hAnsiTheme="minorHAnsi" w:cstheme="minorHAnsi"/>
          <w:sz w:val="18"/>
          <w:szCs w:val="18"/>
          <w:lang w:val="es-ES" w:eastAsia="es-ES"/>
        </w:rPr>
        <w:t xml:space="preserve"> </w:t>
      </w:r>
    </w:p>
    <w:p w14:paraId="2558DE11" w14:textId="77777777" w:rsidR="00C049F3" w:rsidRPr="00E850D6" w:rsidRDefault="00C049F3" w:rsidP="00C049F3">
      <w:pPr>
        <w:spacing w:after="0" w:line="240" w:lineRule="exact"/>
        <w:jc w:val="both"/>
        <w:rPr>
          <w:rFonts w:asciiTheme="minorHAnsi" w:eastAsia="Times New Roman" w:hAnsiTheme="minorHAnsi" w:cstheme="minorHAnsi"/>
          <w:b/>
          <w:sz w:val="18"/>
          <w:szCs w:val="18"/>
          <w:lang w:val="es-ES" w:eastAsia="es-ES"/>
        </w:rPr>
      </w:pPr>
    </w:p>
    <w:p w14:paraId="7CB62370" w14:textId="77777777" w:rsidR="00AA7087" w:rsidRPr="00E850D6"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Régimen Jurídico</w:t>
      </w:r>
    </w:p>
    <w:p w14:paraId="727A6CA1" w14:textId="77777777" w:rsidR="00AA7087" w:rsidRPr="00E850D6" w:rsidRDefault="00AA7087" w:rsidP="00AA7087">
      <w:pPr>
        <w:pStyle w:val="Prrafodelista"/>
        <w:rPr>
          <w:rFonts w:asciiTheme="minorHAnsi" w:eastAsia="Times New Roman" w:hAnsiTheme="minorHAnsi" w:cstheme="minorHAnsi"/>
          <w:sz w:val="18"/>
          <w:szCs w:val="18"/>
          <w:lang w:val="es-ES" w:eastAsia="es-ES"/>
        </w:rPr>
      </w:pPr>
    </w:p>
    <w:p w14:paraId="5DA660E3"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En la parte normativa, la Administración Pública del Estado funciona acorde a lo establecido en la  Constitución Política de los Estados Unidos Mexicanos, la propia del Estado, la Ley Orgánica de la Administración Pública del Estado de Tamaulipas, la Ley de Responsabilidades de los Servidores Públicos del Estado, Ley de Gasto Público, Ley de Deuda Pública</w:t>
      </w:r>
      <w:r w:rsidR="003E6B6E" w:rsidRPr="00E850D6">
        <w:rPr>
          <w:rFonts w:asciiTheme="minorHAnsi" w:eastAsia="Times New Roman" w:hAnsiTheme="minorHAnsi" w:cstheme="minorHAnsi"/>
          <w:sz w:val="18"/>
          <w:szCs w:val="18"/>
          <w:lang w:val="es-ES" w:eastAsia="es-ES"/>
        </w:rPr>
        <w:t xml:space="preserve"> Estatal y Municipal</w:t>
      </w:r>
      <w:r w:rsidRPr="00E850D6">
        <w:rPr>
          <w:rFonts w:asciiTheme="minorHAnsi" w:eastAsia="Times New Roman" w:hAnsiTheme="minorHAnsi" w:cstheme="minorHAnsi"/>
          <w:sz w:val="18"/>
          <w:szCs w:val="18"/>
          <w:lang w:val="es-ES" w:eastAsia="es-ES"/>
        </w:rPr>
        <w:t xml:space="preserve">, Ley </w:t>
      </w:r>
      <w:r w:rsidR="009E5D84" w:rsidRPr="00E850D6">
        <w:rPr>
          <w:rFonts w:asciiTheme="minorHAnsi" w:eastAsia="Times New Roman" w:hAnsiTheme="minorHAnsi" w:cstheme="minorHAnsi"/>
          <w:sz w:val="18"/>
          <w:szCs w:val="18"/>
          <w:lang w:val="es-ES" w:eastAsia="es-ES"/>
        </w:rPr>
        <w:t xml:space="preserve">Estatal </w:t>
      </w:r>
      <w:r w:rsidRPr="00E850D6">
        <w:rPr>
          <w:rFonts w:asciiTheme="minorHAnsi" w:eastAsia="Times New Roman" w:hAnsiTheme="minorHAnsi" w:cstheme="minorHAnsi"/>
          <w:sz w:val="18"/>
          <w:szCs w:val="18"/>
          <w:lang w:val="es-ES" w:eastAsia="es-ES"/>
        </w:rPr>
        <w:t xml:space="preserve">de Planeación, Ley de Entidades Paraestatales y Ley de Fiscalización y Rendición de Cuentas del Estado, entre otras.     </w:t>
      </w:r>
    </w:p>
    <w:p w14:paraId="52DFBCCE"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6C5B0A98" w14:textId="77777777" w:rsidR="00AA7087" w:rsidRPr="00E850D6"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Consideraciones Fiscales del Ente:</w:t>
      </w:r>
    </w:p>
    <w:p w14:paraId="7BB2484D" w14:textId="77777777" w:rsidR="00AA7087" w:rsidRPr="00E850D6" w:rsidRDefault="00AA7087" w:rsidP="00AA7087">
      <w:pPr>
        <w:spacing w:after="0" w:line="240" w:lineRule="exact"/>
        <w:jc w:val="both"/>
        <w:rPr>
          <w:rFonts w:asciiTheme="minorHAnsi" w:eastAsia="Times New Roman" w:hAnsiTheme="minorHAnsi" w:cstheme="minorHAnsi"/>
          <w:sz w:val="18"/>
          <w:szCs w:val="18"/>
          <w:lang w:val="es-ES" w:eastAsia="es-ES"/>
        </w:rPr>
      </w:pPr>
    </w:p>
    <w:p w14:paraId="018C9F26"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Obligado a retenciones en materia de Salarios y demás prestaciones que deriven de una relación laboral subordinada, así como retenciones en materia de Ingresos Asimilables a Salarios, retenciones en materia de prestación de Servicios Profesionales, retenciones en materia de Arrendamientos y en general por otorgar el uso o goce temporal de Inmuebles, así como el Impuesto al Valor Agregado por los actos o actividades que realice que cause este Impuesto.</w:t>
      </w:r>
    </w:p>
    <w:p w14:paraId="0AC21AF2"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p>
    <w:p w14:paraId="53907AD9" w14:textId="04D2D62C" w:rsidR="00AA7087" w:rsidRPr="00E850D6" w:rsidRDefault="00AA7087" w:rsidP="00FD47EF">
      <w:pPr>
        <w:pStyle w:val="Prrafodelista"/>
        <w:numPr>
          <w:ilvl w:val="0"/>
          <w:numId w:val="8"/>
        </w:numPr>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Estructura Organizacional Básica</w:t>
      </w:r>
      <w:r w:rsidR="00291DC2" w:rsidRPr="00E850D6">
        <w:rPr>
          <w:rFonts w:asciiTheme="minorHAnsi" w:eastAsia="Times New Roman" w:hAnsiTheme="minorHAnsi" w:cstheme="minorHAnsi"/>
          <w:sz w:val="18"/>
          <w:szCs w:val="18"/>
          <w:lang w:val="es-ES" w:eastAsia="es-ES"/>
        </w:rPr>
        <w:t>.</w:t>
      </w:r>
    </w:p>
    <w:p w14:paraId="68C5C05E" w14:textId="77777777" w:rsidR="00AA7087" w:rsidRPr="00E850D6" w:rsidRDefault="00AA7087" w:rsidP="00AA7087">
      <w:pPr>
        <w:spacing w:after="0" w:line="240" w:lineRule="exact"/>
        <w:jc w:val="both"/>
        <w:rPr>
          <w:rFonts w:asciiTheme="minorHAnsi" w:eastAsia="Times New Roman" w:hAnsiTheme="minorHAnsi" w:cstheme="minorHAnsi"/>
          <w:sz w:val="18"/>
          <w:szCs w:val="18"/>
          <w:lang w:val="es-ES" w:eastAsia="es-ES"/>
        </w:rPr>
      </w:pPr>
    </w:p>
    <w:p w14:paraId="0571BD1B" w14:textId="77777777" w:rsidR="00AA7087" w:rsidRPr="00E850D6" w:rsidRDefault="00AA7087" w:rsidP="00AA7087">
      <w:pPr>
        <w:pStyle w:val="Prrafodelista"/>
        <w:spacing w:after="0" w:line="240" w:lineRule="exact"/>
        <w:jc w:val="both"/>
        <w:rPr>
          <w:rFonts w:asciiTheme="minorHAnsi" w:eastAsia="Times New Roman" w:hAnsiTheme="minorHAnsi" w:cstheme="minorHAnsi"/>
          <w:sz w:val="18"/>
          <w:szCs w:val="18"/>
          <w:lang w:val="es-ES" w:eastAsia="es-ES"/>
        </w:rPr>
      </w:pPr>
      <w:r w:rsidRPr="00E850D6">
        <w:rPr>
          <w:rFonts w:asciiTheme="minorHAnsi" w:eastAsia="Times New Roman" w:hAnsiTheme="minorHAnsi" w:cstheme="minorHAnsi"/>
          <w:sz w:val="18"/>
          <w:szCs w:val="18"/>
          <w:lang w:val="es-ES" w:eastAsia="es-ES"/>
        </w:rPr>
        <w:t>Conforme al Artículo 23 de la Ley Orgánica de la Administración Pública del Estado de Tamaulipas, el Titular del Poder Ejecutivo cuenta con las siguientes Dependencias.</w:t>
      </w:r>
    </w:p>
    <w:p w14:paraId="777057F2" w14:textId="77777777" w:rsidR="006674B5" w:rsidRPr="005F45A3" w:rsidRDefault="006674B5" w:rsidP="00AA7087">
      <w:pPr>
        <w:pStyle w:val="Prrafodelista"/>
        <w:spacing w:after="0" w:line="240" w:lineRule="exact"/>
        <w:jc w:val="both"/>
        <w:rPr>
          <w:rFonts w:asciiTheme="minorHAnsi" w:eastAsia="Times New Roman" w:hAnsiTheme="minorHAnsi" w:cstheme="minorHAnsi"/>
          <w:sz w:val="16"/>
          <w:szCs w:val="16"/>
          <w:lang w:val="es-ES" w:eastAsia="es-ES"/>
        </w:rPr>
      </w:pPr>
    </w:p>
    <w:p w14:paraId="2BEAE663" w14:textId="77777777" w:rsidR="00AA7087" w:rsidRPr="005F45A3" w:rsidRDefault="00AA7087" w:rsidP="00AA7087">
      <w:pPr>
        <w:spacing w:after="0" w:line="240" w:lineRule="exact"/>
        <w:ind w:left="1080"/>
        <w:jc w:val="both"/>
        <w:rPr>
          <w:rFonts w:asciiTheme="minorHAnsi" w:eastAsia="Times New Roman" w:hAnsiTheme="minorHAnsi" w:cstheme="minorHAnsi"/>
          <w:sz w:val="16"/>
          <w:szCs w:val="16"/>
          <w:lang w:val="es-ES" w:eastAsia="es-ES"/>
        </w:rPr>
      </w:pPr>
    </w:p>
    <w:tbl>
      <w:tblPr>
        <w:tblW w:w="6825" w:type="dxa"/>
        <w:tblInd w:w="426" w:type="dxa"/>
        <w:tblCellMar>
          <w:left w:w="70" w:type="dxa"/>
          <w:right w:w="70" w:type="dxa"/>
        </w:tblCellMar>
        <w:tblLook w:val="04A0" w:firstRow="1" w:lastRow="0" w:firstColumn="1" w:lastColumn="0" w:noHBand="0" w:noVBand="1"/>
      </w:tblPr>
      <w:tblGrid>
        <w:gridCol w:w="6825"/>
      </w:tblGrid>
      <w:tr w:rsidR="00533617" w:rsidRPr="005F45A3" w14:paraId="0DFF6E1D" w14:textId="77777777" w:rsidTr="00295AC0">
        <w:trPr>
          <w:trHeight w:val="340"/>
        </w:trPr>
        <w:tc>
          <w:tcPr>
            <w:tcW w:w="6825" w:type="dxa"/>
            <w:shd w:val="clear" w:color="auto" w:fill="auto"/>
            <w:noWrap/>
            <w:hideMark/>
          </w:tcPr>
          <w:p w14:paraId="6D95270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Jefe de la Oficina del Gobernador;</w:t>
            </w:r>
          </w:p>
          <w:p w14:paraId="0E0700D4"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General de Gobierno;</w:t>
            </w:r>
          </w:p>
          <w:p w14:paraId="3DB76B01"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Finanzas; </w:t>
            </w:r>
          </w:p>
          <w:p w14:paraId="4090E2B9"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Administración; </w:t>
            </w:r>
          </w:p>
          <w:p w14:paraId="1156B97D"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lastRenderedPageBreak/>
              <w:t xml:space="preserve">Secretaría de Desarrollo Económico; </w:t>
            </w:r>
          </w:p>
          <w:p w14:paraId="4716A190"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Turismo; </w:t>
            </w:r>
          </w:p>
          <w:p w14:paraId="4A40F125"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del Trabajo; </w:t>
            </w:r>
          </w:p>
          <w:p w14:paraId="386FFE7F"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Desarrollo Rural;</w:t>
            </w:r>
          </w:p>
          <w:p w14:paraId="3B8310C0"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Pesca y Acuacultura; </w:t>
            </w:r>
          </w:p>
          <w:p w14:paraId="2E265B9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Bienestar Social; </w:t>
            </w:r>
          </w:p>
          <w:p w14:paraId="1094480F"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Educación;</w:t>
            </w:r>
          </w:p>
          <w:p w14:paraId="239D34A1"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Salud; </w:t>
            </w:r>
          </w:p>
          <w:p w14:paraId="60F8BB69" w14:textId="77777777" w:rsidR="00533617" w:rsidRPr="005F45A3" w:rsidRDefault="00533617" w:rsidP="00FD47EF">
            <w:pPr>
              <w:pStyle w:val="Prrafodelista"/>
              <w:numPr>
                <w:ilvl w:val="0"/>
                <w:numId w:val="15"/>
              </w:numPr>
              <w:jc w:val="both"/>
              <w:rPr>
                <w:rFonts w:asciiTheme="minorHAnsi" w:hAnsiTheme="minorHAnsi" w:cstheme="minorHAnsi"/>
                <w:sz w:val="16"/>
                <w:szCs w:val="16"/>
              </w:rPr>
            </w:pPr>
            <w:r w:rsidRPr="005F45A3">
              <w:rPr>
                <w:rFonts w:asciiTheme="minorHAnsi" w:hAnsiTheme="minorHAnsi" w:cstheme="minorHAnsi"/>
                <w:sz w:val="16"/>
                <w:szCs w:val="16"/>
              </w:rPr>
              <w:t xml:space="preserve">Secretaría de Desarrollo Urbano y Medio Ambiente; </w:t>
            </w:r>
          </w:p>
          <w:p w14:paraId="413A8A74"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 xml:space="preserve">Secretaría de Obras Públicas; </w:t>
            </w:r>
          </w:p>
          <w:p w14:paraId="7DDE5FC6"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Secretaría de Seguridad Pública;</w:t>
            </w:r>
          </w:p>
          <w:p w14:paraId="570D34C0" w14:textId="77777777" w:rsidR="00533617" w:rsidRPr="005F45A3" w:rsidRDefault="00742D41"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Derogada</w:t>
            </w:r>
            <w:r w:rsidRPr="005F45A3">
              <w:rPr>
                <w:rFonts w:asciiTheme="minorHAnsi" w:hAnsiTheme="minorHAnsi" w:cstheme="minorHAnsi"/>
                <w:sz w:val="14"/>
                <w:szCs w:val="14"/>
              </w:rPr>
              <w:t xml:space="preserve"> (Decreto No.LXIV-95, P.O. Edición Vespertina No.45 del 14 de Abril de 2020</w:t>
            </w:r>
            <w:r w:rsidRPr="005F45A3">
              <w:rPr>
                <w:rFonts w:asciiTheme="minorHAnsi" w:hAnsiTheme="minorHAnsi" w:cstheme="minorHAnsi"/>
                <w:sz w:val="16"/>
                <w:szCs w:val="16"/>
              </w:rPr>
              <w:t>)</w:t>
            </w:r>
          </w:p>
          <w:p w14:paraId="30AD937A" w14:textId="77777777" w:rsidR="00533617" w:rsidRPr="005F45A3" w:rsidRDefault="00533617" w:rsidP="00FD47EF">
            <w:pPr>
              <w:pStyle w:val="Prrafodelista"/>
              <w:numPr>
                <w:ilvl w:val="0"/>
                <w:numId w:val="15"/>
              </w:numPr>
              <w:rPr>
                <w:rFonts w:asciiTheme="minorHAnsi" w:hAnsiTheme="minorHAnsi" w:cstheme="minorHAnsi"/>
                <w:sz w:val="16"/>
                <w:szCs w:val="16"/>
              </w:rPr>
            </w:pPr>
            <w:r w:rsidRPr="005F45A3">
              <w:rPr>
                <w:rFonts w:asciiTheme="minorHAnsi" w:hAnsiTheme="minorHAnsi" w:cstheme="minorHAnsi"/>
                <w:sz w:val="16"/>
                <w:szCs w:val="16"/>
              </w:rPr>
              <w:t>Contraloría Gubernamental.</w:t>
            </w:r>
          </w:p>
        </w:tc>
      </w:tr>
    </w:tbl>
    <w:p w14:paraId="1D06308A" w14:textId="639C78CA" w:rsidR="00AA7087" w:rsidRPr="005F45A3" w:rsidRDefault="00AA7087" w:rsidP="00AA7087">
      <w:pPr>
        <w:spacing w:after="0" w:line="240" w:lineRule="exact"/>
        <w:ind w:left="708"/>
        <w:jc w:val="both"/>
        <w:rPr>
          <w:rFonts w:asciiTheme="minorHAnsi" w:eastAsia="Times New Roman" w:hAnsiTheme="minorHAnsi" w:cstheme="minorHAnsi"/>
          <w:sz w:val="18"/>
          <w:szCs w:val="20"/>
          <w:lang w:val="es-ES" w:eastAsia="es-ES"/>
        </w:rPr>
      </w:pPr>
      <w:r w:rsidRPr="005F45A3">
        <w:rPr>
          <w:rFonts w:asciiTheme="minorHAnsi" w:eastAsia="Times New Roman" w:hAnsiTheme="minorHAnsi" w:cstheme="minorHAnsi"/>
          <w:sz w:val="18"/>
          <w:szCs w:val="20"/>
          <w:lang w:val="es-ES" w:eastAsia="es-ES"/>
        </w:rPr>
        <w:lastRenderedPageBreak/>
        <w:t xml:space="preserve">La Administración Pública Paraestatal, está conformada por los Organismos Descentralizados, las Empresas de Participación </w:t>
      </w:r>
      <w:r w:rsidRPr="005F45A3">
        <w:rPr>
          <w:rFonts w:asciiTheme="minorHAnsi" w:eastAsia="Times New Roman" w:hAnsiTheme="minorHAnsi" w:cstheme="minorHAnsi"/>
          <w:color w:val="000000"/>
          <w:sz w:val="18"/>
          <w:szCs w:val="20"/>
          <w:lang w:val="es-ES" w:eastAsia="es-ES"/>
        </w:rPr>
        <w:t>Estatal,</w:t>
      </w:r>
      <w:r w:rsidRPr="005F45A3">
        <w:rPr>
          <w:rFonts w:asciiTheme="minorHAnsi" w:eastAsia="Times New Roman" w:hAnsiTheme="minorHAnsi" w:cstheme="minorHAnsi"/>
          <w:sz w:val="18"/>
          <w:szCs w:val="20"/>
          <w:lang w:val="es-ES" w:eastAsia="es-ES"/>
        </w:rPr>
        <w:t xml:space="preserve"> y los Fideicomisos Públicos, cualquiera que sea su denominación, ello conforme al Artículo 1, Tercer Párrafo de la Ley Orgánica de la Administración Pública del Estado</w:t>
      </w:r>
      <w:r w:rsidR="00291DC2">
        <w:rPr>
          <w:rFonts w:asciiTheme="minorHAnsi" w:eastAsia="Times New Roman" w:hAnsiTheme="minorHAnsi" w:cstheme="minorHAnsi"/>
          <w:sz w:val="18"/>
          <w:szCs w:val="20"/>
          <w:lang w:val="es-ES" w:eastAsia="es-ES"/>
        </w:rPr>
        <w:t>.</w:t>
      </w:r>
    </w:p>
    <w:p w14:paraId="1180D835" w14:textId="77777777" w:rsidR="00AA7087" w:rsidRPr="005F45A3" w:rsidRDefault="00AA7087" w:rsidP="00AA7087">
      <w:pPr>
        <w:spacing w:after="0" w:line="240" w:lineRule="exact"/>
        <w:ind w:left="1080"/>
        <w:jc w:val="both"/>
        <w:rPr>
          <w:rFonts w:asciiTheme="minorHAnsi" w:eastAsia="Times New Roman" w:hAnsiTheme="minorHAnsi" w:cstheme="minorHAnsi"/>
          <w:sz w:val="18"/>
          <w:szCs w:val="20"/>
          <w:lang w:val="es-ES" w:eastAsia="es-ES"/>
        </w:rPr>
      </w:pPr>
    </w:p>
    <w:p w14:paraId="16F313F7" w14:textId="77777777" w:rsidR="00AA7087" w:rsidRPr="005F45A3" w:rsidRDefault="00AA7087" w:rsidP="00AA7087">
      <w:pPr>
        <w:autoSpaceDE w:val="0"/>
        <w:autoSpaceDN w:val="0"/>
        <w:adjustRightInd w:val="0"/>
        <w:ind w:left="708"/>
        <w:jc w:val="both"/>
        <w:rPr>
          <w:rFonts w:asciiTheme="minorHAnsi" w:hAnsiTheme="minorHAnsi" w:cstheme="minorHAnsi"/>
          <w:sz w:val="18"/>
          <w:szCs w:val="20"/>
        </w:rPr>
      </w:pPr>
      <w:r w:rsidRPr="005F45A3">
        <w:rPr>
          <w:rFonts w:asciiTheme="minorHAnsi" w:hAnsiTheme="minorHAnsi" w:cstheme="minorHAnsi"/>
          <w:sz w:val="18"/>
          <w:szCs w:val="20"/>
        </w:rPr>
        <w:t>Por otra parte, el Artículo 2 de la Ley de Entidades Paraestatales del Estado de Tamaulipas, menciona que “Las Entidades de la Administración Pública Paraestatal son aquellas que se determinan con tal carácter en la Ley Orgánica de la Administración Pública del Estado de Tamaulipas y en la presente ley.”</w:t>
      </w:r>
    </w:p>
    <w:p w14:paraId="7DE6393D" w14:textId="58736439" w:rsidR="0093065C" w:rsidRPr="00452EEE" w:rsidRDefault="00DE2458" w:rsidP="00452EEE">
      <w:pPr>
        <w:pStyle w:val="Prrafodelista"/>
        <w:numPr>
          <w:ilvl w:val="0"/>
          <w:numId w:val="8"/>
        </w:numPr>
        <w:autoSpaceDE w:val="0"/>
        <w:autoSpaceDN w:val="0"/>
        <w:adjustRightInd w:val="0"/>
        <w:jc w:val="both"/>
        <w:rPr>
          <w:rFonts w:asciiTheme="minorHAnsi" w:hAnsiTheme="minorHAnsi" w:cstheme="minorHAnsi"/>
          <w:sz w:val="18"/>
          <w:szCs w:val="18"/>
        </w:rPr>
      </w:pPr>
      <w:r w:rsidRPr="005F45A3">
        <w:rPr>
          <w:rFonts w:asciiTheme="minorHAnsi" w:hAnsiTheme="minorHAnsi" w:cstheme="minorHAnsi"/>
          <w:sz w:val="18"/>
          <w:szCs w:val="18"/>
        </w:rPr>
        <w:t>Fideicomisos, mandatos y análogos de los cuales es fideicomitente o fideicomisario.</w:t>
      </w:r>
    </w:p>
    <w:p w14:paraId="22BB9232" w14:textId="2F76DC17" w:rsidR="00775086" w:rsidRPr="005F45A3" w:rsidRDefault="00571035" w:rsidP="00452EEE">
      <w:pPr>
        <w:spacing w:after="0" w:line="240" w:lineRule="auto"/>
        <w:ind w:left="720" w:hanging="153"/>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Fideicomisos del Gobierno del Estado sin Estructura</w:t>
      </w:r>
    </w:p>
    <w:tbl>
      <w:tblPr>
        <w:tblW w:w="8359" w:type="dxa"/>
        <w:jc w:val="center"/>
        <w:tblCellMar>
          <w:left w:w="70" w:type="dxa"/>
          <w:right w:w="70" w:type="dxa"/>
        </w:tblCellMar>
        <w:tblLook w:val="04A0" w:firstRow="1" w:lastRow="0" w:firstColumn="1" w:lastColumn="0" w:noHBand="0" w:noVBand="1"/>
      </w:tblPr>
      <w:tblGrid>
        <w:gridCol w:w="8359"/>
      </w:tblGrid>
      <w:tr w:rsidR="00775086" w:rsidRPr="005F45A3" w14:paraId="2193F470" w14:textId="77777777" w:rsidTr="00452EEE">
        <w:trPr>
          <w:trHeight w:val="200"/>
          <w:jc w:val="center"/>
        </w:trPr>
        <w:tc>
          <w:tcPr>
            <w:tcW w:w="8359" w:type="dxa"/>
            <w:shd w:val="clear" w:color="auto" w:fill="auto"/>
            <w:noWrap/>
            <w:vAlign w:val="center"/>
          </w:tcPr>
          <w:p w14:paraId="10E44E13" w14:textId="2B660622" w:rsidR="00775086" w:rsidRPr="005F45A3" w:rsidRDefault="00775086" w:rsidP="00981BE0">
            <w:pPr>
              <w:spacing w:after="0" w:line="240" w:lineRule="auto"/>
              <w:jc w:val="both"/>
              <w:rPr>
                <w:rFonts w:asciiTheme="minorHAnsi" w:eastAsia="Times New Roman" w:hAnsiTheme="minorHAnsi" w:cstheme="minorHAnsi"/>
                <w:color w:val="000000"/>
                <w:sz w:val="18"/>
                <w:szCs w:val="18"/>
                <w:lang w:eastAsia="es-MX"/>
              </w:rPr>
            </w:pPr>
          </w:p>
        </w:tc>
      </w:tr>
      <w:tr w:rsidR="00775086" w:rsidRPr="005F45A3" w14:paraId="7CBB97AE" w14:textId="77777777" w:rsidTr="00452EEE">
        <w:trPr>
          <w:trHeight w:val="200"/>
          <w:jc w:val="center"/>
        </w:trPr>
        <w:tc>
          <w:tcPr>
            <w:tcW w:w="8359" w:type="dxa"/>
            <w:shd w:val="clear" w:color="auto" w:fill="auto"/>
            <w:noWrap/>
            <w:vAlign w:val="center"/>
          </w:tcPr>
          <w:p w14:paraId="441535BE" w14:textId="2F213EB4"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w:t>
            </w:r>
            <w:r w:rsidR="00775086" w:rsidRPr="005F45A3">
              <w:rPr>
                <w:rFonts w:asciiTheme="minorHAnsi" w:eastAsia="Times New Roman" w:hAnsiTheme="minorHAnsi" w:cstheme="minorHAnsi"/>
                <w:color w:val="000000"/>
                <w:sz w:val="18"/>
                <w:szCs w:val="18"/>
                <w:lang w:eastAsia="es-MX"/>
              </w:rPr>
              <w:t>.    Fideicomiso para el Pago de Créditos del Estado de Tamaulipas (</w:t>
            </w:r>
            <w:proofErr w:type="spellStart"/>
            <w:r w:rsidR="00775086" w:rsidRPr="005F45A3">
              <w:rPr>
                <w:rFonts w:asciiTheme="minorHAnsi" w:eastAsia="Times New Roman" w:hAnsiTheme="minorHAnsi" w:cstheme="minorHAnsi"/>
                <w:color w:val="000000"/>
                <w:sz w:val="18"/>
                <w:szCs w:val="18"/>
                <w:lang w:eastAsia="es-MX"/>
              </w:rPr>
              <w:t>Fipac</w:t>
            </w:r>
            <w:proofErr w:type="spellEnd"/>
            <w:r w:rsidR="00775086" w:rsidRPr="005F45A3">
              <w:rPr>
                <w:rFonts w:asciiTheme="minorHAnsi" w:eastAsia="Times New Roman" w:hAnsiTheme="minorHAnsi" w:cstheme="minorHAnsi"/>
                <w:color w:val="000000"/>
                <w:sz w:val="18"/>
                <w:szCs w:val="18"/>
                <w:lang w:eastAsia="es-MX"/>
              </w:rPr>
              <w:t>)</w:t>
            </w:r>
          </w:p>
        </w:tc>
      </w:tr>
      <w:tr w:rsidR="00775086" w:rsidRPr="005F45A3" w14:paraId="5C2FE6E4" w14:textId="77777777" w:rsidTr="00452EEE">
        <w:trPr>
          <w:trHeight w:val="200"/>
          <w:jc w:val="center"/>
        </w:trPr>
        <w:tc>
          <w:tcPr>
            <w:tcW w:w="8359" w:type="dxa"/>
            <w:shd w:val="clear" w:color="auto" w:fill="auto"/>
            <w:noWrap/>
            <w:vAlign w:val="center"/>
          </w:tcPr>
          <w:p w14:paraId="43B6F05D" w14:textId="1A006A0B"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2</w:t>
            </w:r>
            <w:r w:rsidR="00775086" w:rsidRPr="005F45A3">
              <w:rPr>
                <w:rFonts w:asciiTheme="minorHAnsi" w:eastAsia="Times New Roman" w:hAnsiTheme="minorHAnsi" w:cstheme="minorHAnsi"/>
                <w:color w:val="000000"/>
                <w:sz w:val="18"/>
                <w:szCs w:val="18"/>
                <w:lang w:eastAsia="es-MX"/>
              </w:rPr>
              <w:t>.   Fideicomiso Puente Internacional Nuevo Laredo III</w:t>
            </w:r>
          </w:p>
        </w:tc>
      </w:tr>
      <w:tr w:rsidR="00775086" w:rsidRPr="005F45A3" w14:paraId="506742D5" w14:textId="77777777" w:rsidTr="00452EEE">
        <w:trPr>
          <w:trHeight w:val="200"/>
          <w:jc w:val="center"/>
        </w:trPr>
        <w:tc>
          <w:tcPr>
            <w:tcW w:w="8359" w:type="dxa"/>
            <w:shd w:val="clear" w:color="auto" w:fill="auto"/>
            <w:noWrap/>
            <w:vAlign w:val="center"/>
          </w:tcPr>
          <w:p w14:paraId="34B9A121" w14:textId="45B0190F"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3</w:t>
            </w:r>
            <w:r w:rsidR="00775086" w:rsidRPr="005F45A3">
              <w:rPr>
                <w:rFonts w:asciiTheme="minorHAnsi" w:eastAsia="Times New Roman" w:hAnsiTheme="minorHAnsi" w:cstheme="minorHAnsi"/>
                <w:color w:val="000000"/>
                <w:sz w:val="18"/>
                <w:szCs w:val="18"/>
                <w:lang w:eastAsia="es-MX"/>
              </w:rPr>
              <w:t>.   Fideicomiso Irrevocable de Administración y Fuente de Pago (</w:t>
            </w:r>
            <w:proofErr w:type="spellStart"/>
            <w:r w:rsidR="00775086" w:rsidRPr="005F45A3">
              <w:rPr>
                <w:rFonts w:asciiTheme="minorHAnsi" w:eastAsia="Times New Roman" w:hAnsiTheme="minorHAnsi" w:cstheme="minorHAnsi"/>
                <w:color w:val="000000"/>
                <w:sz w:val="18"/>
                <w:szCs w:val="18"/>
                <w:lang w:eastAsia="es-MX"/>
              </w:rPr>
              <w:t>Banregio</w:t>
            </w:r>
            <w:proofErr w:type="spellEnd"/>
            <w:r w:rsidR="00775086" w:rsidRPr="005F45A3">
              <w:rPr>
                <w:rFonts w:asciiTheme="minorHAnsi" w:eastAsia="Times New Roman" w:hAnsiTheme="minorHAnsi" w:cstheme="minorHAnsi"/>
                <w:color w:val="000000"/>
                <w:sz w:val="18"/>
                <w:szCs w:val="18"/>
                <w:lang w:eastAsia="es-MX"/>
              </w:rPr>
              <w:t>)</w:t>
            </w:r>
          </w:p>
        </w:tc>
      </w:tr>
      <w:tr w:rsidR="00775086" w:rsidRPr="005F45A3" w14:paraId="3BDC2813" w14:textId="77777777" w:rsidTr="00452EEE">
        <w:trPr>
          <w:trHeight w:val="200"/>
          <w:jc w:val="center"/>
        </w:trPr>
        <w:tc>
          <w:tcPr>
            <w:tcW w:w="8359" w:type="dxa"/>
            <w:shd w:val="clear" w:color="auto" w:fill="auto"/>
            <w:noWrap/>
            <w:vAlign w:val="center"/>
          </w:tcPr>
          <w:p w14:paraId="247BC909" w14:textId="216F53CA"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4</w:t>
            </w:r>
            <w:r w:rsidR="00775086" w:rsidRPr="005F45A3">
              <w:rPr>
                <w:rFonts w:asciiTheme="minorHAnsi" w:eastAsia="Times New Roman" w:hAnsiTheme="minorHAnsi" w:cstheme="minorHAnsi"/>
                <w:color w:val="000000"/>
                <w:sz w:val="18"/>
                <w:szCs w:val="18"/>
                <w:lang w:eastAsia="es-MX"/>
              </w:rPr>
              <w:t>.   Fideicomiso Irrevocable de Administración y Fuente de Pago  (Santander)</w:t>
            </w:r>
          </w:p>
        </w:tc>
      </w:tr>
      <w:tr w:rsidR="00775086" w:rsidRPr="005F45A3" w14:paraId="2530C242" w14:textId="77777777" w:rsidTr="00452EEE">
        <w:trPr>
          <w:trHeight w:val="200"/>
          <w:jc w:val="center"/>
        </w:trPr>
        <w:tc>
          <w:tcPr>
            <w:tcW w:w="8359" w:type="dxa"/>
            <w:shd w:val="clear" w:color="auto" w:fill="auto"/>
            <w:noWrap/>
            <w:vAlign w:val="center"/>
          </w:tcPr>
          <w:p w14:paraId="07FA3786" w14:textId="6923A7A0"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5</w:t>
            </w:r>
            <w:r w:rsidR="00775086" w:rsidRPr="005F45A3">
              <w:rPr>
                <w:rFonts w:asciiTheme="minorHAnsi" w:eastAsia="Times New Roman" w:hAnsiTheme="minorHAnsi" w:cstheme="minorHAnsi"/>
                <w:color w:val="000000"/>
                <w:sz w:val="18"/>
                <w:szCs w:val="18"/>
                <w:lang w:eastAsia="es-MX"/>
              </w:rPr>
              <w:t xml:space="preserve">.   Fideicomiso  Fondo de Desastres Naturales del Estado de Tamaulipas </w:t>
            </w:r>
          </w:p>
        </w:tc>
      </w:tr>
      <w:tr w:rsidR="00775086" w:rsidRPr="005F45A3" w14:paraId="40BD5898" w14:textId="77777777" w:rsidTr="00452EEE">
        <w:trPr>
          <w:trHeight w:val="200"/>
          <w:jc w:val="center"/>
        </w:trPr>
        <w:tc>
          <w:tcPr>
            <w:tcW w:w="8359" w:type="dxa"/>
            <w:shd w:val="clear" w:color="auto" w:fill="auto"/>
            <w:noWrap/>
            <w:vAlign w:val="center"/>
          </w:tcPr>
          <w:p w14:paraId="5A9928C1" w14:textId="2976D1DC"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6</w:t>
            </w:r>
            <w:r w:rsidR="00775086" w:rsidRPr="005F45A3">
              <w:rPr>
                <w:rFonts w:asciiTheme="minorHAnsi" w:eastAsia="Times New Roman" w:hAnsiTheme="minorHAnsi" w:cstheme="minorHAnsi"/>
                <w:color w:val="000000"/>
                <w:sz w:val="18"/>
                <w:szCs w:val="18"/>
                <w:lang w:eastAsia="es-MX"/>
              </w:rPr>
              <w:t>.   Fideicomiso Nuevo Santander</w:t>
            </w:r>
          </w:p>
        </w:tc>
      </w:tr>
      <w:tr w:rsidR="00775086" w:rsidRPr="005F45A3" w14:paraId="051EA1EE" w14:textId="77777777" w:rsidTr="00452EEE">
        <w:trPr>
          <w:trHeight w:val="200"/>
          <w:jc w:val="center"/>
        </w:trPr>
        <w:tc>
          <w:tcPr>
            <w:tcW w:w="8359" w:type="dxa"/>
            <w:shd w:val="clear" w:color="auto" w:fill="auto"/>
            <w:noWrap/>
            <w:vAlign w:val="center"/>
          </w:tcPr>
          <w:p w14:paraId="3AFC88F3" w14:textId="7CB418C9"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7</w:t>
            </w:r>
            <w:r w:rsidR="00775086" w:rsidRPr="005F45A3">
              <w:rPr>
                <w:rFonts w:asciiTheme="minorHAnsi" w:eastAsia="Times New Roman" w:hAnsiTheme="minorHAnsi" w:cstheme="minorHAnsi"/>
                <w:color w:val="000000"/>
                <w:sz w:val="18"/>
                <w:szCs w:val="18"/>
                <w:lang w:eastAsia="es-MX"/>
              </w:rPr>
              <w:t>.    Fideicomiso de Administración e Inversión del Impuesto por Servicios de Hospedaje del Estado de Tamaulipas</w:t>
            </w:r>
          </w:p>
        </w:tc>
      </w:tr>
      <w:tr w:rsidR="00775086" w:rsidRPr="005F45A3" w14:paraId="6AF5954C" w14:textId="77777777" w:rsidTr="00452EEE">
        <w:trPr>
          <w:trHeight w:val="200"/>
          <w:jc w:val="center"/>
        </w:trPr>
        <w:tc>
          <w:tcPr>
            <w:tcW w:w="8359" w:type="dxa"/>
            <w:shd w:val="clear" w:color="auto" w:fill="auto"/>
            <w:noWrap/>
            <w:vAlign w:val="center"/>
          </w:tcPr>
          <w:p w14:paraId="0336DE2A" w14:textId="2427D1FB"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8</w:t>
            </w:r>
            <w:r w:rsidR="00775086" w:rsidRPr="005F45A3">
              <w:rPr>
                <w:rFonts w:asciiTheme="minorHAnsi" w:eastAsia="Times New Roman" w:hAnsiTheme="minorHAnsi" w:cstheme="minorHAnsi"/>
                <w:color w:val="000000"/>
                <w:sz w:val="18"/>
                <w:szCs w:val="18"/>
                <w:lang w:eastAsia="es-MX"/>
              </w:rPr>
              <w:t>.   Fideicomiso Fondo de Fomento Agropecuario del Estado de Tamaulipas (</w:t>
            </w:r>
            <w:proofErr w:type="spellStart"/>
            <w:r w:rsidR="00775086" w:rsidRPr="005F45A3">
              <w:rPr>
                <w:rFonts w:asciiTheme="minorHAnsi" w:eastAsia="Times New Roman" w:hAnsiTheme="minorHAnsi" w:cstheme="minorHAnsi"/>
                <w:color w:val="000000"/>
                <w:sz w:val="18"/>
                <w:szCs w:val="18"/>
                <w:lang w:eastAsia="es-MX"/>
              </w:rPr>
              <w:t>Fofaet</w:t>
            </w:r>
            <w:proofErr w:type="spellEnd"/>
            <w:r w:rsidR="00775086" w:rsidRPr="005F45A3">
              <w:rPr>
                <w:rFonts w:asciiTheme="minorHAnsi" w:eastAsia="Times New Roman" w:hAnsiTheme="minorHAnsi" w:cstheme="minorHAnsi"/>
                <w:color w:val="000000"/>
                <w:sz w:val="18"/>
                <w:szCs w:val="18"/>
                <w:lang w:eastAsia="es-MX"/>
              </w:rPr>
              <w:t>)</w:t>
            </w:r>
          </w:p>
        </w:tc>
      </w:tr>
      <w:tr w:rsidR="00775086" w:rsidRPr="005F45A3" w14:paraId="02EC9217" w14:textId="77777777" w:rsidTr="00452EEE">
        <w:trPr>
          <w:trHeight w:val="200"/>
          <w:jc w:val="center"/>
        </w:trPr>
        <w:tc>
          <w:tcPr>
            <w:tcW w:w="8359" w:type="dxa"/>
            <w:shd w:val="clear" w:color="auto" w:fill="auto"/>
            <w:noWrap/>
            <w:vAlign w:val="center"/>
          </w:tcPr>
          <w:p w14:paraId="6A6D6C9C" w14:textId="25E327AE"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9</w:t>
            </w:r>
            <w:r w:rsidR="00775086" w:rsidRPr="005F45A3">
              <w:rPr>
                <w:rFonts w:asciiTheme="minorHAnsi" w:eastAsia="Times New Roman" w:hAnsiTheme="minorHAnsi" w:cstheme="minorHAnsi"/>
                <w:color w:val="000000"/>
                <w:sz w:val="18"/>
                <w:szCs w:val="18"/>
                <w:lang w:eastAsia="es-MX"/>
              </w:rPr>
              <w:t>.   Fideicomiso de Garantía Líquida Solidaria del Estado de Tamaulipas (</w:t>
            </w:r>
            <w:proofErr w:type="spellStart"/>
            <w:r w:rsidR="00775086" w:rsidRPr="005F45A3">
              <w:rPr>
                <w:rFonts w:asciiTheme="minorHAnsi" w:eastAsia="Times New Roman" w:hAnsiTheme="minorHAnsi" w:cstheme="minorHAnsi"/>
                <w:color w:val="000000"/>
                <w:sz w:val="18"/>
                <w:szCs w:val="18"/>
                <w:lang w:eastAsia="es-MX"/>
              </w:rPr>
              <w:t>Fidegat</w:t>
            </w:r>
            <w:proofErr w:type="spellEnd"/>
            <w:r w:rsidR="00775086" w:rsidRPr="005F45A3">
              <w:rPr>
                <w:rFonts w:asciiTheme="minorHAnsi" w:eastAsia="Times New Roman" w:hAnsiTheme="minorHAnsi" w:cstheme="minorHAnsi"/>
                <w:color w:val="000000"/>
                <w:sz w:val="18"/>
                <w:szCs w:val="18"/>
                <w:lang w:eastAsia="es-MX"/>
              </w:rPr>
              <w:t>)</w:t>
            </w:r>
          </w:p>
        </w:tc>
      </w:tr>
      <w:tr w:rsidR="00775086" w:rsidRPr="005F45A3" w14:paraId="34F1887F" w14:textId="77777777" w:rsidTr="00452EEE">
        <w:trPr>
          <w:trHeight w:val="200"/>
          <w:jc w:val="center"/>
        </w:trPr>
        <w:tc>
          <w:tcPr>
            <w:tcW w:w="8359" w:type="dxa"/>
            <w:shd w:val="clear" w:color="auto" w:fill="auto"/>
            <w:noWrap/>
            <w:vAlign w:val="center"/>
          </w:tcPr>
          <w:p w14:paraId="48AD21AB" w14:textId="26AF4082" w:rsidR="00775086" w:rsidRPr="005F45A3" w:rsidRDefault="00981BE0" w:rsidP="006702D4">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10</w:t>
            </w:r>
            <w:r w:rsidR="00775086" w:rsidRPr="005F45A3">
              <w:rPr>
                <w:rFonts w:asciiTheme="minorHAnsi" w:eastAsia="Times New Roman" w:hAnsiTheme="minorHAnsi" w:cstheme="minorHAnsi"/>
                <w:color w:val="000000"/>
                <w:sz w:val="18"/>
                <w:szCs w:val="18"/>
                <w:lang w:eastAsia="es-MX"/>
              </w:rPr>
              <w:t>.  Fideicomiso para el Desarrollo Forestal Sustentable del Estado de Tamaulipas (</w:t>
            </w:r>
            <w:proofErr w:type="spellStart"/>
            <w:r w:rsidR="00775086" w:rsidRPr="005F45A3">
              <w:rPr>
                <w:rFonts w:asciiTheme="minorHAnsi" w:eastAsia="Times New Roman" w:hAnsiTheme="minorHAnsi" w:cstheme="minorHAnsi"/>
                <w:color w:val="000000"/>
                <w:sz w:val="18"/>
                <w:szCs w:val="18"/>
                <w:lang w:eastAsia="es-MX"/>
              </w:rPr>
              <w:t>Fidefoset</w:t>
            </w:r>
            <w:proofErr w:type="spellEnd"/>
            <w:r w:rsidR="00775086" w:rsidRPr="005F45A3">
              <w:rPr>
                <w:rFonts w:asciiTheme="minorHAnsi" w:eastAsia="Times New Roman" w:hAnsiTheme="minorHAnsi" w:cstheme="minorHAnsi"/>
                <w:color w:val="000000"/>
                <w:sz w:val="18"/>
                <w:szCs w:val="18"/>
                <w:lang w:eastAsia="es-MX"/>
              </w:rPr>
              <w:t>)</w:t>
            </w:r>
          </w:p>
        </w:tc>
      </w:tr>
      <w:tr w:rsidR="00775086" w:rsidRPr="005F45A3" w14:paraId="0B97D4BD" w14:textId="77777777" w:rsidTr="00452EEE">
        <w:trPr>
          <w:trHeight w:val="200"/>
          <w:jc w:val="center"/>
        </w:trPr>
        <w:tc>
          <w:tcPr>
            <w:tcW w:w="8359" w:type="dxa"/>
            <w:shd w:val="clear" w:color="auto" w:fill="auto"/>
            <w:noWrap/>
            <w:vAlign w:val="center"/>
          </w:tcPr>
          <w:p w14:paraId="310E45C8" w14:textId="696ADF5F"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11</w:t>
            </w:r>
            <w:r w:rsidR="00775086" w:rsidRPr="005F45A3">
              <w:rPr>
                <w:rFonts w:asciiTheme="minorHAnsi" w:eastAsia="Times New Roman" w:hAnsiTheme="minorHAnsi" w:cstheme="minorHAnsi"/>
                <w:color w:val="000000"/>
                <w:sz w:val="18"/>
                <w:szCs w:val="18"/>
                <w:lang w:eastAsia="es-MX"/>
              </w:rPr>
              <w:t>.   Fideicomiso Tamaulipas para Cobertura de Precios y Agricultura por Contrato (</w:t>
            </w:r>
            <w:proofErr w:type="spellStart"/>
            <w:r w:rsidR="00775086" w:rsidRPr="005F45A3">
              <w:rPr>
                <w:rFonts w:asciiTheme="minorHAnsi" w:eastAsia="Times New Roman" w:hAnsiTheme="minorHAnsi" w:cstheme="minorHAnsi"/>
                <w:color w:val="000000"/>
                <w:sz w:val="18"/>
                <w:szCs w:val="18"/>
                <w:lang w:eastAsia="es-MX"/>
              </w:rPr>
              <w:t>Fitam</w:t>
            </w:r>
            <w:proofErr w:type="spellEnd"/>
            <w:r w:rsidR="00775086" w:rsidRPr="005F45A3">
              <w:rPr>
                <w:rFonts w:asciiTheme="minorHAnsi" w:eastAsia="Times New Roman" w:hAnsiTheme="minorHAnsi" w:cstheme="minorHAnsi"/>
                <w:color w:val="000000"/>
                <w:sz w:val="18"/>
                <w:szCs w:val="18"/>
                <w:lang w:eastAsia="es-MX"/>
              </w:rPr>
              <w:t>)</w:t>
            </w:r>
          </w:p>
        </w:tc>
      </w:tr>
      <w:tr w:rsidR="00775086" w:rsidRPr="005F45A3" w14:paraId="6D9C7220" w14:textId="77777777" w:rsidTr="00452EEE">
        <w:trPr>
          <w:trHeight w:val="200"/>
          <w:jc w:val="center"/>
        </w:trPr>
        <w:tc>
          <w:tcPr>
            <w:tcW w:w="8359" w:type="dxa"/>
            <w:shd w:val="clear" w:color="auto" w:fill="auto"/>
            <w:noWrap/>
            <w:vAlign w:val="center"/>
          </w:tcPr>
          <w:p w14:paraId="5AC90A49" w14:textId="3570B220"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12</w:t>
            </w:r>
            <w:r w:rsidR="00775086" w:rsidRPr="005F45A3">
              <w:rPr>
                <w:rFonts w:asciiTheme="minorHAnsi" w:eastAsia="Times New Roman" w:hAnsiTheme="minorHAnsi" w:cstheme="minorHAnsi"/>
                <w:color w:val="000000"/>
                <w:sz w:val="18"/>
                <w:szCs w:val="18"/>
                <w:lang w:eastAsia="es-MX"/>
              </w:rPr>
              <w:t>.   Fideicomiso Fondo de Garantía Agropecuaria del Estado de Tamaulipas (</w:t>
            </w:r>
            <w:proofErr w:type="spellStart"/>
            <w:r w:rsidR="00775086" w:rsidRPr="005F45A3">
              <w:rPr>
                <w:rFonts w:asciiTheme="minorHAnsi" w:eastAsia="Times New Roman" w:hAnsiTheme="minorHAnsi" w:cstheme="minorHAnsi"/>
                <w:color w:val="000000"/>
                <w:sz w:val="18"/>
                <w:szCs w:val="18"/>
                <w:lang w:eastAsia="es-MX"/>
              </w:rPr>
              <w:t>Fogagro</w:t>
            </w:r>
            <w:proofErr w:type="spellEnd"/>
            <w:r w:rsidR="00775086" w:rsidRPr="005F45A3">
              <w:rPr>
                <w:rFonts w:asciiTheme="minorHAnsi" w:eastAsia="Times New Roman" w:hAnsiTheme="minorHAnsi" w:cstheme="minorHAnsi"/>
                <w:color w:val="000000"/>
                <w:sz w:val="18"/>
                <w:szCs w:val="18"/>
                <w:lang w:eastAsia="es-MX"/>
              </w:rPr>
              <w:t>)</w:t>
            </w:r>
          </w:p>
        </w:tc>
      </w:tr>
      <w:tr w:rsidR="00775086" w:rsidRPr="005F45A3" w14:paraId="317766C4" w14:textId="77777777" w:rsidTr="00452EEE">
        <w:trPr>
          <w:trHeight w:val="200"/>
          <w:jc w:val="center"/>
        </w:trPr>
        <w:tc>
          <w:tcPr>
            <w:tcW w:w="8359" w:type="dxa"/>
            <w:shd w:val="clear" w:color="auto" w:fill="auto"/>
            <w:noWrap/>
            <w:vAlign w:val="center"/>
          </w:tcPr>
          <w:p w14:paraId="25D32D23" w14:textId="2D31F726"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13.</w:t>
            </w:r>
            <w:r w:rsidR="00775086" w:rsidRPr="005F45A3">
              <w:rPr>
                <w:rFonts w:asciiTheme="minorHAnsi" w:eastAsia="Times New Roman" w:hAnsiTheme="minorHAnsi" w:cstheme="minorHAnsi"/>
                <w:color w:val="000000"/>
                <w:sz w:val="18"/>
                <w:szCs w:val="18"/>
                <w:lang w:eastAsia="es-MX"/>
              </w:rPr>
              <w:t>   Fideicomiso del Instituto Tamaulipeco de Becas, Estímulos y Créditos Educativos (</w:t>
            </w:r>
            <w:proofErr w:type="spellStart"/>
            <w:r w:rsidR="00775086" w:rsidRPr="005F45A3">
              <w:rPr>
                <w:rFonts w:asciiTheme="minorHAnsi" w:eastAsia="Times New Roman" w:hAnsiTheme="minorHAnsi" w:cstheme="minorHAnsi"/>
                <w:color w:val="000000"/>
                <w:sz w:val="18"/>
                <w:szCs w:val="18"/>
                <w:lang w:eastAsia="es-MX"/>
              </w:rPr>
              <w:t>Fitabec</w:t>
            </w:r>
            <w:proofErr w:type="spellEnd"/>
            <w:r w:rsidR="00775086" w:rsidRPr="005F45A3">
              <w:rPr>
                <w:rFonts w:asciiTheme="minorHAnsi" w:eastAsia="Times New Roman" w:hAnsiTheme="minorHAnsi" w:cstheme="minorHAnsi"/>
                <w:color w:val="000000"/>
                <w:sz w:val="18"/>
                <w:szCs w:val="18"/>
                <w:lang w:eastAsia="es-MX"/>
              </w:rPr>
              <w:t>)</w:t>
            </w:r>
          </w:p>
        </w:tc>
      </w:tr>
      <w:tr w:rsidR="00775086" w:rsidRPr="005F45A3" w14:paraId="1FCF007F" w14:textId="77777777" w:rsidTr="00452EEE">
        <w:trPr>
          <w:trHeight w:val="200"/>
          <w:jc w:val="center"/>
        </w:trPr>
        <w:tc>
          <w:tcPr>
            <w:tcW w:w="8359" w:type="dxa"/>
            <w:shd w:val="clear" w:color="auto" w:fill="auto"/>
            <w:noWrap/>
            <w:vAlign w:val="center"/>
          </w:tcPr>
          <w:p w14:paraId="0356462E" w14:textId="42CF49B1"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14</w:t>
            </w:r>
            <w:r w:rsidR="00775086" w:rsidRPr="005F45A3">
              <w:rPr>
                <w:rFonts w:asciiTheme="minorHAnsi" w:eastAsia="Times New Roman" w:hAnsiTheme="minorHAnsi" w:cstheme="minorHAnsi"/>
                <w:color w:val="000000"/>
                <w:sz w:val="18"/>
                <w:szCs w:val="18"/>
                <w:lang w:eastAsia="es-MX"/>
              </w:rPr>
              <w:t>.   Fideicomiso de Apoyo de Tecnologías Educativas y de la Información para el Personal al Servicio de la Educación.</w:t>
            </w:r>
          </w:p>
        </w:tc>
      </w:tr>
      <w:tr w:rsidR="00775086" w:rsidRPr="005F45A3" w14:paraId="4A15BBD7" w14:textId="77777777" w:rsidTr="00452EEE">
        <w:trPr>
          <w:trHeight w:val="200"/>
          <w:jc w:val="center"/>
        </w:trPr>
        <w:tc>
          <w:tcPr>
            <w:tcW w:w="8359" w:type="dxa"/>
            <w:shd w:val="clear" w:color="auto" w:fill="auto"/>
            <w:noWrap/>
            <w:vAlign w:val="center"/>
          </w:tcPr>
          <w:p w14:paraId="10F60B21" w14:textId="30688A2B"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15</w:t>
            </w:r>
            <w:r w:rsidR="00775086" w:rsidRPr="005F45A3">
              <w:rPr>
                <w:rFonts w:asciiTheme="minorHAnsi" w:eastAsia="Times New Roman" w:hAnsiTheme="minorHAnsi" w:cstheme="minorHAnsi"/>
                <w:color w:val="000000"/>
                <w:sz w:val="18"/>
                <w:szCs w:val="18"/>
                <w:lang w:eastAsia="es-MX"/>
              </w:rPr>
              <w:t>.   Fideicomiso Puente Internacional Río Bravo-</w:t>
            </w:r>
            <w:proofErr w:type="spellStart"/>
            <w:r w:rsidR="00775086" w:rsidRPr="005F45A3">
              <w:rPr>
                <w:rFonts w:asciiTheme="minorHAnsi" w:eastAsia="Times New Roman" w:hAnsiTheme="minorHAnsi" w:cstheme="minorHAnsi"/>
                <w:color w:val="000000"/>
                <w:sz w:val="18"/>
                <w:szCs w:val="18"/>
                <w:lang w:eastAsia="es-MX"/>
              </w:rPr>
              <w:t>Donna</w:t>
            </w:r>
            <w:proofErr w:type="spellEnd"/>
          </w:p>
        </w:tc>
      </w:tr>
      <w:tr w:rsidR="00775086" w:rsidRPr="005F45A3" w14:paraId="68D89731" w14:textId="77777777" w:rsidTr="00452EEE">
        <w:trPr>
          <w:trHeight w:val="200"/>
          <w:jc w:val="center"/>
        </w:trPr>
        <w:tc>
          <w:tcPr>
            <w:tcW w:w="8359" w:type="dxa"/>
            <w:shd w:val="clear" w:color="auto" w:fill="auto"/>
            <w:noWrap/>
            <w:vAlign w:val="center"/>
          </w:tcPr>
          <w:p w14:paraId="3ED4128E" w14:textId="2A7FC7A0"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16</w:t>
            </w:r>
            <w:r w:rsidR="00775086" w:rsidRPr="005F45A3">
              <w:rPr>
                <w:rFonts w:asciiTheme="minorHAnsi" w:eastAsia="Times New Roman" w:hAnsiTheme="minorHAnsi" w:cstheme="minorHAnsi"/>
                <w:color w:val="000000"/>
                <w:sz w:val="18"/>
                <w:szCs w:val="18"/>
                <w:lang w:eastAsia="es-MX"/>
              </w:rPr>
              <w:t>.   Fideicomiso Mante-Ocampo-Tula</w:t>
            </w:r>
          </w:p>
        </w:tc>
      </w:tr>
      <w:tr w:rsidR="00775086" w:rsidRPr="005F45A3" w14:paraId="44ADF80F" w14:textId="77777777" w:rsidTr="00452EEE">
        <w:trPr>
          <w:trHeight w:val="200"/>
          <w:jc w:val="center"/>
        </w:trPr>
        <w:tc>
          <w:tcPr>
            <w:tcW w:w="8359" w:type="dxa"/>
            <w:shd w:val="clear" w:color="auto" w:fill="auto"/>
            <w:noWrap/>
            <w:vAlign w:val="center"/>
          </w:tcPr>
          <w:p w14:paraId="14B025FC" w14:textId="1369FB20" w:rsidR="00775086" w:rsidRPr="005F45A3" w:rsidRDefault="00981BE0" w:rsidP="00162F3A">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17</w:t>
            </w:r>
            <w:r w:rsidR="00775086" w:rsidRPr="005F45A3">
              <w:rPr>
                <w:rFonts w:asciiTheme="minorHAnsi" w:eastAsia="Times New Roman" w:hAnsiTheme="minorHAnsi" w:cstheme="minorHAnsi"/>
                <w:color w:val="000000"/>
                <w:sz w:val="18"/>
                <w:szCs w:val="18"/>
                <w:lang w:eastAsia="es-MX"/>
              </w:rPr>
              <w:t xml:space="preserve">.   Fideicomiso de Administración e Inversión para el Desarrollo del Programa “Nuestros Niños, Nuestro Futuro” </w:t>
            </w:r>
          </w:p>
        </w:tc>
      </w:tr>
      <w:tr w:rsidR="00775086" w:rsidRPr="005F45A3" w14:paraId="63CA31E2" w14:textId="77777777" w:rsidTr="00452EEE">
        <w:trPr>
          <w:trHeight w:val="200"/>
          <w:jc w:val="center"/>
        </w:trPr>
        <w:tc>
          <w:tcPr>
            <w:tcW w:w="8359" w:type="dxa"/>
            <w:shd w:val="clear" w:color="auto" w:fill="auto"/>
            <w:noWrap/>
            <w:vAlign w:val="center"/>
          </w:tcPr>
          <w:p w14:paraId="68501889" w14:textId="6E1F20F0" w:rsidR="00775086" w:rsidRPr="005F45A3" w:rsidRDefault="00760A56"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18</w:t>
            </w:r>
            <w:r w:rsidR="00775086" w:rsidRPr="005F45A3">
              <w:rPr>
                <w:rFonts w:asciiTheme="minorHAnsi" w:eastAsia="Times New Roman" w:hAnsiTheme="minorHAnsi" w:cstheme="minorHAnsi"/>
                <w:color w:val="000000"/>
                <w:sz w:val="18"/>
                <w:szCs w:val="18"/>
                <w:lang w:eastAsia="es-MX"/>
              </w:rPr>
              <w:t>.   Fideicomiso para el Programa Especial de Financiamiento a la Vivienda para el Magisterio del Estado de Tamaulipas (</w:t>
            </w:r>
            <w:proofErr w:type="spellStart"/>
            <w:r w:rsidR="00775086" w:rsidRPr="005F45A3">
              <w:rPr>
                <w:rFonts w:asciiTheme="minorHAnsi" w:eastAsia="Times New Roman" w:hAnsiTheme="minorHAnsi" w:cstheme="minorHAnsi"/>
                <w:color w:val="000000"/>
                <w:sz w:val="18"/>
                <w:szCs w:val="18"/>
                <w:lang w:eastAsia="es-MX"/>
              </w:rPr>
              <w:t>Fovimat</w:t>
            </w:r>
            <w:proofErr w:type="spellEnd"/>
            <w:r w:rsidR="00775086" w:rsidRPr="005F45A3">
              <w:rPr>
                <w:rFonts w:asciiTheme="minorHAnsi" w:eastAsia="Times New Roman" w:hAnsiTheme="minorHAnsi" w:cstheme="minorHAnsi"/>
                <w:color w:val="000000"/>
                <w:sz w:val="18"/>
                <w:szCs w:val="18"/>
                <w:lang w:eastAsia="es-MX"/>
              </w:rPr>
              <w:t>) *</w:t>
            </w:r>
          </w:p>
        </w:tc>
      </w:tr>
      <w:tr w:rsidR="00775086" w:rsidRPr="005F45A3" w14:paraId="1CECD8EF" w14:textId="77777777" w:rsidTr="00452EEE">
        <w:trPr>
          <w:trHeight w:val="200"/>
          <w:jc w:val="center"/>
        </w:trPr>
        <w:tc>
          <w:tcPr>
            <w:tcW w:w="8359" w:type="dxa"/>
            <w:shd w:val="clear" w:color="auto" w:fill="auto"/>
            <w:noWrap/>
            <w:vAlign w:val="center"/>
          </w:tcPr>
          <w:p w14:paraId="5EE89D71" w14:textId="787CE8C8" w:rsidR="00775086" w:rsidRPr="005F45A3" w:rsidRDefault="00760A56"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w:t>
            </w:r>
            <w:r w:rsidR="00775086" w:rsidRPr="005F45A3">
              <w:rPr>
                <w:rFonts w:asciiTheme="minorHAnsi" w:eastAsia="Times New Roman" w:hAnsiTheme="minorHAnsi" w:cstheme="minorHAnsi"/>
                <w:color w:val="000000"/>
                <w:sz w:val="18"/>
                <w:szCs w:val="18"/>
                <w:lang w:eastAsia="es-MX"/>
              </w:rPr>
              <w:t>.   Fideicomiso Irrevocable de Administración y Fuente Alterna de Pago No. 3404/2019 (APP 27 Nov 2019)</w:t>
            </w:r>
          </w:p>
        </w:tc>
      </w:tr>
      <w:tr w:rsidR="00775086" w:rsidRPr="005F45A3" w14:paraId="6DB18E9C" w14:textId="77777777" w:rsidTr="00452EEE">
        <w:trPr>
          <w:trHeight w:val="200"/>
          <w:jc w:val="center"/>
        </w:trPr>
        <w:tc>
          <w:tcPr>
            <w:tcW w:w="8359" w:type="dxa"/>
            <w:shd w:val="clear" w:color="auto" w:fill="auto"/>
            <w:noWrap/>
            <w:vAlign w:val="center"/>
          </w:tcPr>
          <w:p w14:paraId="22C37952" w14:textId="401206CC" w:rsidR="00775086" w:rsidRDefault="00760A56"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20</w:t>
            </w:r>
            <w:r w:rsidR="00775086" w:rsidRPr="005F45A3">
              <w:rPr>
                <w:rFonts w:asciiTheme="minorHAnsi" w:eastAsia="Times New Roman" w:hAnsiTheme="minorHAnsi" w:cstheme="minorHAnsi"/>
                <w:color w:val="000000"/>
                <w:sz w:val="18"/>
                <w:szCs w:val="18"/>
                <w:lang w:eastAsia="es-MX"/>
              </w:rPr>
              <w:t xml:space="preserve">.   Fideicomiso Público, Sin estructura, Maestro Irrevocable de Administración y Fuente de Pago No. F/1231 </w:t>
            </w:r>
          </w:p>
          <w:p w14:paraId="0E9B88F1" w14:textId="03023827" w:rsidR="00CD4994" w:rsidRDefault="00CD4994" w:rsidP="00162F3A">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21.   Fideicomiso Fondo para el Cambio Climático del Estado de Tamaulipas (06 jul 2022)</w:t>
            </w:r>
          </w:p>
          <w:p w14:paraId="454B1D58" w14:textId="4187259A" w:rsidR="00CD4994" w:rsidRPr="005F45A3" w:rsidRDefault="00CD4994" w:rsidP="00162F3A">
            <w:pPr>
              <w:spacing w:after="0" w:line="240" w:lineRule="auto"/>
              <w:jc w:val="both"/>
              <w:rPr>
                <w:rFonts w:asciiTheme="minorHAnsi" w:eastAsia="Times New Roman" w:hAnsiTheme="minorHAnsi" w:cstheme="minorHAnsi"/>
                <w:color w:val="000000"/>
                <w:sz w:val="18"/>
                <w:szCs w:val="18"/>
                <w:lang w:eastAsia="es-MX"/>
              </w:rPr>
            </w:pPr>
          </w:p>
        </w:tc>
      </w:tr>
    </w:tbl>
    <w:p w14:paraId="31480608" w14:textId="77777777" w:rsidR="00571035" w:rsidRPr="005F45A3" w:rsidRDefault="00571035" w:rsidP="00775086">
      <w:pPr>
        <w:spacing w:after="0" w:line="240" w:lineRule="auto"/>
        <w:jc w:val="both"/>
        <w:rPr>
          <w:rFonts w:asciiTheme="minorHAnsi" w:hAnsiTheme="minorHAnsi" w:cstheme="minorHAnsi"/>
          <w:sz w:val="18"/>
          <w:szCs w:val="18"/>
        </w:rPr>
      </w:pPr>
    </w:p>
    <w:p w14:paraId="42B8028F" w14:textId="77777777" w:rsidR="004056BA" w:rsidRDefault="004056BA" w:rsidP="00295AC0">
      <w:pPr>
        <w:spacing w:after="0"/>
        <w:ind w:left="567"/>
        <w:jc w:val="both"/>
        <w:rPr>
          <w:rFonts w:asciiTheme="minorHAnsi" w:eastAsia="Times New Roman" w:hAnsiTheme="minorHAnsi" w:cstheme="minorHAnsi"/>
          <w:b/>
          <w:sz w:val="18"/>
          <w:szCs w:val="18"/>
          <w:lang w:val="es-ES" w:eastAsia="es-ES"/>
        </w:rPr>
      </w:pPr>
    </w:p>
    <w:p w14:paraId="47CEAC09" w14:textId="77777777" w:rsidR="004056BA" w:rsidRDefault="004056BA" w:rsidP="00295AC0">
      <w:pPr>
        <w:spacing w:after="0"/>
        <w:ind w:left="567"/>
        <w:jc w:val="both"/>
        <w:rPr>
          <w:rFonts w:asciiTheme="minorHAnsi" w:eastAsia="Times New Roman" w:hAnsiTheme="minorHAnsi" w:cstheme="minorHAnsi"/>
          <w:b/>
          <w:sz w:val="18"/>
          <w:szCs w:val="18"/>
          <w:lang w:val="es-ES" w:eastAsia="es-ES"/>
        </w:rPr>
      </w:pPr>
    </w:p>
    <w:p w14:paraId="56EF811E" w14:textId="77777777" w:rsidR="004056BA" w:rsidRDefault="004056BA" w:rsidP="00295AC0">
      <w:pPr>
        <w:spacing w:after="0"/>
        <w:ind w:left="567"/>
        <w:jc w:val="both"/>
        <w:rPr>
          <w:rFonts w:asciiTheme="minorHAnsi" w:eastAsia="Times New Roman" w:hAnsiTheme="minorHAnsi" w:cstheme="minorHAnsi"/>
          <w:b/>
          <w:sz w:val="18"/>
          <w:szCs w:val="18"/>
          <w:lang w:val="es-ES" w:eastAsia="es-ES"/>
        </w:rPr>
      </w:pPr>
    </w:p>
    <w:p w14:paraId="56792936" w14:textId="77777777" w:rsidR="004056BA" w:rsidRDefault="004056BA" w:rsidP="00295AC0">
      <w:pPr>
        <w:spacing w:after="0"/>
        <w:ind w:left="567"/>
        <w:jc w:val="both"/>
        <w:rPr>
          <w:rFonts w:asciiTheme="minorHAnsi" w:eastAsia="Times New Roman" w:hAnsiTheme="minorHAnsi" w:cstheme="minorHAnsi"/>
          <w:b/>
          <w:sz w:val="18"/>
          <w:szCs w:val="18"/>
          <w:lang w:val="es-ES" w:eastAsia="es-ES"/>
        </w:rPr>
      </w:pPr>
    </w:p>
    <w:p w14:paraId="331C29D0" w14:textId="3D39337D" w:rsidR="00571035" w:rsidRPr="005F45A3" w:rsidRDefault="00571035" w:rsidP="00295AC0">
      <w:pPr>
        <w:spacing w:after="0"/>
        <w:ind w:left="567"/>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Fideicomisos del Gobierno del Estado con Estructura</w:t>
      </w:r>
    </w:p>
    <w:p w14:paraId="5A7CE049" w14:textId="77777777" w:rsidR="003B2245" w:rsidRPr="005F45A3" w:rsidRDefault="003B2245" w:rsidP="0086177A">
      <w:pPr>
        <w:spacing w:after="0"/>
        <w:ind w:left="708"/>
        <w:jc w:val="both"/>
        <w:rPr>
          <w:rFonts w:asciiTheme="minorHAnsi" w:eastAsia="Times New Roman" w:hAnsiTheme="minorHAnsi" w:cstheme="minorHAnsi"/>
          <w:b/>
          <w:sz w:val="18"/>
          <w:szCs w:val="18"/>
          <w:lang w:val="es-ES" w:eastAsia="es-ES"/>
        </w:rPr>
      </w:pPr>
    </w:p>
    <w:p w14:paraId="03B5348E" w14:textId="77777777" w:rsidR="00571035" w:rsidRPr="005F45A3" w:rsidRDefault="00571035" w:rsidP="00295AC0">
      <w:pPr>
        <w:pStyle w:val="Prrafodelista"/>
        <w:numPr>
          <w:ilvl w:val="0"/>
          <w:numId w:val="32"/>
        </w:numPr>
        <w:spacing w:after="0" w:line="240" w:lineRule="auto"/>
        <w:ind w:left="851" w:hanging="284"/>
        <w:jc w:val="both"/>
        <w:rPr>
          <w:rFonts w:asciiTheme="minorHAnsi" w:hAnsiTheme="minorHAnsi" w:cstheme="minorHAnsi"/>
          <w:sz w:val="18"/>
          <w:szCs w:val="18"/>
        </w:rPr>
      </w:pPr>
      <w:r w:rsidRPr="005F45A3">
        <w:rPr>
          <w:rFonts w:asciiTheme="minorHAnsi" w:hAnsiTheme="minorHAnsi" w:cstheme="minorHAnsi"/>
          <w:sz w:val="18"/>
          <w:szCs w:val="18"/>
        </w:rPr>
        <w:t>Fideicomiso Fondo de Garantía y Fomento a la Microindustria del Estado de Tamaulipas (</w:t>
      </w:r>
      <w:proofErr w:type="spellStart"/>
      <w:r w:rsidRPr="005F45A3">
        <w:rPr>
          <w:rFonts w:asciiTheme="minorHAnsi" w:hAnsiTheme="minorHAnsi" w:cstheme="minorHAnsi"/>
          <w:sz w:val="18"/>
          <w:szCs w:val="18"/>
        </w:rPr>
        <w:t>Fomicro</w:t>
      </w:r>
      <w:proofErr w:type="spellEnd"/>
      <w:r w:rsidRPr="005F45A3">
        <w:rPr>
          <w:rFonts w:asciiTheme="minorHAnsi" w:hAnsiTheme="minorHAnsi" w:cstheme="minorHAnsi"/>
          <w:sz w:val="18"/>
          <w:szCs w:val="18"/>
        </w:rPr>
        <w:t>)</w:t>
      </w:r>
    </w:p>
    <w:p w14:paraId="1BA9F57B" w14:textId="77777777" w:rsidR="00981BE0" w:rsidRPr="005F45A3" w:rsidRDefault="00981BE0" w:rsidP="00981BE0">
      <w:pPr>
        <w:pStyle w:val="Prrafodelista"/>
        <w:spacing w:after="0" w:line="240" w:lineRule="auto"/>
        <w:jc w:val="both"/>
        <w:rPr>
          <w:rFonts w:asciiTheme="minorHAnsi" w:hAnsiTheme="minorHAnsi" w:cstheme="minorHAnsi"/>
          <w:sz w:val="18"/>
          <w:szCs w:val="18"/>
        </w:rPr>
      </w:pPr>
    </w:p>
    <w:p w14:paraId="7B64FC3C" w14:textId="77777777" w:rsidR="00571035" w:rsidRPr="005F45A3" w:rsidRDefault="00571035" w:rsidP="00295AC0">
      <w:pPr>
        <w:spacing w:after="0" w:line="240" w:lineRule="auto"/>
        <w:ind w:left="567"/>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 xml:space="preserve">Los Fideicomisos sin Estructura reportados a la fecha como </w:t>
      </w:r>
      <w:r w:rsidRPr="005F45A3">
        <w:rPr>
          <w:rFonts w:asciiTheme="minorHAnsi" w:eastAsia="Times New Roman" w:hAnsiTheme="minorHAnsi" w:cstheme="minorHAnsi"/>
          <w:b/>
          <w:i/>
          <w:sz w:val="18"/>
          <w:szCs w:val="18"/>
          <w:lang w:val="es-ES" w:eastAsia="es-ES"/>
        </w:rPr>
        <w:t xml:space="preserve">INACTIVOS </w:t>
      </w:r>
      <w:r w:rsidRPr="005F45A3">
        <w:rPr>
          <w:rFonts w:asciiTheme="minorHAnsi" w:eastAsia="Times New Roman" w:hAnsiTheme="minorHAnsi" w:cstheme="minorHAnsi"/>
          <w:b/>
          <w:sz w:val="18"/>
          <w:szCs w:val="18"/>
          <w:lang w:val="es-ES" w:eastAsia="es-ES"/>
        </w:rPr>
        <w:t>se enumeran a continuación:</w:t>
      </w:r>
    </w:p>
    <w:p w14:paraId="6C2D8AF9" w14:textId="77777777" w:rsidR="00F029BA" w:rsidRPr="005F45A3" w:rsidRDefault="00F029BA" w:rsidP="0086177A">
      <w:pPr>
        <w:spacing w:after="0" w:line="240" w:lineRule="auto"/>
        <w:ind w:left="709"/>
        <w:jc w:val="both"/>
        <w:rPr>
          <w:rFonts w:asciiTheme="minorHAnsi" w:eastAsia="Times New Roman" w:hAnsiTheme="minorHAnsi" w:cstheme="minorHAnsi"/>
          <w:b/>
          <w:sz w:val="18"/>
          <w:szCs w:val="18"/>
          <w:lang w:val="es-ES" w:eastAsia="es-ES"/>
        </w:rPr>
      </w:pPr>
    </w:p>
    <w:tbl>
      <w:tblPr>
        <w:tblW w:w="8080" w:type="dxa"/>
        <w:jc w:val="center"/>
        <w:tblCellMar>
          <w:left w:w="70" w:type="dxa"/>
          <w:right w:w="70" w:type="dxa"/>
        </w:tblCellMar>
        <w:tblLook w:val="04A0" w:firstRow="1" w:lastRow="0" w:firstColumn="1" w:lastColumn="0" w:noHBand="0" w:noVBand="1"/>
      </w:tblPr>
      <w:tblGrid>
        <w:gridCol w:w="8080"/>
      </w:tblGrid>
      <w:tr w:rsidR="00F029BA" w:rsidRPr="005F45A3" w14:paraId="6FC3E01B" w14:textId="77777777" w:rsidTr="00532260">
        <w:trPr>
          <w:trHeight w:val="340"/>
          <w:jc w:val="center"/>
        </w:trPr>
        <w:tc>
          <w:tcPr>
            <w:tcW w:w="8080" w:type="dxa"/>
            <w:tcBorders>
              <w:top w:val="nil"/>
              <w:left w:val="nil"/>
              <w:bottom w:val="nil"/>
              <w:right w:val="nil"/>
            </w:tcBorders>
            <w:shd w:val="clear" w:color="auto" w:fill="auto"/>
            <w:noWrap/>
            <w:vAlign w:val="center"/>
            <w:hideMark/>
          </w:tcPr>
          <w:p w14:paraId="740B4786" w14:textId="77777777" w:rsidR="00F029BA" w:rsidRPr="005F45A3" w:rsidRDefault="00F029BA" w:rsidP="00E36C08">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1.      Fideicomiso </w:t>
            </w:r>
            <w:r w:rsidR="00DE58B6" w:rsidRPr="005F45A3">
              <w:rPr>
                <w:rFonts w:asciiTheme="minorHAnsi" w:eastAsia="Times New Roman" w:hAnsiTheme="minorHAnsi" w:cstheme="minorHAnsi"/>
                <w:color w:val="000000"/>
                <w:sz w:val="18"/>
                <w:szCs w:val="18"/>
                <w:lang w:eastAsia="es-MX"/>
              </w:rPr>
              <w:t xml:space="preserve">Desarrollo Urbano Lucio Blanco </w:t>
            </w:r>
          </w:p>
        </w:tc>
      </w:tr>
      <w:tr w:rsidR="00F029BA" w:rsidRPr="005F45A3" w14:paraId="71602CCE" w14:textId="77777777" w:rsidTr="00532260">
        <w:trPr>
          <w:trHeight w:val="340"/>
          <w:jc w:val="center"/>
        </w:trPr>
        <w:tc>
          <w:tcPr>
            <w:tcW w:w="8080" w:type="dxa"/>
            <w:tcBorders>
              <w:top w:val="nil"/>
              <w:left w:val="nil"/>
              <w:bottom w:val="nil"/>
              <w:right w:val="nil"/>
            </w:tcBorders>
            <w:shd w:val="clear" w:color="auto" w:fill="auto"/>
            <w:noWrap/>
            <w:vAlign w:val="center"/>
            <w:hideMark/>
          </w:tcPr>
          <w:p w14:paraId="48795289" w14:textId="77777777" w:rsidR="00F029BA" w:rsidRPr="005F45A3" w:rsidRDefault="00F029BA" w:rsidP="00E36C08">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2.      Fideicomiso del Centro Histórico de Matamoros (</w:t>
            </w:r>
            <w:proofErr w:type="spellStart"/>
            <w:r w:rsidRPr="005F45A3">
              <w:rPr>
                <w:rFonts w:asciiTheme="minorHAnsi" w:eastAsia="Times New Roman" w:hAnsiTheme="minorHAnsi" w:cstheme="minorHAnsi"/>
                <w:color w:val="000000"/>
                <w:sz w:val="18"/>
                <w:szCs w:val="18"/>
                <w:lang w:eastAsia="es-MX"/>
              </w:rPr>
              <w:t>Ficemat</w:t>
            </w:r>
            <w:proofErr w:type="spellEnd"/>
            <w:r w:rsidRPr="005F45A3">
              <w:rPr>
                <w:rFonts w:asciiTheme="minorHAnsi" w:eastAsia="Times New Roman" w:hAnsiTheme="minorHAnsi" w:cstheme="minorHAnsi"/>
                <w:color w:val="000000"/>
                <w:sz w:val="18"/>
                <w:szCs w:val="18"/>
                <w:lang w:eastAsia="es-MX"/>
              </w:rPr>
              <w:t>)</w:t>
            </w:r>
          </w:p>
        </w:tc>
      </w:tr>
      <w:tr w:rsidR="00F029BA" w:rsidRPr="005F45A3" w14:paraId="257EB8A2" w14:textId="77777777" w:rsidTr="00532260">
        <w:trPr>
          <w:trHeight w:val="340"/>
          <w:jc w:val="center"/>
        </w:trPr>
        <w:tc>
          <w:tcPr>
            <w:tcW w:w="8080" w:type="dxa"/>
            <w:tcBorders>
              <w:top w:val="nil"/>
              <w:left w:val="nil"/>
              <w:bottom w:val="nil"/>
              <w:right w:val="nil"/>
            </w:tcBorders>
            <w:shd w:val="clear" w:color="auto" w:fill="auto"/>
            <w:noWrap/>
            <w:vAlign w:val="center"/>
            <w:hideMark/>
          </w:tcPr>
          <w:p w14:paraId="11A3CF47" w14:textId="77777777" w:rsidR="00F029BA" w:rsidRPr="005F45A3" w:rsidRDefault="00F029BA" w:rsidP="00E36C08">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3.      Fideicomiso del Centro Urbano Turístico de Ciudad Madero (</w:t>
            </w:r>
            <w:proofErr w:type="spellStart"/>
            <w:r w:rsidRPr="005F45A3">
              <w:rPr>
                <w:rFonts w:asciiTheme="minorHAnsi" w:eastAsia="Times New Roman" w:hAnsiTheme="minorHAnsi" w:cstheme="minorHAnsi"/>
                <w:color w:val="000000"/>
                <w:sz w:val="18"/>
                <w:szCs w:val="18"/>
                <w:lang w:eastAsia="es-MX"/>
              </w:rPr>
              <w:t>Ficutmad</w:t>
            </w:r>
            <w:proofErr w:type="spellEnd"/>
            <w:r w:rsidRPr="005F45A3">
              <w:rPr>
                <w:rFonts w:asciiTheme="minorHAnsi" w:eastAsia="Times New Roman" w:hAnsiTheme="minorHAnsi" w:cstheme="minorHAnsi"/>
                <w:color w:val="000000"/>
                <w:sz w:val="18"/>
                <w:szCs w:val="18"/>
                <w:lang w:eastAsia="es-MX"/>
              </w:rPr>
              <w:t xml:space="preserve">) </w:t>
            </w:r>
          </w:p>
          <w:p w14:paraId="545394C2" w14:textId="77777777" w:rsidR="0086177A" w:rsidRPr="005F45A3" w:rsidRDefault="0086177A" w:rsidP="00E36C08">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4.      Fideicomiso del Centro de Capacitación de Altamira</w:t>
            </w:r>
          </w:p>
        </w:tc>
      </w:tr>
      <w:tr w:rsidR="0086177A" w:rsidRPr="005F45A3" w14:paraId="406FB356" w14:textId="77777777" w:rsidTr="00FB1EBF">
        <w:trPr>
          <w:trHeight w:val="50"/>
          <w:jc w:val="center"/>
        </w:trPr>
        <w:tc>
          <w:tcPr>
            <w:tcW w:w="8080" w:type="dxa"/>
            <w:tcBorders>
              <w:top w:val="nil"/>
              <w:left w:val="nil"/>
              <w:bottom w:val="nil"/>
              <w:right w:val="nil"/>
            </w:tcBorders>
            <w:shd w:val="clear" w:color="auto" w:fill="auto"/>
            <w:noWrap/>
            <w:vAlign w:val="center"/>
          </w:tcPr>
          <w:p w14:paraId="2870C0FB" w14:textId="08697081" w:rsidR="0086177A" w:rsidRPr="007041A0" w:rsidRDefault="0086177A" w:rsidP="007041A0">
            <w:pPr>
              <w:pStyle w:val="Prrafodelista"/>
              <w:numPr>
                <w:ilvl w:val="0"/>
                <w:numId w:val="30"/>
              </w:numPr>
              <w:spacing w:after="0" w:line="240" w:lineRule="auto"/>
              <w:jc w:val="both"/>
              <w:rPr>
                <w:rFonts w:asciiTheme="minorHAnsi" w:eastAsia="Times New Roman" w:hAnsiTheme="minorHAnsi" w:cstheme="minorHAnsi"/>
                <w:color w:val="000000"/>
                <w:sz w:val="18"/>
                <w:szCs w:val="18"/>
                <w:lang w:eastAsia="es-MX"/>
              </w:rPr>
            </w:pPr>
            <w:r w:rsidRPr="007041A0">
              <w:rPr>
                <w:rFonts w:asciiTheme="minorHAnsi" w:eastAsia="Times New Roman" w:hAnsiTheme="minorHAnsi" w:cstheme="minorHAnsi"/>
                <w:color w:val="000000"/>
                <w:sz w:val="18"/>
                <w:szCs w:val="18"/>
                <w:lang w:eastAsia="es-MX"/>
              </w:rPr>
              <w:t>Fideicomiso para el Desarrollo Comercial Ignacio Zaragoza</w:t>
            </w:r>
          </w:p>
          <w:p w14:paraId="30CA6877" w14:textId="02C39E03" w:rsidR="00E36C08" w:rsidRPr="005F45A3" w:rsidRDefault="00E36C08" w:rsidP="007041A0">
            <w:pPr>
              <w:pStyle w:val="Prrafodelista"/>
              <w:numPr>
                <w:ilvl w:val="0"/>
                <w:numId w:val="30"/>
              </w:num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Fideicomiso del Corredor Económico Norte.</w:t>
            </w:r>
          </w:p>
          <w:p w14:paraId="082A3B18" w14:textId="77777777" w:rsidR="00295AC0" w:rsidRDefault="00295AC0" w:rsidP="00A73911">
            <w:pPr>
              <w:spacing w:after="0" w:line="240" w:lineRule="auto"/>
              <w:jc w:val="both"/>
              <w:rPr>
                <w:rFonts w:asciiTheme="minorHAnsi" w:eastAsia="Times New Roman" w:hAnsiTheme="minorHAnsi" w:cstheme="minorHAnsi"/>
                <w:b/>
                <w:sz w:val="18"/>
                <w:szCs w:val="18"/>
                <w:lang w:val="es-ES" w:eastAsia="es-ES"/>
              </w:rPr>
            </w:pPr>
          </w:p>
          <w:p w14:paraId="43D12D0A" w14:textId="4AB9B6F8" w:rsidR="007041A0" w:rsidRDefault="007041A0" w:rsidP="00A73911">
            <w:pPr>
              <w:spacing w:after="0" w:line="240" w:lineRule="auto"/>
              <w:jc w:val="both"/>
              <w:rPr>
                <w:rFonts w:asciiTheme="minorHAnsi" w:eastAsia="Times New Roman" w:hAnsiTheme="minorHAnsi" w:cstheme="minorHAnsi"/>
                <w:b/>
                <w:sz w:val="18"/>
                <w:szCs w:val="18"/>
                <w:lang w:val="es-ES" w:eastAsia="es-ES"/>
              </w:rPr>
            </w:pPr>
          </w:p>
          <w:p w14:paraId="56E448CB" w14:textId="5DA7CE55" w:rsidR="00A73911" w:rsidRPr="005F45A3" w:rsidRDefault="00A73911" w:rsidP="00A73911">
            <w:pPr>
              <w:spacing w:after="0" w:line="240" w:lineRule="auto"/>
              <w:jc w:val="both"/>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 xml:space="preserve">Fideicomisos Extintos </w:t>
            </w:r>
          </w:p>
          <w:p w14:paraId="097DF6BF" w14:textId="77777777" w:rsidR="00981BE0" w:rsidRPr="005F45A3" w:rsidRDefault="00981BE0" w:rsidP="00E36C08">
            <w:pPr>
              <w:pStyle w:val="Prrafodelista"/>
              <w:spacing w:after="0" w:line="240" w:lineRule="auto"/>
              <w:ind w:left="360"/>
              <w:jc w:val="both"/>
              <w:rPr>
                <w:rFonts w:asciiTheme="minorHAnsi" w:eastAsia="Times New Roman" w:hAnsiTheme="minorHAnsi" w:cstheme="minorHAnsi"/>
                <w:color w:val="000000"/>
                <w:sz w:val="18"/>
                <w:szCs w:val="18"/>
                <w:lang w:eastAsia="es-MX"/>
              </w:rPr>
            </w:pPr>
          </w:p>
        </w:tc>
      </w:tr>
    </w:tbl>
    <w:p w14:paraId="601039C9" w14:textId="19F3C8E4" w:rsidR="00571035" w:rsidRPr="005F45A3" w:rsidRDefault="00A73911" w:rsidP="00571035">
      <w:pPr>
        <w:spacing w:after="0" w:line="240" w:lineRule="auto"/>
        <w:ind w:left="709"/>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1. </w:t>
      </w:r>
      <w:r w:rsidR="00981BE0" w:rsidRPr="005F45A3">
        <w:rPr>
          <w:rFonts w:asciiTheme="minorHAnsi" w:eastAsia="Times New Roman" w:hAnsiTheme="minorHAnsi" w:cstheme="minorHAnsi"/>
          <w:color w:val="000000"/>
          <w:sz w:val="18"/>
          <w:szCs w:val="18"/>
          <w:lang w:eastAsia="es-MX"/>
        </w:rPr>
        <w:t>Fideicomiso del Estado de Tamaulipas para la Implementación del Sistema de Justicia Penal</w:t>
      </w:r>
    </w:p>
    <w:p w14:paraId="7338A0BC" w14:textId="7A96690D" w:rsidR="00981BE0" w:rsidRDefault="00A73911" w:rsidP="00571035">
      <w:pPr>
        <w:spacing w:after="0" w:line="240" w:lineRule="auto"/>
        <w:ind w:left="709"/>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 xml:space="preserve">2. </w:t>
      </w:r>
      <w:r w:rsidR="00981BE0" w:rsidRPr="005F45A3">
        <w:rPr>
          <w:rFonts w:asciiTheme="minorHAnsi" w:eastAsia="Times New Roman" w:hAnsiTheme="minorHAnsi" w:cstheme="minorHAnsi"/>
          <w:color w:val="000000"/>
          <w:sz w:val="18"/>
          <w:szCs w:val="18"/>
          <w:lang w:eastAsia="es-MX"/>
        </w:rPr>
        <w:t>Fideicomiso del Centro Histórico de Tampico (</w:t>
      </w:r>
      <w:proofErr w:type="spellStart"/>
      <w:r w:rsidR="00981BE0" w:rsidRPr="005F45A3">
        <w:rPr>
          <w:rFonts w:asciiTheme="minorHAnsi" w:eastAsia="Times New Roman" w:hAnsiTheme="minorHAnsi" w:cstheme="minorHAnsi"/>
          <w:color w:val="000000"/>
          <w:sz w:val="18"/>
          <w:szCs w:val="18"/>
          <w:lang w:eastAsia="es-MX"/>
        </w:rPr>
        <w:t>Ficetam</w:t>
      </w:r>
      <w:proofErr w:type="spellEnd"/>
      <w:r w:rsidR="00981BE0" w:rsidRPr="005F45A3">
        <w:rPr>
          <w:rFonts w:asciiTheme="minorHAnsi" w:eastAsia="Times New Roman" w:hAnsiTheme="minorHAnsi" w:cstheme="minorHAnsi"/>
          <w:color w:val="000000"/>
          <w:sz w:val="18"/>
          <w:szCs w:val="18"/>
          <w:lang w:eastAsia="es-MX"/>
        </w:rPr>
        <w:t>)</w:t>
      </w:r>
      <w:r w:rsidR="0050539A" w:rsidRPr="005F45A3">
        <w:rPr>
          <w:rFonts w:asciiTheme="minorHAnsi" w:eastAsia="Times New Roman" w:hAnsiTheme="minorHAnsi" w:cstheme="minorHAnsi"/>
          <w:color w:val="000000"/>
          <w:sz w:val="18"/>
          <w:szCs w:val="18"/>
          <w:lang w:eastAsia="es-MX"/>
        </w:rPr>
        <w:t xml:space="preserve">  (8 jun 2022)</w:t>
      </w:r>
    </w:p>
    <w:p w14:paraId="1B886B9F" w14:textId="7E374B49" w:rsidR="00760A56" w:rsidRPr="005F45A3" w:rsidRDefault="00760A56" w:rsidP="00571035">
      <w:pPr>
        <w:spacing w:after="0" w:line="240" w:lineRule="auto"/>
        <w:ind w:left="709"/>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w:t>
      </w:r>
      <w:r w:rsidRPr="00760A56">
        <w:rPr>
          <w:rFonts w:asciiTheme="minorHAnsi" w:eastAsia="Times New Roman" w:hAnsiTheme="minorHAnsi" w:cstheme="minorHAnsi"/>
          <w:color w:val="000000"/>
          <w:sz w:val="18"/>
          <w:szCs w:val="18"/>
          <w:lang w:eastAsia="es-MX"/>
        </w:rPr>
        <w:t xml:space="preserve"> </w:t>
      </w:r>
      <w:r w:rsidRPr="005F45A3">
        <w:rPr>
          <w:rFonts w:asciiTheme="minorHAnsi" w:eastAsia="Times New Roman" w:hAnsiTheme="minorHAnsi" w:cstheme="minorHAnsi"/>
          <w:color w:val="000000"/>
          <w:sz w:val="18"/>
          <w:szCs w:val="18"/>
          <w:lang w:eastAsia="es-MX"/>
        </w:rPr>
        <w:t>Fideicomiso para la Prevención de la Violencia en el Estado de Tamaulipas.</w:t>
      </w:r>
    </w:p>
    <w:p w14:paraId="61D00F80" w14:textId="3BCAC358" w:rsidR="00A73911" w:rsidRPr="00CD4994" w:rsidRDefault="00CD4994" w:rsidP="00571035">
      <w:pPr>
        <w:spacing w:after="0" w:line="240" w:lineRule="auto"/>
        <w:ind w:left="709"/>
        <w:jc w:val="both"/>
        <w:rPr>
          <w:rFonts w:asciiTheme="minorHAnsi" w:eastAsia="Times New Roman" w:hAnsiTheme="minorHAnsi" w:cstheme="minorHAnsi"/>
          <w:color w:val="000000"/>
          <w:sz w:val="18"/>
          <w:szCs w:val="18"/>
          <w:lang w:eastAsia="es-MX"/>
        </w:rPr>
      </w:pPr>
      <w:r w:rsidRPr="00CD4994">
        <w:rPr>
          <w:rFonts w:asciiTheme="minorHAnsi" w:eastAsia="Times New Roman" w:hAnsiTheme="minorHAnsi" w:cstheme="minorHAnsi"/>
          <w:color w:val="000000"/>
          <w:sz w:val="18"/>
          <w:szCs w:val="18"/>
          <w:lang w:eastAsia="es-MX"/>
        </w:rPr>
        <w:t xml:space="preserve">       Los fideicomisos </w:t>
      </w:r>
      <w:proofErr w:type="spellStart"/>
      <w:r w:rsidRPr="00CD4994">
        <w:rPr>
          <w:rFonts w:asciiTheme="minorHAnsi" w:eastAsia="Times New Roman" w:hAnsiTheme="minorHAnsi" w:cstheme="minorHAnsi"/>
          <w:color w:val="000000"/>
          <w:sz w:val="18"/>
          <w:szCs w:val="18"/>
          <w:lang w:eastAsia="es-MX"/>
        </w:rPr>
        <w:t>Ficetam</w:t>
      </w:r>
      <w:proofErr w:type="spellEnd"/>
      <w:r w:rsidRPr="00CD4994">
        <w:rPr>
          <w:rFonts w:asciiTheme="minorHAnsi" w:eastAsia="Times New Roman" w:hAnsiTheme="minorHAnsi" w:cstheme="minorHAnsi"/>
          <w:color w:val="000000"/>
          <w:sz w:val="18"/>
          <w:szCs w:val="18"/>
          <w:lang w:eastAsia="es-MX"/>
        </w:rPr>
        <w:t xml:space="preserve"> y Prevención a la Violencia se encuentran en proceso para finiquitar los registros contables existentes.</w:t>
      </w:r>
    </w:p>
    <w:p w14:paraId="11A0A52E" w14:textId="77777777" w:rsidR="00973991" w:rsidRPr="00CD4994" w:rsidRDefault="00973991" w:rsidP="00571035">
      <w:pPr>
        <w:spacing w:after="0" w:line="240" w:lineRule="auto"/>
        <w:ind w:left="709"/>
        <w:jc w:val="both"/>
        <w:rPr>
          <w:rFonts w:asciiTheme="minorHAnsi" w:eastAsia="Times New Roman" w:hAnsiTheme="minorHAnsi" w:cstheme="minorHAnsi"/>
          <w:color w:val="000000"/>
          <w:sz w:val="18"/>
          <w:szCs w:val="18"/>
          <w:lang w:eastAsia="es-MX"/>
        </w:rPr>
      </w:pPr>
    </w:p>
    <w:p w14:paraId="093F4447" w14:textId="77777777" w:rsidR="00775086" w:rsidRPr="00CD4994" w:rsidRDefault="00775086" w:rsidP="002F269F">
      <w:pPr>
        <w:pStyle w:val="Prrafodelista"/>
        <w:spacing w:after="0" w:line="240" w:lineRule="auto"/>
        <w:jc w:val="both"/>
        <w:rPr>
          <w:rFonts w:asciiTheme="minorHAnsi" w:eastAsia="Times New Roman" w:hAnsiTheme="minorHAnsi" w:cstheme="minorHAnsi"/>
          <w:color w:val="000000"/>
          <w:sz w:val="18"/>
          <w:szCs w:val="18"/>
          <w:lang w:eastAsia="es-MX"/>
        </w:rPr>
      </w:pPr>
    </w:p>
    <w:p w14:paraId="5B2B15AF" w14:textId="77777777" w:rsidR="00AA7087" w:rsidRPr="009325D7" w:rsidRDefault="00AA7087" w:rsidP="002F269F">
      <w:pPr>
        <w:pStyle w:val="Texto"/>
        <w:numPr>
          <w:ilvl w:val="0"/>
          <w:numId w:val="27"/>
        </w:numPr>
        <w:spacing w:after="0" w:line="240" w:lineRule="auto"/>
        <w:rPr>
          <w:rFonts w:asciiTheme="minorHAnsi" w:hAnsiTheme="minorHAnsi" w:cstheme="minorHAnsi"/>
          <w:b/>
          <w:szCs w:val="18"/>
          <w:lang w:val="es-MX"/>
        </w:rPr>
      </w:pPr>
      <w:r w:rsidRPr="009325D7">
        <w:rPr>
          <w:rFonts w:asciiTheme="minorHAnsi" w:hAnsiTheme="minorHAnsi" w:cstheme="minorHAnsi"/>
          <w:b/>
          <w:szCs w:val="18"/>
          <w:lang w:val="es-MX"/>
        </w:rPr>
        <w:t>Bases de Preparación de los Estados Financieros</w:t>
      </w:r>
    </w:p>
    <w:p w14:paraId="1EEBB5C4" w14:textId="77777777" w:rsidR="00AA7087" w:rsidRPr="005F45A3" w:rsidRDefault="00AA7087" w:rsidP="00AA7087">
      <w:pPr>
        <w:pStyle w:val="Texto"/>
        <w:spacing w:after="0" w:line="240" w:lineRule="exact"/>
        <w:ind w:left="360" w:firstLine="0"/>
        <w:rPr>
          <w:rFonts w:asciiTheme="minorHAnsi" w:hAnsiTheme="minorHAnsi" w:cstheme="minorHAnsi"/>
          <w:b/>
          <w:szCs w:val="18"/>
          <w:lang w:val="es-MX"/>
        </w:rPr>
      </w:pPr>
    </w:p>
    <w:p w14:paraId="53A8D5DA" w14:textId="17E9B1C5" w:rsidR="00AA7087" w:rsidRPr="005F45A3" w:rsidRDefault="00AA7087" w:rsidP="003B2245">
      <w:pPr>
        <w:pStyle w:val="INCISO"/>
        <w:numPr>
          <w:ilvl w:val="0"/>
          <w:numId w:val="2"/>
        </w:numPr>
        <w:spacing w:after="0" w:line="240" w:lineRule="exact"/>
        <w:ind w:left="709"/>
        <w:rPr>
          <w:rFonts w:asciiTheme="minorHAnsi" w:hAnsiTheme="minorHAnsi" w:cstheme="minorHAnsi"/>
        </w:rPr>
      </w:pPr>
      <w:r w:rsidRPr="005F45A3">
        <w:rPr>
          <w:rFonts w:asciiTheme="minorHAnsi" w:hAnsiTheme="minorHAnsi" w:cstheme="minorHAnsi"/>
        </w:rPr>
        <w:t>Se ha observado la nor</w:t>
      </w:r>
      <w:r w:rsidR="00BB19FC">
        <w:rPr>
          <w:rFonts w:asciiTheme="minorHAnsi" w:hAnsiTheme="minorHAnsi" w:cstheme="minorHAnsi"/>
        </w:rPr>
        <w:t>matividad emitida por el CONAC,</w:t>
      </w:r>
      <w:r w:rsidRPr="005F45A3">
        <w:rPr>
          <w:rFonts w:asciiTheme="minorHAnsi" w:hAnsiTheme="minorHAnsi" w:cstheme="minorHAnsi"/>
        </w:rPr>
        <w:t xml:space="preserve"> las disposiciones legales</w:t>
      </w:r>
      <w:r w:rsidR="008517E0">
        <w:rPr>
          <w:rFonts w:asciiTheme="minorHAnsi" w:hAnsiTheme="minorHAnsi" w:cstheme="minorHAnsi"/>
        </w:rPr>
        <w:t xml:space="preserve"> y fiscales</w:t>
      </w:r>
      <w:r w:rsidRPr="005F45A3">
        <w:rPr>
          <w:rFonts w:asciiTheme="minorHAnsi" w:hAnsiTheme="minorHAnsi" w:cstheme="minorHAnsi"/>
        </w:rPr>
        <w:t xml:space="preserve"> aplicables.</w:t>
      </w:r>
    </w:p>
    <w:p w14:paraId="0F20E823" w14:textId="77777777" w:rsidR="00AA7087" w:rsidRPr="005F45A3" w:rsidRDefault="00AA7087" w:rsidP="00AA7087">
      <w:pPr>
        <w:pStyle w:val="INCISO"/>
        <w:spacing w:after="0" w:line="240" w:lineRule="exact"/>
        <w:ind w:left="720" w:firstLine="0"/>
        <w:rPr>
          <w:rFonts w:asciiTheme="minorHAnsi" w:hAnsiTheme="minorHAnsi" w:cstheme="minorHAnsi"/>
          <w:i/>
        </w:rPr>
      </w:pPr>
      <w:r w:rsidRPr="005F45A3">
        <w:rPr>
          <w:rFonts w:asciiTheme="minorHAnsi" w:hAnsiTheme="minorHAnsi" w:cstheme="minorHAnsi"/>
        </w:rPr>
        <w:t>Los Estados Financieros han sido preparados de conformidad con lo establecido en la Ley General de Contabilidad Gubernamental, sus postulados básicos, el Marco Conceptual de Contabilidad, y los lineamientos emitidos por el Consejo Nacional de Armonización Contable</w:t>
      </w:r>
      <w:r w:rsidRPr="005F45A3">
        <w:rPr>
          <w:rFonts w:asciiTheme="minorHAnsi" w:hAnsiTheme="minorHAnsi" w:cstheme="minorHAnsi"/>
          <w:i/>
        </w:rPr>
        <w:t>.</w:t>
      </w:r>
    </w:p>
    <w:p w14:paraId="35F014AF" w14:textId="193DFF7D" w:rsidR="0093065C" w:rsidRPr="005F45A3" w:rsidRDefault="0093065C" w:rsidP="007041A0">
      <w:pPr>
        <w:pStyle w:val="INCISO"/>
        <w:spacing w:after="0" w:line="240" w:lineRule="exact"/>
        <w:ind w:left="0" w:firstLine="0"/>
        <w:rPr>
          <w:rFonts w:asciiTheme="minorHAnsi" w:hAnsiTheme="minorHAnsi" w:cstheme="minorHAnsi"/>
        </w:rPr>
      </w:pPr>
    </w:p>
    <w:p w14:paraId="5DE863E1" w14:textId="77777777" w:rsidR="00AA7087" w:rsidRPr="009325D7" w:rsidRDefault="00AA7087" w:rsidP="00AA7087">
      <w:pPr>
        <w:autoSpaceDE w:val="0"/>
        <w:autoSpaceDN w:val="0"/>
        <w:adjustRightInd w:val="0"/>
        <w:spacing w:after="0" w:line="240" w:lineRule="auto"/>
        <w:ind w:left="720"/>
        <w:jc w:val="both"/>
        <w:rPr>
          <w:rFonts w:asciiTheme="minorHAnsi" w:hAnsiTheme="minorHAnsi" w:cstheme="minorHAnsi"/>
          <w:b/>
          <w:sz w:val="18"/>
          <w:szCs w:val="18"/>
        </w:rPr>
      </w:pPr>
      <w:r w:rsidRPr="009325D7">
        <w:rPr>
          <w:rFonts w:asciiTheme="minorHAnsi" w:hAnsiTheme="minorHAnsi" w:cstheme="minorHAnsi"/>
          <w:b/>
          <w:sz w:val="18"/>
          <w:szCs w:val="18"/>
        </w:rPr>
        <w:t>Los Estados Financieros están integrados por:</w:t>
      </w:r>
    </w:p>
    <w:p w14:paraId="374C8787" w14:textId="77777777" w:rsidR="00AA7087" w:rsidRPr="005F45A3" w:rsidRDefault="00AA7087" w:rsidP="002F269F">
      <w:pPr>
        <w:autoSpaceDE w:val="0"/>
        <w:autoSpaceDN w:val="0"/>
        <w:adjustRightInd w:val="0"/>
        <w:spacing w:after="0" w:line="240" w:lineRule="auto"/>
        <w:ind w:left="720"/>
        <w:jc w:val="both"/>
        <w:rPr>
          <w:rFonts w:asciiTheme="minorHAnsi" w:hAnsiTheme="minorHAnsi" w:cstheme="minorHAnsi"/>
          <w:sz w:val="18"/>
          <w:szCs w:val="18"/>
        </w:rPr>
      </w:pPr>
    </w:p>
    <w:p w14:paraId="0DF82940" w14:textId="77777777" w:rsidR="00AA7087" w:rsidRPr="005F45A3" w:rsidRDefault="00AA7087" w:rsidP="002F269F">
      <w:pPr>
        <w:autoSpaceDE w:val="0"/>
        <w:autoSpaceDN w:val="0"/>
        <w:adjustRightInd w:val="0"/>
        <w:spacing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Contable</w:t>
      </w:r>
    </w:p>
    <w:p w14:paraId="0453429D"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Presupuestal</w:t>
      </w:r>
    </w:p>
    <w:p w14:paraId="092F23A8"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Información Programática</w:t>
      </w:r>
    </w:p>
    <w:p w14:paraId="7077945B" w14:textId="77777777" w:rsidR="00AA7087" w:rsidRPr="005F45A3" w:rsidRDefault="00AA7087" w:rsidP="002F269F">
      <w:pPr>
        <w:autoSpaceDE w:val="0"/>
        <w:autoSpaceDN w:val="0"/>
        <w:adjustRightInd w:val="0"/>
        <w:spacing w:before="120" w:after="0" w:line="240" w:lineRule="auto"/>
        <w:ind w:left="720"/>
        <w:jc w:val="both"/>
        <w:rPr>
          <w:rFonts w:asciiTheme="minorHAnsi" w:hAnsiTheme="minorHAnsi" w:cstheme="minorHAnsi"/>
          <w:sz w:val="18"/>
          <w:szCs w:val="18"/>
        </w:rPr>
      </w:pPr>
      <w:r w:rsidRPr="005F45A3">
        <w:rPr>
          <w:rFonts w:asciiTheme="minorHAnsi" w:hAnsiTheme="minorHAnsi" w:cstheme="minorHAnsi"/>
          <w:sz w:val="18"/>
          <w:szCs w:val="18"/>
        </w:rPr>
        <w:t>Anexos</w:t>
      </w:r>
      <w:r w:rsidR="002A6D06" w:rsidRPr="005F45A3">
        <w:rPr>
          <w:rFonts w:asciiTheme="minorHAnsi" w:hAnsiTheme="minorHAnsi" w:cstheme="minorHAnsi"/>
          <w:sz w:val="18"/>
          <w:szCs w:val="18"/>
        </w:rPr>
        <w:t>:</w:t>
      </w:r>
    </w:p>
    <w:p w14:paraId="4C49C13C" w14:textId="0D4E9FD8" w:rsidR="009E2673" w:rsidRPr="005F45A3" w:rsidRDefault="002A6D06" w:rsidP="002F269F">
      <w:pPr>
        <w:pStyle w:val="INCISO"/>
        <w:spacing w:before="120" w:after="0" w:line="240" w:lineRule="exact"/>
        <w:ind w:left="0" w:firstLine="0"/>
        <w:rPr>
          <w:rFonts w:asciiTheme="minorHAnsi" w:hAnsiTheme="minorHAnsi" w:cstheme="minorHAnsi"/>
        </w:rPr>
      </w:pPr>
      <w:r w:rsidRPr="005F45A3">
        <w:rPr>
          <w:rFonts w:asciiTheme="minorHAnsi" w:eastAsia="Calibri" w:hAnsiTheme="minorHAnsi" w:cstheme="minorHAnsi"/>
          <w:lang w:val="es-MX" w:eastAsia="en-US"/>
        </w:rPr>
        <w:t xml:space="preserve">             </w:t>
      </w:r>
      <w:r w:rsidR="005F61A0" w:rsidRPr="005F45A3">
        <w:rPr>
          <w:rFonts w:asciiTheme="minorHAnsi" w:eastAsia="Calibri" w:hAnsiTheme="minorHAnsi" w:cstheme="minorHAnsi"/>
          <w:lang w:val="es-MX" w:eastAsia="en-US"/>
        </w:rPr>
        <w:t xml:space="preserve"> </w:t>
      </w:r>
      <w:r w:rsidRPr="005F45A3">
        <w:rPr>
          <w:rFonts w:asciiTheme="minorHAnsi" w:eastAsia="Calibri" w:hAnsiTheme="minorHAnsi" w:cstheme="minorHAnsi"/>
          <w:lang w:val="es-MX" w:eastAsia="en-US"/>
        </w:rPr>
        <w:t xml:space="preserve"> </w:t>
      </w:r>
      <w:r w:rsidR="009E2673" w:rsidRPr="005F45A3">
        <w:rPr>
          <w:rFonts w:asciiTheme="minorHAnsi" w:eastAsia="Calibri" w:hAnsiTheme="minorHAnsi" w:cstheme="minorHAnsi"/>
          <w:lang w:val="es-MX" w:eastAsia="en-US"/>
        </w:rPr>
        <w:t>Cedula Acumulativa por Rubro de Ingresos</w:t>
      </w:r>
    </w:p>
    <w:p w14:paraId="70BA0B68" w14:textId="77777777" w:rsidR="00AA7087" w:rsidRPr="005F45A3" w:rsidRDefault="00AA7087" w:rsidP="002F269F">
      <w:pPr>
        <w:pStyle w:val="INCISO"/>
        <w:spacing w:before="120" w:after="0" w:line="240" w:lineRule="exact"/>
        <w:ind w:left="360" w:firstLine="336"/>
        <w:rPr>
          <w:rFonts w:asciiTheme="minorHAnsi" w:hAnsiTheme="minorHAnsi" w:cstheme="minorHAnsi"/>
        </w:rPr>
      </w:pPr>
      <w:r w:rsidRPr="005F45A3">
        <w:rPr>
          <w:rFonts w:asciiTheme="minorHAnsi" w:hAnsiTheme="minorHAnsi" w:cstheme="minorHAnsi"/>
        </w:rPr>
        <w:t>Información</w:t>
      </w:r>
      <w:r w:rsidR="000A0FF4" w:rsidRPr="005F45A3">
        <w:rPr>
          <w:rFonts w:asciiTheme="minorHAnsi" w:hAnsiTheme="minorHAnsi" w:cstheme="minorHAnsi"/>
        </w:rPr>
        <w:t xml:space="preserve"> en Formatos </w:t>
      </w:r>
      <w:r w:rsidRPr="005F45A3">
        <w:rPr>
          <w:rFonts w:asciiTheme="minorHAnsi" w:hAnsiTheme="minorHAnsi" w:cstheme="minorHAnsi"/>
        </w:rPr>
        <w:t>de Disciplina Financiera</w:t>
      </w:r>
    </w:p>
    <w:p w14:paraId="0C5C8399" w14:textId="77777777" w:rsidR="005F61A0" w:rsidRPr="005F45A3" w:rsidRDefault="005F61A0" w:rsidP="002F269F">
      <w:pPr>
        <w:pStyle w:val="INCISO"/>
        <w:spacing w:before="120" w:after="0" w:line="240" w:lineRule="exact"/>
        <w:ind w:left="360" w:firstLine="336"/>
        <w:rPr>
          <w:rFonts w:asciiTheme="minorHAnsi" w:hAnsiTheme="minorHAnsi" w:cstheme="minorHAnsi"/>
        </w:rPr>
      </w:pPr>
    </w:p>
    <w:p w14:paraId="447F924F" w14:textId="77777777" w:rsidR="00AA7087" w:rsidRPr="005F45A3" w:rsidRDefault="00AA7087" w:rsidP="00FD47EF">
      <w:pPr>
        <w:pStyle w:val="INCISO"/>
        <w:numPr>
          <w:ilvl w:val="0"/>
          <w:numId w:val="9"/>
        </w:numPr>
        <w:spacing w:after="0" w:line="240" w:lineRule="exact"/>
        <w:rPr>
          <w:rFonts w:asciiTheme="minorHAnsi" w:hAnsiTheme="minorHAnsi" w:cstheme="minorHAnsi"/>
        </w:rPr>
      </w:pPr>
      <w:r w:rsidRPr="005F45A3">
        <w:rPr>
          <w:rFonts w:asciiTheme="minorHAnsi" w:hAnsiTheme="minorHAnsi" w:cstheme="minorHAnsi"/>
        </w:rPr>
        <w:t xml:space="preserve">La normatividad aplicada para el reconocimiento, valuación y revelación de los diferentes rubros de la información financiera van de acuerdo a los documentos normativos emitidos por el CONAC  las bases de medición utilizadas para la elaboración de los Estados Financieros se apegan al  costo histórico y a los criterios de valuación de los mismos, con excepción de los Ingresos ya que estos no se obtienen en tiempo real del Sistema de Plataforma Única (Sistema </w:t>
      </w:r>
      <w:r w:rsidRPr="005F45A3">
        <w:rPr>
          <w:rFonts w:asciiTheme="minorHAnsi" w:hAnsiTheme="minorHAnsi" w:cstheme="minorHAnsi"/>
        </w:rPr>
        <w:lastRenderedPageBreak/>
        <w:t>Contable), en cuanto a los Inventarios de Bienes Muebles e Inmuebles este proceso está por concluir su levantamiento físico para así lograr  la conciliación con el Registro Contable</w:t>
      </w:r>
    </w:p>
    <w:p w14:paraId="6D1CC8B2" w14:textId="77777777" w:rsidR="00AA7087" w:rsidRPr="005F45A3" w:rsidRDefault="00AA7087" w:rsidP="00AA7087">
      <w:pPr>
        <w:pStyle w:val="INCISO"/>
        <w:spacing w:after="0" w:line="240" w:lineRule="exact"/>
        <w:ind w:firstLine="0"/>
        <w:rPr>
          <w:rFonts w:asciiTheme="minorHAnsi" w:hAnsiTheme="minorHAnsi" w:cstheme="minorHAnsi"/>
        </w:rPr>
      </w:pPr>
    </w:p>
    <w:p w14:paraId="044C595E" w14:textId="77777777" w:rsidR="00AA7087" w:rsidRPr="005F45A3"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Postulados básicos. Se aplican los establecidos en la Ley General de Contabilidad Gubernamental y la Normatividad emitida al respecto por el CONAC.</w:t>
      </w:r>
    </w:p>
    <w:p w14:paraId="000D12A4" w14:textId="77777777" w:rsidR="00AA7087" w:rsidRPr="005F45A3" w:rsidRDefault="00AA7087" w:rsidP="00AA7087">
      <w:pPr>
        <w:pStyle w:val="INCISO"/>
        <w:spacing w:after="0" w:line="240" w:lineRule="exact"/>
        <w:ind w:left="0" w:firstLine="0"/>
        <w:rPr>
          <w:rFonts w:asciiTheme="minorHAnsi" w:hAnsiTheme="minorHAnsi" w:cstheme="minorHAnsi"/>
          <w:sz w:val="20"/>
        </w:rPr>
      </w:pPr>
    </w:p>
    <w:p w14:paraId="1090C67E" w14:textId="77777777" w:rsidR="00AA7087" w:rsidRPr="005F45A3"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Normatividad Supletoria: No Aplica.</w:t>
      </w:r>
    </w:p>
    <w:p w14:paraId="1D1B89FF" w14:textId="77777777" w:rsidR="00AA7087" w:rsidRPr="005F45A3" w:rsidRDefault="00AA7087" w:rsidP="00AA7087">
      <w:pPr>
        <w:pStyle w:val="Prrafodelista"/>
        <w:spacing w:after="0"/>
        <w:rPr>
          <w:rFonts w:asciiTheme="minorHAnsi" w:hAnsiTheme="minorHAnsi" w:cstheme="minorHAnsi"/>
          <w:sz w:val="16"/>
          <w:szCs w:val="18"/>
        </w:rPr>
      </w:pPr>
    </w:p>
    <w:p w14:paraId="4489C1F0" w14:textId="77777777" w:rsidR="003669E2" w:rsidRPr="005F45A3" w:rsidRDefault="00AA7087" w:rsidP="00FD47EF">
      <w:pPr>
        <w:pStyle w:val="INCISO"/>
        <w:numPr>
          <w:ilvl w:val="0"/>
          <w:numId w:val="10"/>
        </w:numPr>
        <w:spacing w:after="0" w:line="240" w:lineRule="exact"/>
        <w:rPr>
          <w:rFonts w:asciiTheme="minorHAnsi" w:hAnsiTheme="minorHAnsi" w:cstheme="minorHAnsi"/>
        </w:rPr>
      </w:pPr>
      <w:r w:rsidRPr="005F45A3">
        <w:rPr>
          <w:rFonts w:asciiTheme="minorHAnsi" w:hAnsiTheme="minorHAnsi" w:cstheme="minorHAnsi"/>
        </w:rPr>
        <w:t>El Gobierno del estado tiene implementado la base del devengado de acuerdo a la Ley de General de Contabilidad Gubernamental aplicando los acuerdos emitidos por el Consejo de Armonización Contable y los acuerdos del Consejo</w:t>
      </w:r>
      <w:r w:rsidR="003E6B6E" w:rsidRPr="005F45A3">
        <w:rPr>
          <w:rFonts w:asciiTheme="minorHAnsi" w:hAnsiTheme="minorHAnsi" w:cstheme="minorHAnsi"/>
        </w:rPr>
        <w:t xml:space="preserve"> de Armonización Contable</w:t>
      </w:r>
      <w:r w:rsidRPr="005F45A3">
        <w:rPr>
          <w:rFonts w:asciiTheme="minorHAnsi" w:hAnsiTheme="minorHAnsi" w:cstheme="minorHAnsi"/>
        </w:rPr>
        <w:t xml:space="preserve"> del Estado de Tamaulipas. </w:t>
      </w:r>
    </w:p>
    <w:p w14:paraId="73E1F4B1" w14:textId="77777777" w:rsidR="003669E2" w:rsidRPr="005F45A3" w:rsidRDefault="003669E2" w:rsidP="00AA7087">
      <w:pPr>
        <w:pStyle w:val="Texto"/>
        <w:spacing w:after="0" w:line="240" w:lineRule="exact"/>
        <w:ind w:left="1440" w:hanging="360"/>
        <w:rPr>
          <w:rFonts w:asciiTheme="minorHAnsi" w:hAnsiTheme="minorHAnsi" w:cstheme="minorHAnsi"/>
          <w:szCs w:val="18"/>
        </w:rPr>
      </w:pPr>
    </w:p>
    <w:p w14:paraId="3E7528B5" w14:textId="77777777" w:rsidR="00AA7087" w:rsidRPr="009325D7" w:rsidRDefault="00AA7087" w:rsidP="000B3FF6">
      <w:pPr>
        <w:pStyle w:val="Texto"/>
        <w:numPr>
          <w:ilvl w:val="0"/>
          <w:numId w:val="27"/>
        </w:numPr>
        <w:spacing w:after="0" w:line="240" w:lineRule="exact"/>
        <w:rPr>
          <w:rFonts w:asciiTheme="minorHAnsi" w:hAnsiTheme="minorHAnsi" w:cstheme="minorHAnsi"/>
          <w:b/>
          <w:szCs w:val="18"/>
          <w:lang w:val="es-MX"/>
        </w:rPr>
      </w:pPr>
      <w:r w:rsidRPr="009325D7">
        <w:rPr>
          <w:rFonts w:asciiTheme="minorHAnsi" w:hAnsiTheme="minorHAnsi" w:cstheme="minorHAnsi"/>
          <w:b/>
          <w:szCs w:val="18"/>
          <w:lang w:val="es-MX"/>
        </w:rPr>
        <w:t xml:space="preserve">Políticas de Contabilidad Significativas </w:t>
      </w:r>
    </w:p>
    <w:p w14:paraId="2FA76BB7" w14:textId="77777777" w:rsidR="00AA7087" w:rsidRPr="005F45A3" w:rsidRDefault="00AA7087" w:rsidP="00AA7087">
      <w:pPr>
        <w:pStyle w:val="INCISO"/>
        <w:spacing w:after="0" w:line="240" w:lineRule="exact"/>
        <w:ind w:left="0" w:firstLine="0"/>
        <w:rPr>
          <w:rFonts w:asciiTheme="minorHAnsi" w:hAnsiTheme="minorHAnsi" w:cstheme="minorHAnsi"/>
          <w:sz w:val="20"/>
        </w:rPr>
      </w:pPr>
    </w:p>
    <w:p w14:paraId="44DC1BA7"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La Información Financiera del Gobierno del Estado no requirió de aplicar la metodología vigente para actualizarla, de tal forma que refleje la Inflación en la misma, toda vez que no se dieron los supuestos establecidos en la normatividad correspondiente para su </w:t>
      </w:r>
      <w:r w:rsidR="00004603" w:rsidRPr="005F45A3">
        <w:rPr>
          <w:rFonts w:asciiTheme="minorHAnsi" w:hAnsiTheme="minorHAnsi" w:cstheme="minorHAnsi"/>
        </w:rPr>
        <w:t>re expresión</w:t>
      </w:r>
      <w:r w:rsidRPr="005F45A3">
        <w:rPr>
          <w:rFonts w:asciiTheme="minorHAnsi" w:hAnsiTheme="minorHAnsi" w:cstheme="minorHAnsi"/>
        </w:rPr>
        <w:t xml:space="preserve"> obligatoria.</w:t>
      </w:r>
    </w:p>
    <w:p w14:paraId="4B1DBD25" w14:textId="77777777" w:rsidR="00AA7087" w:rsidRPr="005F45A3" w:rsidRDefault="00AA7087" w:rsidP="00AA7087">
      <w:pPr>
        <w:pStyle w:val="INCISO"/>
        <w:spacing w:after="0" w:line="240" w:lineRule="exact"/>
        <w:ind w:firstLine="0"/>
        <w:rPr>
          <w:rFonts w:asciiTheme="minorHAnsi" w:hAnsiTheme="minorHAnsi" w:cstheme="minorHAnsi"/>
        </w:rPr>
      </w:pPr>
    </w:p>
    <w:p w14:paraId="4EEE085C"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Durante el Ejercicio Fiscal que se informa no se realizaron operaciones en el extranjero que hubieren afectado la valuación y presentación de la Información Financiera del Ente.</w:t>
      </w:r>
    </w:p>
    <w:p w14:paraId="17463E0C"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Método de valuación de la inversión en acciones en el Sector Paraestatal. No Aplica</w:t>
      </w:r>
    </w:p>
    <w:p w14:paraId="79CA7953"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Sistema y método de valuación de inventarios. No Aplica</w:t>
      </w:r>
    </w:p>
    <w:p w14:paraId="679D680D" w14:textId="77777777" w:rsidR="00775DE0" w:rsidRPr="005F45A3" w:rsidRDefault="00775DE0" w:rsidP="00775DE0">
      <w:pPr>
        <w:pStyle w:val="INCISO"/>
        <w:spacing w:after="0" w:line="240" w:lineRule="exact"/>
        <w:ind w:left="720" w:firstLine="0"/>
        <w:rPr>
          <w:rFonts w:asciiTheme="minorHAnsi" w:hAnsiTheme="minorHAnsi" w:cstheme="minorHAnsi"/>
        </w:rPr>
      </w:pPr>
    </w:p>
    <w:p w14:paraId="1CADA127"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La Reserva Actuarial es formulada y calculada por el Instituto de Previsión y Seguridad Social del Estado de Tamaulipas (IPSSET) como Ente </w:t>
      </w:r>
      <w:proofErr w:type="spellStart"/>
      <w:r w:rsidRPr="005F45A3">
        <w:rPr>
          <w:rFonts w:asciiTheme="minorHAnsi" w:hAnsiTheme="minorHAnsi" w:cstheme="minorHAnsi"/>
        </w:rPr>
        <w:t>pensionador</w:t>
      </w:r>
      <w:proofErr w:type="spellEnd"/>
      <w:r w:rsidRPr="005F45A3">
        <w:rPr>
          <w:rFonts w:asciiTheme="minorHAnsi" w:hAnsiTheme="minorHAnsi" w:cstheme="minorHAnsi"/>
        </w:rPr>
        <w:t xml:space="preserve"> de los trabajadores de Gobierno del Estado.</w:t>
      </w:r>
    </w:p>
    <w:p w14:paraId="4C0C1442" w14:textId="77777777" w:rsidR="00AA7087" w:rsidRPr="005F45A3" w:rsidRDefault="00AA7087" w:rsidP="00AA7087">
      <w:pPr>
        <w:pStyle w:val="INCISO"/>
        <w:spacing w:after="0" w:line="240" w:lineRule="exact"/>
        <w:ind w:firstLine="0"/>
        <w:rPr>
          <w:rFonts w:asciiTheme="minorHAnsi" w:hAnsiTheme="minorHAnsi" w:cstheme="minorHAnsi"/>
        </w:rPr>
      </w:pPr>
    </w:p>
    <w:p w14:paraId="0671FF92"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Provisiones: objetivo de su creación, monto y plazo.</w:t>
      </w:r>
    </w:p>
    <w:p w14:paraId="5E66447A" w14:textId="3715B9FE" w:rsidR="00AA7087" w:rsidRPr="005F45A3" w:rsidRDefault="00AA7087" w:rsidP="002A6D06">
      <w:pPr>
        <w:pStyle w:val="INCISO"/>
        <w:spacing w:after="0" w:line="240" w:lineRule="exact"/>
        <w:ind w:left="720" w:firstLine="0"/>
        <w:rPr>
          <w:rFonts w:asciiTheme="minorHAnsi" w:hAnsiTheme="minorHAnsi" w:cstheme="minorHAnsi"/>
        </w:rPr>
      </w:pPr>
      <w:r w:rsidRPr="005F45A3">
        <w:rPr>
          <w:rFonts w:asciiTheme="minorHAnsi" w:hAnsiTheme="minorHAnsi" w:cstheme="minorHAnsi"/>
        </w:rPr>
        <w:t xml:space="preserve">El Gobierno del Estado no tiene creadas Provisiones al </w:t>
      </w:r>
      <w:r w:rsidR="00B54A4F">
        <w:rPr>
          <w:rFonts w:asciiTheme="minorHAnsi" w:hAnsiTheme="minorHAnsi" w:cstheme="minorHAnsi"/>
        </w:rPr>
        <w:t xml:space="preserve">31 de Diciembre </w:t>
      </w:r>
      <w:r w:rsidR="000A0FF4" w:rsidRPr="005F45A3">
        <w:rPr>
          <w:rFonts w:asciiTheme="minorHAnsi" w:hAnsiTheme="minorHAnsi" w:cstheme="minorHAnsi"/>
        </w:rPr>
        <w:t xml:space="preserve"> de 20</w:t>
      </w:r>
      <w:r w:rsidR="00277074" w:rsidRPr="005F45A3">
        <w:rPr>
          <w:rFonts w:asciiTheme="minorHAnsi" w:hAnsiTheme="minorHAnsi" w:cstheme="minorHAnsi"/>
        </w:rPr>
        <w:t>22</w:t>
      </w:r>
      <w:r w:rsidR="002A6D06" w:rsidRPr="005F45A3">
        <w:rPr>
          <w:rFonts w:asciiTheme="minorHAnsi" w:hAnsiTheme="minorHAnsi" w:cstheme="minorHAnsi"/>
        </w:rPr>
        <w:t>.</w:t>
      </w:r>
    </w:p>
    <w:p w14:paraId="145DDE41" w14:textId="77777777" w:rsidR="007B1A52" w:rsidRPr="005F45A3" w:rsidRDefault="007B1A52" w:rsidP="002A6D06">
      <w:pPr>
        <w:pStyle w:val="INCISO"/>
        <w:spacing w:after="0" w:line="240" w:lineRule="exact"/>
        <w:ind w:left="720" w:firstLine="0"/>
        <w:rPr>
          <w:rFonts w:asciiTheme="minorHAnsi" w:hAnsiTheme="minorHAnsi" w:cstheme="minorHAnsi"/>
        </w:rPr>
      </w:pPr>
    </w:p>
    <w:p w14:paraId="70242699"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Reservas: objetivo de su creación, monto y plazo.</w:t>
      </w:r>
    </w:p>
    <w:p w14:paraId="35E9A442" w14:textId="0ADCFE2C" w:rsidR="00AA7087" w:rsidRPr="005F45A3" w:rsidRDefault="00AA7087" w:rsidP="002A6D06">
      <w:pPr>
        <w:pStyle w:val="INCISO"/>
        <w:spacing w:after="0" w:line="240" w:lineRule="exact"/>
        <w:ind w:left="720" w:firstLine="0"/>
        <w:rPr>
          <w:rFonts w:asciiTheme="minorHAnsi" w:hAnsiTheme="minorHAnsi" w:cstheme="minorHAnsi"/>
        </w:rPr>
      </w:pPr>
      <w:r w:rsidRPr="005F45A3">
        <w:rPr>
          <w:rFonts w:asciiTheme="minorHAnsi" w:hAnsiTheme="minorHAnsi" w:cstheme="minorHAnsi"/>
        </w:rPr>
        <w:t xml:space="preserve">El Gobierno del Estado no tiene creadas Reservas al </w:t>
      </w:r>
      <w:r w:rsidR="00B54A4F">
        <w:rPr>
          <w:rFonts w:asciiTheme="minorHAnsi" w:hAnsiTheme="minorHAnsi" w:cstheme="minorHAnsi"/>
        </w:rPr>
        <w:t xml:space="preserve">31 de Diciembre </w:t>
      </w:r>
      <w:r w:rsidR="00277074" w:rsidRPr="005F45A3">
        <w:rPr>
          <w:rFonts w:asciiTheme="minorHAnsi" w:hAnsiTheme="minorHAnsi" w:cstheme="minorHAnsi"/>
        </w:rPr>
        <w:t xml:space="preserve"> de</w:t>
      </w:r>
      <w:r w:rsidR="000A0FF4" w:rsidRPr="005F45A3">
        <w:rPr>
          <w:rFonts w:asciiTheme="minorHAnsi" w:hAnsiTheme="minorHAnsi" w:cstheme="minorHAnsi"/>
        </w:rPr>
        <w:t xml:space="preserve"> 20</w:t>
      </w:r>
      <w:r w:rsidR="00277074" w:rsidRPr="005F45A3">
        <w:rPr>
          <w:rFonts w:asciiTheme="minorHAnsi" w:hAnsiTheme="minorHAnsi" w:cstheme="minorHAnsi"/>
        </w:rPr>
        <w:t>22</w:t>
      </w:r>
      <w:r w:rsidR="002A6D06" w:rsidRPr="005F45A3">
        <w:rPr>
          <w:rFonts w:asciiTheme="minorHAnsi" w:hAnsiTheme="minorHAnsi" w:cstheme="minorHAnsi"/>
        </w:rPr>
        <w:t>.</w:t>
      </w:r>
    </w:p>
    <w:p w14:paraId="5F4F485F" w14:textId="77777777" w:rsidR="007B1A52" w:rsidRPr="005F45A3" w:rsidRDefault="007B1A52" w:rsidP="002A6D06">
      <w:pPr>
        <w:pStyle w:val="INCISO"/>
        <w:spacing w:after="0" w:line="240" w:lineRule="exact"/>
        <w:ind w:left="720" w:firstLine="0"/>
        <w:rPr>
          <w:rFonts w:asciiTheme="minorHAnsi" w:hAnsiTheme="minorHAnsi" w:cstheme="minorHAnsi"/>
        </w:rPr>
      </w:pPr>
    </w:p>
    <w:p w14:paraId="7F9860E4" w14:textId="5BFFD059" w:rsidR="00D81B10" w:rsidRPr="005F45A3" w:rsidRDefault="00FB1EBF" w:rsidP="003B2245">
      <w:pPr>
        <w:pStyle w:val="INCISO"/>
        <w:numPr>
          <w:ilvl w:val="0"/>
          <w:numId w:val="3"/>
        </w:numPr>
        <w:spacing w:after="0" w:line="240" w:lineRule="exact"/>
        <w:rPr>
          <w:rFonts w:asciiTheme="minorHAnsi" w:hAnsiTheme="minorHAnsi" w:cstheme="minorHAnsi"/>
          <w:szCs w:val="20"/>
        </w:rPr>
      </w:pPr>
      <w:r w:rsidRPr="005F45A3">
        <w:rPr>
          <w:rFonts w:asciiTheme="minorHAnsi" w:hAnsiTheme="minorHAnsi" w:cstheme="minorHAnsi"/>
        </w:rPr>
        <w:t xml:space="preserve">Se </w:t>
      </w:r>
      <w:r w:rsidR="0093065C" w:rsidRPr="005F45A3">
        <w:rPr>
          <w:rFonts w:asciiTheme="minorHAnsi" w:hAnsiTheme="minorHAnsi" w:cstheme="minorHAnsi"/>
        </w:rPr>
        <w:t>continúa</w:t>
      </w:r>
      <w:r w:rsidR="00D81B10" w:rsidRPr="005F45A3">
        <w:rPr>
          <w:rFonts w:asciiTheme="minorHAnsi" w:hAnsiTheme="minorHAnsi" w:cstheme="minorHAnsi"/>
        </w:rPr>
        <w:t xml:space="preserve"> registrando los movimientos de la Contraloría del recurso del 5 al millar, dicho registro se realizó con base a la información de ingreso-gasto, realizando todas la</w:t>
      </w:r>
      <w:r w:rsidR="00295AC0">
        <w:rPr>
          <w:rFonts w:asciiTheme="minorHAnsi" w:hAnsiTheme="minorHAnsi" w:cstheme="minorHAnsi"/>
        </w:rPr>
        <w:t>s</w:t>
      </w:r>
      <w:r w:rsidR="00D81B10" w:rsidRPr="005F45A3">
        <w:rPr>
          <w:rFonts w:asciiTheme="minorHAnsi" w:hAnsiTheme="minorHAnsi" w:cstheme="minorHAnsi"/>
        </w:rPr>
        <w:t xml:space="preserve"> afectaciones en nuestra contabilidad en forma directa para la obtención del resultado del ejercicio, aplicando los criterios de la Ley General de Contabilidad Gubernamental así como los acuerdos emitidos por el </w:t>
      </w:r>
      <w:r w:rsidR="00277074" w:rsidRPr="005F45A3">
        <w:rPr>
          <w:rFonts w:asciiTheme="minorHAnsi" w:hAnsiTheme="minorHAnsi" w:cstheme="minorHAnsi"/>
        </w:rPr>
        <w:t>Consejo Nacional</w:t>
      </w:r>
      <w:r w:rsidR="00D81B10" w:rsidRPr="005F45A3">
        <w:rPr>
          <w:rFonts w:asciiTheme="minorHAnsi" w:hAnsiTheme="minorHAnsi" w:cstheme="minorHAnsi"/>
        </w:rPr>
        <w:t xml:space="preserve"> de Armonización Contable.</w:t>
      </w:r>
    </w:p>
    <w:p w14:paraId="13C9F8C0" w14:textId="77777777" w:rsidR="00D81B10" w:rsidRPr="005F45A3" w:rsidRDefault="00D81B10" w:rsidP="00D81B10">
      <w:pPr>
        <w:pStyle w:val="INCISO"/>
        <w:spacing w:after="0" w:line="240" w:lineRule="exact"/>
        <w:ind w:left="720" w:firstLine="0"/>
        <w:rPr>
          <w:rFonts w:asciiTheme="minorHAnsi" w:hAnsiTheme="minorHAnsi" w:cstheme="minorHAnsi"/>
          <w:szCs w:val="20"/>
        </w:rPr>
      </w:pPr>
    </w:p>
    <w:p w14:paraId="4658A335" w14:textId="77777777" w:rsidR="00AA7087" w:rsidRPr="005F45A3" w:rsidRDefault="00AA7087" w:rsidP="00FD47EF">
      <w:pPr>
        <w:pStyle w:val="INCISO"/>
        <w:numPr>
          <w:ilvl w:val="0"/>
          <w:numId w:val="3"/>
        </w:numPr>
        <w:spacing w:after="0" w:line="240" w:lineRule="exact"/>
        <w:rPr>
          <w:rFonts w:asciiTheme="minorHAnsi" w:hAnsiTheme="minorHAnsi" w:cstheme="minorHAnsi"/>
        </w:rPr>
      </w:pPr>
      <w:r w:rsidRPr="005F45A3">
        <w:rPr>
          <w:rFonts w:asciiTheme="minorHAnsi" w:hAnsiTheme="minorHAnsi" w:cstheme="minorHAnsi"/>
        </w:rPr>
        <w:t xml:space="preserve">Reclasificaciones: </w:t>
      </w:r>
      <w:r w:rsidR="00D73B87" w:rsidRPr="005F45A3">
        <w:rPr>
          <w:rFonts w:asciiTheme="minorHAnsi" w:hAnsiTheme="minorHAnsi" w:cstheme="minorHAnsi"/>
        </w:rPr>
        <w:t xml:space="preserve"> </w:t>
      </w:r>
    </w:p>
    <w:p w14:paraId="517A10B4" w14:textId="77777777" w:rsidR="00AA7087" w:rsidRPr="005F45A3" w:rsidRDefault="00AA7087" w:rsidP="00A81AD3">
      <w:pPr>
        <w:pStyle w:val="INCISO"/>
        <w:spacing w:after="0" w:line="240" w:lineRule="exact"/>
        <w:ind w:left="720" w:firstLine="0"/>
        <w:rPr>
          <w:rFonts w:asciiTheme="minorHAnsi" w:hAnsiTheme="minorHAnsi" w:cstheme="minorHAnsi"/>
          <w:szCs w:val="20"/>
          <w:highlight w:val="yellow"/>
        </w:rPr>
      </w:pPr>
      <w:r w:rsidRPr="005F45A3">
        <w:rPr>
          <w:rFonts w:asciiTheme="minorHAnsi" w:hAnsiTheme="minorHAnsi" w:cstheme="minorHAnsi"/>
          <w:szCs w:val="20"/>
        </w:rPr>
        <w:t>Las Reclasificaciones realizadas durante el Ejercicio obedecen a las necesidades de operación del Ente, y se reflejan en los Registros Contables y Presupuestarios correspondientes.</w:t>
      </w:r>
    </w:p>
    <w:p w14:paraId="52DFAB2C" w14:textId="77777777" w:rsidR="00AA7087" w:rsidRPr="005F45A3" w:rsidRDefault="00AA7087" w:rsidP="00AA7087">
      <w:pPr>
        <w:pStyle w:val="INCISO"/>
        <w:spacing w:after="0" w:line="240" w:lineRule="exact"/>
        <w:ind w:firstLine="0"/>
        <w:rPr>
          <w:rFonts w:asciiTheme="minorHAnsi" w:hAnsiTheme="minorHAnsi" w:cstheme="minorHAnsi"/>
          <w:szCs w:val="20"/>
          <w:highlight w:val="yellow"/>
        </w:rPr>
      </w:pPr>
    </w:p>
    <w:p w14:paraId="69B69265" w14:textId="5D4C1652" w:rsidR="00AA7087" w:rsidRDefault="00AA7087" w:rsidP="00FD47EF">
      <w:pPr>
        <w:pStyle w:val="INCISO"/>
        <w:numPr>
          <w:ilvl w:val="0"/>
          <w:numId w:val="3"/>
        </w:numPr>
        <w:spacing w:after="0" w:line="240" w:lineRule="exact"/>
        <w:rPr>
          <w:rFonts w:asciiTheme="minorHAnsi" w:hAnsiTheme="minorHAnsi" w:cstheme="minorHAnsi"/>
          <w:szCs w:val="20"/>
        </w:rPr>
      </w:pPr>
      <w:r w:rsidRPr="005F45A3">
        <w:rPr>
          <w:rFonts w:asciiTheme="minorHAnsi" w:hAnsiTheme="minorHAnsi" w:cstheme="minorHAnsi"/>
          <w:szCs w:val="20"/>
        </w:rPr>
        <w:t>Depuración y Cancelación de Saldos.  A partir de la utilización de Plataforma Única en forma constante se realiza la Conciliación y Depuración de Saldos en el sistema debido a los registros erróneos, duplicados e inconclusos propios de la operación.</w:t>
      </w:r>
    </w:p>
    <w:p w14:paraId="4B012D3E" w14:textId="4534DB81" w:rsidR="0093065C" w:rsidRDefault="0093065C" w:rsidP="0093065C">
      <w:pPr>
        <w:pStyle w:val="INCISO"/>
        <w:spacing w:after="0" w:line="240" w:lineRule="exact"/>
        <w:ind w:left="720" w:firstLine="0"/>
        <w:rPr>
          <w:rFonts w:asciiTheme="minorHAnsi" w:hAnsiTheme="minorHAnsi" w:cstheme="minorHAnsi"/>
          <w:szCs w:val="20"/>
        </w:rPr>
      </w:pPr>
    </w:p>
    <w:p w14:paraId="17D5B46A" w14:textId="77777777" w:rsidR="0033058C" w:rsidRPr="005F45A3" w:rsidRDefault="0033058C" w:rsidP="0093065C">
      <w:pPr>
        <w:pStyle w:val="INCISO"/>
        <w:spacing w:after="0" w:line="240" w:lineRule="exact"/>
        <w:ind w:left="720" w:firstLine="0"/>
        <w:rPr>
          <w:rFonts w:asciiTheme="minorHAnsi" w:hAnsiTheme="minorHAnsi" w:cstheme="minorHAnsi"/>
          <w:szCs w:val="20"/>
        </w:rPr>
      </w:pPr>
    </w:p>
    <w:p w14:paraId="1C1B1D9C" w14:textId="77777777" w:rsidR="00AA7087" w:rsidRPr="009325D7" w:rsidRDefault="00AA7087" w:rsidP="000B3FF6">
      <w:pPr>
        <w:pStyle w:val="Texto"/>
        <w:numPr>
          <w:ilvl w:val="0"/>
          <w:numId w:val="27"/>
        </w:numPr>
        <w:spacing w:after="0" w:line="240" w:lineRule="exact"/>
        <w:rPr>
          <w:rFonts w:asciiTheme="minorHAnsi" w:hAnsiTheme="minorHAnsi" w:cstheme="minorHAnsi"/>
          <w:b/>
          <w:lang w:val="es-MX"/>
        </w:rPr>
      </w:pPr>
      <w:r w:rsidRPr="009325D7">
        <w:rPr>
          <w:rFonts w:asciiTheme="minorHAnsi" w:hAnsiTheme="minorHAnsi" w:cstheme="minorHAnsi"/>
          <w:b/>
          <w:lang w:val="es-MX"/>
        </w:rPr>
        <w:t>Posición en Moneda Extranjera y Protección por Riesgo Cambiario</w:t>
      </w:r>
    </w:p>
    <w:p w14:paraId="574BB93F" w14:textId="77777777" w:rsidR="00AA7087" w:rsidRPr="005F45A3" w:rsidRDefault="00AA7087" w:rsidP="00AA7087">
      <w:pPr>
        <w:pStyle w:val="Texto"/>
        <w:spacing w:after="0" w:line="240" w:lineRule="exact"/>
        <w:ind w:left="360" w:firstLine="0"/>
        <w:rPr>
          <w:rFonts w:asciiTheme="minorHAnsi" w:hAnsiTheme="minorHAnsi" w:cstheme="minorHAnsi"/>
          <w:b/>
          <w:sz w:val="20"/>
          <w:lang w:val="es-MX"/>
        </w:rPr>
      </w:pPr>
    </w:p>
    <w:p w14:paraId="0F0E7BFC" w14:textId="6F6B3F12"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Activos en moneda extranjera</w:t>
      </w:r>
      <w:proofErr w:type="gramStart"/>
      <w:r w:rsidRPr="005F45A3">
        <w:rPr>
          <w:rFonts w:asciiTheme="minorHAnsi" w:hAnsiTheme="minorHAnsi" w:cstheme="minorHAnsi"/>
          <w:szCs w:val="20"/>
        </w:rPr>
        <w:t>:</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Pr="009325D7">
        <w:rPr>
          <w:rFonts w:asciiTheme="minorHAnsi" w:hAnsiTheme="minorHAnsi" w:cstheme="minorHAnsi"/>
          <w:b/>
          <w:szCs w:val="20"/>
        </w:rPr>
        <w:t>NO</w:t>
      </w:r>
      <w:proofErr w:type="gramEnd"/>
      <w:r w:rsidRPr="009325D7">
        <w:rPr>
          <w:rFonts w:asciiTheme="minorHAnsi" w:hAnsiTheme="minorHAnsi" w:cstheme="minorHAnsi"/>
          <w:b/>
          <w:szCs w:val="20"/>
        </w:rPr>
        <w:t xml:space="preserve"> APLICA.</w:t>
      </w:r>
    </w:p>
    <w:p w14:paraId="39B71AB6" w14:textId="005F8303"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Pasivos en moneda extranjera</w:t>
      </w:r>
      <w:proofErr w:type="gramStart"/>
      <w:r w:rsidRPr="005F45A3">
        <w:rPr>
          <w:rFonts w:asciiTheme="minorHAnsi" w:hAnsiTheme="minorHAnsi" w:cstheme="minorHAnsi"/>
          <w:szCs w:val="20"/>
        </w:rPr>
        <w:t>:</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Pr="009325D7">
        <w:rPr>
          <w:rFonts w:asciiTheme="minorHAnsi" w:hAnsiTheme="minorHAnsi" w:cstheme="minorHAnsi"/>
          <w:b/>
          <w:szCs w:val="20"/>
        </w:rPr>
        <w:t>NO</w:t>
      </w:r>
      <w:proofErr w:type="gramEnd"/>
      <w:r w:rsidRPr="009325D7">
        <w:rPr>
          <w:rFonts w:asciiTheme="minorHAnsi" w:hAnsiTheme="minorHAnsi" w:cstheme="minorHAnsi"/>
          <w:b/>
          <w:szCs w:val="20"/>
        </w:rPr>
        <w:t xml:space="preserve"> APLICA.</w:t>
      </w:r>
    </w:p>
    <w:p w14:paraId="40887961" w14:textId="6B31CC19"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lastRenderedPageBreak/>
        <w:t>Posición en moneda extranjera</w:t>
      </w:r>
      <w:proofErr w:type="gramStart"/>
      <w:r w:rsidRPr="005F45A3">
        <w:rPr>
          <w:rFonts w:asciiTheme="minorHAnsi" w:hAnsiTheme="minorHAnsi" w:cstheme="minorHAnsi"/>
          <w:szCs w:val="20"/>
        </w:rPr>
        <w:t>:</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Pr="009325D7">
        <w:rPr>
          <w:rFonts w:asciiTheme="minorHAnsi" w:hAnsiTheme="minorHAnsi" w:cstheme="minorHAnsi"/>
          <w:b/>
          <w:szCs w:val="20"/>
        </w:rPr>
        <w:t>NO</w:t>
      </w:r>
      <w:proofErr w:type="gramEnd"/>
      <w:r w:rsidRPr="009325D7">
        <w:rPr>
          <w:rFonts w:asciiTheme="minorHAnsi" w:hAnsiTheme="minorHAnsi" w:cstheme="minorHAnsi"/>
          <w:b/>
          <w:szCs w:val="20"/>
        </w:rPr>
        <w:t xml:space="preserve"> APLICA.</w:t>
      </w:r>
    </w:p>
    <w:p w14:paraId="4EA56018" w14:textId="56BEE603" w:rsidR="00AA7087" w:rsidRPr="005F45A3"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Tipo de cambio</w:t>
      </w:r>
      <w:proofErr w:type="gramStart"/>
      <w:r w:rsidRPr="005F45A3">
        <w:rPr>
          <w:rFonts w:asciiTheme="minorHAnsi" w:hAnsiTheme="minorHAnsi" w:cstheme="minorHAnsi"/>
          <w:szCs w:val="20"/>
        </w:rPr>
        <w:t xml:space="preserve">: </w:t>
      </w:r>
      <w:r w:rsidR="009325D7">
        <w:rPr>
          <w:rFonts w:asciiTheme="minorHAnsi" w:hAnsiTheme="minorHAnsi" w:cstheme="minorHAnsi"/>
          <w:szCs w:val="20"/>
        </w:rPr>
        <w:t xml:space="preserve"> </w:t>
      </w:r>
      <w:r w:rsidRPr="009325D7">
        <w:rPr>
          <w:rFonts w:asciiTheme="minorHAnsi" w:hAnsiTheme="minorHAnsi" w:cstheme="minorHAnsi"/>
          <w:b/>
          <w:szCs w:val="20"/>
        </w:rPr>
        <w:t>NO</w:t>
      </w:r>
      <w:proofErr w:type="gramEnd"/>
      <w:r w:rsidRPr="009325D7">
        <w:rPr>
          <w:rFonts w:asciiTheme="minorHAnsi" w:hAnsiTheme="minorHAnsi" w:cstheme="minorHAnsi"/>
          <w:b/>
          <w:szCs w:val="20"/>
        </w:rPr>
        <w:t xml:space="preserve"> APLICA.</w:t>
      </w:r>
    </w:p>
    <w:p w14:paraId="39645B1A" w14:textId="0E61BDE6" w:rsidR="007B1A52" w:rsidRDefault="00AA7087" w:rsidP="0094547F">
      <w:pPr>
        <w:pStyle w:val="INCISO"/>
        <w:numPr>
          <w:ilvl w:val="0"/>
          <w:numId w:val="11"/>
        </w:numPr>
        <w:spacing w:after="0" w:line="360" w:lineRule="auto"/>
        <w:ind w:left="714" w:hanging="357"/>
        <w:rPr>
          <w:rFonts w:asciiTheme="minorHAnsi" w:hAnsiTheme="minorHAnsi" w:cstheme="minorHAnsi"/>
          <w:szCs w:val="20"/>
        </w:rPr>
      </w:pPr>
      <w:r w:rsidRPr="005F45A3">
        <w:rPr>
          <w:rFonts w:asciiTheme="minorHAnsi" w:hAnsiTheme="minorHAnsi" w:cstheme="minorHAnsi"/>
          <w:szCs w:val="20"/>
        </w:rPr>
        <w:t>Equivalente en moneda nacional</w:t>
      </w:r>
      <w:proofErr w:type="gramStart"/>
      <w:r w:rsidRPr="005F45A3">
        <w:rPr>
          <w:rFonts w:asciiTheme="minorHAnsi" w:hAnsiTheme="minorHAnsi" w:cstheme="minorHAnsi"/>
          <w:szCs w:val="20"/>
        </w:rPr>
        <w:t>:</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Pr="009325D7">
        <w:rPr>
          <w:rFonts w:asciiTheme="minorHAnsi" w:hAnsiTheme="minorHAnsi" w:cstheme="minorHAnsi"/>
          <w:b/>
          <w:szCs w:val="20"/>
        </w:rPr>
        <w:t>NO</w:t>
      </w:r>
      <w:proofErr w:type="gramEnd"/>
      <w:r w:rsidRPr="009325D7">
        <w:rPr>
          <w:rFonts w:asciiTheme="minorHAnsi" w:hAnsiTheme="minorHAnsi" w:cstheme="minorHAnsi"/>
          <w:b/>
          <w:szCs w:val="20"/>
        </w:rPr>
        <w:t xml:space="preserve"> APLICA</w:t>
      </w:r>
      <w:r w:rsidR="009325D7">
        <w:rPr>
          <w:rFonts w:asciiTheme="minorHAnsi" w:hAnsiTheme="minorHAnsi" w:cstheme="minorHAnsi"/>
          <w:b/>
          <w:szCs w:val="20"/>
        </w:rPr>
        <w:t>.</w:t>
      </w:r>
    </w:p>
    <w:p w14:paraId="3AC3D5F7" w14:textId="05F429E5" w:rsidR="00295AC0" w:rsidRDefault="00295AC0" w:rsidP="00295AC0">
      <w:pPr>
        <w:pStyle w:val="INCISO"/>
        <w:spacing w:after="0" w:line="360" w:lineRule="auto"/>
        <w:rPr>
          <w:rFonts w:asciiTheme="minorHAnsi" w:hAnsiTheme="minorHAnsi" w:cstheme="minorHAnsi"/>
          <w:szCs w:val="20"/>
        </w:rPr>
      </w:pPr>
    </w:p>
    <w:p w14:paraId="759919AF" w14:textId="77777777" w:rsidR="00AA7087" w:rsidRPr="009325D7" w:rsidRDefault="00AA7087" w:rsidP="000B3FF6">
      <w:pPr>
        <w:pStyle w:val="Texto"/>
        <w:numPr>
          <w:ilvl w:val="0"/>
          <w:numId w:val="27"/>
        </w:numPr>
        <w:spacing w:after="0" w:line="240" w:lineRule="exact"/>
        <w:rPr>
          <w:rFonts w:asciiTheme="minorHAnsi" w:hAnsiTheme="minorHAnsi" w:cstheme="minorHAnsi"/>
          <w:b/>
          <w:szCs w:val="18"/>
          <w:lang w:val="es-MX"/>
        </w:rPr>
      </w:pPr>
      <w:r w:rsidRPr="009325D7">
        <w:rPr>
          <w:rFonts w:asciiTheme="minorHAnsi" w:hAnsiTheme="minorHAnsi" w:cstheme="minorHAnsi"/>
          <w:b/>
          <w:szCs w:val="18"/>
          <w:lang w:val="es-MX"/>
        </w:rPr>
        <w:t>Reporte Analítico del Activo</w:t>
      </w:r>
    </w:p>
    <w:p w14:paraId="0D7B4783" w14:textId="77777777" w:rsidR="007563EB" w:rsidRPr="005F45A3" w:rsidRDefault="007563EB" w:rsidP="007563EB">
      <w:pPr>
        <w:pStyle w:val="Texto"/>
        <w:spacing w:after="0" w:line="240" w:lineRule="exact"/>
        <w:ind w:left="360" w:firstLine="0"/>
        <w:rPr>
          <w:rFonts w:asciiTheme="minorHAnsi" w:hAnsiTheme="minorHAnsi" w:cstheme="minorHAnsi"/>
          <w:b/>
          <w:szCs w:val="18"/>
          <w:lang w:val="es-MX"/>
        </w:rPr>
      </w:pPr>
    </w:p>
    <w:p w14:paraId="4D7326A9" w14:textId="77777777" w:rsidR="00AA7087" w:rsidRPr="005F45A3" w:rsidRDefault="00AA7087" w:rsidP="00D57E69">
      <w:pPr>
        <w:pStyle w:val="INCISO"/>
        <w:numPr>
          <w:ilvl w:val="0"/>
          <w:numId w:val="19"/>
        </w:numPr>
        <w:spacing w:after="0" w:line="240" w:lineRule="exact"/>
        <w:rPr>
          <w:rFonts w:asciiTheme="minorHAnsi" w:hAnsiTheme="minorHAnsi" w:cstheme="minorHAnsi"/>
        </w:rPr>
      </w:pPr>
      <w:r w:rsidRPr="005F45A3">
        <w:rPr>
          <w:rFonts w:asciiTheme="minorHAnsi" w:hAnsiTheme="minorHAnsi" w:cstheme="minorHAnsi"/>
        </w:rPr>
        <w:t>Vida útil o porcentajes de Depreciación, Deterioro o Amortización utilizados en los diferentes tipos de Activos.</w:t>
      </w:r>
    </w:p>
    <w:p w14:paraId="559EF277" w14:textId="77777777" w:rsidR="00CB7DAA" w:rsidRPr="005F45A3" w:rsidRDefault="00CB7DAA" w:rsidP="00CB7DAA">
      <w:pPr>
        <w:pStyle w:val="INCISO"/>
        <w:spacing w:after="0" w:line="240" w:lineRule="exact"/>
        <w:rPr>
          <w:rFonts w:asciiTheme="minorHAnsi" w:hAnsiTheme="minorHAnsi" w:cstheme="minorHAnsi"/>
        </w:rPr>
      </w:pPr>
    </w:p>
    <w:tbl>
      <w:tblPr>
        <w:tblW w:w="9440" w:type="dxa"/>
        <w:tblCellMar>
          <w:left w:w="70" w:type="dxa"/>
          <w:right w:w="70" w:type="dxa"/>
        </w:tblCellMar>
        <w:tblLook w:val="04A0" w:firstRow="1" w:lastRow="0" w:firstColumn="1" w:lastColumn="0" w:noHBand="0" w:noVBand="1"/>
      </w:tblPr>
      <w:tblGrid>
        <w:gridCol w:w="740"/>
        <w:gridCol w:w="3220"/>
        <w:gridCol w:w="1140"/>
        <w:gridCol w:w="920"/>
        <w:gridCol w:w="1180"/>
        <w:gridCol w:w="1020"/>
        <w:gridCol w:w="1220"/>
      </w:tblGrid>
      <w:tr w:rsidR="00F37BEB" w:rsidRPr="00295AC0" w14:paraId="4BE8AC67" w14:textId="77777777" w:rsidTr="00F37BEB">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5E601258"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26AC9635" w14:textId="77777777" w:rsidR="00526EC3" w:rsidRPr="00295AC0" w:rsidRDefault="00526EC3" w:rsidP="00526EC3">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460B39BC" w14:textId="70CAF055" w:rsidR="00526EC3" w:rsidRPr="00295AC0" w:rsidRDefault="0093065C"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w:t>
            </w:r>
            <w:r w:rsidR="00526EC3" w:rsidRPr="00295AC0">
              <w:rPr>
                <w:rFonts w:asciiTheme="minorHAnsi" w:eastAsia="Times New Roman" w:hAnsiTheme="minorHAnsi" w:cstheme="minorHAnsi"/>
                <w:b/>
                <w:bCs/>
                <w:color w:val="FFFFFF" w:themeColor="background1"/>
                <w:sz w:val="14"/>
                <w:szCs w:val="14"/>
                <w:lang w:eastAsia="es-MX"/>
              </w:rPr>
              <w:t xml:space="preserve"> DE </w:t>
            </w:r>
            <w:r w:rsidRPr="00295AC0">
              <w:rPr>
                <w:rFonts w:asciiTheme="minorHAnsi" w:eastAsia="Times New Roman" w:hAnsiTheme="minorHAnsi" w:cstheme="minorHAnsi"/>
                <w:b/>
                <w:bCs/>
                <w:color w:val="FFFFFF" w:themeColor="background1"/>
                <w:sz w:val="14"/>
                <w:szCs w:val="14"/>
                <w:lang w:eastAsia="es-MX"/>
              </w:rPr>
              <w:t>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37B2A9E7"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5C2CDD21"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402C2F81"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7A272CA5" w14:textId="77777777" w:rsidR="00526EC3" w:rsidRPr="00295AC0" w:rsidRDefault="00526EC3" w:rsidP="00526EC3">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526EC3" w:rsidRPr="005F45A3" w14:paraId="3ED484E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2ACC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3100</w:t>
            </w:r>
          </w:p>
        </w:tc>
        <w:tc>
          <w:tcPr>
            <w:tcW w:w="3220" w:type="dxa"/>
            <w:tcBorders>
              <w:top w:val="nil"/>
              <w:left w:val="nil"/>
              <w:bottom w:val="single" w:sz="4" w:space="0" w:color="auto"/>
              <w:right w:val="single" w:sz="4" w:space="0" w:color="auto"/>
            </w:tcBorders>
            <w:shd w:val="clear" w:color="000000" w:fill="FFFFFF"/>
            <w:noWrap/>
            <w:vAlign w:val="center"/>
            <w:hideMark/>
          </w:tcPr>
          <w:p w14:paraId="5CE0FB0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Terrenos</w:t>
            </w:r>
          </w:p>
        </w:tc>
        <w:tc>
          <w:tcPr>
            <w:tcW w:w="1140" w:type="dxa"/>
            <w:tcBorders>
              <w:top w:val="nil"/>
              <w:left w:val="nil"/>
              <w:bottom w:val="single" w:sz="4" w:space="0" w:color="auto"/>
              <w:right w:val="single" w:sz="4" w:space="0" w:color="auto"/>
            </w:tcBorders>
            <w:shd w:val="clear" w:color="000000" w:fill="FFFFFF"/>
            <w:noWrap/>
            <w:vAlign w:val="center"/>
            <w:hideMark/>
          </w:tcPr>
          <w:p w14:paraId="3E0A61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F58D8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E689E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A090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0DB79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1773C2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FB4C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3200</w:t>
            </w:r>
          </w:p>
        </w:tc>
        <w:tc>
          <w:tcPr>
            <w:tcW w:w="3220" w:type="dxa"/>
            <w:tcBorders>
              <w:top w:val="nil"/>
              <w:left w:val="nil"/>
              <w:bottom w:val="single" w:sz="4" w:space="0" w:color="auto"/>
              <w:right w:val="single" w:sz="4" w:space="0" w:color="auto"/>
            </w:tcBorders>
            <w:shd w:val="clear" w:color="000000" w:fill="FFFFFF"/>
            <w:noWrap/>
            <w:vAlign w:val="center"/>
            <w:hideMark/>
          </w:tcPr>
          <w:p w14:paraId="38BBB8B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Vivienda</w:t>
            </w:r>
          </w:p>
        </w:tc>
        <w:tc>
          <w:tcPr>
            <w:tcW w:w="1140" w:type="dxa"/>
            <w:tcBorders>
              <w:top w:val="nil"/>
              <w:left w:val="nil"/>
              <w:bottom w:val="single" w:sz="4" w:space="0" w:color="auto"/>
              <w:right w:val="single" w:sz="4" w:space="0" w:color="auto"/>
            </w:tcBorders>
            <w:shd w:val="clear" w:color="000000" w:fill="FFFFFF"/>
            <w:noWrap/>
            <w:vAlign w:val="center"/>
            <w:hideMark/>
          </w:tcPr>
          <w:p w14:paraId="14A923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7C232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50</w:t>
            </w:r>
          </w:p>
        </w:tc>
        <w:tc>
          <w:tcPr>
            <w:tcW w:w="1180" w:type="dxa"/>
            <w:tcBorders>
              <w:top w:val="nil"/>
              <w:left w:val="nil"/>
              <w:bottom w:val="single" w:sz="4" w:space="0" w:color="auto"/>
              <w:right w:val="single" w:sz="4" w:space="0" w:color="auto"/>
            </w:tcBorders>
            <w:shd w:val="clear" w:color="000000" w:fill="FFFFFF"/>
            <w:noWrap/>
            <w:vAlign w:val="center"/>
            <w:hideMark/>
          </w:tcPr>
          <w:p w14:paraId="30160B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8BCFC5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w:t>
            </w:r>
          </w:p>
        </w:tc>
        <w:tc>
          <w:tcPr>
            <w:tcW w:w="1220" w:type="dxa"/>
            <w:tcBorders>
              <w:top w:val="nil"/>
              <w:left w:val="nil"/>
              <w:bottom w:val="single" w:sz="4" w:space="0" w:color="auto"/>
              <w:right w:val="single" w:sz="4" w:space="0" w:color="auto"/>
            </w:tcBorders>
            <w:shd w:val="clear" w:color="000000" w:fill="FFFFFF"/>
            <w:noWrap/>
            <w:vAlign w:val="bottom"/>
            <w:hideMark/>
          </w:tcPr>
          <w:p w14:paraId="65296E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0.17</w:t>
            </w:r>
          </w:p>
        </w:tc>
      </w:tr>
      <w:tr w:rsidR="00526EC3" w:rsidRPr="005F45A3" w14:paraId="764CA46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4B99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3310</w:t>
            </w:r>
          </w:p>
        </w:tc>
        <w:tc>
          <w:tcPr>
            <w:tcW w:w="3220" w:type="dxa"/>
            <w:tcBorders>
              <w:top w:val="nil"/>
              <w:left w:val="nil"/>
              <w:bottom w:val="single" w:sz="4" w:space="0" w:color="auto"/>
              <w:right w:val="single" w:sz="4" w:space="0" w:color="auto"/>
            </w:tcBorders>
            <w:shd w:val="clear" w:color="000000" w:fill="FFFFFF"/>
            <w:noWrap/>
            <w:vAlign w:val="center"/>
            <w:hideMark/>
          </w:tcPr>
          <w:p w14:paraId="2D3E759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 No Habitacionales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5031BE5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5F774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2C6ED1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25BA0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001665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5938530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4C7E2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3320</w:t>
            </w:r>
          </w:p>
        </w:tc>
        <w:tc>
          <w:tcPr>
            <w:tcW w:w="3220" w:type="dxa"/>
            <w:tcBorders>
              <w:top w:val="nil"/>
              <w:left w:val="nil"/>
              <w:bottom w:val="single" w:sz="4" w:space="0" w:color="auto"/>
              <w:right w:val="single" w:sz="4" w:space="0" w:color="auto"/>
            </w:tcBorders>
            <w:shd w:val="clear" w:color="000000" w:fill="FFFFFF"/>
            <w:noWrap/>
            <w:vAlign w:val="center"/>
            <w:hideMark/>
          </w:tcPr>
          <w:p w14:paraId="128F96C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Edificios</w:t>
            </w:r>
          </w:p>
        </w:tc>
        <w:tc>
          <w:tcPr>
            <w:tcW w:w="1140" w:type="dxa"/>
            <w:tcBorders>
              <w:top w:val="nil"/>
              <w:left w:val="nil"/>
              <w:bottom w:val="single" w:sz="4" w:space="0" w:color="auto"/>
              <w:right w:val="single" w:sz="4" w:space="0" w:color="auto"/>
            </w:tcBorders>
            <w:shd w:val="clear" w:color="000000" w:fill="FFFFFF"/>
            <w:noWrap/>
            <w:vAlign w:val="center"/>
            <w:hideMark/>
          </w:tcPr>
          <w:p w14:paraId="2997FB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8DBC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4697CC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87A7F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1E73BD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00BB334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D6E4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3330</w:t>
            </w:r>
          </w:p>
        </w:tc>
        <w:tc>
          <w:tcPr>
            <w:tcW w:w="3220" w:type="dxa"/>
            <w:tcBorders>
              <w:top w:val="nil"/>
              <w:left w:val="nil"/>
              <w:bottom w:val="single" w:sz="4" w:space="0" w:color="auto"/>
              <w:right w:val="single" w:sz="4" w:space="0" w:color="auto"/>
            </w:tcBorders>
            <w:shd w:val="clear" w:color="000000" w:fill="FFFFFF"/>
            <w:noWrap/>
            <w:vAlign w:val="center"/>
            <w:hideMark/>
          </w:tcPr>
          <w:p w14:paraId="2F17465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Edificios No </w:t>
            </w:r>
            <w:proofErr w:type="spellStart"/>
            <w:r w:rsidRPr="005F45A3">
              <w:rPr>
                <w:rFonts w:asciiTheme="minorHAnsi" w:eastAsia="Times New Roman" w:hAnsiTheme="minorHAnsi" w:cstheme="minorHAnsi"/>
                <w:color w:val="000000"/>
                <w:sz w:val="12"/>
                <w:szCs w:val="12"/>
                <w:lang w:eastAsia="es-MX"/>
              </w:rPr>
              <w:t>Habit.Transferibles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AF206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21EB15A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2AB32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CDF7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4A2B30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3829CA4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AB81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3410</w:t>
            </w:r>
          </w:p>
        </w:tc>
        <w:tc>
          <w:tcPr>
            <w:tcW w:w="3220" w:type="dxa"/>
            <w:tcBorders>
              <w:top w:val="nil"/>
              <w:left w:val="nil"/>
              <w:bottom w:val="single" w:sz="4" w:space="0" w:color="auto"/>
              <w:right w:val="single" w:sz="4" w:space="0" w:color="auto"/>
            </w:tcBorders>
            <w:shd w:val="clear" w:color="000000" w:fill="FFFFFF"/>
            <w:noWrap/>
            <w:vAlign w:val="center"/>
            <w:hideMark/>
          </w:tcPr>
          <w:p w14:paraId="569834C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Carreteras</w:t>
            </w:r>
          </w:p>
        </w:tc>
        <w:tc>
          <w:tcPr>
            <w:tcW w:w="1140" w:type="dxa"/>
            <w:tcBorders>
              <w:top w:val="nil"/>
              <w:left w:val="nil"/>
              <w:bottom w:val="single" w:sz="4" w:space="0" w:color="auto"/>
              <w:right w:val="single" w:sz="4" w:space="0" w:color="auto"/>
            </w:tcBorders>
            <w:shd w:val="clear" w:color="000000" w:fill="FFFFFF"/>
            <w:noWrap/>
            <w:vAlign w:val="center"/>
            <w:hideMark/>
          </w:tcPr>
          <w:p w14:paraId="282EC73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59CB1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74576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E372F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46BF68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72CB8DD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40FE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3420</w:t>
            </w:r>
          </w:p>
        </w:tc>
        <w:tc>
          <w:tcPr>
            <w:tcW w:w="3220" w:type="dxa"/>
            <w:tcBorders>
              <w:top w:val="nil"/>
              <w:left w:val="nil"/>
              <w:bottom w:val="single" w:sz="4" w:space="0" w:color="auto"/>
              <w:right w:val="single" w:sz="4" w:space="0" w:color="auto"/>
            </w:tcBorders>
            <w:shd w:val="clear" w:color="000000" w:fill="FFFFFF"/>
            <w:noWrap/>
            <w:vAlign w:val="center"/>
            <w:hideMark/>
          </w:tcPr>
          <w:p w14:paraId="7666A0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Ferroviaria Y Multimodal</w:t>
            </w:r>
          </w:p>
        </w:tc>
        <w:tc>
          <w:tcPr>
            <w:tcW w:w="1140" w:type="dxa"/>
            <w:tcBorders>
              <w:top w:val="nil"/>
              <w:left w:val="nil"/>
              <w:bottom w:val="single" w:sz="4" w:space="0" w:color="auto"/>
              <w:right w:val="single" w:sz="4" w:space="0" w:color="auto"/>
            </w:tcBorders>
            <w:shd w:val="clear" w:color="000000" w:fill="FFFFFF"/>
            <w:noWrap/>
            <w:vAlign w:val="center"/>
            <w:hideMark/>
          </w:tcPr>
          <w:p w14:paraId="5A2985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604C7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07659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76339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499FE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3D891B5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60D08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3430</w:t>
            </w:r>
          </w:p>
        </w:tc>
        <w:tc>
          <w:tcPr>
            <w:tcW w:w="3220" w:type="dxa"/>
            <w:tcBorders>
              <w:top w:val="nil"/>
              <w:left w:val="nil"/>
              <w:bottom w:val="single" w:sz="4" w:space="0" w:color="auto"/>
              <w:right w:val="single" w:sz="4" w:space="0" w:color="auto"/>
            </w:tcBorders>
            <w:shd w:val="clear" w:color="000000" w:fill="FFFFFF"/>
            <w:noWrap/>
            <w:vAlign w:val="center"/>
            <w:hideMark/>
          </w:tcPr>
          <w:p w14:paraId="3D0E2A3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Portuaria</w:t>
            </w:r>
          </w:p>
        </w:tc>
        <w:tc>
          <w:tcPr>
            <w:tcW w:w="1140" w:type="dxa"/>
            <w:tcBorders>
              <w:top w:val="nil"/>
              <w:left w:val="nil"/>
              <w:bottom w:val="single" w:sz="4" w:space="0" w:color="auto"/>
              <w:right w:val="single" w:sz="4" w:space="0" w:color="auto"/>
            </w:tcBorders>
            <w:shd w:val="clear" w:color="000000" w:fill="FFFFFF"/>
            <w:noWrap/>
            <w:vAlign w:val="center"/>
            <w:hideMark/>
          </w:tcPr>
          <w:p w14:paraId="637773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89B98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0438CB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1E557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2658F3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2C508F8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EA1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3440</w:t>
            </w:r>
          </w:p>
        </w:tc>
        <w:tc>
          <w:tcPr>
            <w:tcW w:w="3220" w:type="dxa"/>
            <w:tcBorders>
              <w:top w:val="nil"/>
              <w:left w:val="nil"/>
              <w:bottom w:val="single" w:sz="4" w:space="0" w:color="auto"/>
              <w:right w:val="single" w:sz="4" w:space="0" w:color="auto"/>
            </w:tcBorders>
            <w:shd w:val="clear" w:color="000000" w:fill="FFFFFF"/>
            <w:noWrap/>
            <w:vAlign w:val="center"/>
            <w:hideMark/>
          </w:tcPr>
          <w:p w14:paraId="61EA842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Aeroportuaria</w:t>
            </w:r>
          </w:p>
        </w:tc>
        <w:tc>
          <w:tcPr>
            <w:tcW w:w="1140" w:type="dxa"/>
            <w:tcBorders>
              <w:top w:val="nil"/>
              <w:left w:val="nil"/>
              <w:bottom w:val="single" w:sz="4" w:space="0" w:color="auto"/>
              <w:right w:val="single" w:sz="4" w:space="0" w:color="auto"/>
            </w:tcBorders>
            <w:shd w:val="clear" w:color="000000" w:fill="FFFFFF"/>
            <w:noWrap/>
            <w:vAlign w:val="center"/>
            <w:hideMark/>
          </w:tcPr>
          <w:p w14:paraId="7CDD04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1368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719E71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687DA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4D2F6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4BD07BA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9EB9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3450</w:t>
            </w:r>
          </w:p>
        </w:tc>
        <w:tc>
          <w:tcPr>
            <w:tcW w:w="3220" w:type="dxa"/>
            <w:tcBorders>
              <w:top w:val="nil"/>
              <w:left w:val="nil"/>
              <w:bottom w:val="single" w:sz="4" w:space="0" w:color="auto"/>
              <w:right w:val="single" w:sz="4" w:space="0" w:color="auto"/>
            </w:tcBorders>
            <w:shd w:val="clear" w:color="000000" w:fill="FFFFFF"/>
            <w:noWrap/>
            <w:vAlign w:val="center"/>
            <w:hideMark/>
          </w:tcPr>
          <w:p w14:paraId="493F820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Telecomunicaciones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246CED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E73E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F65B0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B26D9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C6362C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1866CCD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2575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3460</w:t>
            </w:r>
          </w:p>
        </w:tc>
        <w:tc>
          <w:tcPr>
            <w:tcW w:w="3220" w:type="dxa"/>
            <w:tcBorders>
              <w:top w:val="nil"/>
              <w:left w:val="nil"/>
              <w:bottom w:val="single" w:sz="4" w:space="0" w:color="auto"/>
              <w:right w:val="single" w:sz="4" w:space="0" w:color="auto"/>
            </w:tcBorders>
            <w:shd w:val="clear" w:color="000000" w:fill="FFFFFF"/>
            <w:noWrap/>
            <w:vAlign w:val="center"/>
            <w:hideMark/>
          </w:tcPr>
          <w:p w14:paraId="701812F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Infraest.Agua</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Pot</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Saneam</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Hidroagric.Ctrol.Inund</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669DA6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90517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3666D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7134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70E4E65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07D8E2D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ACC1C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3470</w:t>
            </w:r>
          </w:p>
        </w:tc>
        <w:tc>
          <w:tcPr>
            <w:tcW w:w="3220" w:type="dxa"/>
            <w:tcBorders>
              <w:top w:val="nil"/>
              <w:left w:val="nil"/>
              <w:bottom w:val="single" w:sz="4" w:space="0" w:color="auto"/>
              <w:right w:val="single" w:sz="4" w:space="0" w:color="auto"/>
            </w:tcBorders>
            <w:shd w:val="clear" w:color="000000" w:fill="FFFFFF"/>
            <w:noWrap/>
            <w:vAlign w:val="center"/>
            <w:hideMark/>
          </w:tcPr>
          <w:p w14:paraId="4372465E" w14:textId="3CA2D80A"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Eléctrica</w:t>
            </w:r>
          </w:p>
        </w:tc>
        <w:tc>
          <w:tcPr>
            <w:tcW w:w="1140" w:type="dxa"/>
            <w:tcBorders>
              <w:top w:val="nil"/>
              <w:left w:val="nil"/>
              <w:bottom w:val="single" w:sz="4" w:space="0" w:color="auto"/>
              <w:right w:val="single" w:sz="4" w:space="0" w:color="auto"/>
            </w:tcBorders>
            <w:shd w:val="clear" w:color="000000" w:fill="FFFFFF"/>
            <w:noWrap/>
            <w:vAlign w:val="center"/>
            <w:hideMark/>
          </w:tcPr>
          <w:p w14:paraId="120258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134D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2962D2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4FCB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6E3BD1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1F30DC5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824B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3480</w:t>
            </w:r>
          </w:p>
        </w:tc>
        <w:tc>
          <w:tcPr>
            <w:tcW w:w="3220" w:type="dxa"/>
            <w:tcBorders>
              <w:top w:val="nil"/>
              <w:left w:val="nil"/>
              <w:bottom w:val="single" w:sz="4" w:space="0" w:color="auto"/>
              <w:right w:val="single" w:sz="4" w:space="0" w:color="auto"/>
            </w:tcBorders>
            <w:shd w:val="clear" w:color="000000" w:fill="FFFFFF"/>
            <w:noWrap/>
            <w:vAlign w:val="center"/>
            <w:hideMark/>
          </w:tcPr>
          <w:p w14:paraId="6F8A3890" w14:textId="30AFE016"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Producción De Hidrocarburos</w:t>
            </w:r>
          </w:p>
        </w:tc>
        <w:tc>
          <w:tcPr>
            <w:tcW w:w="1140" w:type="dxa"/>
            <w:tcBorders>
              <w:top w:val="nil"/>
              <w:left w:val="nil"/>
              <w:bottom w:val="single" w:sz="4" w:space="0" w:color="auto"/>
              <w:right w:val="single" w:sz="4" w:space="0" w:color="auto"/>
            </w:tcBorders>
            <w:shd w:val="clear" w:color="000000" w:fill="FFFFFF"/>
            <w:noWrap/>
            <w:vAlign w:val="center"/>
            <w:hideMark/>
          </w:tcPr>
          <w:p w14:paraId="24A8CF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B3C47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28092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73B6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73173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4150453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080E9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3490</w:t>
            </w:r>
          </w:p>
        </w:tc>
        <w:tc>
          <w:tcPr>
            <w:tcW w:w="3220" w:type="dxa"/>
            <w:tcBorders>
              <w:top w:val="nil"/>
              <w:left w:val="nil"/>
              <w:bottom w:val="single" w:sz="4" w:space="0" w:color="auto"/>
              <w:right w:val="single" w:sz="4" w:space="0" w:color="auto"/>
            </w:tcBorders>
            <w:shd w:val="clear" w:color="000000" w:fill="FFFFFF"/>
            <w:noWrap/>
            <w:vAlign w:val="center"/>
            <w:hideMark/>
          </w:tcPr>
          <w:p w14:paraId="5C7907C3" w14:textId="05F105B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Infraestructura De Refinación, Gas Y Petroquímica</w:t>
            </w:r>
          </w:p>
        </w:tc>
        <w:tc>
          <w:tcPr>
            <w:tcW w:w="1140" w:type="dxa"/>
            <w:tcBorders>
              <w:top w:val="nil"/>
              <w:left w:val="nil"/>
              <w:bottom w:val="single" w:sz="4" w:space="0" w:color="auto"/>
              <w:right w:val="single" w:sz="4" w:space="0" w:color="auto"/>
            </w:tcBorders>
            <w:shd w:val="clear" w:color="000000" w:fill="FFFFFF"/>
            <w:noWrap/>
            <w:vAlign w:val="center"/>
            <w:hideMark/>
          </w:tcPr>
          <w:p w14:paraId="2A2BA9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815F9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E0A951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70710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1506CF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001117B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7C26C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3510</w:t>
            </w:r>
          </w:p>
        </w:tc>
        <w:tc>
          <w:tcPr>
            <w:tcW w:w="3220" w:type="dxa"/>
            <w:tcBorders>
              <w:top w:val="nil"/>
              <w:left w:val="nil"/>
              <w:bottom w:val="single" w:sz="4" w:space="0" w:color="auto"/>
              <w:right w:val="single" w:sz="4" w:space="0" w:color="auto"/>
            </w:tcBorders>
            <w:shd w:val="clear" w:color="000000" w:fill="FFFFFF"/>
            <w:noWrap/>
            <w:vAlign w:val="center"/>
            <w:hideMark/>
          </w:tcPr>
          <w:p w14:paraId="18E9357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Edificación Habitacional En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45B478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787A2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96769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F3AE8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0760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AF2604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C763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3520</w:t>
            </w:r>
          </w:p>
        </w:tc>
        <w:tc>
          <w:tcPr>
            <w:tcW w:w="3220" w:type="dxa"/>
            <w:tcBorders>
              <w:top w:val="nil"/>
              <w:left w:val="nil"/>
              <w:bottom w:val="single" w:sz="4" w:space="0" w:color="auto"/>
              <w:right w:val="single" w:sz="4" w:space="0" w:color="auto"/>
            </w:tcBorders>
            <w:shd w:val="clear" w:color="000000" w:fill="FFFFFF"/>
            <w:noWrap/>
            <w:vAlign w:val="center"/>
            <w:hideMark/>
          </w:tcPr>
          <w:p w14:paraId="3E52626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Edificación No Habitacional En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799509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59804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3F545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37C5E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53B31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06BE11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64B0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3530</w:t>
            </w:r>
          </w:p>
        </w:tc>
        <w:tc>
          <w:tcPr>
            <w:tcW w:w="3220" w:type="dxa"/>
            <w:tcBorders>
              <w:top w:val="nil"/>
              <w:left w:val="nil"/>
              <w:bottom w:val="single" w:sz="4" w:space="0" w:color="auto"/>
              <w:right w:val="single" w:sz="4" w:space="0" w:color="auto"/>
            </w:tcBorders>
            <w:shd w:val="clear" w:color="000000" w:fill="FFFFFF"/>
            <w:noWrap/>
            <w:vAlign w:val="center"/>
            <w:hideMark/>
          </w:tcPr>
          <w:p w14:paraId="34C2D34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Const.Obr.Abast.Agua</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Petr.Gas,Elect.Tel.Procesodp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12FA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CB83E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34E57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F8D191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30776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19A70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A7C0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3540</w:t>
            </w:r>
          </w:p>
        </w:tc>
        <w:tc>
          <w:tcPr>
            <w:tcW w:w="3220" w:type="dxa"/>
            <w:tcBorders>
              <w:top w:val="nil"/>
              <w:left w:val="nil"/>
              <w:bottom w:val="single" w:sz="4" w:space="0" w:color="auto"/>
              <w:right w:val="single" w:sz="4" w:space="0" w:color="auto"/>
            </w:tcBorders>
            <w:shd w:val="clear" w:color="000000" w:fill="FFFFFF"/>
            <w:noWrap/>
            <w:vAlign w:val="center"/>
            <w:hideMark/>
          </w:tcPr>
          <w:p w14:paraId="3FA0D7C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Div.Terr</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Construcc.Obras</w:t>
            </w:r>
            <w:proofErr w:type="spellEnd"/>
            <w:r w:rsidRPr="005F45A3">
              <w:rPr>
                <w:rFonts w:asciiTheme="minorHAnsi" w:eastAsia="Times New Roman" w:hAnsiTheme="minorHAnsi" w:cstheme="minorHAnsi"/>
                <w:color w:val="000000"/>
                <w:sz w:val="12"/>
                <w:szCs w:val="12"/>
                <w:lang w:eastAsia="es-MX"/>
              </w:rPr>
              <w:t xml:space="preserve"> De </w:t>
            </w:r>
            <w:proofErr w:type="spellStart"/>
            <w:r w:rsidRPr="005F45A3">
              <w:rPr>
                <w:rFonts w:asciiTheme="minorHAnsi" w:eastAsia="Times New Roman" w:hAnsiTheme="minorHAnsi" w:cstheme="minorHAnsi"/>
                <w:color w:val="000000"/>
                <w:sz w:val="12"/>
                <w:szCs w:val="12"/>
                <w:lang w:eastAsia="es-MX"/>
              </w:rPr>
              <w:t>Urbaniz.En</w:t>
            </w:r>
            <w:proofErr w:type="spellEnd"/>
            <w:r w:rsidRPr="005F45A3">
              <w:rPr>
                <w:rFonts w:asciiTheme="minorHAnsi" w:eastAsia="Times New Roman" w:hAnsiTheme="minorHAnsi" w:cstheme="minorHAnsi"/>
                <w:color w:val="000000"/>
                <w:sz w:val="12"/>
                <w:szCs w:val="12"/>
                <w:lang w:eastAsia="es-MX"/>
              </w:rPr>
              <w:t xml:space="preserve">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1883CAF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30EF4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FC77D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3222E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15D232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0727C1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29323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3550</w:t>
            </w:r>
          </w:p>
        </w:tc>
        <w:tc>
          <w:tcPr>
            <w:tcW w:w="3220" w:type="dxa"/>
            <w:tcBorders>
              <w:top w:val="nil"/>
              <w:left w:val="nil"/>
              <w:bottom w:val="single" w:sz="4" w:space="0" w:color="auto"/>
              <w:right w:val="single" w:sz="4" w:space="0" w:color="auto"/>
            </w:tcBorders>
            <w:shd w:val="clear" w:color="000000" w:fill="FFFFFF"/>
            <w:noWrap/>
            <w:vAlign w:val="center"/>
            <w:hideMark/>
          </w:tcPr>
          <w:p w14:paraId="1378928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Construcción De Vías De Comunicación En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1399BB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BC1C1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315FF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DE799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8FA96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CDF4DB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30FDF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3560</w:t>
            </w:r>
          </w:p>
        </w:tc>
        <w:tc>
          <w:tcPr>
            <w:tcW w:w="3220" w:type="dxa"/>
            <w:tcBorders>
              <w:top w:val="nil"/>
              <w:left w:val="nil"/>
              <w:bottom w:val="single" w:sz="4" w:space="0" w:color="auto"/>
              <w:right w:val="single" w:sz="4" w:space="0" w:color="auto"/>
            </w:tcBorders>
            <w:shd w:val="clear" w:color="000000" w:fill="FFFFFF"/>
            <w:noWrap/>
            <w:vAlign w:val="center"/>
            <w:hideMark/>
          </w:tcPr>
          <w:p w14:paraId="730A1DC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Otras Constr. </w:t>
            </w:r>
            <w:proofErr w:type="spellStart"/>
            <w:r w:rsidRPr="005F45A3">
              <w:rPr>
                <w:rFonts w:asciiTheme="minorHAnsi" w:eastAsia="Times New Roman" w:hAnsiTheme="minorHAnsi" w:cstheme="minorHAnsi"/>
                <w:color w:val="000000"/>
                <w:sz w:val="12"/>
                <w:szCs w:val="12"/>
                <w:lang w:eastAsia="es-MX"/>
              </w:rPr>
              <w:t>Ingen</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Civ</w:t>
            </w:r>
            <w:proofErr w:type="spellEnd"/>
            <w:r w:rsidRPr="005F45A3">
              <w:rPr>
                <w:rFonts w:asciiTheme="minorHAnsi" w:eastAsia="Times New Roman" w:hAnsiTheme="minorHAnsi" w:cstheme="minorHAnsi"/>
                <w:color w:val="000000"/>
                <w:sz w:val="12"/>
                <w:szCs w:val="12"/>
                <w:lang w:eastAsia="es-MX"/>
              </w:rPr>
              <w:t xml:space="preserve">. U Obra Pesada En </w:t>
            </w:r>
            <w:proofErr w:type="spellStart"/>
            <w:r w:rsidRPr="005F45A3">
              <w:rPr>
                <w:rFonts w:asciiTheme="minorHAnsi" w:eastAsia="Times New Roman" w:hAnsiTheme="minorHAnsi" w:cstheme="minorHAnsi"/>
                <w:color w:val="000000"/>
                <w:sz w:val="12"/>
                <w:szCs w:val="12"/>
                <w:lang w:eastAsia="es-MX"/>
              </w:rPr>
              <w:t>Proc.Dp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662464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D2613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8CD074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C9CC9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5F82C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B04ED1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B46CD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3570</w:t>
            </w:r>
          </w:p>
        </w:tc>
        <w:tc>
          <w:tcPr>
            <w:tcW w:w="3220" w:type="dxa"/>
            <w:tcBorders>
              <w:top w:val="nil"/>
              <w:left w:val="nil"/>
              <w:bottom w:val="single" w:sz="4" w:space="0" w:color="auto"/>
              <w:right w:val="single" w:sz="4" w:space="0" w:color="auto"/>
            </w:tcBorders>
            <w:shd w:val="clear" w:color="000000" w:fill="FFFFFF"/>
            <w:noWrap/>
            <w:vAlign w:val="center"/>
            <w:hideMark/>
          </w:tcPr>
          <w:p w14:paraId="3DC089B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Instalac</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Equipam</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Construcc.En</w:t>
            </w:r>
            <w:proofErr w:type="spellEnd"/>
            <w:r w:rsidRPr="005F45A3">
              <w:rPr>
                <w:rFonts w:asciiTheme="minorHAnsi" w:eastAsia="Times New Roman" w:hAnsiTheme="minorHAnsi" w:cstheme="minorHAnsi"/>
                <w:color w:val="000000"/>
                <w:sz w:val="12"/>
                <w:szCs w:val="12"/>
                <w:lang w:eastAsia="es-MX"/>
              </w:rPr>
              <w:t xml:space="preserve">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1E70E7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6C5E8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4723D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9BF8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3861C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6FB349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70818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3590</w:t>
            </w:r>
          </w:p>
        </w:tc>
        <w:tc>
          <w:tcPr>
            <w:tcW w:w="3220" w:type="dxa"/>
            <w:tcBorders>
              <w:top w:val="nil"/>
              <w:left w:val="nil"/>
              <w:bottom w:val="single" w:sz="4" w:space="0" w:color="auto"/>
              <w:right w:val="single" w:sz="4" w:space="0" w:color="auto"/>
            </w:tcBorders>
            <w:shd w:val="clear" w:color="000000" w:fill="FFFFFF"/>
            <w:noWrap/>
            <w:vAlign w:val="center"/>
            <w:hideMark/>
          </w:tcPr>
          <w:p w14:paraId="0CB3A45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Trab.Acabados</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Edific.Otros</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Trab.Espec</w:t>
            </w:r>
            <w:proofErr w:type="spellEnd"/>
            <w:r w:rsidRPr="005F45A3">
              <w:rPr>
                <w:rFonts w:asciiTheme="minorHAnsi" w:eastAsia="Times New Roman" w:hAnsiTheme="minorHAnsi" w:cstheme="minorHAnsi"/>
                <w:color w:val="000000"/>
                <w:sz w:val="12"/>
                <w:szCs w:val="12"/>
                <w:lang w:eastAsia="es-MX"/>
              </w:rPr>
              <w:t xml:space="preserve">. Proceso </w:t>
            </w:r>
            <w:proofErr w:type="spellStart"/>
            <w:r w:rsidRPr="005F45A3">
              <w:rPr>
                <w:rFonts w:asciiTheme="minorHAnsi" w:eastAsia="Times New Roman" w:hAnsiTheme="minorHAnsi" w:cstheme="minorHAnsi"/>
                <w:color w:val="000000"/>
                <w:sz w:val="12"/>
                <w:szCs w:val="12"/>
                <w:lang w:eastAsia="es-MX"/>
              </w:rPr>
              <w:t>Dp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62B540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E74873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774DE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97AE0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A0904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E0B5DE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1E70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3610</w:t>
            </w:r>
          </w:p>
        </w:tc>
        <w:tc>
          <w:tcPr>
            <w:tcW w:w="3220" w:type="dxa"/>
            <w:tcBorders>
              <w:top w:val="nil"/>
              <w:left w:val="nil"/>
              <w:bottom w:val="single" w:sz="4" w:space="0" w:color="auto"/>
              <w:right w:val="single" w:sz="4" w:space="0" w:color="auto"/>
            </w:tcBorders>
            <w:shd w:val="clear" w:color="000000" w:fill="FFFFFF"/>
            <w:noWrap/>
            <w:vAlign w:val="center"/>
            <w:hideMark/>
          </w:tcPr>
          <w:p w14:paraId="00D3CB8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Edificación Habitacional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83390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D4A8A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FAC04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536A5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C8965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1F2DBE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1E06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3620</w:t>
            </w:r>
          </w:p>
        </w:tc>
        <w:tc>
          <w:tcPr>
            <w:tcW w:w="3220" w:type="dxa"/>
            <w:tcBorders>
              <w:top w:val="nil"/>
              <w:left w:val="nil"/>
              <w:bottom w:val="single" w:sz="4" w:space="0" w:color="auto"/>
              <w:right w:val="single" w:sz="4" w:space="0" w:color="auto"/>
            </w:tcBorders>
            <w:shd w:val="clear" w:color="000000" w:fill="FFFFFF"/>
            <w:noWrap/>
            <w:vAlign w:val="center"/>
            <w:hideMark/>
          </w:tcPr>
          <w:p w14:paraId="5BF3686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Edificación No Habitacional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3F80DE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E3B42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2693C1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A33D41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15D43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24E889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CEB81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3630</w:t>
            </w:r>
          </w:p>
        </w:tc>
        <w:tc>
          <w:tcPr>
            <w:tcW w:w="3220" w:type="dxa"/>
            <w:tcBorders>
              <w:top w:val="nil"/>
              <w:left w:val="nil"/>
              <w:bottom w:val="single" w:sz="4" w:space="0" w:color="auto"/>
              <w:right w:val="single" w:sz="4" w:space="0" w:color="auto"/>
            </w:tcBorders>
            <w:shd w:val="clear" w:color="000000" w:fill="FFFFFF"/>
            <w:noWrap/>
            <w:vAlign w:val="center"/>
            <w:hideMark/>
          </w:tcPr>
          <w:p w14:paraId="11C51EF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Cons.Obr.Abas.Agu.Petr.Gas</w:t>
            </w:r>
            <w:proofErr w:type="gramStart"/>
            <w:r w:rsidRPr="005F45A3">
              <w:rPr>
                <w:rFonts w:asciiTheme="minorHAnsi" w:eastAsia="Times New Roman" w:hAnsiTheme="minorHAnsi" w:cstheme="minorHAnsi"/>
                <w:color w:val="000000"/>
                <w:sz w:val="12"/>
                <w:szCs w:val="12"/>
                <w:lang w:eastAsia="es-MX"/>
              </w:rPr>
              <w:t>,Elect.Tel</w:t>
            </w:r>
            <w:proofErr w:type="spellEnd"/>
            <w:proofErr w:type="gramEnd"/>
            <w:r w:rsidRPr="005F45A3">
              <w:rPr>
                <w:rFonts w:asciiTheme="minorHAnsi" w:eastAsia="Times New Roman" w:hAnsiTheme="minorHAnsi" w:cstheme="minorHAnsi"/>
                <w:color w:val="000000"/>
                <w:sz w:val="12"/>
                <w:szCs w:val="12"/>
                <w:lang w:eastAsia="es-MX"/>
              </w:rPr>
              <w:t xml:space="preserve">. En </w:t>
            </w:r>
            <w:proofErr w:type="spellStart"/>
            <w:r w:rsidRPr="005F45A3">
              <w:rPr>
                <w:rFonts w:asciiTheme="minorHAnsi" w:eastAsia="Times New Roman" w:hAnsiTheme="minorHAnsi" w:cstheme="minorHAnsi"/>
                <w:color w:val="000000"/>
                <w:sz w:val="12"/>
                <w:szCs w:val="12"/>
                <w:lang w:eastAsia="es-MX"/>
              </w:rPr>
              <w:t>Proc.Bp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2418CA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7BD88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D2AB2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A1478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E6C0D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CE45B5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9DBFA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3640</w:t>
            </w:r>
          </w:p>
        </w:tc>
        <w:tc>
          <w:tcPr>
            <w:tcW w:w="3220" w:type="dxa"/>
            <w:tcBorders>
              <w:top w:val="nil"/>
              <w:left w:val="nil"/>
              <w:bottom w:val="single" w:sz="4" w:space="0" w:color="auto"/>
              <w:right w:val="single" w:sz="4" w:space="0" w:color="auto"/>
            </w:tcBorders>
            <w:shd w:val="clear" w:color="000000" w:fill="FFFFFF"/>
            <w:noWrap/>
            <w:vAlign w:val="center"/>
            <w:hideMark/>
          </w:tcPr>
          <w:p w14:paraId="271975F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Div.Terren</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Constr.Obras</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Urban</w:t>
            </w:r>
            <w:proofErr w:type="spellEnd"/>
            <w:r w:rsidRPr="005F45A3">
              <w:rPr>
                <w:rFonts w:asciiTheme="minorHAnsi" w:eastAsia="Times New Roman" w:hAnsiTheme="minorHAnsi" w:cstheme="minorHAnsi"/>
                <w:color w:val="000000"/>
                <w:sz w:val="12"/>
                <w:szCs w:val="12"/>
                <w:lang w:eastAsia="es-MX"/>
              </w:rPr>
              <w:t xml:space="preserve">.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16CEE7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A9FC5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E6FF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8F59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017D2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E2579C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9099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3650</w:t>
            </w:r>
          </w:p>
        </w:tc>
        <w:tc>
          <w:tcPr>
            <w:tcW w:w="3220" w:type="dxa"/>
            <w:tcBorders>
              <w:top w:val="nil"/>
              <w:left w:val="nil"/>
              <w:bottom w:val="single" w:sz="4" w:space="0" w:color="auto"/>
              <w:right w:val="single" w:sz="4" w:space="0" w:color="auto"/>
            </w:tcBorders>
            <w:shd w:val="clear" w:color="000000" w:fill="FFFFFF"/>
            <w:noWrap/>
            <w:vAlign w:val="center"/>
            <w:hideMark/>
          </w:tcPr>
          <w:p w14:paraId="29666A3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Construcción De Vías De Comunicación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590553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C6E17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69206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B1EAF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3389E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D72E83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BE9D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3660</w:t>
            </w:r>
          </w:p>
        </w:tc>
        <w:tc>
          <w:tcPr>
            <w:tcW w:w="3220" w:type="dxa"/>
            <w:tcBorders>
              <w:top w:val="nil"/>
              <w:left w:val="nil"/>
              <w:bottom w:val="single" w:sz="4" w:space="0" w:color="auto"/>
              <w:right w:val="single" w:sz="4" w:space="0" w:color="auto"/>
            </w:tcBorders>
            <w:shd w:val="clear" w:color="000000" w:fill="FFFFFF"/>
            <w:noWrap/>
            <w:vAlign w:val="center"/>
            <w:hideMark/>
          </w:tcPr>
          <w:p w14:paraId="11ACB37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Otras </w:t>
            </w:r>
            <w:proofErr w:type="spellStart"/>
            <w:r w:rsidRPr="005F45A3">
              <w:rPr>
                <w:rFonts w:asciiTheme="minorHAnsi" w:eastAsia="Times New Roman" w:hAnsiTheme="minorHAnsi" w:cstheme="minorHAnsi"/>
                <w:color w:val="000000"/>
                <w:sz w:val="12"/>
                <w:szCs w:val="12"/>
                <w:lang w:eastAsia="es-MX"/>
              </w:rPr>
              <w:t>Constr.Ingen</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Civ</w:t>
            </w:r>
            <w:proofErr w:type="spellEnd"/>
            <w:r w:rsidRPr="005F45A3">
              <w:rPr>
                <w:rFonts w:asciiTheme="minorHAnsi" w:eastAsia="Times New Roman" w:hAnsiTheme="minorHAnsi" w:cstheme="minorHAnsi"/>
                <w:color w:val="000000"/>
                <w:sz w:val="12"/>
                <w:szCs w:val="12"/>
                <w:lang w:eastAsia="es-MX"/>
              </w:rPr>
              <w:t xml:space="preserve">. U Obra Pesada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96D4A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0C91C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E4AFC3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BB56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6ED6C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31BC48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4311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3670</w:t>
            </w:r>
          </w:p>
        </w:tc>
        <w:tc>
          <w:tcPr>
            <w:tcW w:w="3220" w:type="dxa"/>
            <w:tcBorders>
              <w:top w:val="nil"/>
              <w:left w:val="nil"/>
              <w:bottom w:val="single" w:sz="4" w:space="0" w:color="auto"/>
              <w:right w:val="single" w:sz="4" w:space="0" w:color="auto"/>
            </w:tcBorders>
            <w:shd w:val="clear" w:color="000000" w:fill="FFFFFF"/>
            <w:noWrap/>
            <w:vAlign w:val="center"/>
            <w:hideMark/>
          </w:tcPr>
          <w:p w14:paraId="641253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Instalac</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Equipam</w:t>
            </w:r>
            <w:proofErr w:type="spellEnd"/>
            <w:r w:rsidRPr="005F45A3">
              <w:rPr>
                <w:rFonts w:asciiTheme="minorHAnsi" w:eastAsia="Times New Roman" w:hAnsiTheme="minorHAnsi" w:cstheme="minorHAnsi"/>
                <w:color w:val="000000"/>
                <w:sz w:val="12"/>
                <w:szCs w:val="12"/>
                <w:lang w:eastAsia="es-MX"/>
              </w:rPr>
              <w:t xml:space="preserve">. En </w:t>
            </w:r>
            <w:proofErr w:type="spellStart"/>
            <w:r w:rsidRPr="005F45A3">
              <w:rPr>
                <w:rFonts w:asciiTheme="minorHAnsi" w:eastAsia="Times New Roman" w:hAnsiTheme="minorHAnsi" w:cstheme="minorHAnsi"/>
                <w:color w:val="000000"/>
                <w:sz w:val="12"/>
                <w:szCs w:val="12"/>
                <w:lang w:eastAsia="es-MX"/>
              </w:rPr>
              <w:t>Construcc</w:t>
            </w:r>
            <w:proofErr w:type="spellEnd"/>
            <w:r w:rsidRPr="005F45A3">
              <w:rPr>
                <w:rFonts w:asciiTheme="minorHAnsi" w:eastAsia="Times New Roman" w:hAnsiTheme="minorHAnsi" w:cstheme="minorHAnsi"/>
                <w:color w:val="000000"/>
                <w:sz w:val="12"/>
                <w:szCs w:val="12"/>
                <w:lang w:eastAsia="es-MX"/>
              </w:rPr>
              <w:t xml:space="preserve">. En Proceso </w:t>
            </w:r>
            <w:proofErr w:type="spellStart"/>
            <w:r w:rsidRPr="005F45A3">
              <w:rPr>
                <w:rFonts w:asciiTheme="minorHAnsi" w:eastAsia="Times New Roman" w:hAnsiTheme="minorHAnsi" w:cstheme="minorHAnsi"/>
                <w:color w:val="000000"/>
                <w:sz w:val="12"/>
                <w:szCs w:val="12"/>
                <w:lang w:eastAsia="es-MX"/>
              </w:rPr>
              <w:t>Bp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E1B84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0B3A1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64AD17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F533B5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7195D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D2DD24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5067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3690</w:t>
            </w:r>
          </w:p>
        </w:tc>
        <w:tc>
          <w:tcPr>
            <w:tcW w:w="3220" w:type="dxa"/>
            <w:tcBorders>
              <w:top w:val="nil"/>
              <w:left w:val="nil"/>
              <w:bottom w:val="single" w:sz="4" w:space="0" w:color="auto"/>
              <w:right w:val="single" w:sz="4" w:space="0" w:color="auto"/>
            </w:tcBorders>
            <w:shd w:val="clear" w:color="000000" w:fill="FFFFFF"/>
            <w:noWrap/>
            <w:vAlign w:val="center"/>
            <w:hideMark/>
          </w:tcPr>
          <w:p w14:paraId="068D89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Trab.Acabados</w:t>
            </w:r>
            <w:proofErr w:type="spellEnd"/>
            <w:r w:rsidRPr="005F45A3">
              <w:rPr>
                <w:rFonts w:asciiTheme="minorHAnsi" w:eastAsia="Times New Roman" w:hAnsiTheme="minorHAnsi" w:cstheme="minorHAnsi"/>
                <w:color w:val="000000"/>
                <w:sz w:val="12"/>
                <w:szCs w:val="12"/>
                <w:lang w:eastAsia="es-MX"/>
              </w:rPr>
              <w:t xml:space="preserve"> En </w:t>
            </w:r>
            <w:proofErr w:type="spellStart"/>
            <w:r w:rsidRPr="005F45A3">
              <w:rPr>
                <w:rFonts w:asciiTheme="minorHAnsi" w:eastAsia="Times New Roman" w:hAnsiTheme="minorHAnsi" w:cstheme="minorHAnsi"/>
                <w:color w:val="000000"/>
                <w:sz w:val="12"/>
                <w:szCs w:val="12"/>
                <w:lang w:eastAsia="es-MX"/>
              </w:rPr>
              <w:t>Edific</w:t>
            </w:r>
            <w:proofErr w:type="spellEnd"/>
            <w:r w:rsidRPr="005F45A3">
              <w:rPr>
                <w:rFonts w:asciiTheme="minorHAnsi" w:eastAsia="Times New Roman" w:hAnsiTheme="minorHAnsi" w:cstheme="minorHAnsi"/>
                <w:color w:val="000000"/>
                <w:sz w:val="12"/>
                <w:szCs w:val="12"/>
                <w:lang w:eastAsia="es-MX"/>
              </w:rPr>
              <w:t xml:space="preserve">. Y Otros </w:t>
            </w:r>
            <w:proofErr w:type="spellStart"/>
            <w:r w:rsidRPr="005F45A3">
              <w:rPr>
                <w:rFonts w:asciiTheme="minorHAnsi" w:eastAsia="Times New Roman" w:hAnsiTheme="minorHAnsi" w:cstheme="minorHAnsi"/>
                <w:color w:val="000000"/>
                <w:sz w:val="12"/>
                <w:szCs w:val="12"/>
                <w:lang w:eastAsia="es-MX"/>
              </w:rPr>
              <w:t>Trab.Espec</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Proc</w:t>
            </w:r>
            <w:proofErr w:type="spellEnd"/>
            <w:r w:rsidRPr="005F45A3">
              <w:rPr>
                <w:rFonts w:asciiTheme="minorHAnsi" w:eastAsia="Times New Roman" w:hAnsiTheme="minorHAnsi" w:cstheme="minorHAnsi"/>
                <w:color w:val="000000"/>
                <w:sz w:val="12"/>
                <w:szCs w:val="12"/>
                <w:lang w:eastAsia="es-MX"/>
              </w:rPr>
              <w:t>.</w:t>
            </w:r>
          </w:p>
        </w:tc>
        <w:tc>
          <w:tcPr>
            <w:tcW w:w="1140" w:type="dxa"/>
            <w:tcBorders>
              <w:top w:val="nil"/>
              <w:left w:val="nil"/>
              <w:bottom w:val="single" w:sz="4" w:space="0" w:color="auto"/>
              <w:right w:val="single" w:sz="4" w:space="0" w:color="auto"/>
            </w:tcBorders>
            <w:shd w:val="clear" w:color="000000" w:fill="FFFFFF"/>
            <w:noWrap/>
            <w:vAlign w:val="center"/>
            <w:hideMark/>
          </w:tcPr>
          <w:p w14:paraId="7EEF4C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D638E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F5505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B8D2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C622B8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0767F2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E808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3900</w:t>
            </w:r>
          </w:p>
        </w:tc>
        <w:tc>
          <w:tcPr>
            <w:tcW w:w="3220" w:type="dxa"/>
            <w:tcBorders>
              <w:top w:val="nil"/>
              <w:left w:val="nil"/>
              <w:bottom w:val="single" w:sz="4" w:space="0" w:color="auto"/>
              <w:right w:val="single" w:sz="4" w:space="0" w:color="auto"/>
            </w:tcBorders>
            <w:shd w:val="clear" w:color="000000" w:fill="FFFFFF"/>
            <w:noWrap/>
            <w:vAlign w:val="center"/>
            <w:hideMark/>
          </w:tcPr>
          <w:p w14:paraId="6D9A8D6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5D30B61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0C55C7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E78A3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21C1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B1284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703AE2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CF81E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3902</w:t>
            </w:r>
          </w:p>
        </w:tc>
        <w:tc>
          <w:tcPr>
            <w:tcW w:w="3220" w:type="dxa"/>
            <w:tcBorders>
              <w:top w:val="nil"/>
              <w:left w:val="nil"/>
              <w:bottom w:val="single" w:sz="4" w:space="0" w:color="auto"/>
              <w:right w:val="single" w:sz="4" w:space="0" w:color="auto"/>
            </w:tcBorders>
            <w:shd w:val="clear" w:color="000000" w:fill="FFFFFF"/>
            <w:noWrap/>
            <w:vAlign w:val="center"/>
            <w:hideMark/>
          </w:tcPr>
          <w:p w14:paraId="55A7DB1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Obra-Gasto </w:t>
            </w:r>
            <w:proofErr w:type="spellStart"/>
            <w:r w:rsidRPr="005F45A3">
              <w:rPr>
                <w:rFonts w:asciiTheme="minorHAnsi" w:eastAsia="Times New Roman" w:hAnsiTheme="minorHAnsi" w:cstheme="minorHAnsi"/>
                <w:color w:val="000000"/>
                <w:sz w:val="12"/>
                <w:szCs w:val="12"/>
                <w:lang w:eastAsia="es-MX"/>
              </w:rPr>
              <w:t>Sop</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38C96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37315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10ED9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1BAF9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D0013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C0D8FA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33E02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3903</w:t>
            </w:r>
          </w:p>
        </w:tc>
        <w:tc>
          <w:tcPr>
            <w:tcW w:w="3220" w:type="dxa"/>
            <w:tcBorders>
              <w:top w:val="nil"/>
              <w:left w:val="nil"/>
              <w:bottom w:val="single" w:sz="4" w:space="0" w:color="auto"/>
              <w:right w:val="single" w:sz="4" w:space="0" w:color="auto"/>
            </w:tcBorders>
            <w:shd w:val="clear" w:color="000000" w:fill="FFFFFF"/>
            <w:noWrap/>
            <w:vAlign w:val="center"/>
            <w:hideMark/>
          </w:tcPr>
          <w:p w14:paraId="2CEC7F1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Obra-Gasto </w:t>
            </w:r>
            <w:proofErr w:type="spellStart"/>
            <w:r w:rsidRPr="005F45A3">
              <w:rPr>
                <w:rFonts w:asciiTheme="minorHAnsi" w:eastAsia="Times New Roman" w:hAnsiTheme="minorHAnsi" w:cstheme="minorHAnsi"/>
                <w:color w:val="000000"/>
                <w:sz w:val="12"/>
                <w:szCs w:val="12"/>
                <w:lang w:eastAsia="es-MX"/>
              </w:rPr>
              <w:t>Itife</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07D4C4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8878F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39550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3D9E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0FF452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754928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4C34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4110</w:t>
            </w:r>
          </w:p>
        </w:tc>
        <w:tc>
          <w:tcPr>
            <w:tcW w:w="3220" w:type="dxa"/>
            <w:tcBorders>
              <w:top w:val="nil"/>
              <w:left w:val="nil"/>
              <w:bottom w:val="single" w:sz="4" w:space="0" w:color="auto"/>
              <w:right w:val="single" w:sz="4" w:space="0" w:color="auto"/>
            </w:tcBorders>
            <w:shd w:val="clear" w:color="000000" w:fill="FFFFFF"/>
            <w:noWrap/>
            <w:vAlign w:val="center"/>
            <w:hideMark/>
          </w:tcPr>
          <w:p w14:paraId="697BC6D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Muebles De Oficina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4C8834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04EDE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CA9B7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EB99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1A6387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8EE31D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8713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4120</w:t>
            </w:r>
          </w:p>
        </w:tc>
        <w:tc>
          <w:tcPr>
            <w:tcW w:w="3220" w:type="dxa"/>
            <w:tcBorders>
              <w:top w:val="nil"/>
              <w:left w:val="nil"/>
              <w:bottom w:val="single" w:sz="4" w:space="0" w:color="auto"/>
              <w:right w:val="single" w:sz="4" w:space="0" w:color="auto"/>
            </w:tcBorders>
            <w:shd w:val="clear" w:color="000000" w:fill="FFFFFF"/>
            <w:noWrap/>
            <w:vAlign w:val="center"/>
            <w:hideMark/>
          </w:tcPr>
          <w:p w14:paraId="12F0B08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Muebles Excepto De </w:t>
            </w:r>
            <w:proofErr w:type="spellStart"/>
            <w:r w:rsidRPr="005F45A3">
              <w:rPr>
                <w:rFonts w:asciiTheme="minorHAnsi" w:eastAsia="Times New Roman" w:hAnsiTheme="minorHAnsi" w:cstheme="minorHAnsi"/>
                <w:color w:val="000000"/>
                <w:sz w:val="12"/>
                <w:szCs w:val="12"/>
                <w:lang w:eastAsia="es-MX"/>
              </w:rPr>
              <w:t>Ofna</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Estanteria</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6B025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EAD9B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53423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C51D53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A6D94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13A241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FB53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4130</w:t>
            </w:r>
          </w:p>
        </w:tc>
        <w:tc>
          <w:tcPr>
            <w:tcW w:w="3220" w:type="dxa"/>
            <w:tcBorders>
              <w:top w:val="nil"/>
              <w:left w:val="nil"/>
              <w:bottom w:val="single" w:sz="4" w:space="0" w:color="auto"/>
              <w:right w:val="single" w:sz="4" w:space="0" w:color="auto"/>
            </w:tcBorders>
            <w:shd w:val="clear" w:color="000000" w:fill="FFFFFF"/>
            <w:noWrap/>
            <w:vAlign w:val="center"/>
            <w:hideMark/>
          </w:tcPr>
          <w:p w14:paraId="68AF332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Cómputo Y De Tecnologías De La Inform.</w:t>
            </w:r>
          </w:p>
        </w:tc>
        <w:tc>
          <w:tcPr>
            <w:tcW w:w="1140" w:type="dxa"/>
            <w:tcBorders>
              <w:top w:val="nil"/>
              <w:left w:val="nil"/>
              <w:bottom w:val="single" w:sz="4" w:space="0" w:color="auto"/>
              <w:right w:val="single" w:sz="4" w:space="0" w:color="auto"/>
            </w:tcBorders>
            <w:shd w:val="clear" w:color="000000" w:fill="FFFFFF"/>
            <w:noWrap/>
            <w:vAlign w:val="center"/>
            <w:hideMark/>
          </w:tcPr>
          <w:p w14:paraId="244965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C440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39EFAE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FB2C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50D4DD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BCEBE3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8685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4190</w:t>
            </w:r>
          </w:p>
        </w:tc>
        <w:tc>
          <w:tcPr>
            <w:tcW w:w="3220" w:type="dxa"/>
            <w:tcBorders>
              <w:top w:val="nil"/>
              <w:left w:val="nil"/>
              <w:bottom w:val="single" w:sz="4" w:space="0" w:color="auto"/>
              <w:right w:val="single" w:sz="4" w:space="0" w:color="auto"/>
            </w:tcBorders>
            <w:shd w:val="clear" w:color="000000" w:fill="FFFFFF"/>
            <w:noWrap/>
            <w:vAlign w:val="center"/>
            <w:hideMark/>
          </w:tcPr>
          <w:p w14:paraId="09B2E9B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Mobiliarios Y Equipos De Administración</w:t>
            </w:r>
          </w:p>
        </w:tc>
        <w:tc>
          <w:tcPr>
            <w:tcW w:w="1140" w:type="dxa"/>
            <w:tcBorders>
              <w:top w:val="nil"/>
              <w:left w:val="nil"/>
              <w:bottom w:val="single" w:sz="4" w:space="0" w:color="auto"/>
              <w:right w:val="single" w:sz="4" w:space="0" w:color="auto"/>
            </w:tcBorders>
            <w:shd w:val="clear" w:color="000000" w:fill="FFFFFF"/>
            <w:noWrap/>
            <w:vAlign w:val="center"/>
            <w:hideMark/>
          </w:tcPr>
          <w:p w14:paraId="2FBD59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E23BC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BF3B9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0190EA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C54C9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4689800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6386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4210</w:t>
            </w:r>
          </w:p>
        </w:tc>
        <w:tc>
          <w:tcPr>
            <w:tcW w:w="3220" w:type="dxa"/>
            <w:tcBorders>
              <w:top w:val="nil"/>
              <w:left w:val="nil"/>
              <w:bottom w:val="single" w:sz="4" w:space="0" w:color="auto"/>
              <w:right w:val="single" w:sz="4" w:space="0" w:color="auto"/>
            </w:tcBorders>
            <w:shd w:val="clear" w:color="000000" w:fill="FFFFFF"/>
            <w:noWrap/>
            <w:vAlign w:val="center"/>
            <w:hideMark/>
          </w:tcPr>
          <w:p w14:paraId="7635D7A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Aparatos Audiovisuales</w:t>
            </w:r>
          </w:p>
        </w:tc>
        <w:tc>
          <w:tcPr>
            <w:tcW w:w="1140" w:type="dxa"/>
            <w:tcBorders>
              <w:top w:val="nil"/>
              <w:left w:val="nil"/>
              <w:bottom w:val="single" w:sz="4" w:space="0" w:color="auto"/>
              <w:right w:val="single" w:sz="4" w:space="0" w:color="auto"/>
            </w:tcBorders>
            <w:shd w:val="clear" w:color="000000" w:fill="FFFFFF"/>
            <w:noWrap/>
            <w:vAlign w:val="center"/>
            <w:hideMark/>
          </w:tcPr>
          <w:p w14:paraId="0AA01D2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B8C48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0FB2FD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0A54E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0D1AA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456D96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4014F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4220</w:t>
            </w:r>
          </w:p>
        </w:tc>
        <w:tc>
          <w:tcPr>
            <w:tcW w:w="3220" w:type="dxa"/>
            <w:tcBorders>
              <w:top w:val="nil"/>
              <w:left w:val="nil"/>
              <w:bottom w:val="single" w:sz="4" w:space="0" w:color="auto"/>
              <w:right w:val="single" w:sz="4" w:space="0" w:color="auto"/>
            </w:tcBorders>
            <w:shd w:val="clear" w:color="000000" w:fill="FFFFFF"/>
            <w:noWrap/>
            <w:vAlign w:val="center"/>
            <w:hideMark/>
          </w:tcPr>
          <w:p w14:paraId="616615F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Aparatos Deportivos</w:t>
            </w:r>
          </w:p>
        </w:tc>
        <w:tc>
          <w:tcPr>
            <w:tcW w:w="1140" w:type="dxa"/>
            <w:tcBorders>
              <w:top w:val="nil"/>
              <w:left w:val="nil"/>
              <w:bottom w:val="single" w:sz="4" w:space="0" w:color="auto"/>
              <w:right w:val="single" w:sz="4" w:space="0" w:color="auto"/>
            </w:tcBorders>
            <w:shd w:val="clear" w:color="000000" w:fill="FFFFFF"/>
            <w:noWrap/>
            <w:vAlign w:val="center"/>
            <w:hideMark/>
          </w:tcPr>
          <w:p w14:paraId="24649C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2D51E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050EC76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0390B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5AD339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8A262A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E072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4230</w:t>
            </w:r>
          </w:p>
        </w:tc>
        <w:tc>
          <w:tcPr>
            <w:tcW w:w="3220" w:type="dxa"/>
            <w:tcBorders>
              <w:top w:val="nil"/>
              <w:left w:val="nil"/>
              <w:bottom w:val="single" w:sz="4" w:space="0" w:color="auto"/>
              <w:right w:val="single" w:sz="4" w:space="0" w:color="auto"/>
            </w:tcBorders>
            <w:shd w:val="clear" w:color="000000" w:fill="FFFFFF"/>
            <w:noWrap/>
            <w:vAlign w:val="center"/>
            <w:hideMark/>
          </w:tcPr>
          <w:p w14:paraId="3795B06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Cámaras Fotográficas Y De Video</w:t>
            </w:r>
          </w:p>
        </w:tc>
        <w:tc>
          <w:tcPr>
            <w:tcW w:w="1140" w:type="dxa"/>
            <w:tcBorders>
              <w:top w:val="nil"/>
              <w:left w:val="nil"/>
              <w:bottom w:val="single" w:sz="4" w:space="0" w:color="auto"/>
              <w:right w:val="single" w:sz="4" w:space="0" w:color="auto"/>
            </w:tcBorders>
            <w:shd w:val="clear" w:color="000000" w:fill="FFFFFF"/>
            <w:noWrap/>
            <w:vAlign w:val="center"/>
            <w:hideMark/>
          </w:tcPr>
          <w:p w14:paraId="049C5A3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3D0B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9F4D73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0F03E4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0B911A1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5ECFA4E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8AEB3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4290</w:t>
            </w:r>
          </w:p>
        </w:tc>
        <w:tc>
          <w:tcPr>
            <w:tcW w:w="3220" w:type="dxa"/>
            <w:tcBorders>
              <w:top w:val="nil"/>
              <w:left w:val="nil"/>
              <w:bottom w:val="single" w:sz="4" w:space="0" w:color="auto"/>
              <w:right w:val="single" w:sz="4" w:space="0" w:color="auto"/>
            </w:tcBorders>
            <w:shd w:val="clear" w:color="000000" w:fill="FFFFFF"/>
            <w:noWrap/>
            <w:vAlign w:val="center"/>
            <w:hideMark/>
          </w:tcPr>
          <w:p w14:paraId="113755B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 Mobiliario Y Equipo Educacional Y Recreativo</w:t>
            </w:r>
          </w:p>
        </w:tc>
        <w:tc>
          <w:tcPr>
            <w:tcW w:w="1140" w:type="dxa"/>
            <w:tcBorders>
              <w:top w:val="nil"/>
              <w:left w:val="nil"/>
              <w:bottom w:val="single" w:sz="4" w:space="0" w:color="auto"/>
              <w:right w:val="single" w:sz="4" w:space="0" w:color="auto"/>
            </w:tcBorders>
            <w:shd w:val="clear" w:color="000000" w:fill="FFFFFF"/>
            <w:noWrap/>
            <w:vAlign w:val="center"/>
            <w:hideMark/>
          </w:tcPr>
          <w:p w14:paraId="12E12A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333A6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4F8B61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12CFE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627C57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9237B9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EF6D6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4310</w:t>
            </w:r>
          </w:p>
        </w:tc>
        <w:tc>
          <w:tcPr>
            <w:tcW w:w="3220" w:type="dxa"/>
            <w:tcBorders>
              <w:top w:val="nil"/>
              <w:left w:val="nil"/>
              <w:bottom w:val="single" w:sz="4" w:space="0" w:color="auto"/>
              <w:right w:val="single" w:sz="4" w:space="0" w:color="auto"/>
            </w:tcBorders>
            <w:shd w:val="clear" w:color="000000" w:fill="FFFFFF"/>
            <w:noWrap/>
            <w:vAlign w:val="center"/>
            <w:hideMark/>
          </w:tcPr>
          <w:p w14:paraId="3E81E5D7" w14:textId="4CC3EBA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185B3C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3B3A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E2F45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69339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9212F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A0902C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14A65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4320</w:t>
            </w:r>
          </w:p>
        </w:tc>
        <w:tc>
          <w:tcPr>
            <w:tcW w:w="3220" w:type="dxa"/>
            <w:tcBorders>
              <w:top w:val="nil"/>
              <w:left w:val="nil"/>
              <w:bottom w:val="single" w:sz="4" w:space="0" w:color="auto"/>
              <w:right w:val="single" w:sz="4" w:space="0" w:color="auto"/>
            </w:tcBorders>
            <w:shd w:val="clear" w:color="000000" w:fill="FFFFFF"/>
            <w:noWrap/>
            <w:vAlign w:val="center"/>
            <w:hideMark/>
          </w:tcPr>
          <w:p w14:paraId="7E1FA27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Instrumental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1EA958F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1C8027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1140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92A2F6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3269A5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21406F7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6BC7D6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4410</w:t>
            </w:r>
          </w:p>
        </w:tc>
        <w:tc>
          <w:tcPr>
            <w:tcW w:w="3220" w:type="dxa"/>
            <w:tcBorders>
              <w:top w:val="nil"/>
              <w:left w:val="nil"/>
              <w:bottom w:val="single" w:sz="4" w:space="0" w:color="auto"/>
              <w:right w:val="single" w:sz="4" w:space="0" w:color="auto"/>
            </w:tcBorders>
            <w:shd w:val="clear" w:color="000000" w:fill="FFFFFF"/>
            <w:noWrap/>
            <w:vAlign w:val="center"/>
            <w:hideMark/>
          </w:tcPr>
          <w:p w14:paraId="6824EFC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Autos Para Uso Administrativo Y De Oficina</w:t>
            </w:r>
          </w:p>
        </w:tc>
        <w:tc>
          <w:tcPr>
            <w:tcW w:w="1140" w:type="dxa"/>
            <w:tcBorders>
              <w:top w:val="nil"/>
              <w:left w:val="nil"/>
              <w:bottom w:val="single" w:sz="4" w:space="0" w:color="auto"/>
              <w:right w:val="single" w:sz="4" w:space="0" w:color="auto"/>
            </w:tcBorders>
            <w:shd w:val="clear" w:color="000000" w:fill="FFFFFF"/>
            <w:noWrap/>
            <w:vAlign w:val="center"/>
            <w:hideMark/>
          </w:tcPr>
          <w:p w14:paraId="6C107B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F6139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5FE102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020" w:type="dxa"/>
            <w:tcBorders>
              <w:top w:val="nil"/>
              <w:left w:val="nil"/>
              <w:bottom w:val="single" w:sz="4" w:space="0" w:color="auto"/>
              <w:right w:val="single" w:sz="4" w:space="0" w:color="auto"/>
            </w:tcBorders>
            <w:shd w:val="clear" w:color="000000" w:fill="FFFFFF"/>
            <w:noWrap/>
            <w:vAlign w:val="bottom"/>
            <w:hideMark/>
          </w:tcPr>
          <w:p w14:paraId="5621A24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635A7B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74ADA20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001B2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4411</w:t>
            </w:r>
          </w:p>
        </w:tc>
        <w:tc>
          <w:tcPr>
            <w:tcW w:w="3220" w:type="dxa"/>
            <w:tcBorders>
              <w:top w:val="nil"/>
              <w:left w:val="nil"/>
              <w:bottom w:val="single" w:sz="4" w:space="0" w:color="auto"/>
              <w:right w:val="single" w:sz="4" w:space="0" w:color="auto"/>
            </w:tcBorders>
            <w:shd w:val="clear" w:color="000000" w:fill="FFFFFF"/>
            <w:noWrap/>
            <w:vAlign w:val="center"/>
            <w:hideMark/>
          </w:tcPr>
          <w:p w14:paraId="1C220E0A" w14:textId="58F07351"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Grúas</w:t>
            </w:r>
          </w:p>
        </w:tc>
        <w:tc>
          <w:tcPr>
            <w:tcW w:w="1140" w:type="dxa"/>
            <w:tcBorders>
              <w:top w:val="nil"/>
              <w:left w:val="nil"/>
              <w:bottom w:val="single" w:sz="4" w:space="0" w:color="auto"/>
              <w:right w:val="single" w:sz="4" w:space="0" w:color="auto"/>
            </w:tcBorders>
            <w:shd w:val="clear" w:color="000000" w:fill="FFFFFF"/>
            <w:noWrap/>
            <w:vAlign w:val="center"/>
            <w:hideMark/>
          </w:tcPr>
          <w:p w14:paraId="618155D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9C732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9F6F1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192CB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779A47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6A9AA13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2D91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lastRenderedPageBreak/>
              <w:t>4412</w:t>
            </w:r>
          </w:p>
        </w:tc>
        <w:tc>
          <w:tcPr>
            <w:tcW w:w="3220" w:type="dxa"/>
            <w:tcBorders>
              <w:top w:val="nil"/>
              <w:left w:val="nil"/>
              <w:bottom w:val="single" w:sz="4" w:space="0" w:color="auto"/>
              <w:right w:val="single" w:sz="4" w:space="0" w:color="auto"/>
            </w:tcBorders>
            <w:shd w:val="clear" w:color="000000" w:fill="FFFFFF"/>
            <w:noWrap/>
            <w:vAlign w:val="center"/>
            <w:hideMark/>
          </w:tcPr>
          <w:p w14:paraId="233E51C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Autobuses, Microbuses Y </w:t>
            </w:r>
            <w:proofErr w:type="spellStart"/>
            <w:r w:rsidRPr="005F45A3">
              <w:rPr>
                <w:rFonts w:asciiTheme="minorHAnsi" w:eastAsia="Times New Roman" w:hAnsiTheme="minorHAnsi" w:cstheme="minorHAnsi"/>
                <w:color w:val="000000"/>
                <w:sz w:val="12"/>
                <w:szCs w:val="12"/>
                <w:lang w:eastAsia="es-MX"/>
              </w:rPr>
              <w:t>Vans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28D48BB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0019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7D6D5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7C54F7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78594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EB5B2A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2769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4413</w:t>
            </w:r>
          </w:p>
        </w:tc>
        <w:tc>
          <w:tcPr>
            <w:tcW w:w="3220" w:type="dxa"/>
            <w:tcBorders>
              <w:top w:val="nil"/>
              <w:left w:val="nil"/>
              <w:bottom w:val="single" w:sz="4" w:space="0" w:color="auto"/>
              <w:right w:val="single" w:sz="4" w:space="0" w:color="auto"/>
            </w:tcBorders>
            <w:shd w:val="clear" w:color="000000" w:fill="FFFFFF"/>
            <w:noWrap/>
            <w:vAlign w:val="center"/>
            <w:hideMark/>
          </w:tcPr>
          <w:p w14:paraId="07F9395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Camiones De Volteo Y Carga</w:t>
            </w:r>
          </w:p>
        </w:tc>
        <w:tc>
          <w:tcPr>
            <w:tcW w:w="1140" w:type="dxa"/>
            <w:tcBorders>
              <w:top w:val="nil"/>
              <w:left w:val="nil"/>
              <w:bottom w:val="single" w:sz="4" w:space="0" w:color="auto"/>
              <w:right w:val="single" w:sz="4" w:space="0" w:color="auto"/>
            </w:tcBorders>
            <w:shd w:val="clear" w:color="000000" w:fill="FFFFFF"/>
            <w:noWrap/>
            <w:vAlign w:val="center"/>
            <w:hideMark/>
          </w:tcPr>
          <w:p w14:paraId="7F1A49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828D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617AD4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02774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44BA00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8EE133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B940F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4414</w:t>
            </w:r>
          </w:p>
        </w:tc>
        <w:tc>
          <w:tcPr>
            <w:tcW w:w="3220" w:type="dxa"/>
            <w:tcBorders>
              <w:top w:val="nil"/>
              <w:left w:val="nil"/>
              <w:bottom w:val="single" w:sz="4" w:space="0" w:color="auto"/>
              <w:right w:val="single" w:sz="4" w:space="0" w:color="auto"/>
            </w:tcBorders>
            <w:shd w:val="clear" w:color="000000" w:fill="FFFFFF"/>
            <w:noWrap/>
            <w:vAlign w:val="center"/>
            <w:hideMark/>
          </w:tcPr>
          <w:p w14:paraId="4A2C48F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Ambulancias</w:t>
            </w:r>
          </w:p>
        </w:tc>
        <w:tc>
          <w:tcPr>
            <w:tcW w:w="1140" w:type="dxa"/>
            <w:tcBorders>
              <w:top w:val="nil"/>
              <w:left w:val="nil"/>
              <w:bottom w:val="single" w:sz="4" w:space="0" w:color="auto"/>
              <w:right w:val="single" w:sz="4" w:space="0" w:color="auto"/>
            </w:tcBorders>
            <w:shd w:val="clear" w:color="000000" w:fill="FFFFFF"/>
            <w:noWrap/>
            <w:vAlign w:val="center"/>
            <w:hideMark/>
          </w:tcPr>
          <w:p w14:paraId="1FF7B88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6F88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3ADA7E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B435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1170A1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2661FD2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64E4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4415</w:t>
            </w:r>
          </w:p>
        </w:tc>
        <w:tc>
          <w:tcPr>
            <w:tcW w:w="3220" w:type="dxa"/>
            <w:tcBorders>
              <w:top w:val="nil"/>
              <w:left w:val="nil"/>
              <w:bottom w:val="single" w:sz="4" w:space="0" w:color="auto"/>
              <w:right w:val="single" w:sz="4" w:space="0" w:color="auto"/>
            </w:tcBorders>
            <w:shd w:val="clear" w:color="000000" w:fill="FFFFFF"/>
            <w:noWrap/>
            <w:vAlign w:val="center"/>
            <w:hideMark/>
          </w:tcPr>
          <w:p w14:paraId="49AF22C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Camiones De Basura</w:t>
            </w:r>
          </w:p>
        </w:tc>
        <w:tc>
          <w:tcPr>
            <w:tcW w:w="1140" w:type="dxa"/>
            <w:tcBorders>
              <w:top w:val="nil"/>
              <w:left w:val="nil"/>
              <w:bottom w:val="single" w:sz="4" w:space="0" w:color="auto"/>
              <w:right w:val="single" w:sz="4" w:space="0" w:color="auto"/>
            </w:tcBorders>
            <w:shd w:val="clear" w:color="000000" w:fill="FFFFFF"/>
            <w:noWrap/>
            <w:vAlign w:val="center"/>
            <w:hideMark/>
          </w:tcPr>
          <w:p w14:paraId="5ED6EF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6C164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74356C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089B34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DAE64E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2572E9F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38EE1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4416</w:t>
            </w:r>
          </w:p>
        </w:tc>
        <w:tc>
          <w:tcPr>
            <w:tcW w:w="3220" w:type="dxa"/>
            <w:tcBorders>
              <w:top w:val="nil"/>
              <w:left w:val="nil"/>
              <w:bottom w:val="single" w:sz="4" w:space="0" w:color="auto"/>
              <w:right w:val="single" w:sz="4" w:space="0" w:color="auto"/>
            </w:tcBorders>
            <w:shd w:val="clear" w:color="000000" w:fill="FFFFFF"/>
            <w:noWrap/>
            <w:vAlign w:val="center"/>
            <w:hideMark/>
          </w:tcPr>
          <w:p w14:paraId="5B1217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Patrullas,Motocicletas</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Cuatrimotos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602B0FC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F09BE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63E3F9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3BEEB9D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505D46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3247548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857B7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4420</w:t>
            </w:r>
          </w:p>
        </w:tc>
        <w:tc>
          <w:tcPr>
            <w:tcW w:w="3220" w:type="dxa"/>
            <w:tcBorders>
              <w:top w:val="nil"/>
              <w:left w:val="nil"/>
              <w:bottom w:val="single" w:sz="4" w:space="0" w:color="auto"/>
              <w:right w:val="single" w:sz="4" w:space="0" w:color="auto"/>
            </w:tcBorders>
            <w:shd w:val="clear" w:color="000000" w:fill="FFFFFF"/>
            <w:noWrap/>
            <w:vAlign w:val="center"/>
            <w:hideMark/>
          </w:tcPr>
          <w:p w14:paraId="4FDF92C6" w14:textId="50D745F3"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Carrocerías Y Remolques</w:t>
            </w:r>
          </w:p>
        </w:tc>
        <w:tc>
          <w:tcPr>
            <w:tcW w:w="1140" w:type="dxa"/>
            <w:tcBorders>
              <w:top w:val="nil"/>
              <w:left w:val="nil"/>
              <w:bottom w:val="single" w:sz="4" w:space="0" w:color="auto"/>
              <w:right w:val="single" w:sz="4" w:space="0" w:color="auto"/>
            </w:tcBorders>
            <w:shd w:val="clear" w:color="000000" w:fill="FFFFFF"/>
            <w:noWrap/>
            <w:vAlign w:val="center"/>
            <w:hideMark/>
          </w:tcPr>
          <w:p w14:paraId="4F0E95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D85E0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1403E5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748271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B4F0A3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4056BA" w:rsidRPr="00295AC0" w14:paraId="41263160" w14:textId="77777777" w:rsidTr="00291DC2">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EBBF695"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0BEFA898" w14:textId="77777777" w:rsidR="004056BA" w:rsidRPr="00295AC0" w:rsidRDefault="004056BA" w:rsidP="00291DC2">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04238971"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625C6CB2"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0EC2CECB"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62840B53"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7EB35739"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526EC3" w:rsidRPr="005F45A3" w14:paraId="37BA75B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822D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4430</w:t>
            </w:r>
          </w:p>
        </w:tc>
        <w:tc>
          <w:tcPr>
            <w:tcW w:w="3220" w:type="dxa"/>
            <w:tcBorders>
              <w:top w:val="nil"/>
              <w:left w:val="nil"/>
              <w:bottom w:val="single" w:sz="4" w:space="0" w:color="auto"/>
              <w:right w:val="single" w:sz="4" w:space="0" w:color="auto"/>
            </w:tcBorders>
            <w:shd w:val="clear" w:color="000000" w:fill="FFFFFF"/>
            <w:noWrap/>
            <w:vAlign w:val="center"/>
            <w:hideMark/>
          </w:tcPr>
          <w:p w14:paraId="1E24409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Aeroespacial</w:t>
            </w:r>
          </w:p>
        </w:tc>
        <w:tc>
          <w:tcPr>
            <w:tcW w:w="1140" w:type="dxa"/>
            <w:tcBorders>
              <w:top w:val="nil"/>
              <w:left w:val="nil"/>
              <w:bottom w:val="single" w:sz="4" w:space="0" w:color="auto"/>
              <w:right w:val="single" w:sz="4" w:space="0" w:color="auto"/>
            </w:tcBorders>
            <w:shd w:val="clear" w:color="000000" w:fill="FFFFFF"/>
            <w:noWrap/>
            <w:vAlign w:val="center"/>
            <w:hideMark/>
          </w:tcPr>
          <w:p w14:paraId="6FCE5AA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A77F6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472A44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3B9E4D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301D0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6C0CB53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439D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4431</w:t>
            </w:r>
          </w:p>
        </w:tc>
        <w:tc>
          <w:tcPr>
            <w:tcW w:w="3220" w:type="dxa"/>
            <w:tcBorders>
              <w:top w:val="nil"/>
              <w:left w:val="nil"/>
              <w:bottom w:val="single" w:sz="4" w:space="0" w:color="auto"/>
              <w:right w:val="single" w:sz="4" w:space="0" w:color="auto"/>
            </w:tcBorders>
            <w:shd w:val="clear" w:color="000000" w:fill="FFFFFF"/>
            <w:noWrap/>
            <w:vAlign w:val="center"/>
            <w:hideMark/>
          </w:tcPr>
          <w:p w14:paraId="48027497" w14:textId="6C5DA8F2"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Vehículo Aeroespacial No Tripulado</w:t>
            </w:r>
          </w:p>
        </w:tc>
        <w:tc>
          <w:tcPr>
            <w:tcW w:w="1140" w:type="dxa"/>
            <w:tcBorders>
              <w:top w:val="nil"/>
              <w:left w:val="nil"/>
              <w:bottom w:val="single" w:sz="4" w:space="0" w:color="auto"/>
              <w:right w:val="single" w:sz="4" w:space="0" w:color="auto"/>
            </w:tcBorders>
            <w:shd w:val="clear" w:color="000000" w:fill="FFFFFF"/>
            <w:noWrap/>
            <w:vAlign w:val="center"/>
            <w:hideMark/>
          </w:tcPr>
          <w:p w14:paraId="213F95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5934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3C3119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2BE2C5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14B7D90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7AEF6AC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9094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4440</w:t>
            </w:r>
          </w:p>
        </w:tc>
        <w:tc>
          <w:tcPr>
            <w:tcW w:w="3220" w:type="dxa"/>
            <w:tcBorders>
              <w:top w:val="nil"/>
              <w:left w:val="nil"/>
              <w:bottom w:val="single" w:sz="4" w:space="0" w:color="auto"/>
              <w:right w:val="single" w:sz="4" w:space="0" w:color="auto"/>
            </w:tcBorders>
            <w:shd w:val="clear" w:color="000000" w:fill="FFFFFF"/>
            <w:noWrap/>
            <w:vAlign w:val="center"/>
            <w:hideMark/>
          </w:tcPr>
          <w:p w14:paraId="4BA8B77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Ferroviario</w:t>
            </w:r>
          </w:p>
        </w:tc>
        <w:tc>
          <w:tcPr>
            <w:tcW w:w="1140" w:type="dxa"/>
            <w:tcBorders>
              <w:top w:val="nil"/>
              <w:left w:val="nil"/>
              <w:bottom w:val="single" w:sz="4" w:space="0" w:color="auto"/>
              <w:right w:val="single" w:sz="4" w:space="0" w:color="auto"/>
            </w:tcBorders>
            <w:shd w:val="clear" w:color="000000" w:fill="FFFFFF"/>
            <w:noWrap/>
            <w:vAlign w:val="center"/>
            <w:hideMark/>
          </w:tcPr>
          <w:p w14:paraId="22931E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1579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FE23D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566F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300996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279B610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DF6B3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4450</w:t>
            </w:r>
          </w:p>
        </w:tc>
        <w:tc>
          <w:tcPr>
            <w:tcW w:w="3220" w:type="dxa"/>
            <w:tcBorders>
              <w:top w:val="nil"/>
              <w:left w:val="nil"/>
              <w:bottom w:val="single" w:sz="4" w:space="0" w:color="auto"/>
              <w:right w:val="single" w:sz="4" w:space="0" w:color="auto"/>
            </w:tcBorders>
            <w:shd w:val="clear" w:color="000000" w:fill="FFFFFF"/>
            <w:noWrap/>
            <w:vAlign w:val="center"/>
            <w:hideMark/>
          </w:tcPr>
          <w:p w14:paraId="0F20A08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Embarcaciones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71BA3C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0C0DFB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525334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020" w:type="dxa"/>
            <w:tcBorders>
              <w:top w:val="nil"/>
              <w:left w:val="nil"/>
              <w:bottom w:val="single" w:sz="4" w:space="0" w:color="auto"/>
              <w:right w:val="single" w:sz="4" w:space="0" w:color="auto"/>
            </w:tcBorders>
            <w:shd w:val="clear" w:color="000000" w:fill="FFFFFF"/>
            <w:noWrap/>
            <w:vAlign w:val="bottom"/>
            <w:hideMark/>
          </w:tcPr>
          <w:p w14:paraId="5D0604E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4AF803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3A524EB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EE5EA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4490</w:t>
            </w:r>
          </w:p>
        </w:tc>
        <w:tc>
          <w:tcPr>
            <w:tcW w:w="3220" w:type="dxa"/>
            <w:tcBorders>
              <w:top w:val="nil"/>
              <w:left w:val="nil"/>
              <w:bottom w:val="single" w:sz="4" w:space="0" w:color="auto"/>
              <w:right w:val="single" w:sz="4" w:space="0" w:color="auto"/>
            </w:tcBorders>
            <w:shd w:val="clear" w:color="000000" w:fill="FFFFFF"/>
            <w:noWrap/>
            <w:vAlign w:val="center"/>
            <w:hideMark/>
          </w:tcPr>
          <w:p w14:paraId="25655A4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Equipos De Transporte</w:t>
            </w:r>
          </w:p>
        </w:tc>
        <w:tc>
          <w:tcPr>
            <w:tcW w:w="1140" w:type="dxa"/>
            <w:tcBorders>
              <w:top w:val="nil"/>
              <w:left w:val="nil"/>
              <w:bottom w:val="single" w:sz="4" w:space="0" w:color="auto"/>
              <w:right w:val="single" w:sz="4" w:space="0" w:color="auto"/>
            </w:tcBorders>
            <w:shd w:val="clear" w:color="000000" w:fill="FFFFFF"/>
            <w:noWrap/>
            <w:vAlign w:val="center"/>
            <w:hideMark/>
          </w:tcPr>
          <w:p w14:paraId="3C4625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A2102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F75EE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3893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278527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54E15C1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A34A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4500</w:t>
            </w:r>
          </w:p>
        </w:tc>
        <w:tc>
          <w:tcPr>
            <w:tcW w:w="3220" w:type="dxa"/>
            <w:tcBorders>
              <w:top w:val="nil"/>
              <w:left w:val="nil"/>
              <w:bottom w:val="single" w:sz="4" w:space="0" w:color="auto"/>
              <w:right w:val="single" w:sz="4" w:space="0" w:color="auto"/>
            </w:tcBorders>
            <w:shd w:val="clear" w:color="000000" w:fill="FFFFFF"/>
            <w:noWrap/>
            <w:vAlign w:val="center"/>
            <w:hideMark/>
          </w:tcPr>
          <w:p w14:paraId="4D665B2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Seguridad Publica</w:t>
            </w:r>
          </w:p>
        </w:tc>
        <w:tc>
          <w:tcPr>
            <w:tcW w:w="1140" w:type="dxa"/>
            <w:tcBorders>
              <w:top w:val="nil"/>
              <w:left w:val="nil"/>
              <w:bottom w:val="single" w:sz="4" w:space="0" w:color="auto"/>
              <w:right w:val="single" w:sz="4" w:space="0" w:color="auto"/>
            </w:tcBorders>
            <w:shd w:val="clear" w:color="000000" w:fill="FFFFFF"/>
            <w:noWrap/>
            <w:vAlign w:val="center"/>
            <w:hideMark/>
          </w:tcPr>
          <w:p w14:paraId="6AC449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73FE7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398EDA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86D9D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60526B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430B2C6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95AE3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4610</w:t>
            </w:r>
          </w:p>
        </w:tc>
        <w:tc>
          <w:tcPr>
            <w:tcW w:w="3220" w:type="dxa"/>
            <w:tcBorders>
              <w:top w:val="nil"/>
              <w:left w:val="nil"/>
              <w:bottom w:val="single" w:sz="4" w:space="0" w:color="auto"/>
              <w:right w:val="single" w:sz="4" w:space="0" w:color="auto"/>
            </w:tcBorders>
            <w:shd w:val="clear" w:color="000000" w:fill="FFFFFF"/>
            <w:noWrap/>
            <w:vAlign w:val="center"/>
            <w:hideMark/>
          </w:tcPr>
          <w:p w14:paraId="5D48B2F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Agropecuario</w:t>
            </w:r>
          </w:p>
        </w:tc>
        <w:tc>
          <w:tcPr>
            <w:tcW w:w="1140" w:type="dxa"/>
            <w:tcBorders>
              <w:top w:val="nil"/>
              <w:left w:val="nil"/>
              <w:bottom w:val="single" w:sz="4" w:space="0" w:color="auto"/>
              <w:right w:val="single" w:sz="4" w:space="0" w:color="auto"/>
            </w:tcBorders>
            <w:shd w:val="clear" w:color="000000" w:fill="FFFFFF"/>
            <w:noWrap/>
            <w:vAlign w:val="center"/>
            <w:hideMark/>
          </w:tcPr>
          <w:p w14:paraId="4905AE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9FBB4C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48523D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61165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46FE0A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1098BD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B275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4620</w:t>
            </w:r>
          </w:p>
        </w:tc>
        <w:tc>
          <w:tcPr>
            <w:tcW w:w="3220" w:type="dxa"/>
            <w:tcBorders>
              <w:top w:val="nil"/>
              <w:left w:val="nil"/>
              <w:bottom w:val="single" w:sz="4" w:space="0" w:color="auto"/>
              <w:right w:val="single" w:sz="4" w:space="0" w:color="auto"/>
            </w:tcBorders>
            <w:shd w:val="clear" w:color="000000" w:fill="FFFFFF"/>
            <w:noWrap/>
            <w:vAlign w:val="center"/>
            <w:hideMark/>
          </w:tcPr>
          <w:p w14:paraId="3F5D4CC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Industrial</w:t>
            </w:r>
          </w:p>
        </w:tc>
        <w:tc>
          <w:tcPr>
            <w:tcW w:w="1140" w:type="dxa"/>
            <w:tcBorders>
              <w:top w:val="nil"/>
              <w:left w:val="nil"/>
              <w:bottom w:val="single" w:sz="4" w:space="0" w:color="auto"/>
              <w:right w:val="single" w:sz="4" w:space="0" w:color="auto"/>
            </w:tcBorders>
            <w:shd w:val="clear" w:color="000000" w:fill="FFFFFF"/>
            <w:noWrap/>
            <w:vAlign w:val="center"/>
            <w:hideMark/>
          </w:tcPr>
          <w:p w14:paraId="79564C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EBFA4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913E2E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F4BB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9BB49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613624F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64694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4630</w:t>
            </w:r>
          </w:p>
        </w:tc>
        <w:tc>
          <w:tcPr>
            <w:tcW w:w="3220" w:type="dxa"/>
            <w:tcBorders>
              <w:top w:val="nil"/>
              <w:left w:val="nil"/>
              <w:bottom w:val="single" w:sz="4" w:space="0" w:color="auto"/>
              <w:right w:val="single" w:sz="4" w:space="0" w:color="auto"/>
            </w:tcBorders>
            <w:shd w:val="clear" w:color="000000" w:fill="FFFFFF"/>
            <w:noWrap/>
            <w:vAlign w:val="center"/>
            <w:hideMark/>
          </w:tcPr>
          <w:p w14:paraId="2CB4BFC5" w14:textId="5A785C7F"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Maquinaria Y Equipo De Construcción</w:t>
            </w:r>
          </w:p>
        </w:tc>
        <w:tc>
          <w:tcPr>
            <w:tcW w:w="1140" w:type="dxa"/>
            <w:tcBorders>
              <w:top w:val="nil"/>
              <w:left w:val="nil"/>
              <w:bottom w:val="single" w:sz="4" w:space="0" w:color="auto"/>
              <w:right w:val="single" w:sz="4" w:space="0" w:color="auto"/>
            </w:tcBorders>
            <w:shd w:val="clear" w:color="000000" w:fill="FFFFFF"/>
            <w:noWrap/>
            <w:vAlign w:val="center"/>
            <w:hideMark/>
          </w:tcPr>
          <w:p w14:paraId="2D2DA1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AAB397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25C7DD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F979FD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76DB96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703CAE6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3441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4640</w:t>
            </w:r>
          </w:p>
        </w:tc>
        <w:tc>
          <w:tcPr>
            <w:tcW w:w="3220" w:type="dxa"/>
            <w:tcBorders>
              <w:top w:val="nil"/>
              <w:left w:val="nil"/>
              <w:bottom w:val="single" w:sz="4" w:space="0" w:color="auto"/>
              <w:right w:val="single" w:sz="4" w:space="0" w:color="auto"/>
            </w:tcBorders>
            <w:shd w:val="clear" w:color="000000" w:fill="FFFFFF"/>
            <w:noWrap/>
            <w:vAlign w:val="center"/>
            <w:hideMark/>
          </w:tcPr>
          <w:p w14:paraId="70BB6FE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Aire Acondicionado</w:t>
            </w:r>
          </w:p>
        </w:tc>
        <w:tc>
          <w:tcPr>
            <w:tcW w:w="1140" w:type="dxa"/>
            <w:tcBorders>
              <w:top w:val="nil"/>
              <w:left w:val="nil"/>
              <w:bottom w:val="single" w:sz="4" w:space="0" w:color="auto"/>
              <w:right w:val="single" w:sz="4" w:space="0" w:color="auto"/>
            </w:tcBorders>
            <w:shd w:val="clear" w:color="000000" w:fill="FFFFFF"/>
            <w:noWrap/>
            <w:vAlign w:val="center"/>
            <w:hideMark/>
          </w:tcPr>
          <w:p w14:paraId="61C023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32AE65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FD444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D5B27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3D07D3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2A3408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2FC5F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4650</w:t>
            </w:r>
          </w:p>
        </w:tc>
        <w:tc>
          <w:tcPr>
            <w:tcW w:w="3220" w:type="dxa"/>
            <w:tcBorders>
              <w:top w:val="nil"/>
              <w:left w:val="nil"/>
              <w:bottom w:val="single" w:sz="4" w:space="0" w:color="auto"/>
              <w:right w:val="single" w:sz="4" w:space="0" w:color="auto"/>
            </w:tcBorders>
            <w:shd w:val="clear" w:color="000000" w:fill="FFFFFF"/>
            <w:noWrap/>
            <w:vAlign w:val="center"/>
            <w:hideMark/>
          </w:tcPr>
          <w:p w14:paraId="06FA74F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Comunicaciones Y Telecomunicaciones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51656F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B74AB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05EE65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5BCB8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c>
          <w:tcPr>
            <w:tcW w:w="1220" w:type="dxa"/>
            <w:tcBorders>
              <w:top w:val="nil"/>
              <w:left w:val="nil"/>
              <w:bottom w:val="single" w:sz="4" w:space="0" w:color="auto"/>
              <w:right w:val="single" w:sz="4" w:space="0" w:color="auto"/>
            </w:tcBorders>
            <w:shd w:val="clear" w:color="000000" w:fill="FFFFFF"/>
            <w:noWrap/>
            <w:vAlign w:val="bottom"/>
            <w:hideMark/>
          </w:tcPr>
          <w:p w14:paraId="53F5AA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0.69</w:t>
            </w:r>
          </w:p>
        </w:tc>
      </w:tr>
      <w:tr w:rsidR="00526EC3" w:rsidRPr="005F45A3" w14:paraId="6B8FBC9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EEE27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4660</w:t>
            </w:r>
          </w:p>
        </w:tc>
        <w:tc>
          <w:tcPr>
            <w:tcW w:w="3220" w:type="dxa"/>
            <w:tcBorders>
              <w:top w:val="nil"/>
              <w:left w:val="nil"/>
              <w:bottom w:val="single" w:sz="4" w:space="0" w:color="auto"/>
              <w:right w:val="single" w:sz="4" w:space="0" w:color="auto"/>
            </w:tcBorders>
            <w:shd w:val="clear" w:color="000000" w:fill="FFFFFF"/>
            <w:noWrap/>
            <w:vAlign w:val="center"/>
            <w:hideMark/>
          </w:tcPr>
          <w:p w14:paraId="3672D941" w14:textId="7ADB98C3"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proofErr w:type="spellStart"/>
            <w:r w:rsidRPr="005F45A3">
              <w:rPr>
                <w:rFonts w:asciiTheme="minorHAnsi" w:eastAsia="Times New Roman" w:hAnsiTheme="minorHAnsi" w:cstheme="minorHAnsi"/>
                <w:color w:val="000000"/>
                <w:sz w:val="12"/>
                <w:szCs w:val="12"/>
                <w:lang w:eastAsia="es-MX"/>
              </w:rPr>
              <w:t>Eq.De</w:t>
            </w:r>
            <w:proofErr w:type="spellEnd"/>
            <w:r w:rsidRPr="005F45A3">
              <w:rPr>
                <w:rFonts w:asciiTheme="minorHAnsi" w:eastAsia="Times New Roman" w:hAnsiTheme="minorHAnsi" w:cstheme="minorHAnsi"/>
                <w:color w:val="000000"/>
                <w:sz w:val="12"/>
                <w:szCs w:val="12"/>
                <w:lang w:eastAsia="es-MX"/>
              </w:rPr>
              <w:t xml:space="preserve"> Generación Eléctrica, Aparatos Y Accesorios</w:t>
            </w:r>
          </w:p>
        </w:tc>
        <w:tc>
          <w:tcPr>
            <w:tcW w:w="1140" w:type="dxa"/>
            <w:tcBorders>
              <w:top w:val="nil"/>
              <w:left w:val="nil"/>
              <w:bottom w:val="single" w:sz="4" w:space="0" w:color="auto"/>
              <w:right w:val="single" w:sz="4" w:space="0" w:color="auto"/>
            </w:tcBorders>
            <w:shd w:val="clear" w:color="000000" w:fill="FFFFFF"/>
            <w:noWrap/>
            <w:vAlign w:val="center"/>
            <w:hideMark/>
          </w:tcPr>
          <w:p w14:paraId="6F056D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E3E0E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DBAE4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5E94B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21430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526C95A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41F8A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4670</w:t>
            </w:r>
          </w:p>
        </w:tc>
        <w:tc>
          <w:tcPr>
            <w:tcW w:w="3220" w:type="dxa"/>
            <w:tcBorders>
              <w:top w:val="nil"/>
              <w:left w:val="nil"/>
              <w:bottom w:val="single" w:sz="4" w:space="0" w:color="auto"/>
              <w:right w:val="single" w:sz="4" w:space="0" w:color="auto"/>
            </w:tcBorders>
            <w:shd w:val="clear" w:color="000000" w:fill="FFFFFF"/>
            <w:noWrap/>
            <w:vAlign w:val="center"/>
            <w:hideMark/>
          </w:tcPr>
          <w:p w14:paraId="71EC900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Herramientas Y Máquinas-Herramienta</w:t>
            </w:r>
          </w:p>
        </w:tc>
        <w:tc>
          <w:tcPr>
            <w:tcW w:w="1140" w:type="dxa"/>
            <w:tcBorders>
              <w:top w:val="nil"/>
              <w:left w:val="nil"/>
              <w:bottom w:val="single" w:sz="4" w:space="0" w:color="auto"/>
              <w:right w:val="single" w:sz="4" w:space="0" w:color="auto"/>
            </w:tcBorders>
            <w:shd w:val="clear" w:color="000000" w:fill="FFFFFF"/>
            <w:noWrap/>
            <w:vAlign w:val="center"/>
            <w:hideMark/>
          </w:tcPr>
          <w:p w14:paraId="1B5F59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3ED09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78CEB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432BE7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09C129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275E96A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B50F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4690</w:t>
            </w:r>
          </w:p>
        </w:tc>
        <w:tc>
          <w:tcPr>
            <w:tcW w:w="3220" w:type="dxa"/>
            <w:tcBorders>
              <w:top w:val="nil"/>
              <w:left w:val="nil"/>
              <w:bottom w:val="single" w:sz="4" w:space="0" w:color="auto"/>
              <w:right w:val="single" w:sz="4" w:space="0" w:color="auto"/>
            </w:tcBorders>
            <w:shd w:val="clear" w:color="000000" w:fill="FFFFFF"/>
            <w:noWrap/>
            <w:vAlign w:val="center"/>
            <w:hideMark/>
          </w:tcPr>
          <w:p w14:paraId="7F176C01" w14:textId="3913807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Equipo De Medición</w:t>
            </w:r>
          </w:p>
        </w:tc>
        <w:tc>
          <w:tcPr>
            <w:tcW w:w="1140" w:type="dxa"/>
            <w:tcBorders>
              <w:top w:val="nil"/>
              <w:left w:val="nil"/>
              <w:bottom w:val="single" w:sz="4" w:space="0" w:color="auto"/>
              <w:right w:val="single" w:sz="4" w:space="0" w:color="auto"/>
            </w:tcBorders>
            <w:shd w:val="clear" w:color="000000" w:fill="FFFFFF"/>
            <w:noWrap/>
            <w:vAlign w:val="center"/>
            <w:hideMark/>
          </w:tcPr>
          <w:p w14:paraId="40976D6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C4DF39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2586F7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5DFDD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384E1A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2825935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2C74E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4710</w:t>
            </w:r>
          </w:p>
        </w:tc>
        <w:tc>
          <w:tcPr>
            <w:tcW w:w="3220" w:type="dxa"/>
            <w:tcBorders>
              <w:top w:val="nil"/>
              <w:left w:val="nil"/>
              <w:bottom w:val="single" w:sz="4" w:space="0" w:color="auto"/>
              <w:right w:val="single" w:sz="4" w:space="0" w:color="auto"/>
            </w:tcBorders>
            <w:shd w:val="clear" w:color="000000" w:fill="FFFFFF"/>
            <w:noWrap/>
            <w:vAlign w:val="center"/>
            <w:hideMark/>
          </w:tcPr>
          <w:p w14:paraId="6326F426" w14:textId="2AE07F4E"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Bienes Artísticos, Culturales Y Científicos</w:t>
            </w:r>
          </w:p>
        </w:tc>
        <w:tc>
          <w:tcPr>
            <w:tcW w:w="1140" w:type="dxa"/>
            <w:tcBorders>
              <w:top w:val="nil"/>
              <w:left w:val="nil"/>
              <w:bottom w:val="single" w:sz="4" w:space="0" w:color="auto"/>
              <w:right w:val="single" w:sz="4" w:space="0" w:color="auto"/>
            </w:tcBorders>
            <w:shd w:val="clear" w:color="000000" w:fill="FFFFFF"/>
            <w:noWrap/>
            <w:vAlign w:val="center"/>
            <w:hideMark/>
          </w:tcPr>
          <w:p w14:paraId="687142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C0C3E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CBE2F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21648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719E9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7E3E5D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9365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4720</w:t>
            </w:r>
          </w:p>
        </w:tc>
        <w:tc>
          <w:tcPr>
            <w:tcW w:w="3220" w:type="dxa"/>
            <w:tcBorders>
              <w:top w:val="nil"/>
              <w:left w:val="nil"/>
              <w:bottom w:val="single" w:sz="4" w:space="0" w:color="auto"/>
              <w:right w:val="single" w:sz="4" w:space="0" w:color="auto"/>
            </w:tcBorders>
            <w:shd w:val="clear" w:color="000000" w:fill="FFFFFF"/>
            <w:noWrap/>
            <w:vAlign w:val="center"/>
            <w:hideMark/>
          </w:tcPr>
          <w:p w14:paraId="65BBDFB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Objetos De Valor</w:t>
            </w:r>
          </w:p>
        </w:tc>
        <w:tc>
          <w:tcPr>
            <w:tcW w:w="1140" w:type="dxa"/>
            <w:tcBorders>
              <w:top w:val="nil"/>
              <w:left w:val="nil"/>
              <w:bottom w:val="single" w:sz="4" w:space="0" w:color="auto"/>
              <w:right w:val="single" w:sz="4" w:space="0" w:color="auto"/>
            </w:tcBorders>
            <w:shd w:val="clear" w:color="000000" w:fill="FFFFFF"/>
            <w:noWrap/>
            <w:vAlign w:val="center"/>
            <w:hideMark/>
          </w:tcPr>
          <w:p w14:paraId="73825C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B293F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86660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A7F8E9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A8E15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53EF35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CF4890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4810</w:t>
            </w:r>
          </w:p>
        </w:tc>
        <w:tc>
          <w:tcPr>
            <w:tcW w:w="3220" w:type="dxa"/>
            <w:tcBorders>
              <w:top w:val="nil"/>
              <w:left w:val="nil"/>
              <w:bottom w:val="single" w:sz="4" w:space="0" w:color="auto"/>
              <w:right w:val="single" w:sz="4" w:space="0" w:color="auto"/>
            </w:tcBorders>
            <w:shd w:val="clear" w:color="000000" w:fill="FFFFFF"/>
            <w:noWrap/>
            <w:vAlign w:val="center"/>
            <w:hideMark/>
          </w:tcPr>
          <w:p w14:paraId="5C3A707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Bovinos</w:t>
            </w:r>
          </w:p>
        </w:tc>
        <w:tc>
          <w:tcPr>
            <w:tcW w:w="1140" w:type="dxa"/>
            <w:tcBorders>
              <w:top w:val="nil"/>
              <w:left w:val="nil"/>
              <w:bottom w:val="single" w:sz="4" w:space="0" w:color="auto"/>
              <w:right w:val="single" w:sz="4" w:space="0" w:color="auto"/>
            </w:tcBorders>
            <w:shd w:val="clear" w:color="000000" w:fill="FFFFFF"/>
            <w:noWrap/>
            <w:vAlign w:val="center"/>
            <w:hideMark/>
          </w:tcPr>
          <w:p w14:paraId="48F88C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22553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CF819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5023C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1CB09A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ECDE1D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09FAA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4820</w:t>
            </w:r>
          </w:p>
        </w:tc>
        <w:tc>
          <w:tcPr>
            <w:tcW w:w="3220" w:type="dxa"/>
            <w:tcBorders>
              <w:top w:val="nil"/>
              <w:left w:val="nil"/>
              <w:bottom w:val="single" w:sz="4" w:space="0" w:color="auto"/>
              <w:right w:val="single" w:sz="4" w:space="0" w:color="auto"/>
            </w:tcBorders>
            <w:shd w:val="clear" w:color="000000" w:fill="FFFFFF"/>
            <w:noWrap/>
            <w:vAlign w:val="center"/>
            <w:hideMark/>
          </w:tcPr>
          <w:p w14:paraId="48E13B9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Porcinos</w:t>
            </w:r>
          </w:p>
        </w:tc>
        <w:tc>
          <w:tcPr>
            <w:tcW w:w="1140" w:type="dxa"/>
            <w:tcBorders>
              <w:top w:val="nil"/>
              <w:left w:val="nil"/>
              <w:bottom w:val="single" w:sz="4" w:space="0" w:color="auto"/>
              <w:right w:val="single" w:sz="4" w:space="0" w:color="auto"/>
            </w:tcBorders>
            <w:shd w:val="clear" w:color="000000" w:fill="FFFFFF"/>
            <w:noWrap/>
            <w:vAlign w:val="center"/>
            <w:hideMark/>
          </w:tcPr>
          <w:p w14:paraId="03B824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A4F3E7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D1C16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9923A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9D0EA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F38093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B5CF31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4830</w:t>
            </w:r>
          </w:p>
        </w:tc>
        <w:tc>
          <w:tcPr>
            <w:tcW w:w="3220" w:type="dxa"/>
            <w:tcBorders>
              <w:top w:val="nil"/>
              <w:left w:val="nil"/>
              <w:bottom w:val="single" w:sz="4" w:space="0" w:color="auto"/>
              <w:right w:val="single" w:sz="4" w:space="0" w:color="auto"/>
            </w:tcBorders>
            <w:shd w:val="clear" w:color="000000" w:fill="FFFFFF"/>
            <w:noWrap/>
            <w:vAlign w:val="center"/>
            <w:hideMark/>
          </w:tcPr>
          <w:p w14:paraId="77E7271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Aves</w:t>
            </w:r>
          </w:p>
        </w:tc>
        <w:tc>
          <w:tcPr>
            <w:tcW w:w="1140" w:type="dxa"/>
            <w:tcBorders>
              <w:top w:val="nil"/>
              <w:left w:val="nil"/>
              <w:bottom w:val="single" w:sz="4" w:space="0" w:color="auto"/>
              <w:right w:val="single" w:sz="4" w:space="0" w:color="auto"/>
            </w:tcBorders>
            <w:shd w:val="clear" w:color="000000" w:fill="FFFFFF"/>
            <w:noWrap/>
            <w:vAlign w:val="center"/>
            <w:hideMark/>
          </w:tcPr>
          <w:p w14:paraId="79D3F7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3CC8D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9559BE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44B2A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2B5458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7F3DD6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C6EC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4840</w:t>
            </w:r>
          </w:p>
        </w:tc>
        <w:tc>
          <w:tcPr>
            <w:tcW w:w="3220" w:type="dxa"/>
            <w:tcBorders>
              <w:top w:val="nil"/>
              <w:left w:val="nil"/>
              <w:bottom w:val="single" w:sz="4" w:space="0" w:color="auto"/>
              <w:right w:val="single" w:sz="4" w:space="0" w:color="auto"/>
            </w:tcBorders>
            <w:shd w:val="clear" w:color="000000" w:fill="FFFFFF"/>
            <w:noWrap/>
            <w:vAlign w:val="center"/>
            <w:hideMark/>
          </w:tcPr>
          <w:p w14:paraId="415BBEB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Ovinos Y Caprinos</w:t>
            </w:r>
          </w:p>
        </w:tc>
        <w:tc>
          <w:tcPr>
            <w:tcW w:w="1140" w:type="dxa"/>
            <w:tcBorders>
              <w:top w:val="nil"/>
              <w:left w:val="nil"/>
              <w:bottom w:val="single" w:sz="4" w:space="0" w:color="auto"/>
              <w:right w:val="single" w:sz="4" w:space="0" w:color="auto"/>
            </w:tcBorders>
            <w:shd w:val="clear" w:color="000000" w:fill="FFFFFF"/>
            <w:noWrap/>
            <w:vAlign w:val="center"/>
            <w:hideMark/>
          </w:tcPr>
          <w:p w14:paraId="77AF56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C9E1F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9271D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CA9D0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9B1E0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931206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8255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4850</w:t>
            </w:r>
          </w:p>
        </w:tc>
        <w:tc>
          <w:tcPr>
            <w:tcW w:w="3220" w:type="dxa"/>
            <w:tcBorders>
              <w:top w:val="nil"/>
              <w:left w:val="nil"/>
              <w:bottom w:val="single" w:sz="4" w:space="0" w:color="auto"/>
              <w:right w:val="single" w:sz="4" w:space="0" w:color="auto"/>
            </w:tcBorders>
            <w:shd w:val="clear" w:color="000000" w:fill="FFFFFF"/>
            <w:noWrap/>
            <w:vAlign w:val="center"/>
            <w:hideMark/>
          </w:tcPr>
          <w:p w14:paraId="301A8E7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Peces Y Acuicultura</w:t>
            </w:r>
          </w:p>
        </w:tc>
        <w:tc>
          <w:tcPr>
            <w:tcW w:w="1140" w:type="dxa"/>
            <w:tcBorders>
              <w:top w:val="nil"/>
              <w:left w:val="nil"/>
              <w:bottom w:val="single" w:sz="4" w:space="0" w:color="auto"/>
              <w:right w:val="single" w:sz="4" w:space="0" w:color="auto"/>
            </w:tcBorders>
            <w:shd w:val="clear" w:color="000000" w:fill="FFFFFF"/>
            <w:noWrap/>
            <w:vAlign w:val="center"/>
            <w:hideMark/>
          </w:tcPr>
          <w:p w14:paraId="05D975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286476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46CE97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1447D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B8BB1D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85AC40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B5C1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4860</w:t>
            </w:r>
          </w:p>
        </w:tc>
        <w:tc>
          <w:tcPr>
            <w:tcW w:w="3220" w:type="dxa"/>
            <w:tcBorders>
              <w:top w:val="nil"/>
              <w:left w:val="nil"/>
              <w:bottom w:val="single" w:sz="4" w:space="0" w:color="auto"/>
              <w:right w:val="single" w:sz="4" w:space="0" w:color="auto"/>
            </w:tcBorders>
            <w:shd w:val="clear" w:color="000000" w:fill="FFFFFF"/>
            <w:noWrap/>
            <w:vAlign w:val="center"/>
            <w:hideMark/>
          </w:tcPr>
          <w:p w14:paraId="23C765A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Equinos</w:t>
            </w:r>
          </w:p>
        </w:tc>
        <w:tc>
          <w:tcPr>
            <w:tcW w:w="1140" w:type="dxa"/>
            <w:tcBorders>
              <w:top w:val="nil"/>
              <w:left w:val="nil"/>
              <w:bottom w:val="single" w:sz="4" w:space="0" w:color="auto"/>
              <w:right w:val="single" w:sz="4" w:space="0" w:color="auto"/>
            </w:tcBorders>
            <w:shd w:val="clear" w:color="000000" w:fill="FFFFFF"/>
            <w:noWrap/>
            <w:vAlign w:val="center"/>
            <w:hideMark/>
          </w:tcPr>
          <w:p w14:paraId="339458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D0EE2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F1A8F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90A1D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4122D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B70E7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1FF7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4870</w:t>
            </w:r>
          </w:p>
        </w:tc>
        <w:tc>
          <w:tcPr>
            <w:tcW w:w="3220" w:type="dxa"/>
            <w:tcBorders>
              <w:top w:val="nil"/>
              <w:left w:val="nil"/>
              <w:bottom w:val="single" w:sz="4" w:space="0" w:color="auto"/>
              <w:right w:val="single" w:sz="4" w:space="0" w:color="auto"/>
            </w:tcBorders>
            <w:shd w:val="clear" w:color="000000" w:fill="FFFFFF"/>
            <w:noWrap/>
            <w:vAlign w:val="center"/>
            <w:hideMark/>
          </w:tcPr>
          <w:p w14:paraId="5E74F50F" w14:textId="3EB19DD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Especies Menores Y De Zoológico</w:t>
            </w:r>
          </w:p>
        </w:tc>
        <w:tc>
          <w:tcPr>
            <w:tcW w:w="1140" w:type="dxa"/>
            <w:tcBorders>
              <w:top w:val="nil"/>
              <w:left w:val="nil"/>
              <w:bottom w:val="single" w:sz="4" w:space="0" w:color="auto"/>
              <w:right w:val="single" w:sz="4" w:space="0" w:color="auto"/>
            </w:tcBorders>
            <w:shd w:val="clear" w:color="000000" w:fill="FFFFFF"/>
            <w:noWrap/>
            <w:vAlign w:val="center"/>
            <w:hideMark/>
          </w:tcPr>
          <w:p w14:paraId="47EA32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E9FD0C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4196D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E90C0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23747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74AEC9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2B1EB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4880</w:t>
            </w:r>
          </w:p>
        </w:tc>
        <w:tc>
          <w:tcPr>
            <w:tcW w:w="3220" w:type="dxa"/>
            <w:tcBorders>
              <w:top w:val="nil"/>
              <w:left w:val="nil"/>
              <w:bottom w:val="single" w:sz="4" w:space="0" w:color="auto"/>
              <w:right w:val="single" w:sz="4" w:space="0" w:color="auto"/>
            </w:tcBorders>
            <w:shd w:val="clear" w:color="000000" w:fill="FFFFFF"/>
            <w:noWrap/>
            <w:vAlign w:val="center"/>
            <w:hideMark/>
          </w:tcPr>
          <w:p w14:paraId="0E952D6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Arboles Y Plantas</w:t>
            </w:r>
          </w:p>
        </w:tc>
        <w:tc>
          <w:tcPr>
            <w:tcW w:w="1140" w:type="dxa"/>
            <w:tcBorders>
              <w:top w:val="nil"/>
              <w:left w:val="nil"/>
              <w:bottom w:val="single" w:sz="4" w:space="0" w:color="auto"/>
              <w:right w:val="single" w:sz="4" w:space="0" w:color="auto"/>
            </w:tcBorders>
            <w:shd w:val="clear" w:color="000000" w:fill="FFFFFF"/>
            <w:noWrap/>
            <w:vAlign w:val="center"/>
            <w:hideMark/>
          </w:tcPr>
          <w:p w14:paraId="0BFC4E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94BC7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B2223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CB57D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EF565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DEF76D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062A2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4890</w:t>
            </w:r>
          </w:p>
        </w:tc>
        <w:tc>
          <w:tcPr>
            <w:tcW w:w="3220" w:type="dxa"/>
            <w:tcBorders>
              <w:top w:val="nil"/>
              <w:left w:val="nil"/>
              <w:bottom w:val="single" w:sz="4" w:space="0" w:color="auto"/>
              <w:right w:val="single" w:sz="4" w:space="0" w:color="auto"/>
            </w:tcBorders>
            <w:shd w:val="clear" w:color="000000" w:fill="FFFFFF"/>
            <w:noWrap/>
            <w:vAlign w:val="center"/>
            <w:hideMark/>
          </w:tcPr>
          <w:p w14:paraId="030EBB8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Activos Biológicos Flora Y Fauna</w:t>
            </w:r>
          </w:p>
        </w:tc>
        <w:tc>
          <w:tcPr>
            <w:tcW w:w="1140" w:type="dxa"/>
            <w:tcBorders>
              <w:top w:val="nil"/>
              <w:left w:val="nil"/>
              <w:bottom w:val="single" w:sz="4" w:space="0" w:color="auto"/>
              <w:right w:val="single" w:sz="4" w:space="0" w:color="auto"/>
            </w:tcBorders>
            <w:shd w:val="clear" w:color="000000" w:fill="FFFFFF"/>
            <w:noWrap/>
            <w:vAlign w:val="center"/>
            <w:hideMark/>
          </w:tcPr>
          <w:p w14:paraId="673BCE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7C683D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5F9CFF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BAD21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BF4EB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BF1311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AFE1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5100</w:t>
            </w:r>
          </w:p>
        </w:tc>
        <w:tc>
          <w:tcPr>
            <w:tcW w:w="3220" w:type="dxa"/>
            <w:tcBorders>
              <w:top w:val="nil"/>
              <w:left w:val="nil"/>
              <w:bottom w:val="single" w:sz="4" w:space="0" w:color="auto"/>
              <w:right w:val="single" w:sz="4" w:space="0" w:color="auto"/>
            </w:tcBorders>
            <w:shd w:val="clear" w:color="000000" w:fill="FFFFFF"/>
            <w:noWrap/>
            <w:vAlign w:val="center"/>
            <w:hideMark/>
          </w:tcPr>
          <w:p w14:paraId="6473E74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Software</w:t>
            </w:r>
          </w:p>
        </w:tc>
        <w:tc>
          <w:tcPr>
            <w:tcW w:w="1140" w:type="dxa"/>
            <w:tcBorders>
              <w:top w:val="nil"/>
              <w:left w:val="nil"/>
              <w:bottom w:val="single" w:sz="4" w:space="0" w:color="auto"/>
              <w:right w:val="single" w:sz="4" w:space="0" w:color="auto"/>
            </w:tcBorders>
            <w:shd w:val="clear" w:color="000000" w:fill="FFFFFF"/>
            <w:noWrap/>
            <w:vAlign w:val="center"/>
            <w:hideMark/>
          </w:tcPr>
          <w:p w14:paraId="4D7B69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279F9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C6B65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F0F332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3529496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00C3E81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F3DA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5210</w:t>
            </w:r>
          </w:p>
        </w:tc>
        <w:tc>
          <w:tcPr>
            <w:tcW w:w="3220" w:type="dxa"/>
            <w:tcBorders>
              <w:top w:val="nil"/>
              <w:left w:val="nil"/>
              <w:bottom w:val="single" w:sz="4" w:space="0" w:color="auto"/>
              <w:right w:val="single" w:sz="4" w:space="0" w:color="auto"/>
            </w:tcBorders>
            <w:shd w:val="clear" w:color="000000" w:fill="FFFFFF"/>
            <w:noWrap/>
            <w:vAlign w:val="center"/>
            <w:hideMark/>
          </w:tcPr>
          <w:p w14:paraId="2C246A1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Patentes</w:t>
            </w:r>
          </w:p>
        </w:tc>
        <w:tc>
          <w:tcPr>
            <w:tcW w:w="1140" w:type="dxa"/>
            <w:tcBorders>
              <w:top w:val="nil"/>
              <w:left w:val="nil"/>
              <w:bottom w:val="single" w:sz="4" w:space="0" w:color="auto"/>
              <w:right w:val="single" w:sz="4" w:space="0" w:color="auto"/>
            </w:tcBorders>
            <w:shd w:val="clear" w:color="000000" w:fill="FFFFFF"/>
            <w:noWrap/>
            <w:vAlign w:val="center"/>
            <w:hideMark/>
          </w:tcPr>
          <w:p w14:paraId="0C0689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1D53C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C7C0E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E4108A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FF54E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4C5045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AB7D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5220</w:t>
            </w:r>
          </w:p>
        </w:tc>
        <w:tc>
          <w:tcPr>
            <w:tcW w:w="3220" w:type="dxa"/>
            <w:tcBorders>
              <w:top w:val="nil"/>
              <w:left w:val="nil"/>
              <w:bottom w:val="single" w:sz="4" w:space="0" w:color="auto"/>
              <w:right w:val="single" w:sz="4" w:space="0" w:color="auto"/>
            </w:tcBorders>
            <w:shd w:val="clear" w:color="000000" w:fill="FFFFFF"/>
            <w:noWrap/>
            <w:vAlign w:val="center"/>
            <w:hideMark/>
          </w:tcPr>
          <w:p w14:paraId="2BFCFAE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Marcas</w:t>
            </w:r>
          </w:p>
        </w:tc>
        <w:tc>
          <w:tcPr>
            <w:tcW w:w="1140" w:type="dxa"/>
            <w:tcBorders>
              <w:top w:val="nil"/>
              <w:left w:val="nil"/>
              <w:bottom w:val="single" w:sz="4" w:space="0" w:color="auto"/>
              <w:right w:val="single" w:sz="4" w:space="0" w:color="auto"/>
            </w:tcBorders>
            <w:shd w:val="clear" w:color="000000" w:fill="FFFFFF"/>
            <w:noWrap/>
            <w:vAlign w:val="center"/>
            <w:hideMark/>
          </w:tcPr>
          <w:p w14:paraId="2331F2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E383F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EE60B3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4A30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B3E01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E5D267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43A8B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5230</w:t>
            </w:r>
          </w:p>
        </w:tc>
        <w:tc>
          <w:tcPr>
            <w:tcW w:w="3220" w:type="dxa"/>
            <w:tcBorders>
              <w:top w:val="nil"/>
              <w:left w:val="nil"/>
              <w:bottom w:val="single" w:sz="4" w:space="0" w:color="auto"/>
              <w:right w:val="single" w:sz="4" w:space="0" w:color="auto"/>
            </w:tcBorders>
            <w:shd w:val="clear" w:color="000000" w:fill="FFFFFF"/>
            <w:noWrap/>
            <w:vAlign w:val="center"/>
            <w:hideMark/>
          </w:tcPr>
          <w:p w14:paraId="7FAC2FA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Derechos</w:t>
            </w:r>
          </w:p>
        </w:tc>
        <w:tc>
          <w:tcPr>
            <w:tcW w:w="1140" w:type="dxa"/>
            <w:tcBorders>
              <w:top w:val="nil"/>
              <w:left w:val="nil"/>
              <w:bottom w:val="single" w:sz="4" w:space="0" w:color="auto"/>
              <w:right w:val="single" w:sz="4" w:space="0" w:color="auto"/>
            </w:tcBorders>
            <w:shd w:val="clear" w:color="000000" w:fill="FFFFFF"/>
            <w:noWrap/>
            <w:vAlign w:val="center"/>
            <w:hideMark/>
          </w:tcPr>
          <w:p w14:paraId="0BADC6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49F68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26790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1191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F0C1A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F502B5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98E5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5310</w:t>
            </w:r>
          </w:p>
        </w:tc>
        <w:tc>
          <w:tcPr>
            <w:tcW w:w="3220" w:type="dxa"/>
            <w:tcBorders>
              <w:top w:val="nil"/>
              <w:left w:val="nil"/>
              <w:bottom w:val="single" w:sz="4" w:space="0" w:color="auto"/>
              <w:right w:val="single" w:sz="4" w:space="0" w:color="auto"/>
            </w:tcBorders>
            <w:shd w:val="clear" w:color="000000" w:fill="FFFFFF"/>
            <w:noWrap/>
            <w:vAlign w:val="center"/>
            <w:hideMark/>
          </w:tcPr>
          <w:p w14:paraId="52ABB2B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Concesiones</w:t>
            </w:r>
          </w:p>
        </w:tc>
        <w:tc>
          <w:tcPr>
            <w:tcW w:w="1140" w:type="dxa"/>
            <w:tcBorders>
              <w:top w:val="nil"/>
              <w:left w:val="nil"/>
              <w:bottom w:val="single" w:sz="4" w:space="0" w:color="auto"/>
              <w:right w:val="single" w:sz="4" w:space="0" w:color="auto"/>
            </w:tcBorders>
            <w:shd w:val="clear" w:color="000000" w:fill="FFFFFF"/>
            <w:noWrap/>
            <w:vAlign w:val="center"/>
            <w:hideMark/>
          </w:tcPr>
          <w:p w14:paraId="1FF3AB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1F742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5D0944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DD581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E326B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93E5F8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9C918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5320</w:t>
            </w:r>
          </w:p>
        </w:tc>
        <w:tc>
          <w:tcPr>
            <w:tcW w:w="3220" w:type="dxa"/>
            <w:tcBorders>
              <w:top w:val="nil"/>
              <w:left w:val="nil"/>
              <w:bottom w:val="single" w:sz="4" w:space="0" w:color="auto"/>
              <w:right w:val="single" w:sz="4" w:space="0" w:color="auto"/>
            </w:tcBorders>
            <w:shd w:val="clear" w:color="000000" w:fill="FFFFFF"/>
            <w:noWrap/>
            <w:vAlign w:val="center"/>
            <w:hideMark/>
          </w:tcPr>
          <w:p w14:paraId="1E880D43"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Franquicias</w:t>
            </w:r>
          </w:p>
        </w:tc>
        <w:tc>
          <w:tcPr>
            <w:tcW w:w="1140" w:type="dxa"/>
            <w:tcBorders>
              <w:top w:val="nil"/>
              <w:left w:val="nil"/>
              <w:bottom w:val="single" w:sz="4" w:space="0" w:color="auto"/>
              <w:right w:val="single" w:sz="4" w:space="0" w:color="auto"/>
            </w:tcBorders>
            <w:shd w:val="clear" w:color="000000" w:fill="FFFFFF"/>
            <w:noWrap/>
            <w:vAlign w:val="center"/>
            <w:hideMark/>
          </w:tcPr>
          <w:p w14:paraId="64718AB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2E49F3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7BC2A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8C62B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5870E5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7A0F4D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E26B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5410</w:t>
            </w:r>
          </w:p>
        </w:tc>
        <w:tc>
          <w:tcPr>
            <w:tcW w:w="3220" w:type="dxa"/>
            <w:tcBorders>
              <w:top w:val="nil"/>
              <w:left w:val="nil"/>
              <w:bottom w:val="single" w:sz="4" w:space="0" w:color="auto"/>
              <w:right w:val="single" w:sz="4" w:space="0" w:color="auto"/>
            </w:tcBorders>
            <w:shd w:val="clear" w:color="000000" w:fill="FFFFFF"/>
            <w:noWrap/>
            <w:vAlign w:val="center"/>
            <w:hideMark/>
          </w:tcPr>
          <w:p w14:paraId="0153F07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Licencias Informáticas E Intelectuales</w:t>
            </w:r>
          </w:p>
        </w:tc>
        <w:tc>
          <w:tcPr>
            <w:tcW w:w="1140" w:type="dxa"/>
            <w:tcBorders>
              <w:top w:val="nil"/>
              <w:left w:val="nil"/>
              <w:bottom w:val="single" w:sz="4" w:space="0" w:color="auto"/>
              <w:right w:val="single" w:sz="4" w:space="0" w:color="auto"/>
            </w:tcBorders>
            <w:shd w:val="clear" w:color="000000" w:fill="FFFFFF"/>
            <w:noWrap/>
            <w:vAlign w:val="center"/>
            <w:hideMark/>
          </w:tcPr>
          <w:p w14:paraId="0C3CDF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643A7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C779D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3E692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4F9E51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1375D2E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DD08E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5420</w:t>
            </w:r>
          </w:p>
        </w:tc>
        <w:tc>
          <w:tcPr>
            <w:tcW w:w="3220" w:type="dxa"/>
            <w:tcBorders>
              <w:top w:val="nil"/>
              <w:left w:val="nil"/>
              <w:bottom w:val="single" w:sz="4" w:space="0" w:color="auto"/>
              <w:right w:val="single" w:sz="4" w:space="0" w:color="auto"/>
            </w:tcBorders>
            <w:shd w:val="clear" w:color="000000" w:fill="FFFFFF"/>
            <w:noWrap/>
            <w:vAlign w:val="center"/>
            <w:hideMark/>
          </w:tcPr>
          <w:p w14:paraId="6EACA13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Licencias Industriales, Comerciales Y Otras</w:t>
            </w:r>
          </w:p>
        </w:tc>
        <w:tc>
          <w:tcPr>
            <w:tcW w:w="1140" w:type="dxa"/>
            <w:tcBorders>
              <w:top w:val="nil"/>
              <w:left w:val="nil"/>
              <w:bottom w:val="single" w:sz="4" w:space="0" w:color="auto"/>
              <w:right w:val="single" w:sz="4" w:space="0" w:color="auto"/>
            </w:tcBorders>
            <w:shd w:val="clear" w:color="000000" w:fill="FFFFFF"/>
            <w:noWrap/>
            <w:vAlign w:val="center"/>
            <w:hideMark/>
          </w:tcPr>
          <w:p w14:paraId="6FB0F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3CD75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C13B0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A6087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42892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D6D26F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28DE0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5900</w:t>
            </w:r>
          </w:p>
        </w:tc>
        <w:tc>
          <w:tcPr>
            <w:tcW w:w="3220" w:type="dxa"/>
            <w:tcBorders>
              <w:top w:val="nil"/>
              <w:left w:val="nil"/>
              <w:bottom w:val="single" w:sz="4" w:space="0" w:color="auto"/>
              <w:right w:val="single" w:sz="4" w:space="0" w:color="auto"/>
            </w:tcBorders>
            <w:shd w:val="clear" w:color="000000" w:fill="FFFFFF"/>
            <w:noWrap/>
            <w:vAlign w:val="center"/>
            <w:hideMark/>
          </w:tcPr>
          <w:p w14:paraId="7CD9B06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Otros Activos Intangibles</w:t>
            </w:r>
          </w:p>
        </w:tc>
        <w:tc>
          <w:tcPr>
            <w:tcW w:w="1140" w:type="dxa"/>
            <w:tcBorders>
              <w:top w:val="nil"/>
              <w:left w:val="nil"/>
              <w:bottom w:val="single" w:sz="4" w:space="0" w:color="auto"/>
              <w:right w:val="single" w:sz="4" w:space="0" w:color="auto"/>
            </w:tcBorders>
            <w:shd w:val="clear" w:color="000000" w:fill="FFFFFF"/>
            <w:noWrap/>
            <w:vAlign w:val="center"/>
            <w:hideMark/>
          </w:tcPr>
          <w:p w14:paraId="4650D8F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6A0B0F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DB275E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26329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712D2EE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6D42BD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7BA8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93100</w:t>
            </w:r>
          </w:p>
        </w:tc>
        <w:tc>
          <w:tcPr>
            <w:tcW w:w="3220" w:type="dxa"/>
            <w:tcBorders>
              <w:top w:val="nil"/>
              <w:left w:val="nil"/>
              <w:bottom w:val="single" w:sz="4" w:space="0" w:color="auto"/>
              <w:right w:val="single" w:sz="4" w:space="0" w:color="auto"/>
            </w:tcBorders>
            <w:shd w:val="clear" w:color="000000" w:fill="FFFFFF"/>
            <w:noWrap/>
            <w:vAlign w:val="center"/>
            <w:hideMark/>
          </w:tcPr>
          <w:p w14:paraId="160C103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Terrenos</w:t>
            </w:r>
          </w:p>
        </w:tc>
        <w:tc>
          <w:tcPr>
            <w:tcW w:w="1140" w:type="dxa"/>
            <w:tcBorders>
              <w:top w:val="nil"/>
              <w:left w:val="nil"/>
              <w:bottom w:val="single" w:sz="4" w:space="0" w:color="auto"/>
              <w:right w:val="single" w:sz="4" w:space="0" w:color="auto"/>
            </w:tcBorders>
            <w:shd w:val="clear" w:color="000000" w:fill="FFFFFF"/>
            <w:noWrap/>
            <w:vAlign w:val="center"/>
            <w:hideMark/>
          </w:tcPr>
          <w:p w14:paraId="67D70D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03993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BD851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4B4A98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1D797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106AA6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A343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93200</w:t>
            </w:r>
          </w:p>
        </w:tc>
        <w:tc>
          <w:tcPr>
            <w:tcW w:w="3220" w:type="dxa"/>
            <w:tcBorders>
              <w:top w:val="nil"/>
              <w:left w:val="nil"/>
              <w:bottom w:val="single" w:sz="4" w:space="0" w:color="auto"/>
              <w:right w:val="single" w:sz="4" w:space="0" w:color="auto"/>
            </w:tcBorders>
            <w:shd w:val="clear" w:color="000000" w:fill="FFFFFF"/>
            <w:noWrap/>
            <w:vAlign w:val="center"/>
            <w:hideMark/>
          </w:tcPr>
          <w:p w14:paraId="6672C7D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Vivienda</w:t>
            </w:r>
          </w:p>
        </w:tc>
        <w:tc>
          <w:tcPr>
            <w:tcW w:w="1140" w:type="dxa"/>
            <w:tcBorders>
              <w:top w:val="nil"/>
              <w:left w:val="nil"/>
              <w:bottom w:val="single" w:sz="4" w:space="0" w:color="auto"/>
              <w:right w:val="single" w:sz="4" w:space="0" w:color="auto"/>
            </w:tcBorders>
            <w:shd w:val="clear" w:color="000000" w:fill="FFFFFF"/>
            <w:noWrap/>
            <w:vAlign w:val="center"/>
            <w:hideMark/>
          </w:tcPr>
          <w:p w14:paraId="5C69B2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5DEC6E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50</w:t>
            </w:r>
          </w:p>
        </w:tc>
        <w:tc>
          <w:tcPr>
            <w:tcW w:w="1180" w:type="dxa"/>
            <w:tcBorders>
              <w:top w:val="nil"/>
              <w:left w:val="nil"/>
              <w:bottom w:val="single" w:sz="4" w:space="0" w:color="auto"/>
              <w:right w:val="single" w:sz="4" w:space="0" w:color="auto"/>
            </w:tcBorders>
            <w:shd w:val="clear" w:color="000000" w:fill="FFFFFF"/>
            <w:noWrap/>
            <w:vAlign w:val="center"/>
            <w:hideMark/>
          </w:tcPr>
          <w:p w14:paraId="524ABC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824437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w:t>
            </w:r>
          </w:p>
        </w:tc>
        <w:tc>
          <w:tcPr>
            <w:tcW w:w="1220" w:type="dxa"/>
            <w:tcBorders>
              <w:top w:val="nil"/>
              <w:left w:val="nil"/>
              <w:bottom w:val="single" w:sz="4" w:space="0" w:color="auto"/>
              <w:right w:val="single" w:sz="4" w:space="0" w:color="auto"/>
            </w:tcBorders>
            <w:shd w:val="clear" w:color="000000" w:fill="FFFFFF"/>
            <w:noWrap/>
            <w:vAlign w:val="bottom"/>
            <w:hideMark/>
          </w:tcPr>
          <w:p w14:paraId="423D9EE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0.17</w:t>
            </w:r>
          </w:p>
        </w:tc>
      </w:tr>
      <w:tr w:rsidR="00526EC3" w:rsidRPr="005F45A3" w14:paraId="59F13CA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C36B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93310</w:t>
            </w:r>
          </w:p>
        </w:tc>
        <w:tc>
          <w:tcPr>
            <w:tcW w:w="3220" w:type="dxa"/>
            <w:tcBorders>
              <w:top w:val="nil"/>
              <w:left w:val="nil"/>
              <w:bottom w:val="single" w:sz="4" w:space="0" w:color="auto"/>
              <w:right w:val="single" w:sz="4" w:space="0" w:color="auto"/>
            </w:tcBorders>
            <w:shd w:val="clear" w:color="000000" w:fill="FFFFFF"/>
            <w:noWrap/>
            <w:vAlign w:val="center"/>
            <w:hideMark/>
          </w:tcPr>
          <w:p w14:paraId="6F11879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Edificios No Habitacionales (Bienes </w:t>
            </w:r>
            <w:proofErr w:type="spellStart"/>
            <w:r w:rsidRPr="005F45A3">
              <w:rPr>
                <w:rFonts w:asciiTheme="minorHAnsi" w:eastAsia="Times New Roman" w:hAnsiTheme="minorHAnsi" w:cstheme="minorHAnsi"/>
                <w:color w:val="000000"/>
                <w:sz w:val="12"/>
                <w:szCs w:val="12"/>
                <w:lang w:eastAsia="es-MX"/>
              </w:rPr>
              <w:t>Inmu</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0E8BBA2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170F4E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056F5A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C019F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056049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2F8562D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6B165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93320</w:t>
            </w:r>
          </w:p>
        </w:tc>
        <w:tc>
          <w:tcPr>
            <w:tcW w:w="3220" w:type="dxa"/>
            <w:tcBorders>
              <w:top w:val="nil"/>
              <w:left w:val="nil"/>
              <w:bottom w:val="single" w:sz="4" w:space="0" w:color="auto"/>
              <w:right w:val="single" w:sz="4" w:space="0" w:color="auto"/>
            </w:tcBorders>
            <w:shd w:val="clear" w:color="000000" w:fill="FFFFFF"/>
            <w:noWrap/>
            <w:vAlign w:val="center"/>
            <w:hideMark/>
          </w:tcPr>
          <w:p w14:paraId="2E95A95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Edificios</w:t>
            </w:r>
          </w:p>
        </w:tc>
        <w:tc>
          <w:tcPr>
            <w:tcW w:w="1140" w:type="dxa"/>
            <w:tcBorders>
              <w:top w:val="nil"/>
              <w:left w:val="nil"/>
              <w:bottom w:val="single" w:sz="4" w:space="0" w:color="auto"/>
              <w:right w:val="single" w:sz="4" w:space="0" w:color="auto"/>
            </w:tcBorders>
            <w:shd w:val="clear" w:color="000000" w:fill="FFFFFF"/>
            <w:noWrap/>
            <w:vAlign w:val="center"/>
            <w:hideMark/>
          </w:tcPr>
          <w:p w14:paraId="3E8E10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B264F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30</w:t>
            </w:r>
          </w:p>
        </w:tc>
        <w:tc>
          <w:tcPr>
            <w:tcW w:w="1180" w:type="dxa"/>
            <w:tcBorders>
              <w:top w:val="nil"/>
              <w:left w:val="nil"/>
              <w:bottom w:val="single" w:sz="4" w:space="0" w:color="auto"/>
              <w:right w:val="single" w:sz="4" w:space="0" w:color="auto"/>
            </w:tcBorders>
            <w:shd w:val="clear" w:color="000000" w:fill="FFFFFF"/>
            <w:noWrap/>
            <w:vAlign w:val="center"/>
            <w:hideMark/>
          </w:tcPr>
          <w:p w14:paraId="37B8439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306EF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3.33</w:t>
            </w:r>
          </w:p>
        </w:tc>
        <w:tc>
          <w:tcPr>
            <w:tcW w:w="1220" w:type="dxa"/>
            <w:tcBorders>
              <w:top w:val="nil"/>
              <w:left w:val="nil"/>
              <w:bottom w:val="single" w:sz="4" w:space="0" w:color="auto"/>
              <w:right w:val="single" w:sz="4" w:space="0" w:color="auto"/>
            </w:tcBorders>
            <w:shd w:val="clear" w:color="000000" w:fill="FFFFFF"/>
            <w:noWrap/>
            <w:vAlign w:val="bottom"/>
            <w:hideMark/>
          </w:tcPr>
          <w:p w14:paraId="2C17FE5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0.28</w:t>
            </w:r>
          </w:p>
        </w:tc>
      </w:tr>
      <w:tr w:rsidR="00526EC3" w:rsidRPr="005F45A3" w14:paraId="485B9E4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B2DA90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93900</w:t>
            </w:r>
          </w:p>
        </w:tc>
        <w:tc>
          <w:tcPr>
            <w:tcW w:w="3220" w:type="dxa"/>
            <w:tcBorders>
              <w:top w:val="nil"/>
              <w:left w:val="nil"/>
              <w:bottom w:val="single" w:sz="4" w:space="0" w:color="auto"/>
              <w:right w:val="single" w:sz="4" w:space="0" w:color="auto"/>
            </w:tcBorders>
            <w:shd w:val="clear" w:color="000000" w:fill="FFFFFF"/>
            <w:noWrap/>
            <w:vAlign w:val="center"/>
            <w:hideMark/>
          </w:tcPr>
          <w:p w14:paraId="11BA19A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 Bienes Inmuebles</w:t>
            </w:r>
          </w:p>
        </w:tc>
        <w:tc>
          <w:tcPr>
            <w:tcW w:w="1140" w:type="dxa"/>
            <w:tcBorders>
              <w:top w:val="nil"/>
              <w:left w:val="nil"/>
              <w:bottom w:val="single" w:sz="4" w:space="0" w:color="auto"/>
              <w:right w:val="single" w:sz="4" w:space="0" w:color="auto"/>
            </w:tcBorders>
            <w:shd w:val="clear" w:color="000000" w:fill="FFFFFF"/>
            <w:noWrap/>
            <w:vAlign w:val="center"/>
            <w:hideMark/>
          </w:tcPr>
          <w:p w14:paraId="2B76162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3C6F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58B3D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D1AAB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6B8E2CD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06C5E59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DD315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94110</w:t>
            </w:r>
          </w:p>
        </w:tc>
        <w:tc>
          <w:tcPr>
            <w:tcW w:w="3220" w:type="dxa"/>
            <w:tcBorders>
              <w:top w:val="nil"/>
              <w:left w:val="nil"/>
              <w:bottom w:val="single" w:sz="4" w:space="0" w:color="auto"/>
              <w:right w:val="single" w:sz="4" w:space="0" w:color="auto"/>
            </w:tcBorders>
            <w:shd w:val="clear" w:color="000000" w:fill="FFFFFF"/>
            <w:noWrap/>
            <w:vAlign w:val="center"/>
            <w:hideMark/>
          </w:tcPr>
          <w:p w14:paraId="25EFB32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Muebles De Oficina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77B961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DE7B0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C5DCB5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54FB1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D468E1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26BD0AC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04C4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94120</w:t>
            </w:r>
          </w:p>
        </w:tc>
        <w:tc>
          <w:tcPr>
            <w:tcW w:w="3220" w:type="dxa"/>
            <w:tcBorders>
              <w:top w:val="nil"/>
              <w:left w:val="nil"/>
              <w:bottom w:val="single" w:sz="4" w:space="0" w:color="auto"/>
              <w:right w:val="single" w:sz="4" w:space="0" w:color="auto"/>
            </w:tcBorders>
            <w:shd w:val="clear" w:color="000000" w:fill="FFFFFF"/>
            <w:noWrap/>
            <w:vAlign w:val="center"/>
            <w:hideMark/>
          </w:tcPr>
          <w:p w14:paraId="5EE0AD36" w14:textId="2A14604D"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Muebles Excepto De </w:t>
            </w:r>
            <w:proofErr w:type="spellStart"/>
            <w:r w:rsidRPr="005F45A3">
              <w:rPr>
                <w:rFonts w:asciiTheme="minorHAnsi" w:eastAsia="Times New Roman" w:hAnsiTheme="minorHAnsi" w:cstheme="minorHAnsi"/>
                <w:color w:val="000000"/>
                <w:sz w:val="12"/>
                <w:szCs w:val="12"/>
                <w:lang w:eastAsia="es-MX"/>
              </w:rPr>
              <w:t>Ofna</w:t>
            </w:r>
            <w:proofErr w:type="spellEnd"/>
            <w:r w:rsidRPr="005F45A3">
              <w:rPr>
                <w:rFonts w:asciiTheme="minorHAnsi" w:eastAsia="Times New Roman" w:hAnsiTheme="minorHAnsi" w:cstheme="minorHAnsi"/>
                <w:color w:val="000000"/>
                <w:sz w:val="12"/>
                <w:szCs w:val="12"/>
                <w:lang w:eastAsia="es-MX"/>
              </w:rPr>
              <w:t xml:space="preserve"> Y Estantería</w:t>
            </w:r>
          </w:p>
        </w:tc>
        <w:tc>
          <w:tcPr>
            <w:tcW w:w="1140" w:type="dxa"/>
            <w:tcBorders>
              <w:top w:val="nil"/>
              <w:left w:val="nil"/>
              <w:bottom w:val="single" w:sz="4" w:space="0" w:color="auto"/>
              <w:right w:val="single" w:sz="4" w:space="0" w:color="auto"/>
            </w:tcBorders>
            <w:shd w:val="clear" w:color="000000" w:fill="FFFFFF"/>
            <w:noWrap/>
            <w:vAlign w:val="center"/>
            <w:hideMark/>
          </w:tcPr>
          <w:p w14:paraId="6C61CF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F6FB2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7B2DAC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2CE6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2F8BF1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D87B56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5251A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94130</w:t>
            </w:r>
          </w:p>
        </w:tc>
        <w:tc>
          <w:tcPr>
            <w:tcW w:w="3220" w:type="dxa"/>
            <w:tcBorders>
              <w:top w:val="nil"/>
              <w:left w:val="nil"/>
              <w:bottom w:val="single" w:sz="4" w:space="0" w:color="auto"/>
              <w:right w:val="single" w:sz="4" w:space="0" w:color="auto"/>
            </w:tcBorders>
            <w:shd w:val="clear" w:color="000000" w:fill="FFFFFF"/>
            <w:noWrap/>
            <w:vAlign w:val="center"/>
            <w:hideMark/>
          </w:tcPr>
          <w:p w14:paraId="1A1233D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Equipo Cómputo Y Tecnologías De La </w:t>
            </w:r>
            <w:proofErr w:type="spellStart"/>
            <w:r w:rsidRPr="005F45A3">
              <w:rPr>
                <w:rFonts w:asciiTheme="minorHAnsi" w:eastAsia="Times New Roman" w:hAnsiTheme="minorHAnsi" w:cstheme="minorHAnsi"/>
                <w:color w:val="000000"/>
                <w:sz w:val="12"/>
                <w:szCs w:val="12"/>
                <w:lang w:eastAsia="es-MX"/>
              </w:rPr>
              <w:t>Infor</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475C0C0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14686F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79B3A4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BCB7F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48F1C10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778093B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A4764F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94190</w:t>
            </w:r>
          </w:p>
        </w:tc>
        <w:tc>
          <w:tcPr>
            <w:tcW w:w="3220" w:type="dxa"/>
            <w:tcBorders>
              <w:top w:val="nil"/>
              <w:left w:val="nil"/>
              <w:bottom w:val="single" w:sz="4" w:space="0" w:color="auto"/>
              <w:right w:val="single" w:sz="4" w:space="0" w:color="auto"/>
            </w:tcBorders>
            <w:shd w:val="clear" w:color="000000" w:fill="FFFFFF"/>
            <w:noWrap/>
            <w:vAlign w:val="center"/>
            <w:hideMark/>
          </w:tcPr>
          <w:p w14:paraId="7FFA5B2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Otros Mobiliarios Y Equipos De </w:t>
            </w:r>
            <w:proofErr w:type="spellStart"/>
            <w:r w:rsidRPr="005F45A3">
              <w:rPr>
                <w:rFonts w:asciiTheme="minorHAnsi" w:eastAsia="Times New Roman" w:hAnsiTheme="minorHAnsi" w:cstheme="minorHAnsi"/>
                <w:color w:val="000000"/>
                <w:sz w:val="12"/>
                <w:szCs w:val="12"/>
                <w:lang w:eastAsia="es-MX"/>
              </w:rPr>
              <w:t>Administr</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4288FE0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C86385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42D68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11EE5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3F0C9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06A8C0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AB0D4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94210</w:t>
            </w:r>
          </w:p>
        </w:tc>
        <w:tc>
          <w:tcPr>
            <w:tcW w:w="3220" w:type="dxa"/>
            <w:tcBorders>
              <w:top w:val="nil"/>
              <w:left w:val="nil"/>
              <w:bottom w:val="single" w:sz="4" w:space="0" w:color="auto"/>
              <w:right w:val="single" w:sz="4" w:space="0" w:color="auto"/>
            </w:tcBorders>
            <w:shd w:val="clear" w:color="000000" w:fill="FFFFFF"/>
            <w:noWrap/>
            <w:vAlign w:val="center"/>
            <w:hideMark/>
          </w:tcPr>
          <w:p w14:paraId="0CE1F67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Aparatos Audiovisuales</w:t>
            </w:r>
          </w:p>
        </w:tc>
        <w:tc>
          <w:tcPr>
            <w:tcW w:w="1140" w:type="dxa"/>
            <w:tcBorders>
              <w:top w:val="nil"/>
              <w:left w:val="nil"/>
              <w:bottom w:val="single" w:sz="4" w:space="0" w:color="auto"/>
              <w:right w:val="single" w:sz="4" w:space="0" w:color="auto"/>
            </w:tcBorders>
            <w:shd w:val="clear" w:color="000000" w:fill="FFFFFF"/>
            <w:noWrap/>
            <w:vAlign w:val="center"/>
            <w:hideMark/>
          </w:tcPr>
          <w:p w14:paraId="53B96CE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B93B7C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CFF242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1B40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677E39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319D1D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89F4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94220</w:t>
            </w:r>
          </w:p>
        </w:tc>
        <w:tc>
          <w:tcPr>
            <w:tcW w:w="3220" w:type="dxa"/>
            <w:tcBorders>
              <w:top w:val="nil"/>
              <w:left w:val="nil"/>
              <w:bottom w:val="single" w:sz="4" w:space="0" w:color="auto"/>
              <w:right w:val="single" w:sz="4" w:space="0" w:color="auto"/>
            </w:tcBorders>
            <w:shd w:val="clear" w:color="000000" w:fill="FFFFFF"/>
            <w:noWrap/>
            <w:vAlign w:val="center"/>
            <w:hideMark/>
          </w:tcPr>
          <w:p w14:paraId="4177BE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Aparatos Deportivos</w:t>
            </w:r>
          </w:p>
        </w:tc>
        <w:tc>
          <w:tcPr>
            <w:tcW w:w="1140" w:type="dxa"/>
            <w:tcBorders>
              <w:top w:val="nil"/>
              <w:left w:val="nil"/>
              <w:bottom w:val="single" w:sz="4" w:space="0" w:color="auto"/>
              <w:right w:val="single" w:sz="4" w:space="0" w:color="auto"/>
            </w:tcBorders>
            <w:shd w:val="clear" w:color="000000" w:fill="FFFFFF"/>
            <w:noWrap/>
            <w:vAlign w:val="center"/>
            <w:hideMark/>
          </w:tcPr>
          <w:p w14:paraId="29D544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5A4FA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52B6C1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DDF1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468FBB8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0D4ABCE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939D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94230</w:t>
            </w:r>
          </w:p>
        </w:tc>
        <w:tc>
          <w:tcPr>
            <w:tcW w:w="3220" w:type="dxa"/>
            <w:tcBorders>
              <w:top w:val="nil"/>
              <w:left w:val="nil"/>
              <w:bottom w:val="single" w:sz="4" w:space="0" w:color="auto"/>
              <w:right w:val="single" w:sz="4" w:space="0" w:color="auto"/>
            </w:tcBorders>
            <w:shd w:val="clear" w:color="000000" w:fill="FFFFFF"/>
            <w:noWrap/>
            <w:vAlign w:val="center"/>
            <w:hideMark/>
          </w:tcPr>
          <w:p w14:paraId="1A01245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Cámaras Fotográficas Y De Video</w:t>
            </w:r>
          </w:p>
        </w:tc>
        <w:tc>
          <w:tcPr>
            <w:tcW w:w="1140" w:type="dxa"/>
            <w:tcBorders>
              <w:top w:val="nil"/>
              <w:left w:val="nil"/>
              <w:bottom w:val="single" w:sz="4" w:space="0" w:color="auto"/>
              <w:right w:val="single" w:sz="4" w:space="0" w:color="auto"/>
            </w:tcBorders>
            <w:shd w:val="clear" w:color="000000" w:fill="FFFFFF"/>
            <w:noWrap/>
            <w:vAlign w:val="center"/>
            <w:hideMark/>
          </w:tcPr>
          <w:p w14:paraId="38DC97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1AF6D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4210EF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EC9A22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385E1B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2A47371E"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3DD8E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94290</w:t>
            </w:r>
          </w:p>
        </w:tc>
        <w:tc>
          <w:tcPr>
            <w:tcW w:w="3220" w:type="dxa"/>
            <w:tcBorders>
              <w:top w:val="nil"/>
              <w:left w:val="nil"/>
              <w:bottom w:val="single" w:sz="4" w:space="0" w:color="auto"/>
              <w:right w:val="single" w:sz="4" w:space="0" w:color="auto"/>
            </w:tcBorders>
            <w:shd w:val="clear" w:color="000000" w:fill="FFFFFF"/>
            <w:noWrap/>
            <w:vAlign w:val="center"/>
            <w:hideMark/>
          </w:tcPr>
          <w:p w14:paraId="6AB656A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 Mobiliario Y Equipo Educacional Y R</w:t>
            </w:r>
          </w:p>
        </w:tc>
        <w:tc>
          <w:tcPr>
            <w:tcW w:w="1140" w:type="dxa"/>
            <w:tcBorders>
              <w:top w:val="nil"/>
              <w:left w:val="nil"/>
              <w:bottom w:val="single" w:sz="4" w:space="0" w:color="auto"/>
              <w:right w:val="single" w:sz="4" w:space="0" w:color="auto"/>
            </w:tcBorders>
            <w:shd w:val="clear" w:color="000000" w:fill="FFFFFF"/>
            <w:noWrap/>
            <w:vAlign w:val="center"/>
            <w:hideMark/>
          </w:tcPr>
          <w:p w14:paraId="70281F5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E47F7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39F16C4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DD41AF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4D1B45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9CB9D0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1A43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94310</w:t>
            </w:r>
          </w:p>
        </w:tc>
        <w:tc>
          <w:tcPr>
            <w:tcW w:w="3220" w:type="dxa"/>
            <w:tcBorders>
              <w:top w:val="nil"/>
              <w:left w:val="nil"/>
              <w:bottom w:val="single" w:sz="4" w:space="0" w:color="auto"/>
              <w:right w:val="single" w:sz="4" w:space="0" w:color="auto"/>
            </w:tcBorders>
            <w:shd w:val="clear" w:color="000000" w:fill="FFFFFF"/>
            <w:noWrap/>
            <w:vAlign w:val="center"/>
            <w:hideMark/>
          </w:tcPr>
          <w:p w14:paraId="4F8A482C" w14:textId="42048900"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06FF97A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669A91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E881BB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9BFE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598C63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1D9946BB"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5303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94320</w:t>
            </w:r>
          </w:p>
        </w:tc>
        <w:tc>
          <w:tcPr>
            <w:tcW w:w="3220" w:type="dxa"/>
            <w:tcBorders>
              <w:top w:val="nil"/>
              <w:left w:val="nil"/>
              <w:bottom w:val="single" w:sz="4" w:space="0" w:color="auto"/>
              <w:right w:val="single" w:sz="4" w:space="0" w:color="auto"/>
            </w:tcBorders>
            <w:shd w:val="clear" w:color="000000" w:fill="FFFFFF"/>
            <w:noWrap/>
            <w:vAlign w:val="center"/>
            <w:hideMark/>
          </w:tcPr>
          <w:p w14:paraId="72AC0C2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Instrumental Médico Y De Laboratorio</w:t>
            </w:r>
          </w:p>
        </w:tc>
        <w:tc>
          <w:tcPr>
            <w:tcW w:w="1140" w:type="dxa"/>
            <w:tcBorders>
              <w:top w:val="nil"/>
              <w:left w:val="nil"/>
              <w:bottom w:val="single" w:sz="4" w:space="0" w:color="auto"/>
              <w:right w:val="single" w:sz="4" w:space="0" w:color="auto"/>
            </w:tcBorders>
            <w:shd w:val="clear" w:color="000000" w:fill="FFFFFF"/>
            <w:noWrap/>
            <w:vAlign w:val="center"/>
            <w:hideMark/>
          </w:tcPr>
          <w:p w14:paraId="4D5C694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D407D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E0CF9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2C901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20.00</w:t>
            </w:r>
          </w:p>
        </w:tc>
        <w:tc>
          <w:tcPr>
            <w:tcW w:w="1220" w:type="dxa"/>
            <w:tcBorders>
              <w:top w:val="nil"/>
              <w:left w:val="nil"/>
              <w:bottom w:val="single" w:sz="4" w:space="0" w:color="auto"/>
              <w:right w:val="single" w:sz="4" w:space="0" w:color="auto"/>
            </w:tcBorders>
            <w:shd w:val="clear" w:color="000000" w:fill="FFFFFF"/>
            <w:noWrap/>
            <w:vAlign w:val="bottom"/>
            <w:hideMark/>
          </w:tcPr>
          <w:p w14:paraId="644747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1.67</w:t>
            </w:r>
          </w:p>
        </w:tc>
      </w:tr>
      <w:tr w:rsidR="00526EC3" w:rsidRPr="005F45A3" w14:paraId="16797F6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C3B38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94410</w:t>
            </w:r>
          </w:p>
        </w:tc>
        <w:tc>
          <w:tcPr>
            <w:tcW w:w="3220" w:type="dxa"/>
            <w:tcBorders>
              <w:top w:val="nil"/>
              <w:left w:val="nil"/>
              <w:bottom w:val="single" w:sz="4" w:space="0" w:color="auto"/>
              <w:right w:val="single" w:sz="4" w:space="0" w:color="auto"/>
            </w:tcBorders>
            <w:shd w:val="clear" w:color="000000" w:fill="FFFFFF"/>
            <w:noWrap/>
            <w:vAlign w:val="center"/>
            <w:hideMark/>
          </w:tcPr>
          <w:p w14:paraId="26F5FB3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Autos Para Uso Administrativo Y De </w:t>
            </w:r>
            <w:proofErr w:type="spellStart"/>
            <w:r w:rsidRPr="005F45A3">
              <w:rPr>
                <w:rFonts w:asciiTheme="minorHAnsi" w:eastAsia="Times New Roman" w:hAnsiTheme="minorHAnsi" w:cstheme="minorHAnsi"/>
                <w:color w:val="000000"/>
                <w:sz w:val="12"/>
                <w:szCs w:val="12"/>
                <w:lang w:eastAsia="es-MX"/>
              </w:rPr>
              <w:t>Ofici</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45B2BC4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4EDC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60FB61E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E866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3CBC14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1802AB0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E19B52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lastRenderedPageBreak/>
              <w:t>94411</w:t>
            </w:r>
          </w:p>
        </w:tc>
        <w:tc>
          <w:tcPr>
            <w:tcW w:w="3220" w:type="dxa"/>
            <w:tcBorders>
              <w:top w:val="nil"/>
              <w:left w:val="nil"/>
              <w:bottom w:val="single" w:sz="4" w:space="0" w:color="auto"/>
              <w:right w:val="single" w:sz="4" w:space="0" w:color="auto"/>
            </w:tcBorders>
            <w:shd w:val="clear" w:color="000000" w:fill="FFFFFF"/>
            <w:noWrap/>
            <w:vAlign w:val="center"/>
            <w:hideMark/>
          </w:tcPr>
          <w:p w14:paraId="4B47D3D0" w14:textId="3BB43BEF"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 Grúas</w:t>
            </w:r>
          </w:p>
        </w:tc>
        <w:tc>
          <w:tcPr>
            <w:tcW w:w="1140" w:type="dxa"/>
            <w:tcBorders>
              <w:top w:val="nil"/>
              <w:left w:val="nil"/>
              <w:bottom w:val="single" w:sz="4" w:space="0" w:color="auto"/>
              <w:right w:val="single" w:sz="4" w:space="0" w:color="auto"/>
            </w:tcBorders>
            <w:shd w:val="clear" w:color="000000" w:fill="FFFFFF"/>
            <w:noWrap/>
            <w:vAlign w:val="center"/>
            <w:hideMark/>
          </w:tcPr>
          <w:p w14:paraId="1D95BE5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4B2BE2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836D0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9EDF2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186C90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3661970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966F33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94412</w:t>
            </w:r>
          </w:p>
        </w:tc>
        <w:tc>
          <w:tcPr>
            <w:tcW w:w="3220" w:type="dxa"/>
            <w:tcBorders>
              <w:top w:val="nil"/>
              <w:left w:val="nil"/>
              <w:bottom w:val="single" w:sz="4" w:space="0" w:color="auto"/>
              <w:right w:val="single" w:sz="4" w:space="0" w:color="auto"/>
            </w:tcBorders>
            <w:shd w:val="clear" w:color="000000" w:fill="FFFFFF"/>
            <w:noWrap/>
            <w:vAlign w:val="center"/>
            <w:hideMark/>
          </w:tcPr>
          <w:p w14:paraId="3D8D8B7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Autobuses, Microbuses Y </w:t>
            </w:r>
            <w:proofErr w:type="spellStart"/>
            <w:r w:rsidRPr="005F45A3">
              <w:rPr>
                <w:rFonts w:asciiTheme="minorHAnsi" w:eastAsia="Times New Roman" w:hAnsiTheme="minorHAnsi" w:cstheme="minorHAnsi"/>
                <w:color w:val="000000"/>
                <w:sz w:val="12"/>
                <w:szCs w:val="12"/>
                <w:lang w:eastAsia="es-MX"/>
              </w:rPr>
              <w:t>Vans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7A2CA2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D71909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28C4DEA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39D7D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6BF5238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26898D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EB30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94413</w:t>
            </w:r>
          </w:p>
        </w:tc>
        <w:tc>
          <w:tcPr>
            <w:tcW w:w="3220" w:type="dxa"/>
            <w:tcBorders>
              <w:top w:val="nil"/>
              <w:left w:val="nil"/>
              <w:bottom w:val="single" w:sz="4" w:space="0" w:color="auto"/>
              <w:right w:val="single" w:sz="4" w:space="0" w:color="auto"/>
            </w:tcBorders>
            <w:shd w:val="clear" w:color="000000" w:fill="FFFFFF"/>
            <w:noWrap/>
            <w:vAlign w:val="center"/>
            <w:hideMark/>
          </w:tcPr>
          <w:p w14:paraId="51A998A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Camiones De Volteo Y Carga</w:t>
            </w:r>
          </w:p>
        </w:tc>
        <w:tc>
          <w:tcPr>
            <w:tcW w:w="1140" w:type="dxa"/>
            <w:tcBorders>
              <w:top w:val="nil"/>
              <w:left w:val="nil"/>
              <w:bottom w:val="single" w:sz="4" w:space="0" w:color="auto"/>
              <w:right w:val="single" w:sz="4" w:space="0" w:color="auto"/>
            </w:tcBorders>
            <w:shd w:val="clear" w:color="000000" w:fill="FFFFFF"/>
            <w:noWrap/>
            <w:vAlign w:val="center"/>
            <w:hideMark/>
          </w:tcPr>
          <w:p w14:paraId="7251F0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C8409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007EE3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EE3F9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2AF55FC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7459128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BB76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94414</w:t>
            </w:r>
          </w:p>
        </w:tc>
        <w:tc>
          <w:tcPr>
            <w:tcW w:w="3220" w:type="dxa"/>
            <w:tcBorders>
              <w:top w:val="nil"/>
              <w:left w:val="nil"/>
              <w:bottom w:val="single" w:sz="4" w:space="0" w:color="auto"/>
              <w:right w:val="single" w:sz="4" w:space="0" w:color="auto"/>
            </w:tcBorders>
            <w:shd w:val="clear" w:color="000000" w:fill="FFFFFF"/>
            <w:noWrap/>
            <w:vAlign w:val="center"/>
            <w:hideMark/>
          </w:tcPr>
          <w:p w14:paraId="2FC2175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Ambulancias</w:t>
            </w:r>
          </w:p>
        </w:tc>
        <w:tc>
          <w:tcPr>
            <w:tcW w:w="1140" w:type="dxa"/>
            <w:tcBorders>
              <w:top w:val="nil"/>
              <w:left w:val="nil"/>
              <w:bottom w:val="single" w:sz="4" w:space="0" w:color="auto"/>
              <w:right w:val="single" w:sz="4" w:space="0" w:color="auto"/>
            </w:tcBorders>
            <w:shd w:val="clear" w:color="000000" w:fill="FFFFFF"/>
            <w:noWrap/>
            <w:vAlign w:val="center"/>
            <w:hideMark/>
          </w:tcPr>
          <w:p w14:paraId="44069D4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CCC196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4CF832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8C88C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0C2984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38C748D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2939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94415</w:t>
            </w:r>
          </w:p>
        </w:tc>
        <w:tc>
          <w:tcPr>
            <w:tcW w:w="3220" w:type="dxa"/>
            <w:tcBorders>
              <w:top w:val="nil"/>
              <w:left w:val="nil"/>
              <w:bottom w:val="single" w:sz="4" w:space="0" w:color="auto"/>
              <w:right w:val="single" w:sz="4" w:space="0" w:color="auto"/>
            </w:tcBorders>
            <w:shd w:val="clear" w:color="000000" w:fill="FFFFFF"/>
            <w:noWrap/>
            <w:vAlign w:val="center"/>
            <w:hideMark/>
          </w:tcPr>
          <w:p w14:paraId="00858B7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Camiones De Basura</w:t>
            </w:r>
          </w:p>
        </w:tc>
        <w:tc>
          <w:tcPr>
            <w:tcW w:w="1140" w:type="dxa"/>
            <w:tcBorders>
              <w:top w:val="nil"/>
              <w:left w:val="nil"/>
              <w:bottom w:val="single" w:sz="4" w:space="0" w:color="auto"/>
              <w:right w:val="single" w:sz="4" w:space="0" w:color="auto"/>
            </w:tcBorders>
            <w:shd w:val="clear" w:color="000000" w:fill="FFFFFF"/>
            <w:noWrap/>
            <w:vAlign w:val="center"/>
            <w:hideMark/>
          </w:tcPr>
          <w:p w14:paraId="1E431C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FBAB1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w:t>
            </w:r>
          </w:p>
        </w:tc>
        <w:tc>
          <w:tcPr>
            <w:tcW w:w="1180" w:type="dxa"/>
            <w:tcBorders>
              <w:top w:val="nil"/>
              <w:left w:val="nil"/>
              <w:bottom w:val="single" w:sz="4" w:space="0" w:color="auto"/>
              <w:right w:val="single" w:sz="4" w:space="0" w:color="auto"/>
            </w:tcBorders>
            <w:shd w:val="clear" w:color="000000" w:fill="FFFFFF"/>
            <w:noWrap/>
            <w:vAlign w:val="center"/>
            <w:hideMark/>
          </w:tcPr>
          <w:p w14:paraId="083C5B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E7D7B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16.67</w:t>
            </w:r>
          </w:p>
        </w:tc>
        <w:tc>
          <w:tcPr>
            <w:tcW w:w="1220" w:type="dxa"/>
            <w:tcBorders>
              <w:top w:val="nil"/>
              <w:left w:val="nil"/>
              <w:bottom w:val="single" w:sz="4" w:space="0" w:color="auto"/>
              <w:right w:val="single" w:sz="4" w:space="0" w:color="auto"/>
            </w:tcBorders>
            <w:shd w:val="clear" w:color="000000" w:fill="FFFFFF"/>
            <w:noWrap/>
            <w:vAlign w:val="bottom"/>
            <w:hideMark/>
          </w:tcPr>
          <w:p w14:paraId="7EE52B9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1.39</w:t>
            </w:r>
          </w:p>
        </w:tc>
      </w:tr>
      <w:tr w:rsidR="00526EC3" w:rsidRPr="005F45A3" w14:paraId="7C72E73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4158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94416</w:t>
            </w:r>
          </w:p>
        </w:tc>
        <w:tc>
          <w:tcPr>
            <w:tcW w:w="3220" w:type="dxa"/>
            <w:tcBorders>
              <w:top w:val="nil"/>
              <w:left w:val="nil"/>
              <w:bottom w:val="single" w:sz="4" w:space="0" w:color="auto"/>
              <w:right w:val="single" w:sz="4" w:space="0" w:color="auto"/>
            </w:tcBorders>
            <w:shd w:val="clear" w:color="000000" w:fill="FFFFFF"/>
            <w:noWrap/>
            <w:vAlign w:val="center"/>
            <w:hideMark/>
          </w:tcPr>
          <w:p w14:paraId="75E3D01D"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w:t>
            </w:r>
            <w:proofErr w:type="spellStart"/>
            <w:r w:rsidRPr="005F45A3">
              <w:rPr>
                <w:rFonts w:asciiTheme="minorHAnsi" w:eastAsia="Times New Roman" w:hAnsiTheme="minorHAnsi" w:cstheme="minorHAnsi"/>
                <w:color w:val="000000"/>
                <w:sz w:val="12"/>
                <w:szCs w:val="12"/>
                <w:lang w:eastAsia="es-MX"/>
              </w:rPr>
              <w:t>Patrullas,Motocicletas</w:t>
            </w:r>
            <w:proofErr w:type="spellEnd"/>
            <w:r w:rsidRPr="005F45A3">
              <w:rPr>
                <w:rFonts w:asciiTheme="minorHAnsi" w:eastAsia="Times New Roman" w:hAnsiTheme="minorHAnsi" w:cstheme="minorHAnsi"/>
                <w:color w:val="000000"/>
                <w:sz w:val="12"/>
                <w:szCs w:val="12"/>
                <w:lang w:eastAsia="es-MX"/>
              </w:rPr>
              <w:t xml:space="preserve"> Y </w:t>
            </w:r>
            <w:proofErr w:type="spellStart"/>
            <w:r w:rsidRPr="005F45A3">
              <w:rPr>
                <w:rFonts w:asciiTheme="minorHAnsi" w:eastAsia="Times New Roman" w:hAnsiTheme="minorHAnsi" w:cstheme="minorHAnsi"/>
                <w:color w:val="000000"/>
                <w:sz w:val="12"/>
                <w:szCs w:val="12"/>
                <w:lang w:eastAsia="es-MX"/>
              </w:rPr>
              <w:t>Cuatrimotos</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3FB3D73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7153CA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3692E7B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3</w:t>
            </w:r>
          </w:p>
        </w:tc>
        <w:tc>
          <w:tcPr>
            <w:tcW w:w="1020" w:type="dxa"/>
            <w:tcBorders>
              <w:top w:val="nil"/>
              <w:left w:val="nil"/>
              <w:bottom w:val="single" w:sz="4" w:space="0" w:color="auto"/>
              <w:right w:val="single" w:sz="4" w:space="0" w:color="auto"/>
            </w:tcBorders>
            <w:shd w:val="clear" w:color="000000" w:fill="FFFFFF"/>
            <w:noWrap/>
            <w:vAlign w:val="bottom"/>
            <w:hideMark/>
          </w:tcPr>
          <w:p w14:paraId="3CD089B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2740CF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4056BA" w:rsidRPr="00295AC0" w14:paraId="1C5810EB" w14:textId="77777777" w:rsidTr="00291DC2">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140F987"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CLASE</w:t>
            </w:r>
          </w:p>
        </w:tc>
        <w:tc>
          <w:tcPr>
            <w:tcW w:w="3220" w:type="dxa"/>
            <w:tcBorders>
              <w:top w:val="single" w:sz="4" w:space="0" w:color="auto"/>
              <w:left w:val="nil"/>
              <w:bottom w:val="single" w:sz="4" w:space="0" w:color="auto"/>
              <w:right w:val="single" w:sz="4" w:space="0" w:color="auto"/>
            </w:tcBorders>
            <w:shd w:val="clear" w:color="auto" w:fill="AB0033"/>
            <w:vAlign w:val="center"/>
            <w:hideMark/>
          </w:tcPr>
          <w:p w14:paraId="64B19F16" w14:textId="77777777" w:rsidR="004056BA" w:rsidRPr="00295AC0" w:rsidRDefault="004056BA" w:rsidP="00291DC2">
            <w:pPr>
              <w:spacing w:after="0" w:line="240" w:lineRule="auto"/>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 </w:t>
            </w:r>
          </w:p>
        </w:tc>
        <w:tc>
          <w:tcPr>
            <w:tcW w:w="1140" w:type="dxa"/>
            <w:tcBorders>
              <w:top w:val="single" w:sz="4" w:space="0" w:color="auto"/>
              <w:left w:val="nil"/>
              <w:bottom w:val="single" w:sz="4" w:space="0" w:color="auto"/>
              <w:right w:val="single" w:sz="4" w:space="0" w:color="auto"/>
            </w:tcBorders>
            <w:shd w:val="clear" w:color="auto" w:fill="AB0033"/>
            <w:vAlign w:val="center"/>
            <w:hideMark/>
          </w:tcPr>
          <w:p w14:paraId="0D30F054"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MÉTODO DE DEPRECIACIÓN</w:t>
            </w:r>
          </w:p>
        </w:tc>
        <w:tc>
          <w:tcPr>
            <w:tcW w:w="920" w:type="dxa"/>
            <w:tcBorders>
              <w:top w:val="single" w:sz="4" w:space="0" w:color="auto"/>
              <w:left w:val="nil"/>
              <w:bottom w:val="single" w:sz="4" w:space="0" w:color="auto"/>
              <w:right w:val="single" w:sz="4" w:space="0" w:color="auto"/>
            </w:tcBorders>
            <w:shd w:val="clear" w:color="auto" w:fill="AB0033"/>
            <w:vAlign w:val="center"/>
            <w:hideMark/>
          </w:tcPr>
          <w:p w14:paraId="2980781F"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VIDA UTIL EN AÑOS</w:t>
            </w:r>
          </w:p>
        </w:tc>
        <w:tc>
          <w:tcPr>
            <w:tcW w:w="1180" w:type="dxa"/>
            <w:tcBorders>
              <w:top w:val="single" w:sz="4" w:space="0" w:color="auto"/>
              <w:left w:val="nil"/>
              <w:bottom w:val="single" w:sz="4" w:space="0" w:color="auto"/>
              <w:right w:val="single" w:sz="4" w:space="0" w:color="auto"/>
            </w:tcBorders>
            <w:shd w:val="clear" w:color="auto" w:fill="AB0033"/>
            <w:vAlign w:val="center"/>
            <w:hideMark/>
          </w:tcPr>
          <w:p w14:paraId="408CFA2E"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VALOR RESIDUAL (%)</w:t>
            </w:r>
          </w:p>
        </w:tc>
        <w:tc>
          <w:tcPr>
            <w:tcW w:w="1020" w:type="dxa"/>
            <w:tcBorders>
              <w:top w:val="single" w:sz="4" w:space="0" w:color="auto"/>
              <w:left w:val="nil"/>
              <w:bottom w:val="single" w:sz="4" w:space="0" w:color="auto"/>
              <w:right w:val="single" w:sz="4" w:space="0" w:color="auto"/>
            </w:tcBorders>
            <w:shd w:val="clear" w:color="auto" w:fill="AB0033"/>
            <w:vAlign w:val="center"/>
            <w:hideMark/>
          </w:tcPr>
          <w:p w14:paraId="7B668409"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 ANUAL (%)</w:t>
            </w:r>
          </w:p>
        </w:tc>
        <w:tc>
          <w:tcPr>
            <w:tcW w:w="1220" w:type="dxa"/>
            <w:tcBorders>
              <w:top w:val="single" w:sz="4" w:space="0" w:color="auto"/>
              <w:left w:val="nil"/>
              <w:bottom w:val="single" w:sz="4" w:space="0" w:color="auto"/>
              <w:right w:val="single" w:sz="4" w:space="0" w:color="auto"/>
            </w:tcBorders>
            <w:shd w:val="clear" w:color="auto" w:fill="AB0033"/>
            <w:vAlign w:val="center"/>
            <w:hideMark/>
          </w:tcPr>
          <w:p w14:paraId="26E4387E" w14:textId="77777777" w:rsidR="004056BA" w:rsidRPr="00295AC0" w:rsidRDefault="004056BA" w:rsidP="00291DC2">
            <w:pPr>
              <w:spacing w:after="0" w:line="240" w:lineRule="auto"/>
              <w:jc w:val="center"/>
              <w:rPr>
                <w:rFonts w:asciiTheme="minorHAnsi" w:eastAsia="Times New Roman" w:hAnsiTheme="minorHAnsi" w:cstheme="minorHAnsi"/>
                <w:b/>
                <w:bCs/>
                <w:color w:val="FFFFFF" w:themeColor="background1"/>
                <w:sz w:val="14"/>
                <w:szCs w:val="14"/>
                <w:lang w:eastAsia="es-MX"/>
              </w:rPr>
            </w:pPr>
            <w:r w:rsidRPr="00295AC0">
              <w:rPr>
                <w:rFonts w:asciiTheme="minorHAnsi" w:eastAsia="Times New Roman" w:hAnsiTheme="minorHAnsi" w:cstheme="minorHAnsi"/>
                <w:b/>
                <w:bCs/>
                <w:color w:val="FFFFFF" w:themeColor="background1"/>
                <w:sz w:val="14"/>
                <w:szCs w:val="14"/>
                <w:lang w:eastAsia="es-MX"/>
              </w:rPr>
              <w:t>DEP.MENSUAL (%)</w:t>
            </w:r>
          </w:p>
        </w:tc>
      </w:tr>
      <w:tr w:rsidR="00526EC3" w:rsidRPr="005F45A3" w14:paraId="04369EB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1DF17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94420</w:t>
            </w:r>
          </w:p>
        </w:tc>
        <w:tc>
          <w:tcPr>
            <w:tcW w:w="3220" w:type="dxa"/>
            <w:tcBorders>
              <w:top w:val="nil"/>
              <w:left w:val="nil"/>
              <w:bottom w:val="single" w:sz="4" w:space="0" w:color="auto"/>
              <w:right w:val="single" w:sz="4" w:space="0" w:color="auto"/>
            </w:tcBorders>
            <w:shd w:val="clear" w:color="000000" w:fill="FFFFFF"/>
            <w:noWrap/>
            <w:vAlign w:val="center"/>
            <w:hideMark/>
          </w:tcPr>
          <w:p w14:paraId="1AC54810" w14:textId="2A9FDABE"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Carrocerías Y Remolques</w:t>
            </w:r>
          </w:p>
        </w:tc>
        <w:tc>
          <w:tcPr>
            <w:tcW w:w="1140" w:type="dxa"/>
            <w:tcBorders>
              <w:top w:val="nil"/>
              <w:left w:val="nil"/>
              <w:bottom w:val="single" w:sz="4" w:space="0" w:color="auto"/>
              <w:right w:val="single" w:sz="4" w:space="0" w:color="auto"/>
            </w:tcBorders>
            <w:shd w:val="clear" w:color="000000" w:fill="FFFFFF"/>
            <w:noWrap/>
            <w:vAlign w:val="center"/>
            <w:hideMark/>
          </w:tcPr>
          <w:p w14:paraId="1D6A3B8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F7A2F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5D7D98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64C326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24379A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2425E13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73BC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94430</w:t>
            </w:r>
          </w:p>
        </w:tc>
        <w:tc>
          <w:tcPr>
            <w:tcW w:w="3220" w:type="dxa"/>
            <w:tcBorders>
              <w:top w:val="nil"/>
              <w:left w:val="nil"/>
              <w:bottom w:val="single" w:sz="4" w:space="0" w:color="auto"/>
              <w:right w:val="single" w:sz="4" w:space="0" w:color="auto"/>
            </w:tcBorders>
            <w:shd w:val="clear" w:color="000000" w:fill="FFFFFF"/>
            <w:noWrap/>
            <w:vAlign w:val="center"/>
            <w:hideMark/>
          </w:tcPr>
          <w:p w14:paraId="79165B65"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Aeroespacial</w:t>
            </w:r>
          </w:p>
        </w:tc>
        <w:tc>
          <w:tcPr>
            <w:tcW w:w="1140" w:type="dxa"/>
            <w:tcBorders>
              <w:top w:val="nil"/>
              <w:left w:val="nil"/>
              <w:bottom w:val="single" w:sz="4" w:space="0" w:color="auto"/>
              <w:right w:val="single" w:sz="4" w:space="0" w:color="auto"/>
            </w:tcBorders>
            <w:shd w:val="clear" w:color="000000" w:fill="FFFFFF"/>
            <w:noWrap/>
            <w:vAlign w:val="center"/>
            <w:hideMark/>
          </w:tcPr>
          <w:p w14:paraId="69BD25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855A55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8B54A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DF63F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7AEAFE2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4597957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3CA4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94440</w:t>
            </w:r>
          </w:p>
        </w:tc>
        <w:tc>
          <w:tcPr>
            <w:tcW w:w="3220" w:type="dxa"/>
            <w:tcBorders>
              <w:top w:val="nil"/>
              <w:left w:val="nil"/>
              <w:bottom w:val="single" w:sz="4" w:space="0" w:color="auto"/>
              <w:right w:val="single" w:sz="4" w:space="0" w:color="auto"/>
            </w:tcBorders>
            <w:shd w:val="clear" w:color="000000" w:fill="FFFFFF"/>
            <w:noWrap/>
            <w:vAlign w:val="center"/>
            <w:hideMark/>
          </w:tcPr>
          <w:p w14:paraId="1D6CDC1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Ferroviario</w:t>
            </w:r>
          </w:p>
        </w:tc>
        <w:tc>
          <w:tcPr>
            <w:tcW w:w="1140" w:type="dxa"/>
            <w:tcBorders>
              <w:top w:val="nil"/>
              <w:left w:val="nil"/>
              <w:bottom w:val="single" w:sz="4" w:space="0" w:color="auto"/>
              <w:right w:val="single" w:sz="4" w:space="0" w:color="auto"/>
            </w:tcBorders>
            <w:shd w:val="clear" w:color="000000" w:fill="FFFFFF"/>
            <w:noWrap/>
            <w:vAlign w:val="center"/>
            <w:hideMark/>
          </w:tcPr>
          <w:p w14:paraId="744304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A11FA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ED1331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AA1040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7E23FC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360582A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34D2A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94450</w:t>
            </w:r>
          </w:p>
        </w:tc>
        <w:tc>
          <w:tcPr>
            <w:tcW w:w="3220" w:type="dxa"/>
            <w:tcBorders>
              <w:top w:val="nil"/>
              <w:left w:val="nil"/>
              <w:bottom w:val="single" w:sz="4" w:space="0" w:color="auto"/>
              <w:right w:val="single" w:sz="4" w:space="0" w:color="auto"/>
            </w:tcBorders>
            <w:shd w:val="clear" w:color="000000" w:fill="FFFFFF"/>
            <w:noWrap/>
            <w:vAlign w:val="center"/>
            <w:hideMark/>
          </w:tcPr>
          <w:p w14:paraId="2274B13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Embarcaciones</w:t>
            </w:r>
          </w:p>
        </w:tc>
        <w:tc>
          <w:tcPr>
            <w:tcW w:w="1140" w:type="dxa"/>
            <w:tcBorders>
              <w:top w:val="nil"/>
              <w:left w:val="nil"/>
              <w:bottom w:val="single" w:sz="4" w:space="0" w:color="auto"/>
              <w:right w:val="single" w:sz="4" w:space="0" w:color="auto"/>
            </w:tcBorders>
            <w:shd w:val="clear" w:color="000000" w:fill="FFFFFF"/>
            <w:noWrap/>
            <w:vAlign w:val="center"/>
            <w:hideMark/>
          </w:tcPr>
          <w:p w14:paraId="71C08D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313DD0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2C143A2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1F06C7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622EBC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7FB5D9F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C7261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94490</w:t>
            </w:r>
          </w:p>
        </w:tc>
        <w:tc>
          <w:tcPr>
            <w:tcW w:w="3220" w:type="dxa"/>
            <w:tcBorders>
              <w:top w:val="nil"/>
              <w:left w:val="nil"/>
              <w:bottom w:val="single" w:sz="4" w:space="0" w:color="auto"/>
              <w:right w:val="single" w:sz="4" w:space="0" w:color="auto"/>
            </w:tcBorders>
            <w:shd w:val="clear" w:color="000000" w:fill="FFFFFF"/>
            <w:noWrap/>
            <w:vAlign w:val="center"/>
            <w:hideMark/>
          </w:tcPr>
          <w:p w14:paraId="1B1D63E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Equipos De Transporte</w:t>
            </w:r>
          </w:p>
        </w:tc>
        <w:tc>
          <w:tcPr>
            <w:tcW w:w="1140" w:type="dxa"/>
            <w:tcBorders>
              <w:top w:val="nil"/>
              <w:left w:val="nil"/>
              <w:bottom w:val="single" w:sz="4" w:space="0" w:color="auto"/>
              <w:right w:val="single" w:sz="4" w:space="0" w:color="auto"/>
            </w:tcBorders>
            <w:shd w:val="clear" w:color="000000" w:fill="FFFFFF"/>
            <w:noWrap/>
            <w:vAlign w:val="center"/>
            <w:hideMark/>
          </w:tcPr>
          <w:p w14:paraId="518EB4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AC140F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12E650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8B483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12.50</w:t>
            </w:r>
          </w:p>
        </w:tc>
        <w:tc>
          <w:tcPr>
            <w:tcW w:w="1220" w:type="dxa"/>
            <w:tcBorders>
              <w:top w:val="nil"/>
              <w:left w:val="nil"/>
              <w:bottom w:val="single" w:sz="4" w:space="0" w:color="auto"/>
              <w:right w:val="single" w:sz="4" w:space="0" w:color="auto"/>
            </w:tcBorders>
            <w:shd w:val="clear" w:color="000000" w:fill="FFFFFF"/>
            <w:noWrap/>
            <w:vAlign w:val="bottom"/>
            <w:hideMark/>
          </w:tcPr>
          <w:p w14:paraId="302111D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1.04</w:t>
            </w:r>
          </w:p>
        </w:tc>
      </w:tr>
      <w:tr w:rsidR="00526EC3" w:rsidRPr="005F45A3" w14:paraId="2A4C465D"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76C9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94500</w:t>
            </w:r>
          </w:p>
        </w:tc>
        <w:tc>
          <w:tcPr>
            <w:tcW w:w="3220" w:type="dxa"/>
            <w:tcBorders>
              <w:top w:val="nil"/>
              <w:left w:val="nil"/>
              <w:bottom w:val="single" w:sz="4" w:space="0" w:color="auto"/>
              <w:right w:val="single" w:sz="4" w:space="0" w:color="auto"/>
            </w:tcBorders>
            <w:shd w:val="clear" w:color="000000" w:fill="FFFFFF"/>
            <w:noWrap/>
            <w:vAlign w:val="center"/>
            <w:hideMark/>
          </w:tcPr>
          <w:p w14:paraId="2E2D0E6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Seguridad Publica</w:t>
            </w:r>
          </w:p>
        </w:tc>
        <w:tc>
          <w:tcPr>
            <w:tcW w:w="1140" w:type="dxa"/>
            <w:tcBorders>
              <w:top w:val="nil"/>
              <w:left w:val="nil"/>
              <w:bottom w:val="single" w:sz="4" w:space="0" w:color="auto"/>
              <w:right w:val="single" w:sz="4" w:space="0" w:color="auto"/>
            </w:tcBorders>
            <w:shd w:val="clear" w:color="000000" w:fill="FFFFFF"/>
            <w:noWrap/>
            <w:vAlign w:val="center"/>
            <w:hideMark/>
          </w:tcPr>
          <w:p w14:paraId="118EF4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452B6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6430AF7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AC7FC9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25.00</w:t>
            </w:r>
          </w:p>
        </w:tc>
        <w:tc>
          <w:tcPr>
            <w:tcW w:w="1220" w:type="dxa"/>
            <w:tcBorders>
              <w:top w:val="nil"/>
              <w:left w:val="nil"/>
              <w:bottom w:val="single" w:sz="4" w:space="0" w:color="auto"/>
              <w:right w:val="single" w:sz="4" w:space="0" w:color="auto"/>
            </w:tcBorders>
            <w:shd w:val="clear" w:color="000000" w:fill="FFFFFF"/>
            <w:noWrap/>
            <w:vAlign w:val="bottom"/>
            <w:hideMark/>
          </w:tcPr>
          <w:p w14:paraId="2532D61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2.08</w:t>
            </w:r>
          </w:p>
        </w:tc>
      </w:tr>
      <w:tr w:rsidR="00526EC3" w:rsidRPr="005F45A3" w14:paraId="353E2D8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3429F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94610</w:t>
            </w:r>
          </w:p>
        </w:tc>
        <w:tc>
          <w:tcPr>
            <w:tcW w:w="3220" w:type="dxa"/>
            <w:tcBorders>
              <w:top w:val="nil"/>
              <w:left w:val="nil"/>
              <w:bottom w:val="single" w:sz="4" w:space="0" w:color="auto"/>
              <w:right w:val="single" w:sz="4" w:space="0" w:color="auto"/>
            </w:tcBorders>
            <w:shd w:val="clear" w:color="000000" w:fill="FFFFFF"/>
            <w:noWrap/>
            <w:vAlign w:val="center"/>
            <w:hideMark/>
          </w:tcPr>
          <w:p w14:paraId="2B3B9E56"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Agropecuario</w:t>
            </w:r>
          </w:p>
        </w:tc>
        <w:tc>
          <w:tcPr>
            <w:tcW w:w="1140" w:type="dxa"/>
            <w:tcBorders>
              <w:top w:val="nil"/>
              <w:left w:val="nil"/>
              <w:bottom w:val="single" w:sz="4" w:space="0" w:color="auto"/>
              <w:right w:val="single" w:sz="4" w:space="0" w:color="auto"/>
            </w:tcBorders>
            <w:shd w:val="clear" w:color="000000" w:fill="FFFFFF"/>
            <w:noWrap/>
            <w:vAlign w:val="center"/>
            <w:hideMark/>
          </w:tcPr>
          <w:p w14:paraId="293611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A464C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15FDFB2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B99632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567DDAC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7E836652"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6560D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94620</w:t>
            </w:r>
          </w:p>
        </w:tc>
        <w:tc>
          <w:tcPr>
            <w:tcW w:w="3220" w:type="dxa"/>
            <w:tcBorders>
              <w:top w:val="nil"/>
              <w:left w:val="nil"/>
              <w:bottom w:val="single" w:sz="4" w:space="0" w:color="auto"/>
              <w:right w:val="single" w:sz="4" w:space="0" w:color="auto"/>
            </w:tcBorders>
            <w:shd w:val="clear" w:color="000000" w:fill="FFFFFF"/>
            <w:noWrap/>
            <w:vAlign w:val="center"/>
            <w:hideMark/>
          </w:tcPr>
          <w:p w14:paraId="25411F4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Industrial</w:t>
            </w:r>
          </w:p>
        </w:tc>
        <w:tc>
          <w:tcPr>
            <w:tcW w:w="1140" w:type="dxa"/>
            <w:tcBorders>
              <w:top w:val="nil"/>
              <w:left w:val="nil"/>
              <w:bottom w:val="single" w:sz="4" w:space="0" w:color="auto"/>
              <w:right w:val="single" w:sz="4" w:space="0" w:color="auto"/>
            </w:tcBorders>
            <w:shd w:val="clear" w:color="000000" w:fill="FFFFFF"/>
            <w:noWrap/>
            <w:vAlign w:val="center"/>
            <w:hideMark/>
          </w:tcPr>
          <w:p w14:paraId="4E59B4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62686DB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B46900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D0F2D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0A51C8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5495CAC6"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1F95E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94630</w:t>
            </w:r>
          </w:p>
        </w:tc>
        <w:tc>
          <w:tcPr>
            <w:tcW w:w="3220" w:type="dxa"/>
            <w:tcBorders>
              <w:top w:val="nil"/>
              <w:left w:val="nil"/>
              <w:bottom w:val="single" w:sz="4" w:space="0" w:color="auto"/>
              <w:right w:val="single" w:sz="4" w:space="0" w:color="auto"/>
            </w:tcBorders>
            <w:shd w:val="clear" w:color="000000" w:fill="FFFFFF"/>
            <w:noWrap/>
            <w:vAlign w:val="center"/>
            <w:hideMark/>
          </w:tcPr>
          <w:p w14:paraId="26B43162" w14:textId="389254D8"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Maquinaria Y Equipo De Construcción</w:t>
            </w:r>
          </w:p>
        </w:tc>
        <w:tc>
          <w:tcPr>
            <w:tcW w:w="1140" w:type="dxa"/>
            <w:tcBorders>
              <w:top w:val="nil"/>
              <w:left w:val="nil"/>
              <w:bottom w:val="single" w:sz="4" w:space="0" w:color="auto"/>
              <w:right w:val="single" w:sz="4" w:space="0" w:color="auto"/>
            </w:tcBorders>
            <w:shd w:val="clear" w:color="000000" w:fill="FFFFFF"/>
            <w:noWrap/>
            <w:vAlign w:val="center"/>
            <w:hideMark/>
          </w:tcPr>
          <w:p w14:paraId="69D743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23EFFB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45E45E7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0950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3152E7D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06C2B6A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190DE5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94640</w:t>
            </w:r>
          </w:p>
        </w:tc>
        <w:tc>
          <w:tcPr>
            <w:tcW w:w="3220" w:type="dxa"/>
            <w:tcBorders>
              <w:top w:val="nil"/>
              <w:left w:val="nil"/>
              <w:bottom w:val="single" w:sz="4" w:space="0" w:color="auto"/>
              <w:right w:val="single" w:sz="4" w:space="0" w:color="auto"/>
            </w:tcBorders>
            <w:shd w:val="clear" w:color="000000" w:fill="FFFFFF"/>
            <w:noWrap/>
            <w:vAlign w:val="center"/>
            <w:hideMark/>
          </w:tcPr>
          <w:p w14:paraId="7DAE1288"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Aire Acondicionado</w:t>
            </w:r>
          </w:p>
        </w:tc>
        <w:tc>
          <w:tcPr>
            <w:tcW w:w="1140" w:type="dxa"/>
            <w:tcBorders>
              <w:top w:val="nil"/>
              <w:left w:val="nil"/>
              <w:bottom w:val="single" w:sz="4" w:space="0" w:color="auto"/>
              <w:right w:val="single" w:sz="4" w:space="0" w:color="auto"/>
            </w:tcBorders>
            <w:shd w:val="clear" w:color="000000" w:fill="FFFFFF"/>
            <w:noWrap/>
            <w:vAlign w:val="center"/>
            <w:hideMark/>
          </w:tcPr>
          <w:p w14:paraId="1A09D95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6E330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54DAA8E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38EAE1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w:t>
            </w:r>
          </w:p>
        </w:tc>
        <w:tc>
          <w:tcPr>
            <w:tcW w:w="1220" w:type="dxa"/>
            <w:tcBorders>
              <w:top w:val="nil"/>
              <w:left w:val="nil"/>
              <w:bottom w:val="single" w:sz="4" w:space="0" w:color="auto"/>
              <w:right w:val="single" w:sz="4" w:space="0" w:color="auto"/>
            </w:tcBorders>
            <w:shd w:val="clear" w:color="000000" w:fill="FFFFFF"/>
            <w:noWrap/>
            <w:vAlign w:val="bottom"/>
            <w:hideMark/>
          </w:tcPr>
          <w:p w14:paraId="73B8773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0.83</w:t>
            </w:r>
          </w:p>
        </w:tc>
      </w:tr>
      <w:tr w:rsidR="00526EC3" w:rsidRPr="005F45A3" w14:paraId="02F4885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E4E7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94650</w:t>
            </w:r>
          </w:p>
        </w:tc>
        <w:tc>
          <w:tcPr>
            <w:tcW w:w="3220" w:type="dxa"/>
            <w:tcBorders>
              <w:top w:val="nil"/>
              <w:left w:val="nil"/>
              <w:bottom w:val="single" w:sz="4" w:space="0" w:color="auto"/>
              <w:right w:val="single" w:sz="4" w:space="0" w:color="auto"/>
            </w:tcBorders>
            <w:shd w:val="clear" w:color="000000" w:fill="FFFFFF"/>
            <w:noWrap/>
            <w:vAlign w:val="center"/>
            <w:hideMark/>
          </w:tcPr>
          <w:p w14:paraId="469C73F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Equipo De Comunicaciones Y </w:t>
            </w:r>
            <w:proofErr w:type="spellStart"/>
            <w:r w:rsidRPr="005F45A3">
              <w:rPr>
                <w:rFonts w:asciiTheme="minorHAnsi" w:eastAsia="Times New Roman" w:hAnsiTheme="minorHAnsi" w:cstheme="minorHAnsi"/>
                <w:color w:val="000000"/>
                <w:sz w:val="12"/>
                <w:szCs w:val="12"/>
                <w:lang w:eastAsia="es-MX"/>
              </w:rPr>
              <w:t>Telecomunicac</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7B1AA1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7BF11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12</w:t>
            </w:r>
          </w:p>
        </w:tc>
        <w:tc>
          <w:tcPr>
            <w:tcW w:w="1180" w:type="dxa"/>
            <w:tcBorders>
              <w:top w:val="nil"/>
              <w:left w:val="nil"/>
              <w:bottom w:val="single" w:sz="4" w:space="0" w:color="auto"/>
              <w:right w:val="single" w:sz="4" w:space="0" w:color="auto"/>
            </w:tcBorders>
            <w:shd w:val="clear" w:color="000000" w:fill="FFFFFF"/>
            <w:noWrap/>
            <w:vAlign w:val="center"/>
            <w:hideMark/>
          </w:tcPr>
          <w:p w14:paraId="0812A4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4E2E2F8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c>
          <w:tcPr>
            <w:tcW w:w="1220" w:type="dxa"/>
            <w:tcBorders>
              <w:top w:val="nil"/>
              <w:left w:val="nil"/>
              <w:bottom w:val="single" w:sz="4" w:space="0" w:color="auto"/>
              <w:right w:val="single" w:sz="4" w:space="0" w:color="auto"/>
            </w:tcBorders>
            <w:shd w:val="clear" w:color="000000" w:fill="FFFFFF"/>
            <w:noWrap/>
            <w:vAlign w:val="bottom"/>
            <w:hideMark/>
          </w:tcPr>
          <w:p w14:paraId="5CE2C6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0.69</w:t>
            </w:r>
          </w:p>
        </w:tc>
      </w:tr>
      <w:tr w:rsidR="00526EC3" w:rsidRPr="005F45A3" w14:paraId="389C745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1F73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94660</w:t>
            </w:r>
          </w:p>
        </w:tc>
        <w:tc>
          <w:tcPr>
            <w:tcW w:w="3220" w:type="dxa"/>
            <w:tcBorders>
              <w:top w:val="nil"/>
              <w:left w:val="nil"/>
              <w:bottom w:val="single" w:sz="4" w:space="0" w:color="auto"/>
              <w:right w:val="single" w:sz="4" w:space="0" w:color="auto"/>
            </w:tcBorders>
            <w:shd w:val="clear" w:color="000000" w:fill="FFFFFF"/>
            <w:noWrap/>
            <w:vAlign w:val="center"/>
            <w:hideMark/>
          </w:tcPr>
          <w:p w14:paraId="2397614A" w14:textId="4D680F45"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w:t>
            </w:r>
            <w:proofErr w:type="spellStart"/>
            <w:r w:rsidRPr="005F45A3">
              <w:rPr>
                <w:rFonts w:asciiTheme="minorHAnsi" w:eastAsia="Times New Roman" w:hAnsiTheme="minorHAnsi" w:cstheme="minorHAnsi"/>
                <w:color w:val="000000"/>
                <w:sz w:val="12"/>
                <w:szCs w:val="12"/>
                <w:lang w:eastAsia="es-MX"/>
              </w:rPr>
              <w:t>Eq.De</w:t>
            </w:r>
            <w:proofErr w:type="spellEnd"/>
            <w:r w:rsidRPr="005F45A3">
              <w:rPr>
                <w:rFonts w:asciiTheme="minorHAnsi" w:eastAsia="Times New Roman" w:hAnsiTheme="minorHAnsi" w:cstheme="minorHAnsi"/>
                <w:color w:val="000000"/>
                <w:sz w:val="12"/>
                <w:szCs w:val="12"/>
                <w:lang w:eastAsia="es-MX"/>
              </w:rPr>
              <w:t xml:space="preserve"> </w:t>
            </w:r>
            <w:proofErr w:type="spellStart"/>
            <w:r w:rsidRPr="005F45A3">
              <w:rPr>
                <w:rFonts w:asciiTheme="minorHAnsi" w:eastAsia="Times New Roman" w:hAnsiTheme="minorHAnsi" w:cstheme="minorHAnsi"/>
                <w:color w:val="000000"/>
                <w:sz w:val="12"/>
                <w:szCs w:val="12"/>
                <w:lang w:eastAsia="es-MX"/>
              </w:rPr>
              <w:t>Generacion</w:t>
            </w:r>
            <w:proofErr w:type="spellEnd"/>
            <w:r w:rsidRPr="005F45A3">
              <w:rPr>
                <w:rFonts w:asciiTheme="minorHAnsi" w:eastAsia="Times New Roman" w:hAnsiTheme="minorHAnsi" w:cstheme="minorHAnsi"/>
                <w:color w:val="000000"/>
                <w:sz w:val="12"/>
                <w:szCs w:val="12"/>
                <w:lang w:eastAsia="es-MX"/>
              </w:rPr>
              <w:t xml:space="preserve"> Eléctrica, Aparatos Y A</w:t>
            </w:r>
          </w:p>
        </w:tc>
        <w:tc>
          <w:tcPr>
            <w:tcW w:w="1140" w:type="dxa"/>
            <w:tcBorders>
              <w:top w:val="nil"/>
              <w:left w:val="nil"/>
              <w:bottom w:val="single" w:sz="4" w:space="0" w:color="auto"/>
              <w:right w:val="single" w:sz="4" w:space="0" w:color="auto"/>
            </w:tcBorders>
            <w:shd w:val="clear" w:color="000000" w:fill="FFFFFF"/>
            <w:noWrap/>
            <w:vAlign w:val="center"/>
            <w:hideMark/>
          </w:tcPr>
          <w:p w14:paraId="017C18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0BCC8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3572BB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D8C19B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4.00</w:t>
            </w:r>
          </w:p>
        </w:tc>
        <w:tc>
          <w:tcPr>
            <w:tcW w:w="1220" w:type="dxa"/>
            <w:tcBorders>
              <w:top w:val="nil"/>
              <w:left w:val="nil"/>
              <w:bottom w:val="single" w:sz="4" w:space="0" w:color="auto"/>
              <w:right w:val="single" w:sz="4" w:space="0" w:color="auto"/>
            </w:tcBorders>
            <w:shd w:val="clear" w:color="000000" w:fill="FFFFFF"/>
            <w:noWrap/>
            <w:vAlign w:val="bottom"/>
            <w:hideMark/>
          </w:tcPr>
          <w:p w14:paraId="52C3B24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0.33</w:t>
            </w:r>
          </w:p>
        </w:tc>
      </w:tr>
      <w:tr w:rsidR="00526EC3" w:rsidRPr="005F45A3" w14:paraId="6195CF8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2705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94670</w:t>
            </w:r>
          </w:p>
        </w:tc>
        <w:tc>
          <w:tcPr>
            <w:tcW w:w="3220" w:type="dxa"/>
            <w:tcBorders>
              <w:top w:val="nil"/>
              <w:left w:val="nil"/>
              <w:bottom w:val="single" w:sz="4" w:space="0" w:color="auto"/>
              <w:right w:val="single" w:sz="4" w:space="0" w:color="auto"/>
            </w:tcBorders>
            <w:shd w:val="clear" w:color="000000" w:fill="FFFFFF"/>
            <w:noWrap/>
            <w:vAlign w:val="center"/>
            <w:hideMark/>
          </w:tcPr>
          <w:p w14:paraId="2503CF9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Herramientas Y Máquinas-Herramienta</w:t>
            </w:r>
          </w:p>
        </w:tc>
        <w:tc>
          <w:tcPr>
            <w:tcW w:w="1140" w:type="dxa"/>
            <w:tcBorders>
              <w:top w:val="nil"/>
              <w:left w:val="nil"/>
              <w:bottom w:val="single" w:sz="4" w:space="0" w:color="auto"/>
              <w:right w:val="single" w:sz="4" w:space="0" w:color="auto"/>
            </w:tcBorders>
            <w:shd w:val="clear" w:color="000000" w:fill="FFFFFF"/>
            <w:noWrap/>
            <w:vAlign w:val="center"/>
            <w:hideMark/>
          </w:tcPr>
          <w:p w14:paraId="1E40960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EC926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75CF06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3C34D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6.67</w:t>
            </w:r>
          </w:p>
        </w:tc>
        <w:tc>
          <w:tcPr>
            <w:tcW w:w="1220" w:type="dxa"/>
            <w:tcBorders>
              <w:top w:val="nil"/>
              <w:left w:val="nil"/>
              <w:bottom w:val="single" w:sz="4" w:space="0" w:color="auto"/>
              <w:right w:val="single" w:sz="4" w:space="0" w:color="auto"/>
            </w:tcBorders>
            <w:shd w:val="clear" w:color="000000" w:fill="FFFFFF"/>
            <w:noWrap/>
            <w:vAlign w:val="bottom"/>
            <w:hideMark/>
          </w:tcPr>
          <w:p w14:paraId="7AC48E5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0.56</w:t>
            </w:r>
          </w:p>
        </w:tc>
      </w:tr>
      <w:tr w:rsidR="00526EC3" w:rsidRPr="005F45A3" w14:paraId="4B19BAD4"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47A7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94690</w:t>
            </w:r>
          </w:p>
        </w:tc>
        <w:tc>
          <w:tcPr>
            <w:tcW w:w="3220" w:type="dxa"/>
            <w:tcBorders>
              <w:top w:val="nil"/>
              <w:left w:val="nil"/>
              <w:bottom w:val="single" w:sz="4" w:space="0" w:color="auto"/>
              <w:right w:val="single" w:sz="4" w:space="0" w:color="auto"/>
            </w:tcBorders>
            <w:shd w:val="clear" w:color="000000" w:fill="FFFFFF"/>
            <w:noWrap/>
            <w:vAlign w:val="center"/>
            <w:hideMark/>
          </w:tcPr>
          <w:p w14:paraId="16F155C2" w14:textId="306B76F8"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Equipo De Medición</w:t>
            </w:r>
          </w:p>
        </w:tc>
        <w:tc>
          <w:tcPr>
            <w:tcW w:w="1140" w:type="dxa"/>
            <w:tcBorders>
              <w:top w:val="nil"/>
              <w:left w:val="nil"/>
              <w:bottom w:val="single" w:sz="4" w:space="0" w:color="auto"/>
              <w:right w:val="single" w:sz="4" w:space="0" w:color="auto"/>
            </w:tcBorders>
            <w:shd w:val="clear" w:color="000000" w:fill="FFFFFF"/>
            <w:noWrap/>
            <w:vAlign w:val="center"/>
            <w:hideMark/>
          </w:tcPr>
          <w:p w14:paraId="4373A3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65FF5B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6A63670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274F5D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14.29</w:t>
            </w:r>
          </w:p>
        </w:tc>
        <w:tc>
          <w:tcPr>
            <w:tcW w:w="1220" w:type="dxa"/>
            <w:tcBorders>
              <w:top w:val="nil"/>
              <w:left w:val="nil"/>
              <w:bottom w:val="single" w:sz="4" w:space="0" w:color="auto"/>
              <w:right w:val="single" w:sz="4" w:space="0" w:color="auto"/>
            </w:tcBorders>
            <w:shd w:val="clear" w:color="000000" w:fill="FFFFFF"/>
            <w:noWrap/>
            <w:vAlign w:val="bottom"/>
            <w:hideMark/>
          </w:tcPr>
          <w:p w14:paraId="5C08726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1.19</w:t>
            </w:r>
          </w:p>
        </w:tc>
      </w:tr>
      <w:tr w:rsidR="00526EC3" w:rsidRPr="005F45A3" w14:paraId="48D939E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21269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94710</w:t>
            </w:r>
          </w:p>
        </w:tc>
        <w:tc>
          <w:tcPr>
            <w:tcW w:w="3220" w:type="dxa"/>
            <w:tcBorders>
              <w:top w:val="nil"/>
              <w:left w:val="nil"/>
              <w:bottom w:val="single" w:sz="4" w:space="0" w:color="auto"/>
              <w:right w:val="single" w:sz="4" w:space="0" w:color="auto"/>
            </w:tcBorders>
            <w:shd w:val="clear" w:color="000000" w:fill="FFFFFF"/>
            <w:noWrap/>
            <w:vAlign w:val="center"/>
            <w:hideMark/>
          </w:tcPr>
          <w:p w14:paraId="53D244F2" w14:textId="234D2429"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Bienes Artísticos, Culturales Y Científica</w:t>
            </w:r>
          </w:p>
        </w:tc>
        <w:tc>
          <w:tcPr>
            <w:tcW w:w="1140" w:type="dxa"/>
            <w:tcBorders>
              <w:top w:val="nil"/>
              <w:left w:val="nil"/>
              <w:bottom w:val="single" w:sz="4" w:space="0" w:color="auto"/>
              <w:right w:val="single" w:sz="4" w:space="0" w:color="auto"/>
            </w:tcBorders>
            <w:shd w:val="clear" w:color="000000" w:fill="FFFFFF"/>
            <w:noWrap/>
            <w:vAlign w:val="center"/>
            <w:hideMark/>
          </w:tcPr>
          <w:p w14:paraId="44ABECC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2A85C1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FE20CF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E17359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B6EE87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5E80A6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8F4BD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94720</w:t>
            </w:r>
          </w:p>
        </w:tc>
        <w:tc>
          <w:tcPr>
            <w:tcW w:w="3220" w:type="dxa"/>
            <w:tcBorders>
              <w:top w:val="nil"/>
              <w:left w:val="nil"/>
              <w:bottom w:val="single" w:sz="4" w:space="0" w:color="auto"/>
              <w:right w:val="single" w:sz="4" w:space="0" w:color="auto"/>
            </w:tcBorders>
            <w:shd w:val="clear" w:color="000000" w:fill="FFFFFF"/>
            <w:noWrap/>
            <w:vAlign w:val="center"/>
            <w:hideMark/>
          </w:tcPr>
          <w:p w14:paraId="245DCA7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Objetos De Valor</w:t>
            </w:r>
          </w:p>
        </w:tc>
        <w:tc>
          <w:tcPr>
            <w:tcW w:w="1140" w:type="dxa"/>
            <w:tcBorders>
              <w:top w:val="nil"/>
              <w:left w:val="nil"/>
              <w:bottom w:val="single" w:sz="4" w:space="0" w:color="auto"/>
              <w:right w:val="single" w:sz="4" w:space="0" w:color="auto"/>
            </w:tcBorders>
            <w:shd w:val="clear" w:color="000000" w:fill="FFFFFF"/>
            <w:noWrap/>
            <w:vAlign w:val="center"/>
            <w:hideMark/>
          </w:tcPr>
          <w:p w14:paraId="3D2D93D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88CAF8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837093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26952C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D9987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7B2B5F2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E4208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94810</w:t>
            </w:r>
          </w:p>
        </w:tc>
        <w:tc>
          <w:tcPr>
            <w:tcW w:w="3220" w:type="dxa"/>
            <w:tcBorders>
              <w:top w:val="nil"/>
              <w:left w:val="nil"/>
              <w:bottom w:val="single" w:sz="4" w:space="0" w:color="auto"/>
              <w:right w:val="single" w:sz="4" w:space="0" w:color="auto"/>
            </w:tcBorders>
            <w:shd w:val="clear" w:color="000000" w:fill="FFFFFF"/>
            <w:noWrap/>
            <w:vAlign w:val="center"/>
            <w:hideMark/>
          </w:tcPr>
          <w:p w14:paraId="57C0D8B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Bovinos</w:t>
            </w:r>
          </w:p>
        </w:tc>
        <w:tc>
          <w:tcPr>
            <w:tcW w:w="1140" w:type="dxa"/>
            <w:tcBorders>
              <w:top w:val="nil"/>
              <w:left w:val="nil"/>
              <w:bottom w:val="single" w:sz="4" w:space="0" w:color="auto"/>
              <w:right w:val="single" w:sz="4" w:space="0" w:color="auto"/>
            </w:tcBorders>
            <w:shd w:val="clear" w:color="000000" w:fill="FFFFFF"/>
            <w:noWrap/>
            <w:vAlign w:val="center"/>
            <w:hideMark/>
          </w:tcPr>
          <w:p w14:paraId="1C46160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7C803E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F4B7ED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E4D5BC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8C726E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13D5DB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ED433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94820</w:t>
            </w:r>
          </w:p>
        </w:tc>
        <w:tc>
          <w:tcPr>
            <w:tcW w:w="3220" w:type="dxa"/>
            <w:tcBorders>
              <w:top w:val="nil"/>
              <w:left w:val="nil"/>
              <w:bottom w:val="single" w:sz="4" w:space="0" w:color="auto"/>
              <w:right w:val="single" w:sz="4" w:space="0" w:color="auto"/>
            </w:tcBorders>
            <w:shd w:val="clear" w:color="000000" w:fill="FFFFFF"/>
            <w:noWrap/>
            <w:vAlign w:val="center"/>
            <w:hideMark/>
          </w:tcPr>
          <w:p w14:paraId="2E3860BC"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Porcinos</w:t>
            </w:r>
          </w:p>
        </w:tc>
        <w:tc>
          <w:tcPr>
            <w:tcW w:w="1140" w:type="dxa"/>
            <w:tcBorders>
              <w:top w:val="nil"/>
              <w:left w:val="nil"/>
              <w:bottom w:val="single" w:sz="4" w:space="0" w:color="auto"/>
              <w:right w:val="single" w:sz="4" w:space="0" w:color="auto"/>
            </w:tcBorders>
            <w:shd w:val="clear" w:color="000000" w:fill="FFFFFF"/>
            <w:noWrap/>
            <w:vAlign w:val="center"/>
            <w:hideMark/>
          </w:tcPr>
          <w:p w14:paraId="43E3D84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6ECD65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6E68F9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1F1CC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29FA30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C1E031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41151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94830</w:t>
            </w:r>
          </w:p>
        </w:tc>
        <w:tc>
          <w:tcPr>
            <w:tcW w:w="3220" w:type="dxa"/>
            <w:tcBorders>
              <w:top w:val="nil"/>
              <w:left w:val="nil"/>
              <w:bottom w:val="single" w:sz="4" w:space="0" w:color="auto"/>
              <w:right w:val="single" w:sz="4" w:space="0" w:color="auto"/>
            </w:tcBorders>
            <w:shd w:val="clear" w:color="000000" w:fill="FFFFFF"/>
            <w:noWrap/>
            <w:vAlign w:val="center"/>
            <w:hideMark/>
          </w:tcPr>
          <w:p w14:paraId="2DD2E481"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 Aves</w:t>
            </w:r>
          </w:p>
        </w:tc>
        <w:tc>
          <w:tcPr>
            <w:tcW w:w="1140" w:type="dxa"/>
            <w:tcBorders>
              <w:top w:val="nil"/>
              <w:left w:val="nil"/>
              <w:bottom w:val="single" w:sz="4" w:space="0" w:color="auto"/>
              <w:right w:val="single" w:sz="4" w:space="0" w:color="auto"/>
            </w:tcBorders>
            <w:shd w:val="clear" w:color="000000" w:fill="FFFFFF"/>
            <w:noWrap/>
            <w:vAlign w:val="center"/>
            <w:hideMark/>
          </w:tcPr>
          <w:p w14:paraId="0E94F7E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03F797B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C82FF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58A1CBE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218CA8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20E494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6A759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94840</w:t>
            </w:r>
          </w:p>
        </w:tc>
        <w:tc>
          <w:tcPr>
            <w:tcW w:w="3220" w:type="dxa"/>
            <w:tcBorders>
              <w:top w:val="nil"/>
              <w:left w:val="nil"/>
              <w:bottom w:val="single" w:sz="4" w:space="0" w:color="auto"/>
              <w:right w:val="single" w:sz="4" w:space="0" w:color="auto"/>
            </w:tcBorders>
            <w:shd w:val="clear" w:color="000000" w:fill="FFFFFF"/>
            <w:noWrap/>
            <w:vAlign w:val="center"/>
            <w:hideMark/>
          </w:tcPr>
          <w:p w14:paraId="7D2DAD3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Ovinos Y Caprinos</w:t>
            </w:r>
          </w:p>
        </w:tc>
        <w:tc>
          <w:tcPr>
            <w:tcW w:w="1140" w:type="dxa"/>
            <w:tcBorders>
              <w:top w:val="nil"/>
              <w:left w:val="nil"/>
              <w:bottom w:val="single" w:sz="4" w:space="0" w:color="auto"/>
              <w:right w:val="single" w:sz="4" w:space="0" w:color="auto"/>
            </w:tcBorders>
            <w:shd w:val="clear" w:color="000000" w:fill="FFFFFF"/>
            <w:noWrap/>
            <w:vAlign w:val="center"/>
            <w:hideMark/>
          </w:tcPr>
          <w:p w14:paraId="5C5C14B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5394822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35311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4D8FF9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3D15DF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266438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1E41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94850</w:t>
            </w:r>
          </w:p>
        </w:tc>
        <w:tc>
          <w:tcPr>
            <w:tcW w:w="3220" w:type="dxa"/>
            <w:tcBorders>
              <w:top w:val="nil"/>
              <w:left w:val="nil"/>
              <w:bottom w:val="single" w:sz="4" w:space="0" w:color="auto"/>
              <w:right w:val="single" w:sz="4" w:space="0" w:color="auto"/>
            </w:tcBorders>
            <w:shd w:val="clear" w:color="000000" w:fill="FFFFFF"/>
            <w:noWrap/>
            <w:vAlign w:val="center"/>
            <w:hideMark/>
          </w:tcPr>
          <w:p w14:paraId="18CC25A3"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Peces Y Acuicultura</w:t>
            </w:r>
          </w:p>
        </w:tc>
        <w:tc>
          <w:tcPr>
            <w:tcW w:w="1140" w:type="dxa"/>
            <w:tcBorders>
              <w:top w:val="nil"/>
              <w:left w:val="nil"/>
              <w:bottom w:val="single" w:sz="4" w:space="0" w:color="auto"/>
              <w:right w:val="single" w:sz="4" w:space="0" w:color="auto"/>
            </w:tcBorders>
            <w:shd w:val="clear" w:color="000000" w:fill="FFFFFF"/>
            <w:noWrap/>
            <w:vAlign w:val="center"/>
            <w:hideMark/>
          </w:tcPr>
          <w:p w14:paraId="6ACC971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45CCFB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63DF661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C5DAA6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05EDD8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85EE78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39CC6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94860</w:t>
            </w:r>
          </w:p>
        </w:tc>
        <w:tc>
          <w:tcPr>
            <w:tcW w:w="3220" w:type="dxa"/>
            <w:tcBorders>
              <w:top w:val="nil"/>
              <w:left w:val="nil"/>
              <w:bottom w:val="single" w:sz="4" w:space="0" w:color="auto"/>
              <w:right w:val="single" w:sz="4" w:space="0" w:color="auto"/>
            </w:tcBorders>
            <w:shd w:val="clear" w:color="000000" w:fill="FFFFFF"/>
            <w:noWrap/>
            <w:vAlign w:val="center"/>
            <w:hideMark/>
          </w:tcPr>
          <w:p w14:paraId="1C62F697"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Equinos</w:t>
            </w:r>
          </w:p>
        </w:tc>
        <w:tc>
          <w:tcPr>
            <w:tcW w:w="1140" w:type="dxa"/>
            <w:tcBorders>
              <w:top w:val="nil"/>
              <w:left w:val="nil"/>
              <w:bottom w:val="single" w:sz="4" w:space="0" w:color="auto"/>
              <w:right w:val="single" w:sz="4" w:space="0" w:color="auto"/>
            </w:tcBorders>
            <w:shd w:val="clear" w:color="000000" w:fill="FFFFFF"/>
            <w:noWrap/>
            <w:vAlign w:val="center"/>
            <w:hideMark/>
          </w:tcPr>
          <w:p w14:paraId="1B9AC5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B9DD73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1550A6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67CF39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299264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57EBB8E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E62A6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94870</w:t>
            </w:r>
          </w:p>
        </w:tc>
        <w:tc>
          <w:tcPr>
            <w:tcW w:w="3220" w:type="dxa"/>
            <w:tcBorders>
              <w:top w:val="nil"/>
              <w:left w:val="nil"/>
              <w:bottom w:val="single" w:sz="4" w:space="0" w:color="auto"/>
              <w:right w:val="single" w:sz="4" w:space="0" w:color="auto"/>
            </w:tcBorders>
            <w:shd w:val="clear" w:color="000000" w:fill="FFFFFF"/>
            <w:noWrap/>
            <w:vAlign w:val="center"/>
            <w:hideMark/>
          </w:tcPr>
          <w:p w14:paraId="47F5668B" w14:textId="48F432F6"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Especies Menores Y De Zoológico</w:t>
            </w:r>
          </w:p>
        </w:tc>
        <w:tc>
          <w:tcPr>
            <w:tcW w:w="1140" w:type="dxa"/>
            <w:tcBorders>
              <w:top w:val="nil"/>
              <w:left w:val="nil"/>
              <w:bottom w:val="single" w:sz="4" w:space="0" w:color="auto"/>
              <w:right w:val="single" w:sz="4" w:space="0" w:color="auto"/>
            </w:tcBorders>
            <w:shd w:val="clear" w:color="000000" w:fill="FFFFFF"/>
            <w:noWrap/>
            <w:vAlign w:val="center"/>
            <w:hideMark/>
          </w:tcPr>
          <w:p w14:paraId="2C6BB41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3AE8CF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105F6A6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782A2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29B320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3161F1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21BBA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94880</w:t>
            </w:r>
          </w:p>
        </w:tc>
        <w:tc>
          <w:tcPr>
            <w:tcW w:w="3220" w:type="dxa"/>
            <w:tcBorders>
              <w:top w:val="nil"/>
              <w:left w:val="nil"/>
              <w:bottom w:val="single" w:sz="4" w:space="0" w:color="auto"/>
              <w:right w:val="single" w:sz="4" w:space="0" w:color="auto"/>
            </w:tcBorders>
            <w:shd w:val="clear" w:color="000000" w:fill="FFFFFF"/>
            <w:noWrap/>
            <w:vAlign w:val="center"/>
            <w:hideMark/>
          </w:tcPr>
          <w:p w14:paraId="6E28DCEB"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Arboles Y Plantas</w:t>
            </w:r>
          </w:p>
        </w:tc>
        <w:tc>
          <w:tcPr>
            <w:tcW w:w="1140" w:type="dxa"/>
            <w:tcBorders>
              <w:top w:val="nil"/>
              <w:left w:val="nil"/>
              <w:bottom w:val="single" w:sz="4" w:space="0" w:color="auto"/>
              <w:right w:val="single" w:sz="4" w:space="0" w:color="auto"/>
            </w:tcBorders>
            <w:shd w:val="clear" w:color="000000" w:fill="FFFFFF"/>
            <w:noWrap/>
            <w:vAlign w:val="center"/>
            <w:hideMark/>
          </w:tcPr>
          <w:p w14:paraId="30B008C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6C4C7E7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D9BCD4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D2006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0B0A0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0AFF245A"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2B43CF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94890</w:t>
            </w:r>
          </w:p>
        </w:tc>
        <w:tc>
          <w:tcPr>
            <w:tcW w:w="3220" w:type="dxa"/>
            <w:tcBorders>
              <w:top w:val="nil"/>
              <w:left w:val="nil"/>
              <w:bottom w:val="single" w:sz="4" w:space="0" w:color="auto"/>
              <w:right w:val="single" w:sz="4" w:space="0" w:color="auto"/>
            </w:tcBorders>
            <w:shd w:val="clear" w:color="000000" w:fill="FFFFFF"/>
            <w:noWrap/>
            <w:vAlign w:val="center"/>
            <w:hideMark/>
          </w:tcPr>
          <w:p w14:paraId="6793426E"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Activos Biológicos Flora Y Fauna</w:t>
            </w:r>
          </w:p>
        </w:tc>
        <w:tc>
          <w:tcPr>
            <w:tcW w:w="1140" w:type="dxa"/>
            <w:tcBorders>
              <w:top w:val="nil"/>
              <w:left w:val="nil"/>
              <w:bottom w:val="single" w:sz="4" w:space="0" w:color="auto"/>
              <w:right w:val="single" w:sz="4" w:space="0" w:color="auto"/>
            </w:tcBorders>
            <w:shd w:val="clear" w:color="000000" w:fill="FFFFFF"/>
            <w:noWrap/>
            <w:vAlign w:val="center"/>
            <w:hideMark/>
          </w:tcPr>
          <w:p w14:paraId="176859C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0000</w:t>
            </w:r>
          </w:p>
        </w:tc>
        <w:tc>
          <w:tcPr>
            <w:tcW w:w="920" w:type="dxa"/>
            <w:tcBorders>
              <w:top w:val="nil"/>
              <w:left w:val="nil"/>
              <w:bottom w:val="single" w:sz="4" w:space="0" w:color="auto"/>
              <w:right w:val="single" w:sz="4" w:space="0" w:color="auto"/>
            </w:tcBorders>
            <w:shd w:val="clear" w:color="000000" w:fill="FFFFFF"/>
            <w:noWrap/>
            <w:vAlign w:val="center"/>
            <w:hideMark/>
          </w:tcPr>
          <w:p w14:paraId="19488BF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F2D914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22B9D9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3E48D42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6615279C"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2237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95100</w:t>
            </w:r>
          </w:p>
        </w:tc>
        <w:tc>
          <w:tcPr>
            <w:tcW w:w="3220" w:type="dxa"/>
            <w:tcBorders>
              <w:top w:val="nil"/>
              <w:left w:val="nil"/>
              <w:bottom w:val="single" w:sz="4" w:space="0" w:color="auto"/>
              <w:right w:val="single" w:sz="4" w:space="0" w:color="auto"/>
            </w:tcBorders>
            <w:shd w:val="clear" w:color="000000" w:fill="FFFFFF"/>
            <w:noWrap/>
            <w:vAlign w:val="center"/>
            <w:hideMark/>
          </w:tcPr>
          <w:p w14:paraId="30C3D2F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Software</w:t>
            </w:r>
          </w:p>
        </w:tc>
        <w:tc>
          <w:tcPr>
            <w:tcW w:w="1140" w:type="dxa"/>
            <w:tcBorders>
              <w:top w:val="nil"/>
              <w:left w:val="nil"/>
              <w:bottom w:val="single" w:sz="4" w:space="0" w:color="auto"/>
              <w:right w:val="single" w:sz="4" w:space="0" w:color="auto"/>
            </w:tcBorders>
            <w:shd w:val="clear" w:color="000000" w:fill="FFFFFF"/>
            <w:noWrap/>
            <w:vAlign w:val="center"/>
            <w:hideMark/>
          </w:tcPr>
          <w:p w14:paraId="63824F8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9321EE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2D744A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770926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04AC6E6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4F6997D1"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49D679C"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95210</w:t>
            </w:r>
          </w:p>
        </w:tc>
        <w:tc>
          <w:tcPr>
            <w:tcW w:w="3220" w:type="dxa"/>
            <w:tcBorders>
              <w:top w:val="nil"/>
              <w:left w:val="nil"/>
              <w:bottom w:val="single" w:sz="4" w:space="0" w:color="auto"/>
              <w:right w:val="single" w:sz="4" w:space="0" w:color="auto"/>
            </w:tcBorders>
            <w:shd w:val="clear" w:color="000000" w:fill="FFFFFF"/>
            <w:noWrap/>
            <w:vAlign w:val="center"/>
            <w:hideMark/>
          </w:tcPr>
          <w:p w14:paraId="359CA0A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Patentes</w:t>
            </w:r>
          </w:p>
        </w:tc>
        <w:tc>
          <w:tcPr>
            <w:tcW w:w="1140" w:type="dxa"/>
            <w:tcBorders>
              <w:top w:val="nil"/>
              <w:left w:val="nil"/>
              <w:bottom w:val="single" w:sz="4" w:space="0" w:color="auto"/>
              <w:right w:val="single" w:sz="4" w:space="0" w:color="auto"/>
            </w:tcBorders>
            <w:shd w:val="clear" w:color="000000" w:fill="FFFFFF"/>
            <w:noWrap/>
            <w:vAlign w:val="center"/>
            <w:hideMark/>
          </w:tcPr>
          <w:p w14:paraId="54CB8C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FE054D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C2371F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76D874A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690066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A495BC9"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0F1F9C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95220</w:t>
            </w:r>
          </w:p>
        </w:tc>
        <w:tc>
          <w:tcPr>
            <w:tcW w:w="3220" w:type="dxa"/>
            <w:tcBorders>
              <w:top w:val="nil"/>
              <w:left w:val="nil"/>
              <w:bottom w:val="single" w:sz="4" w:space="0" w:color="auto"/>
              <w:right w:val="single" w:sz="4" w:space="0" w:color="auto"/>
            </w:tcBorders>
            <w:shd w:val="clear" w:color="000000" w:fill="FFFFFF"/>
            <w:noWrap/>
            <w:vAlign w:val="center"/>
            <w:hideMark/>
          </w:tcPr>
          <w:p w14:paraId="7E09153F"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Marcas</w:t>
            </w:r>
          </w:p>
        </w:tc>
        <w:tc>
          <w:tcPr>
            <w:tcW w:w="1140" w:type="dxa"/>
            <w:tcBorders>
              <w:top w:val="nil"/>
              <w:left w:val="nil"/>
              <w:bottom w:val="single" w:sz="4" w:space="0" w:color="auto"/>
              <w:right w:val="single" w:sz="4" w:space="0" w:color="auto"/>
            </w:tcBorders>
            <w:shd w:val="clear" w:color="000000" w:fill="FFFFFF"/>
            <w:noWrap/>
            <w:vAlign w:val="center"/>
            <w:hideMark/>
          </w:tcPr>
          <w:p w14:paraId="3D8101A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92A4A5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67325E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A80F1A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0FC316A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1F1850F"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531A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95230</w:t>
            </w:r>
          </w:p>
        </w:tc>
        <w:tc>
          <w:tcPr>
            <w:tcW w:w="3220" w:type="dxa"/>
            <w:tcBorders>
              <w:top w:val="nil"/>
              <w:left w:val="nil"/>
              <w:bottom w:val="single" w:sz="4" w:space="0" w:color="auto"/>
              <w:right w:val="single" w:sz="4" w:space="0" w:color="auto"/>
            </w:tcBorders>
            <w:shd w:val="clear" w:color="000000" w:fill="FFFFFF"/>
            <w:noWrap/>
            <w:vAlign w:val="center"/>
            <w:hideMark/>
          </w:tcPr>
          <w:p w14:paraId="3E32D42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Derechos</w:t>
            </w:r>
          </w:p>
        </w:tc>
        <w:tc>
          <w:tcPr>
            <w:tcW w:w="1140" w:type="dxa"/>
            <w:tcBorders>
              <w:top w:val="nil"/>
              <w:left w:val="nil"/>
              <w:bottom w:val="single" w:sz="4" w:space="0" w:color="auto"/>
              <w:right w:val="single" w:sz="4" w:space="0" w:color="auto"/>
            </w:tcBorders>
            <w:shd w:val="clear" w:color="000000" w:fill="FFFFFF"/>
            <w:noWrap/>
            <w:vAlign w:val="center"/>
            <w:hideMark/>
          </w:tcPr>
          <w:p w14:paraId="3F00F73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2319C5A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2EC0D0D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617B56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696CAD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27F38C73"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8A653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95310</w:t>
            </w:r>
          </w:p>
        </w:tc>
        <w:tc>
          <w:tcPr>
            <w:tcW w:w="3220" w:type="dxa"/>
            <w:tcBorders>
              <w:top w:val="nil"/>
              <w:left w:val="nil"/>
              <w:bottom w:val="single" w:sz="4" w:space="0" w:color="auto"/>
              <w:right w:val="single" w:sz="4" w:space="0" w:color="auto"/>
            </w:tcBorders>
            <w:shd w:val="clear" w:color="000000" w:fill="FFFFFF"/>
            <w:noWrap/>
            <w:vAlign w:val="center"/>
            <w:hideMark/>
          </w:tcPr>
          <w:p w14:paraId="5D58F359"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Concesiones</w:t>
            </w:r>
          </w:p>
        </w:tc>
        <w:tc>
          <w:tcPr>
            <w:tcW w:w="1140" w:type="dxa"/>
            <w:tcBorders>
              <w:top w:val="nil"/>
              <w:left w:val="nil"/>
              <w:bottom w:val="single" w:sz="4" w:space="0" w:color="auto"/>
              <w:right w:val="single" w:sz="4" w:space="0" w:color="auto"/>
            </w:tcBorders>
            <w:shd w:val="clear" w:color="000000" w:fill="FFFFFF"/>
            <w:noWrap/>
            <w:vAlign w:val="center"/>
            <w:hideMark/>
          </w:tcPr>
          <w:p w14:paraId="387C8269"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1BA3D14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69FA60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65B0EDDF"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FA27F1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1F343B35"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5FD67E"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95320</w:t>
            </w:r>
          </w:p>
        </w:tc>
        <w:tc>
          <w:tcPr>
            <w:tcW w:w="3220" w:type="dxa"/>
            <w:tcBorders>
              <w:top w:val="nil"/>
              <w:left w:val="nil"/>
              <w:bottom w:val="single" w:sz="4" w:space="0" w:color="auto"/>
              <w:right w:val="single" w:sz="4" w:space="0" w:color="auto"/>
            </w:tcBorders>
            <w:shd w:val="clear" w:color="000000" w:fill="FFFFFF"/>
            <w:noWrap/>
            <w:vAlign w:val="center"/>
            <w:hideMark/>
          </w:tcPr>
          <w:p w14:paraId="08B47AE4"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Franquicias</w:t>
            </w:r>
          </w:p>
        </w:tc>
        <w:tc>
          <w:tcPr>
            <w:tcW w:w="1140" w:type="dxa"/>
            <w:tcBorders>
              <w:top w:val="nil"/>
              <w:left w:val="nil"/>
              <w:bottom w:val="single" w:sz="4" w:space="0" w:color="auto"/>
              <w:right w:val="single" w:sz="4" w:space="0" w:color="auto"/>
            </w:tcBorders>
            <w:shd w:val="clear" w:color="000000" w:fill="FFFFFF"/>
            <w:noWrap/>
            <w:vAlign w:val="center"/>
            <w:hideMark/>
          </w:tcPr>
          <w:p w14:paraId="0EDB2B8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0920FA4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12E971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0368102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4A4048C3"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426EC470"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D015F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95410</w:t>
            </w:r>
          </w:p>
        </w:tc>
        <w:tc>
          <w:tcPr>
            <w:tcW w:w="3220" w:type="dxa"/>
            <w:tcBorders>
              <w:top w:val="nil"/>
              <w:left w:val="nil"/>
              <w:bottom w:val="single" w:sz="4" w:space="0" w:color="auto"/>
              <w:right w:val="single" w:sz="4" w:space="0" w:color="auto"/>
            </w:tcBorders>
            <w:shd w:val="clear" w:color="000000" w:fill="FFFFFF"/>
            <w:noWrap/>
            <w:vAlign w:val="center"/>
            <w:hideMark/>
          </w:tcPr>
          <w:p w14:paraId="16E7FABA"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Licencias Informáticas E Intelectuales</w:t>
            </w:r>
          </w:p>
        </w:tc>
        <w:tc>
          <w:tcPr>
            <w:tcW w:w="1140" w:type="dxa"/>
            <w:tcBorders>
              <w:top w:val="nil"/>
              <w:left w:val="nil"/>
              <w:bottom w:val="single" w:sz="4" w:space="0" w:color="auto"/>
              <w:right w:val="single" w:sz="4" w:space="0" w:color="auto"/>
            </w:tcBorders>
            <w:shd w:val="clear" w:color="000000" w:fill="FFFFFF"/>
            <w:noWrap/>
            <w:vAlign w:val="center"/>
            <w:hideMark/>
          </w:tcPr>
          <w:p w14:paraId="5C8A826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48BA1C56"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6DDE47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991645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100.00</w:t>
            </w:r>
          </w:p>
        </w:tc>
        <w:tc>
          <w:tcPr>
            <w:tcW w:w="1220" w:type="dxa"/>
            <w:tcBorders>
              <w:top w:val="nil"/>
              <w:left w:val="nil"/>
              <w:bottom w:val="single" w:sz="4" w:space="0" w:color="auto"/>
              <w:right w:val="single" w:sz="4" w:space="0" w:color="auto"/>
            </w:tcBorders>
            <w:shd w:val="clear" w:color="000000" w:fill="FFFFFF"/>
            <w:noWrap/>
            <w:vAlign w:val="bottom"/>
            <w:hideMark/>
          </w:tcPr>
          <w:p w14:paraId="49C26A2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8.33</w:t>
            </w:r>
          </w:p>
        </w:tc>
      </w:tr>
      <w:tr w:rsidR="00526EC3" w:rsidRPr="005F45A3" w14:paraId="283990B8"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E72E2F7"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95420</w:t>
            </w:r>
          </w:p>
        </w:tc>
        <w:tc>
          <w:tcPr>
            <w:tcW w:w="3220" w:type="dxa"/>
            <w:tcBorders>
              <w:top w:val="nil"/>
              <w:left w:val="nil"/>
              <w:bottom w:val="single" w:sz="4" w:space="0" w:color="auto"/>
              <w:right w:val="single" w:sz="4" w:space="0" w:color="auto"/>
            </w:tcBorders>
            <w:shd w:val="clear" w:color="000000" w:fill="FFFFFF"/>
            <w:noWrap/>
            <w:vAlign w:val="center"/>
            <w:hideMark/>
          </w:tcPr>
          <w:p w14:paraId="0879F540"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 xml:space="preserve">Comodatos Licencias Industriales, Comerciales Y </w:t>
            </w:r>
            <w:proofErr w:type="spellStart"/>
            <w:r w:rsidRPr="005F45A3">
              <w:rPr>
                <w:rFonts w:asciiTheme="minorHAnsi" w:eastAsia="Times New Roman" w:hAnsiTheme="minorHAnsi" w:cstheme="minorHAnsi"/>
                <w:color w:val="000000"/>
                <w:sz w:val="12"/>
                <w:szCs w:val="12"/>
                <w:lang w:eastAsia="es-MX"/>
              </w:rPr>
              <w:t>Ot</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14:paraId="49C251B8"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EC5E5E5"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49116B2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3C49167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5AEF4511"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r w:rsidR="00526EC3" w:rsidRPr="005F45A3" w14:paraId="3E16B9F7" w14:textId="77777777" w:rsidTr="00526EC3">
        <w:trPr>
          <w:trHeight w:val="2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7199C4"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95900</w:t>
            </w:r>
          </w:p>
        </w:tc>
        <w:tc>
          <w:tcPr>
            <w:tcW w:w="3220" w:type="dxa"/>
            <w:tcBorders>
              <w:top w:val="nil"/>
              <w:left w:val="nil"/>
              <w:bottom w:val="single" w:sz="4" w:space="0" w:color="auto"/>
              <w:right w:val="single" w:sz="4" w:space="0" w:color="auto"/>
            </w:tcBorders>
            <w:shd w:val="clear" w:color="000000" w:fill="FFFFFF"/>
            <w:noWrap/>
            <w:vAlign w:val="center"/>
            <w:hideMark/>
          </w:tcPr>
          <w:p w14:paraId="7824D382" w14:textId="77777777" w:rsidR="00526EC3" w:rsidRPr="005F45A3" w:rsidRDefault="00526EC3" w:rsidP="00526EC3">
            <w:pPr>
              <w:spacing w:after="0" w:line="240" w:lineRule="auto"/>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Comodatos Otros Activos Intangibles</w:t>
            </w:r>
          </w:p>
        </w:tc>
        <w:tc>
          <w:tcPr>
            <w:tcW w:w="1140" w:type="dxa"/>
            <w:tcBorders>
              <w:top w:val="nil"/>
              <w:left w:val="nil"/>
              <w:bottom w:val="single" w:sz="4" w:space="0" w:color="auto"/>
              <w:right w:val="single" w:sz="4" w:space="0" w:color="auto"/>
            </w:tcBorders>
            <w:shd w:val="clear" w:color="000000" w:fill="FFFFFF"/>
            <w:noWrap/>
            <w:vAlign w:val="center"/>
            <w:hideMark/>
          </w:tcPr>
          <w:p w14:paraId="37D3243A"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LINR</w:t>
            </w:r>
          </w:p>
        </w:tc>
        <w:tc>
          <w:tcPr>
            <w:tcW w:w="920" w:type="dxa"/>
            <w:tcBorders>
              <w:top w:val="nil"/>
              <w:left w:val="nil"/>
              <w:bottom w:val="single" w:sz="4" w:space="0" w:color="auto"/>
              <w:right w:val="single" w:sz="4" w:space="0" w:color="auto"/>
            </w:tcBorders>
            <w:shd w:val="clear" w:color="000000" w:fill="FFFFFF"/>
            <w:noWrap/>
            <w:vAlign w:val="center"/>
            <w:hideMark/>
          </w:tcPr>
          <w:p w14:paraId="3A21A49B"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37B4987D"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w:t>
            </w:r>
          </w:p>
        </w:tc>
        <w:tc>
          <w:tcPr>
            <w:tcW w:w="1020" w:type="dxa"/>
            <w:tcBorders>
              <w:top w:val="nil"/>
              <w:left w:val="nil"/>
              <w:bottom w:val="single" w:sz="4" w:space="0" w:color="auto"/>
              <w:right w:val="single" w:sz="4" w:space="0" w:color="auto"/>
            </w:tcBorders>
            <w:shd w:val="clear" w:color="000000" w:fill="FFFFFF"/>
            <w:noWrap/>
            <w:vAlign w:val="bottom"/>
            <w:hideMark/>
          </w:tcPr>
          <w:p w14:paraId="264AC682"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c>
          <w:tcPr>
            <w:tcW w:w="1220" w:type="dxa"/>
            <w:tcBorders>
              <w:top w:val="nil"/>
              <w:left w:val="nil"/>
              <w:bottom w:val="single" w:sz="4" w:space="0" w:color="auto"/>
              <w:right w:val="single" w:sz="4" w:space="0" w:color="auto"/>
            </w:tcBorders>
            <w:shd w:val="clear" w:color="000000" w:fill="FFFFFF"/>
            <w:noWrap/>
            <w:vAlign w:val="bottom"/>
            <w:hideMark/>
          </w:tcPr>
          <w:p w14:paraId="1DAE2D90" w14:textId="77777777" w:rsidR="00526EC3" w:rsidRPr="005F45A3" w:rsidRDefault="00526EC3" w:rsidP="00526EC3">
            <w:pPr>
              <w:spacing w:after="0" w:line="240" w:lineRule="auto"/>
              <w:jc w:val="center"/>
              <w:rPr>
                <w:rFonts w:asciiTheme="minorHAnsi" w:eastAsia="Times New Roman" w:hAnsiTheme="minorHAnsi" w:cstheme="minorHAnsi"/>
                <w:color w:val="000000"/>
                <w:sz w:val="12"/>
                <w:szCs w:val="12"/>
                <w:lang w:eastAsia="es-MX"/>
              </w:rPr>
            </w:pPr>
            <w:r w:rsidRPr="005F45A3">
              <w:rPr>
                <w:rFonts w:asciiTheme="minorHAnsi" w:eastAsia="Times New Roman" w:hAnsiTheme="minorHAnsi" w:cstheme="minorHAnsi"/>
                <w:color w:val="000000"/>
                <w:sz w:val="12"/>
                <w:szCs w:val="12"/>
                <w:lang w:eastAsia="es-MX"/>
              </w:rPr>
              <w:t>0.00</w:t>
            </w:r>
          </w:p>
        </w:tc>
      </w:tr>
    </w:tbl>
    <w:p w14:paraId="22865AAE" w14:textId="77777777" w:rsidR="00526EC3" w:rsidRPr="005F45A3" w:rsidRDefault="00526EC3" w:rsidP="00CB7DAA">
      <w:pPr>
        <w:pStyle w:val="INCISO"/>
        <w:spacing w:after="0" w:line="240" w:lineRule="exact"/>
        <w:rPr>
          <w:rFonts w:asciiTheme="minorHAnsi" w:hAnsiTheme="minorHAnsi" w:cstheme="minorHAnsi"/>
        </w:rPr>
      </w:pPr>
    </w:p>
    <w:p w14:paraId="1751917E" w14:textId="77777777" w:rsidR="00526EC3" w:rsidRPr="005F45A3" w:rsidRDefault="00526EC3" w:rsidP="00CB7DAA">
      <w:pPr>
        <w:pStyle w:val="INCISO"/>
        <w:spacing w:after="0" w:line="240" w:lineRule="exact"/>
        <w:rPr>
          <w:rFonts w:asciiTheme="minorHAnsi" w:hAnsiTheme="minorHAnsi" w:cstheme="minorHAnsi"/>
        </w:rPr>
      </w:pPr>
    </w:p>
    <w:p w14:paraId="78DD4D9D" w14:textId="718DE91A" w:rsidR="00AA7087" w:rsidRPr="005F45A3" w:rsidRDefault="00AA7087" w:rsidP="00FD47EF">
      <w:pPr>
        <w:pStyle w:val="INCISO"/>
        <w:numPr>
          <w:ilvl w:val="0"/>
          <w:numId w:val="2"/>
        </w:numPr>
        <w:spacing w:after="0" w:line="240" w:lineRule="exact"/>
        <w:rPr>
          <w:rFonts w:asciiTheme="minorHAnsi" w:hAnsiTheme="minorHAnsi" w:cstheme="minorHAnsi"/>
          <w:szCs w:val="20"/>
        </w:rPr>
      </w:pPr>
      <w:r w:rsidRPr="005F45A3">
        <w:rPr>
          <w:rFonts w:asciiTheme="minorHAnsi" w:hAnsiTheme="minorHAnsi" w:cstheme="minorHAnsi"/>
          <w:szCs w:val="20"/>
        </w:rPr>
        <w:t>Cambios en el porcentaje de Depreciación o Valor Residual de los Activos.</w:t>
      </w:r>
      <w:r w:rsidR="009325D7">
        <w:rPr>
          <w:rFonts w:asciiTheme="minorHAnsi" w:hAnsiTheme="minorHAnsi" w:cstheme="minorHAnsi"/>
          <w:szCs w:val="20"/>
        </w:rPr>
        <w:t xml:space="preserve"> </w:t>
      </w:r>
      <w:r w:rsidRPr="005F45A3">
        <w:rPr>
          <w:rFonts w:asciiTheme="minorHAnsi" w:hAnsiTheme="minorHAnsi" w:cstheme="minorHAnsi"/>
          <w:szCs w:val="20"/>
        </w:rPr>
        <w:t xml:space="preserve"> </w:t>
      </w:r>
      <w:r w:rsidRPr="009325D7">
        <w:rPr>
          <w:rFonts w:asciiTheme="minorHAnsi" w:hAnsiTheme="minorHAnsi" w:cstheme="minorHAnsi"/>
          <w:b/>
          <w:szCs w:val="20"/>
        </w:rPr>
        <w:t>NO APLICA.</w:t>
      </w:r>
    </w:p>
    <w:p w14:paraId="5CF77466"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1C394A58" w14:textId="35BDBF3B" w:rsidR="00AA7087" w:rsidRPr="009325D7" w:rsidRDefault="00AA7087" w:rsidP="00FD47EF">
      <w:pPr>
        <w:pStyle w:val="INCISO"/>
        <w:numPr>
          <w:ilvl w:val="0"/>
          <w:numId w:val="2"/>
        </w:numPr>
        <w:spacing w:after="0" w:line="240" w:lineRule="exact"/>
        <w:jc w:val="left"/>
        <w:rPr>
          <w:rFonts w:asciiTheme="minorHAnsi" w:hAnsiTheme="minorHAnsi" w:cstheme="minorHAnsi"/>
          <w:b/>
        </w:rPr>
      </w:pPr>
      <w:r w:rsidRPr="005F45A3">
        <w:rPr>
          <w:rFonts w:asciiTheme="minorHAnsi" w:hAnsiTheme="minorHAnsi" w:cstheme="minorHAnsi"/>
        </w:rPr>
        <w:t>Importe de los gastos capitalizados en el ejercicio, tanto Financieros como de Investigación y Desarrollo.</w:t>
      </w:r>
      <w:r w:rsidR="009325D7">
        <w:rPr>
          <w:rFonts w:asciiTheme="minorHAnsi" w:hAnsiTheme="minorHAnsi" w:cstheme="minorHAnsi"/>
        </w:rPr>
        <w:t xml:space="preserve"> </w:t>
      </w:r>
      <w:r w:rsidRPr="005F45A3">
        <w:rPr>
          <w:rFonts w:asciiTheme="minorHAnsi" w:hAnsiTheme="minorHAnsi" w:cstheme="minorHAnsi"/>
        </w:rPr>
        <w:t xml:space="preserve"> </w:t>
      </w:r>
      <w:r w:rsidRPr="009325D7">
        <w:rPr>
          <w:rFonts w:asciiTheme="minorHAnsi" w:hAnsiTheme="minorHAnsi" w:cstheme="minorHAnsi"/>
          <w:b/>
        </w:rPr>
        <w:t>NO APLICA.</w:t>
      </w:r>
    </w:p>
    <w:p w14:paraId="5CE5CAEA" w14:textId="77777777" w:rsidR="00100166" w:rsidRPr="005F45A3" w:rsidRDefault="00100166" w:rsidP="00100166">
      <w:pPr>
        <w:pStyle w:val="INCISO"/>
        <w:spacing w:after="0" w:line="240" w:lineRule="exact"/>
        <w:ind w:left="786" w:firstLine="0"/>
        <w:jc w:val="left"/>
        <w:rPr>
          <w:rFonts w:asciiTheme="minorHAnsi" w:hAnsiTheme="minorHAnsi" w:cstheme="minorHAnsi"/>
        </w:rPr>
      </w:pPr>
    </w:p>
    <w:p w14:paraId="76A64EA4" w14:textId="6C348420"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Riesgos por tipo de cambio o tipo de interés de las Inversiones Financieras. </w:t>
      </w:r>
      <w:r w:rsidR="009325D7">
        <w:rPr>
          <w:rFonts w:asciiTheme="minorHAnsi" w:hAnsiTheme="minorHAnsi" w:cstheme="minorHAnsi"/>
        </w:rPr>
        <w:t xml:space="preserve"> </w:t>
      </w:r>
      <w:r w:rsidRPr="009325D7">
        <w:rPr>
          <w:rFonts w:asciiTheme="minorHAnsi" w:hAnsiTheme="minorHAnsi" w:cstheme="minorHAnsi"/>
          <w:b/>
        </w:rPr>
        <w:t>NO APLICA.</w:t>
      </w:r>
    </w:p>
    <w:p w14:paraId="6523EF66"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2EA405C8" w14:textId="4B5DFACC"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Valor activado en el ejercicio de los Bienes construidos por la entidad. </w:t>
      </w:r>
      <w:r w:rsidR="009325D7">
        <w:rPr>
          <w:rFonts w:asciiTheme="minorHAnsi" w:hAnsiTheme="minorHAnsi" w:cstheme="minorHAnsi"/>
        </w:rPr>
        <w:t xml:space="preserve"> </w:t>
      </w:r>
      <w:r w:rsidRPr="009325D7">
        <w:rPr>
          <w:rFonts w:asciiTheme="minorHAnsi" w:hAnsiTheme="minorHAnsi" w:cstheme="minorHAnsi"/>
          <w:b/>
        </w:rPr>
        <w:t>NO APLICA.</w:t>
      </w:r>
    </w:p>
    <w:p w14:paraId="657E8872" w14:textId="77777777" w:rsidR="00AA7087" w:rsidRPr="005F45A3" w:rsidRDefault="00AA7087" w:rsidP="00AA7087">
      <w:pPr>
        <w:pStyle w:val="INCISO"/>
        <w:spacing w:after="0" w:line="240" w:lineRule="exact"/>
        <w:ind w:left="648" w:firstLine="0"/>
        <w:rPr>
          <w:rFonts w:asciiTheme="minorHAnsi" w:hAnsiTheme="minorHAnsi" w:cstheme="minorHAnsi"/>
        </w:rPr>
      </w:pPr>
    </w:p>
    <w:p w14:paraId="42455F7F" w14:textId="77777777" w:rsidR="00AC0359"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Otras circunstancias de carácter significativo que afecten el Activo, tales como Bienes en Garantía, señalados en embargos, Litigios, Títulos de Inversiones entregados en garantías, baja significativa del valor de Inversiones Financieras, etc. </w:t>
      </w:r>
    </w:p>
    <w:p w14:paraId="7A6D5C0E" w14:textId="77777777" w:rsidR="00100166" w:rsidRPr="005F45A3" w:rsidRDefault="00100166" w:rsidP="00100166">
      <w:pPr>
        <w:pStyle w:val="INCISO"/>
        <w:spacing w:after="0" w:line="240" w:lineRule="exact"/>
        <w:ind w:left="786" w:firstLine="0"/>
        <w:rPr>
          <w:rFonts w:asciiTheme="minorHAnsi" w:hAnsiTheme="minorHAnsi" w:cstheme="minorHAnsi"/>
        </w:rPr>
      </w:pPr>
    </w:p>
    <w:p w14:paraId="50718BE2" w14:textId="3010049E" w:rsidR="00AA7087" w:rsidRPr="005F45A3"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lastRenderedPageBreak/>
        <w:t>Desmantelamiento de Activos, procedimientos, implicaciones, efectos contables</w:t>
      </w:r>
      <w:r w:rsidR="009325D7" w:rsidRPr="009325D7">
        <w:rPr>
          <w:rFonts w:asciiTheme="minorHAnsi" w:hAnsiTheme="minorHAnsi" w:cstheme="minorHAnsi"/>
          <w:b/>
        </w:rPr>
        <w:t xml:space="preserve">. </w:t>
      </w:r>
      <w:r w:rsidRPr="009325D7">
        <w:rPr>
          <w:rFonts w:asciiTheme="minorHAnsi" w:hAnsiTheme="minorHAnsi" w:cstheme="minorHAnsi"/>
          <w:b/>
        </w:rPr>
        <w:t xml:space="preserve"> NO APLICA</w:t>
      </w:r>
      <w:r w:rsidRPr="005F45A3">
        <w:rPr>
          <w:rFonts w:asciiTheme="minorHAnsi" w:hAnsiTheme="minorHAnsi" w:cstheme="minorHAnsi"/>
        </w:rPr>
        <w:t>.</w:t>
      </w:r>
    </w:p>
    <w:p w14:paraId="2F102E40" w14:textId="77777777" w:rsidR="008901FE" w:rsidRPr="005F45A3" w:rsidRDefault="008901FE" w:rsidP="008901FE">
      <w:pPr>
        <w:pStyle w:val="Prrafodelista"/>
        <w:rPr>
          <w:rFonts w:asciiTheme="minorHAnsi" w:hAnsiTheme="minorHAnsi" w:cstheme="minorHAnsi"/>
          <w:sz w:val="8"/>
        </w:rPr>
      </w:pPr>
    </w:p>
    <w:p w14:paraId="1ACB1C3A" w14:textId="3FA51376" w:rsidR="00AA7087" w:rsidRDefault="00AA7087" w:rsidP="00FD47EF">
      <w:pPr>
        <w:pStyle w:val="INCISO"/>
        <w:numPr>
          <w:ilvl w:val="0"/>
          <w:numId w:val="2"/>
        </w:numPr>
        <w:spacing w:after="0" w:line="240" w:lineRule="exact"/>
        <w:rPr>
          <w:rFonts w:asciiTheme="minorHAnsi" w:hAnsiTheme="minorHAnsi" w:cstheme="minorHAnsi"/>
        </w:rPr>
      </w:pPr>
      <w:r w:rsidRPr="005F45A3">
        <w:rPr>
          <w:rFonts w:asciiTheme="minorHAnsi" w:hAnsiTheme="minorHAnsi" w:cstheme="minorHAnsi"/>
        </w:rPr>
        <w:t xml:space="preserve">Administración de Activos; planeación con el objetivo de que el ente los utilice de manera más efectiva. </w:t>
      </w:r>
      <w:r w:rsidR="004056BA">
        <w:rPr>
          <w:rFonts w:asciiTheme="minorHAnsi" w:hAnsiTheme="minorHAnsi" w:cstheme="minorHAnsi"/>
        </w:rPr>
        <w:t xml:space="preserve">   </w:t>
      </w:r>
      <w:r w:rsidRPr="009325D7">
        <w:rPr>
          <w:rFonts w:asciiTheme="minorHAnsi" w:hAnsiTheme="minorHAnsi" w:cstheme="minorHAnsi"/>
          <w:b/>
        </w:rPr>
        <w:t>NO APLICA</w:t>
      </w:r>
    </w:p>
    <w:p w14:paraId="014ECD39" w14:textId="77777777" w:rsidR="004056BA" w:rsidRDefault="004056BA" w:rsidP="004056BA">
      <w:pPr>
        <w:pStyle w:val="Prrafodelista"/>
        <w:rPr>
          <w:rFonts w:asciiTheme="minorHAnsi" w:hAnsiTheme="minorHAnsi" w:cstheme="minorHAnsi"/>
        </w:rPr>
      </w:pPr>
    </w:p>
    <w:p w14:paraId="02793ECA" w14:textId="77777777" w:rsidR="00AA7087" w:rsidRPr="009325D7" w:rsidRDefault="00AA7087" w:rsidP="000A13A0">
      <w:pPr>
        <w:pStyle w:val="Texto"/>
        <w:spacing w:after="0" w:line="240" w:lineRule="exact"/>
        <w:ind w:left="360" w:firstLine="0"/>
        <w:rPr>
          <w:rFonts w:asciiTheme="minorHAnsi" w:hAnsiTheme="minorHAnsi" w:cstheme="minorHAnsi"/>
          <w:b/>
          <w:szCs w:val="18"/>
        </w:rPr>
      </w:pPr>
      <w:r w:rsidRPr="009325D7">
        <w:rPr>
          <w:rFonts w:asciiTheme="minorHAnsi" w:hAnsiTheme="minorHAnsi" w:cstheme="minorHAnsi"/>
          <w:b/>
          <w:szCs w:val="18"/>
        </w:rPr>
        <w:t>Principales variaciones en el Activo.</w:t>
      </w:r>
    </w:p>
    <w:p w14:paraId="006A89A7" w14:textId="77777777" w:rsidR="00AA7087" w:rsidRPr="005F45A3" w:rsidRDefault="00AA7087" w:rsidP="00AA7087">
      <w:pPr>
        <w:pStyle w:val="Texto"/>
        <w:spacing w:after="0" w:line="240" w:lineRule="exact"/>
        <w:ind w:firstLine="0"/>
        <w:rPr>
          <w:rFonts w:asciiTheme="minorHAnsi" w:hAnsiTheme="minorHAnsi" w:cstheme="minorHAnsi"/>
          <w:szCs w:val="18"/>
        </w:rPr>
      </w:pPr>
    </w:p>
    <w:p w14:paraId="122F7CFA"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valores. </w:t>
      </w:r>
      <w:r w:rsidRPr="009325D7">
        <w:rPr>
          <w:rFonts w:asciiTheme="minorHAnsi" w:hAnsiTheme="minorHAnsi" w:cstheme="minorHAnsi"/>
          <w:b/>
        </w:rPr>
        <w:t>NO APLICA</w:t>
      </w:r>
    </w:p>
    <w:p w14:paraId="42DA3ADC" w14:textId="77777777" w:rsidR="00AA7087" w:rsidRPr="005F45A3" w:rsidRDefault="00AA7087" w:rsidP="00AA7087">
      <w:pPr>
        <w:pStyle w:val="Texto"/>
        <w:spacing w:after="0" w:line="240" w:lineRule="exact"/>
        <w:ind w:left="426" w:firstLine="0"/>
        <w:rPr>
          <w:rFonts w:asciiTheme="minorHAnsi" w:hAnsiTheme="minorHAnsi" w:cstheme="minorHAnsi"/>
        </w:rPr>
      </w:pPr>
    </w:p>
    <w:p w14:paraId="4910F1E7"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 xml:space="preserve">Patrimonio de organismos descentralizados. </w:t>
      </w:r>
      <w:r w:rsidR="00C23F15" w:rsidRPr="005F45A3">
        <w:rPr>
          <w:rFonts w:asciiTheme="minorHAnsi" w:hAnsiTheme="minorHAnsi" w:cstheme="minorHAnsi"/>
        </w:rPr>
        <w:t>La información detallada del patrimonio se encuentra desglosada en cada uno de los estados financieros de los organismos descentralizados.</w:t>
      </w:r>
    </w:p>
    <w:p w14:paraId="2A1D111F" w14:textId="77777777" w:rsidR="00AA7087" w:rsidRPr="005F45A3" w:rsidRDefault="00AA7087" w:rsidP="00AA7087">
      <w:pPr>
        <w:pStyle w:val="Texto"/>
        <w:spacing w:after="0" w:line="240" w:lineRule="exact"/>
        <w:ind w:left="426" w:firstLine="0"/>
        <w:rPr>
          <w:rFonts w:asciiTheme="minorHAnsi" w:hAnsiTheme="minorHAnsi" w:cstheme="minorHAnsi"/>
        </w:rPr>
      </w:pPr>
    </w:p>
    <w:p w14:paraId="3826A2CF"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 xml:space="preserve">Inversiones en empresas de participación mayoritaria. </w:t>
      </w:r>
    </w:p>
    <w:p w14:paraId="3D40C327" w14:textId="77777777" w:rsidR="00AA7087" w:rsidRPr="005F45A3" w:rsidRDefault="00AA7087" w:rsidP="00AA7087">
      <w:pPr>
        <w:pStyle w:val="Prrafodelista"/>
        <w:rPr>
          <w:rFonts w:asciiTheme="minorHAnsi" w:hAnsiTheme="minorHAnsi" w:cstheme="minorHAnsi"/>
          <w:sz w:val="18"/>
          <w:szCs w:val="20"/>
        </w:rPr>
      </w:pPr>
      <w:r w:rsidRPr="005F45A3">
        <w:rPr>
          <w:rFonts w:asciiTheme="minorHAnsi" w:hAnsiTheme="minorHAnsi" w:cstheme="minorHAnsi"/>
          <w:sz w:val="18"/>
          <w:szCs w:val="20"/>
        </w:rPr>
        <w:t>Se encuentran en los puntos 6 y 7 de las Notas de Desglose.</w:t>
      </w:r>
    </w:p>
    <w:p w14:paraId="788B94D8" w14:textId="77777777" w:rsidR="00AA7087" w:rsidRPr="005F45A3" w:rsidRDefault="00AA7087" w:rsidP="00FD47EF">
      <w:pPr>
        <w:pStyle w:val="Texto"/>
        <w:numPr>
          <w:ilvl w:val="0"/>
          <w:numId w:val="7"/>
        </w:numPr>
        <w:spacing w:after="0" w:line="240" w:lineRule="exact"/>
        <w:ind w:firstLine="66"/>
        <w:rPr>
          <w:rFonts w:asciiTheme="minorHAnsi" w:hAnsiTheme="minorHAnsi" w:cstheme="minorHAnsi"/>
        </w:rPr>
      </w:pPr>
      <w:r w:rsidRPr="005F45A3">
        <w:rPr>
          <w:rFonts w:asciiTheme="minorHAnsi" w:hAnsiTheme="minorHAnsi" w:cstheme="minorHAnsi"/>
        </w:rPr>
        <w:t>Inversiones en empresas de participación minoritaria. NO APLICA</w:t>
      </w:r>
    </w:p>
    <w:p w14:paraId="1DDA0EF8" w14:textId="77777777" w:rsidR="00AA7087" w:rsidRPr="005F45A3" w:rsidRDefault="00AA7087" w:rsidP="00AA7087">
      <w:pPr>
        <w:pStyle w:val="INCISO"/>
        <w:spacing w:after="0" w:line="240" w:lineRule="exact"/>
        <w:ind w:left="360"/>
        <w:rPr>
          <w:rFonts w:asciiTheme="minorHAnsi" w:hAnsiTheme="minorHAnsi" w:cstheme="minorHAnsi"/>
          <w:szCs w:val="20"/>
        </w:rPr>
      </w:pPr>
    </w:p>
    <w:p w14:paraId="517CF42B" w14:textId="43702AD7" w:rsidR="00AA7087" w:rsidRDefault="00AA7087" w:rsidP="00FD47EF">
      <w:pPr>
        <w:pStyle w:val="INCISO"/>
        <w:numPr>
          <w:ilvl w:val="0"/>
          <w:numId w:val="7"/>
        </w:numPr>
        <w:spacing w:after="0" w:line="240" w:lineRule="exact"/>
        <w:ind w:left="709" w:hanging="283"/>
        <w:rPr>
          <w:rFonts w:asciiTheme="minorHAnsi" w:hAnsiTheme="minorHAnsi" w:cstheme="minorHAnsi"/>
          <w:szCs w:val="20"/>
        </w:rPr>
      </w:pPr>
      <w:r w:rsidRPr="005F45A3">
        <w:rPr>
          <w:rFonts w:asciiTheme="minorHAnsi" w:hAnsiTheme="minorHAnsi" w:cstheme="minorHAnsi"/>
          <w:szCs w:val="20"/>
        </w:rPr>
        <w:t>Patrimonio de organismos descentralizados de control presupuestario directo, según corresponda. NO APLICA</w:t>
      </w:r>
    </w:p>
    <w:p w14:paraId="42E43FB1" w14:textId="77777777" w:rsidR="004056BA" w:rsidRDefault="004056BA" w:rsidP="004056BA">
      <w:pPr>
        <w:pStyle w:val="Prrafodelista"/>
        <w:rPr>
          <w:rFonts w:asciiTheme="minorHAnsi" w:hAnsiTheme="minorHAnsi" w:cstheme="minorHAnsi"/>
          <w:szCs w:val="20"/>
        </w:rPr>
      </w:pPr>
    </w:p>
    <w:p w14:paraId="16E3E3A3" w14:textId="77777777" w:rsidR="00AA7087" w:rsidRPr="00291DC2" w:rsidRDefault="00AA7087" w:rsidP="000B3FF6">
      <w:pPr>
        <w:pStyle w:val="Prrafodelista"/>
        <w:numPr>
          <w:ilvl w:val="0"/>
          <w:numId w:val="27"/>
        </w:numPr>
        <w:spacing w:after="0" w:line="240" w:lineRule="exact"/>
        <w:jc w:val="both"/>
        <w:rPr>
          <w:rFonts w:asciiTheme="minorHAnsi" w:eastAsia="Times New Roman" w:hAnsiTheme="minorHAnsi" w:cstheme="minorHAnsi"/>
          <w:b/>
          <w:sz w:val="18"/>
          <w:szCs w:val="18"/>
          <w:lang w:eastAsia="es-ES"/>
        </w:rPr>
      </w:pPr>
      <w:r w:rsidRPr="00291DC2">
        <w:rPr>
          <w:rFonts w:asciiTheme="minorHAnsi" w:eastAsia="Times New Roman" w:hAnsiTheme="minorHAnsi" w:cstheme="minorHAnsi"/>
          <w:b/>
          <w:sz w:val="18"/>
          <w:szCs w:val="18"/>
          <w:lang w:eastAsia="es-ES"/>
        </w:rPr>
        <w:t>Fideicomisos, Mandatos y Análogos</w:t>
      </w:r>
    </w:p>
    <w:p w14:paraId="3FA08F13" w14:textId="77777777" w:rsidR="00C51F6E" w:rsidRPr="005F45A3" w:rsidRDefault="00C51F6E" w:rsidP="00C51F6E">
      <w:pPr>
        <w:pStyle w:val="Prrafodelista"/>
        <w:spacing w:after="0" w:line="240" w:lineRule="exact"/>
        <w:ind w:left="360"/>
        <w:jc w:val="both"/>
        <w:rPr>
          <w:rFonts w:asciiTheme="minorHAnsi" w:eastAsia="Times New Roman" w:hAnsiTheme="minorHAnsi" w:cstheme="minorHAnsi"/>
          <w:b/>
          <w:sz w:val="18"/>
          <w:szCs w:val="18"/>
          <w:lang w:eastAsia="es-ES"/>
        </w:rPr>
      </w:pPr>
    </w:p>
    <w:p w14:paraId="0D9DA1D9" w14:textId="4723C26C" w:rsidR="00AA7087" w:rsidRDefault="00AA7087" w:rsidP="00FD47EF">
      <w:pPr>
        <w:pStyle w:val="Prrafodelista"/>
        <w:numPr>
          <w:ilvl w:val="0"/>
          <w:numId w:val="12"/>
        </w:numPr>
        <w:spacing w:after="0" w:line="240" w:lineRule="exact"/>
        <w:jc w:val="both"/>
        <w:rPr>
          <w:rFonts w:asciiTheme="minorHAnsi" w:eastAsia="Times New Roman" w:hAnsiTheme="minorHAnsi" w:cstheme="minorHAnsi"/>
          <w:sz w:val="20"/>
          <w:szCs w:val="20"/>
          <w:lang w:eastAsia="es-ES"/>
        </w:rPr>
      </w:pPr>
      <w:r w:rsidRPr="004056BA">
        <w:rPr>
          <w:rFonts w:asciiTheme="minorHAnsi" w:eastAsia="Times New Roman" w:hAnsiTheme="minorHAnsi" w:cstheme="minorHAnsi"/>
          <w:sz w:val="20"/>
          <w:szCs w:val="20"/>
          <w:lang w:eastAsia="es-ES"/>
        </w:rPr>
        <w:t>Ramo a Unidad Administrativa que los reporta.</w:t>
      </w:r>
    </w:p>
    <w:p w14:paraId="41E68459" w14:textId="77777777" w:rsidR="004056BA" w:rsidRPr="004056BA" w:rsidRDefault="004056BA" w:rsidP="004056BA">
      <w:pPr>
        <w:pStyle w:val="Prrafodelista"/>
        <w:spacing w:after="0" w:line="240" w:lineRule="exact"/>
        <w:jc w:val="both"/>
        <w:rPr>
          <w:rFonts w:asciiTheme="minorHAnsi" w:eastAsia="Times New Roman" w:hAnsiTheme="minorHAnsi" w:cstheme="minorHAnsi"/>
          <w:sz w:val="20"/>
          <w:szCs w:val="20"/>
          <w:lang w:eastAsia="es-ES"/>
        </w:rPr>
      </w:pPr>
    </w:p>
    <w:p w14:paraId="7356C26B" w14:textId="77777777" w:rsidR="0017153B" w:rsidRPr="00383528" w:rsidRDefault="0017153B" w:rsidP="0017153B">
      <w:pPr>
        <w:pStyle w:val="Prrafodelista"/>
        <w:spacing w:after="0" w:line="240" w:lineRule="exact"/>
        <w:jc w:val="both"/>
        <w:rPr>
          <w:rFonts w:asciiTheme="minorHAnsi" w:eastAsia="Times New Roman" w:hAnsiTheme="minorHAnsi" w:cstheme="minorHAnsi"/>
          <w:b/>
          <w:i/>
          <w:sz w:val="20"/>
          <w:szCs w:val="20"/>
          <w:lang w:eastAsia="es-ES"/>
        </w:rPr>
      </w:pPr>
    </w:p>
    <w:tbl>
      <w:tblPr>
        <w:tblW w:w="10202" w:type="dxa"/>
        <w:tblInd w:w="-142" w:type="dxa"/>
        <w:tblCellMar>
          <w:left w:w="70" w:type="dxa"/>
          <w:right w:w="70" w:type="dxa"/>
        </w:tblCellMar>
        <w:tblLook w:val="04A0" w:firstRow="1" w:lastRow="0" w:firstColumn="1" w:lastColumn="0" w:noHBand="0" w:noVBand="1"/>
      </w:tblPr>
      <w:tblGrid>
        <w:gridCol w:w="10202"/>
      </w:tblGrid>
      <w:tr w:rsidR="009A3001" w:rsidRPr="005F45A3" w14:paraId="1BD79DD8" w14:textId="77777777" w:rsidTr="00295AC0">
        <w:trPr>
          <w:trHeight w:val="300"/>
        </w:trPr>
        <w:tc>
          <w:tcPr>
            <w:tcW w:w="10202" w:type="dxa"/>
            <w:tcBorders>
              <w:top w:val="nil"/>
              <w:left w:val="nil"/>
              <w:bottom w:val="nil"/>
              <w:right w:val="nil"/>
            </w:tcBorders>
            <w:shd w:val="clear" w:color="auto" w:fill="auto"/>
            <w:noWrap/>
            <w:vAlign w:val="center"/>
            <w:hideMark/>
          </w:tcPr>
          <w:p w14:paraId="626D72BD"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GENERAL DE GOBIERNO</w:t>
            </w:r>
          </w:p>
        </w:tc>
      </w:tr>
      <w:tr w:rsidR="009A3001" w:rsidRPr="005F45A3" w14:paraId="5CAAC0A8" w14:textId="77777777" w:rsidTr="00295AC0">
        <w:trPr>
          <w:trHeight w:val="300"/>
        </w:trPr>
        <w:tc>
          <w:tcPr>
            <w:tcW w:w="10202" w:type="dxa"/>
            <w:tcBorders>
              <w:top w:val="nil"/>
              <w:left w:val="nil"/>
              <w:bottom w:val="nil"/>
              <w:right w:val="nil"/>
            </w:tcBorders>
            <w:shd w:val="clear" w:color="auto" w:fill="auto"/>
            <w:noWrap/>
            <w:vAlign w:val="center"/>
            <w:hideMark/>
          </w:tcPr>
          <w:p w14:paraId="39CF3180" w14:textId="01E502EF" w:rsidR="009A3001" w:rsidRPr="005F45A3" w:rsidRDefault="008830F2" w:rsidP="008830F2">
            <w:pPr>
              <w:spacing w:after="0" w:line="240" w:lineRule="auto"/>
              <w:jc w:val="both"/>
              <w:rPr>
                <w:rFonts w:asciiTheme="minorHAnsi" w:eastAsia="Times New Roman" w:hAnsiTheme="minorHAnsi" w:cstheme="minorHAnsi"/>
                <w:color w:val="000000"/>
                <w:sz w:val="18"/>
                <w:szCs w:val="18"/>
                <w:lang w:eastAsia="es-MX"/>
              </w:rPr>
            </w:pPr>
            <w:r w:rsidRPr="005F45A3">
              <w:rPr>
                <w:rFonts w:asciiTheme="minorHAnsi" w:eastAsia="Times New Roman" w:hAnsiTheme="minorHAnsi" w:cstheme="minorHAnsi"/>
                <w:color w:val="000000"/>
                <w:sz w:val="18"/>
                <w:szCs w:val="18"/>
                <w:lang w:eastAsia="es-MX"/>
              </w:rPr>
              <w:t>1.      Fideicomiso  Fondo de Desastres Naturales del Estado de Tamaulipas</w:t>
            </w:r>
          </w:p>
        </w:tc>
      </w:tr>
      <w:tr w:rsidR="009A3001" w:rsidRPr="005F45A3" w14:paraId="7DAF42FB" w14:textId="77777777" w:rsidTr="00295AC0">
        <w:trPr>
          <w:trHeight w:val="300"/>
        </w:trPr>
        <w:tc>
          <w:tcPr>
            <w:tcW w:w="10202" w:type="dxa"/>
            <w:tcBorders>
              <w:top w:val="nil"/>
              <w:left w:val="nil"/>
              <w:bottom w:val="nil"/>
              <w:right w:val="nil"/>
            </w:tcBorders>
            <w:shd w:val="clear" w:color="auto" w:fill="auto"/>
            <w:noWrap/>
            <w:vAlign w:val="center"/>
            <w:hideMark/>
          </w:tcPr>
          <w:p w14:paraId="26113872"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4CDFE837" w14:textId="77777777" w:rsidTr="00295AC0">
        <w:trPr>
          <w:trHeight w:val="300"/>
        </w:trPr>
        <w:tc>
          <w:tcPr>
            <w:tcW w:w="10202" w:type="dxa"/>
            <w:tcBorders>
              <w:top w:val="nil"/>
              <w:left w:val="nil"/>
              <w:bottom w:val="nil"/>
              <w:right w:val="nil"/>
            </w:tcBorders>
            <w:shd w:val="clear" w:color="auto" w:fill="auto"/>
            <w:noWrap/>
            <w:vAlign w:val="center"/>
            <w:hideMark/>
          </w:tcPr>
          <w:p w14:paraId="47A981A8"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FINANZAS</w:t>
            </w:r>
          </w:p>
        </w:tc>
      </w:tr>
      <w:tr w:rsidR="009A3001" w:rsidRPr="005F45A3" w14:paraId="572F179F" w14:textId="77777777" w:rsidTr="00295AC0">
        <w:trPr>
          <w:trHeight w:val="300"/>
        </w:trPr>
        <w:tc>
          <w:tcPr>
            <w:tcW w:w="10202" w:type="dxa"/>
            <w:tcBorders>
              <w:top w:val="nil"/>
              <w:left w:val="nil"/>
              <w:bottom w:val="nil"/>
              <w:right w:val="nil"/>
            </w:tcBorders>
            <w:shd w:val="clear" w:color="auto" w:fill="auto"/>
            <w:noWrap/>
            <w:vAlign w:val="center"/>
            <w:hideMark/>
          </w:tcPr>
          <w:p w14:paraId="44DC6C2F" w14:textId="21F0D254"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Pago de Créditos del Estado de Tamaulipas (</w:t>
            </w:r>
            <w:proofErr w:type="spellStart"/>
            <w:r w:rsidR="009A3001" w:rsidRPr="005F45A3">
              <w:rPr>
                <w:rFonts w:asciiTheme="minorHAnsi" w:eastAsia="Times New Roman" w:hAnsiTheme="minorHAnsi" w:cstheme="minorHAnsi"/>
                <w:color w:val="000000"/>
                <w:sz w:val="18"/>
                <w:szCs w:val="18"/>
                <w:lang w:eastAsia="es-MX"/>
              </w:rPr>
              <w:t>Fipac</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4B9CDC28" w14:textId="77777777" w:rsidTr="00295AC0">
        <w:trPr>
          <w:trHeight w:val="300"/>
        </w:trPr>
        <w:tc>
          <w:tcPr>
            <w:tcW w:w="10202" w:type="dxa"/>
            <w:tcBorders>
              <w:top w:val="nil"/>
              <w:left w:val="nil"/>
              <w:bottom w:val="nil"/>
              <w:right w:val="nil"/>
            </w:tcBorders>
            <w:shd w:val="clear" w:color="auto" w:fill="auto"/>
            <w:noWrap/>
            <w:vAlign w:val="center"/>
            <w:hideMark/>
          </w:tcPr>
          <w:p w14:paraId="44AA12B7" w14:textId="56A1830D"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Puente Internacional Nuevo Laredo III</w:t>
            </w:r>
          </w:p>
        </w:tc>
      </w:tr>
      <w:tr w:rsidR="009A3001" w:rsidRPr="005F45A3" w14:paraId="106401FC" w14:textId="77777777" w:rsidTr="00295AC0">
        <w:trPr>
          <w:trHeight w:val="300"/>
        </w:trPr>
        <w:tc>
          <w:tcPr>
            <w:tcW w:w="10202" w:type="dxa"/>
            <w:tcBorders>
              <w:top w:val="nil"/>
              <w:left w:val="nil"/>
              <w:bottom w:val="nil"/>
              <w:right w:val="nil"/>
            </w:tcBorders>
            <w:shd w:val="clear" w:color="auto" w:fill="auto"/>
            <w:noWrap/>
            <w:vAlign w:val="center"/>
            <w:hideMark/>
          </w:tcPr>
          <w:p w14:paraId="5BB6D707" w14:textId="24455AF9"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4</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Irrevocable de Administración y Fuente de Pago (</w:t>
            </w:r>
            <w:proofErr w:type="spellStart"/>
            <w:r w:rsidR="009A3001" w:rsidRPr="005F45A3">
              <w:rPr>
                <w:rFonts w:asciiTheme="minorHAnsi" w:eastAsia="Times New Roman" w:hAnsiTheme="minorHAnsi" w:cstheme="minorHAnsi"/>
                <w:color w:val="000000"/>
                <w:sz w:val="18"/>
                <w:szCs w:val="18"/>
                <w:lang w:eastAsia="es-MX"/>
              </w:rPr>
              <w:t>Banregio</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6DB04BF1" w14:textId="77777777" w:rsidTr="00295AC0">
        <w:trPr>
          <w:trHeight w:val="300"/>
        </w:trPr>
        <w:tc>
          <w:tcPr>
            <w:tcW w:w="10202" w:type="dxa"/>
            <w:tcBorders>
              <w:top w:val="nil"/>
              <w:left w:val="nil"/>
              <w:bottom w:val="nil"/>
              <w:right w:val="nil"/>
            </w:tcBorders>
            <w:shd w:val="clear" w:color="auto" w:fill="auto"/>
            <w:noWrap/>
            <w:vAlign w:val="center"/>
            <w:hideMark/>
          </w:tcPr>
          <w:p w14:paraId="67ACDD3D" w14:textId="40EF12BE"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Irrevocable de Administración y Fuente de Pago Número (Santander)</w:t>
            </w:r>
          </w:p>
        </w:tc>
      </w:tr>
      <w:tr w:rsidR="009A3001" w:rsidRPr="005F45A3" w14:paraId="00CE98A9" w14:textId="77777777" w:rsidTr="00295AC0">
        <w:trPr>
          <w:trHeight w:val="300"/>
        </w:trPr>
        <w:tc>
          <w:tcPr>
            <w:tcW w:w="10202" w:type="dxa"/>
            <w:tcBorders>
              <w:top w:val="nil"/>
              <w:left w:val="nil"/>
              <w:bottom w:val="nil"/>
              <w:right w:val="nil"/>
            </w:tcBorders>
            <w:shd w:val="clear" w:color="auto" w:fill="auto"/>
            <w:noWrap/>
            <w:vAlign w:val="center"/>
            <w:hideMark/>
          </w:tcPr>
          <w:p w14:paraId="1F5E5423" w14:textId="026D9DB7" w:rsidR="009A3001" w:rsidRPr="005F45A3" w:rsidRDefault="00760A56" w:rsidP="008830F2">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8830F2" w:rsidRPr="005F45A3">
              <w:rPr>
                <w:rFonts w:asciiTheme="minorHAnsi" w:eastAsia="Times New Roman" w:hAnsiTheme="minorHAnsi" w:cstheme="minorHAnsi"/>
                <w:color w:val="000000"/>
                <w:sz w:val="18"/>
                <w:szCs w:val="18"/>
                <w:lang w:eastAsia="es-MX"/>
              </w:rPr>
              <w:t>Fideicomiso Irrevocable de Administración y Fuente Alterna de Pago No. 3404/2019</w:t>
            </w:r>
          </w:p>
        </w:tc>
      </w:tr>
      <w:tr w:rsidR="009A3001" w:rsidRPr="005F45A3" w14:paraId="2F46CC0E" w14:textId="77777777" w:rsidTr="00295AC0">
        <w:trPr>
          <w:trHeight w:val="300"/>
        </w:trPr>
        <w:tc>
          <w:tcPr>
            <w:tcW w:w="10202" w:type="dxa"/>
            <w:tcBorders>
              <w:top w:val="nil"/>
              <w:left w:val="nil"/>
              <w:bottom w:val="nil"/>
              <w:right w:val="nil"/>
            </w:tcBorders>
            <w:shd w:val="clear" w:color="auto" w:fill="auto"/>
            <w:noWrap/>
            <w:vAlign w:val="center"/>
            <w:hideMark/>
          </w:tcPr>
          <w:p w14:paraId="10C34BFC" w14:textId="657D6EFF"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7</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Público, Sin Estructura, Maestro Irrevocable de Administración y Fuente de Pago F/1231</w:t>
            </w:r>
          </w:p>
        </w:tc>
      </w:tr>
      <w:tr w:rsidR="009A3001" w:rsidRPr="005F45A3" w14:paraId="3BCCBD97" w14:textId="77777777" w:rsidTr="00295AC0">
        <w:trPr>
          <w:trHeight w:val="300"/>
        </w:trPr>
        <w:tc>
          <w:tcPr>
            <w:tcW w:w="10202" w:type="dxa"/>
            <w:tcBorders>
              <w:top w:val="nil"/>
              <w:left w:val="nil"/>
              <w:bottom w:val="nil"/>
              <w:right w:val="nil"/>
            </w:tcBorders>
            <w:shd w:val="clear" w:color="auto" w:fill="auto"/>
            <w:noWrap/>
            <w:vAlign w:val="center"/>
            <w:hideMark/>
          </w:tcPr>
          <w:p w14:paraId="4A0EFB55"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57063124" w14:textId="77777777" w:rsidTr="00295AC0">
        <w:trPr>
          <w:trHeight w:val="300"/>
        </w:trPr>
        <w:tc>
          <w:tcPr>
            <w:tcW w:w="10202" w:type="dxa"/>
            <w:tcBorders>
              <w:top w:val="nil"/>
              <w:left w:val="nil"/>
              <w:bottom w:val="nil"/>
              <w:right w:val="nil"/>
            </w:tcBorders>
            <w:shd w:val="clear" w:color="auto" w:fill="auto"/>
            <w:noWrap/>
            <w:vAlign w:val="center"/>
            <w:hideMark/>
          </w:tcPr>
          <w:p w14:paraId="38921396"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val="es-ES" w:eastAsia="es-MX"/>
              </w:rPr>
              <w:t>SECRETARÍA DE DESARROLLO ECONÓMICO</w:t>
            </w:r>
          </w:p>
        </w:tc>
      </w:tr>
      <w:tr w:rsidR="009A3001" w:rsidRPr="005F45A3" w14:paraId="1B89A27C" w14:textId="77777777" w:rsidTr="00295AC0">
        <w:trPr>
          <w:trHeight w:val="300"/>
        </w:trPr>
        <w:tc>
          <w:tcPr>
            <w:tcW w:w="10202" w:type="dxa"/>
            <w:tcBorders>
              <w:top w:val="nil"/>
              <w:left w:val="nil"/>
              <w:bottom w:val="nil"/>
              <w:right w:val="nil"/>
            </w:tcBorders>
            <w:shd w:val="clear" w:color="auto" w:fill="auto"/>
            <w:noWrap/>
            <w:vAlign w:val="center"/>
            <w:hideMark/>
          </w:tcPr>
          <w:p w14:paraId="23980F24" w14:textId="6DD6FB5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8</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Garantía y Fomento a la Microindustria del Estado de Tamaulipas (</w:t>
            </w:r>
            <w:proofErr w:type="spellStart"/>
            <w:r w:rsidR="009A3001" w:rsidRPr="005F45A3">
              <w:rPr>
                <w:rFonts w:asciiTheme="minorHAnsi" w:eastAsia="Times New Roman" w:hAnsiTheme="minorHAnsi" w:cstheme="minorHAnsi"/>
                <w:color w:val="000000"/>
                <w:sz w:val="18"/>
                <w:szCs w:val="18"/>
                <w:lang w:eastAsia="es-MX"/>
              </w:rPr>
              <w:t>Fomicro</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35F787E9" w14:textId="77777777" w:rsidTr="00295AC0">
        <w:trPr>
          <w:trHeight w:val="300"/>
        </w:trPr>
        <w:tc>
          <w:tcPr>
            <w:tcW w:w="10202" w:type="dxa"/>
            <w:tcBorders>
              <w:top w:val="nil"/>
              <w:left w:val="nil"/>
              <w:bottom w:val="nil"/>
              <w:right w:val="nil"/>
            </w:tcBorders>
            <w:shd w:val="clear" w:color="auto" w:fill="auto"/>
            <w:noWrap/>
            <w:vAlign w:val="center"/>
            <w:hideMark/>
          </w:tcPr>
          <w:p w14:paraId="0A2B30B0" w14:textId="65795FED"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9</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Nuevo Santander</w:t>
            </w:r>
          </w:p>
        </w:tc>
      </w:tr>
      <w:tr w:rsidR="009A3001" w:rsidRPr="005F45A3" w14:paraId="67C6CE8A" w14:textId="77777777" w:rsidTr="00295AC0">
        <w:trPr>
          <w:trHeight w:val="300"/>
        </w:trPr>
        <w:tc>
          <w:tcPr>
            <w:tcW w:w="10202" w:type="dxa"/>
            <w:tcBorders>
              <w:top w:val="nil"/>
              <w:left w:val="nil"/>
              <w:bottom w:val="nil"/>
              <w:right w:val="nil"/>
            </w:tcBorders>
            <w:shd w:val="clear" w:color="auto" w:fill="auto"/>
            <w:noWrap/>
            <w:vAlign w:val="center"/>
            <w:hideMark/>
          </w:tcPr>
          <w:p w14:paraId="7425C36B" w14:textId="56B6728B"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10</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Desarrollo Urbano Lucio Blanco *</w:t>
            </w:r>
          </w:p>
        </w:tc>
      </w:tr>
      <w:tr w:rsidR="009A3001" w:rsidRPr="005F45A3" w14:paraId="653B983F" w14:textId="77777777" w:rsidTr="00295AC0">
        <w:trPr>
          <w:trHeight w:val="300"/>
        </w:trPr>
        <w:tc>
          <w:tcPr>
            <w:tcW w:w="10202" w:type="dxa"/>
            <w:tcBorders>
              <w:top w:val="nil"/>
              <w:left w:val="nil"/>
              <w:bottom w:val="nil"/>
              <w:right w:val="nil"/>
            </w:tcBorders>
            <w:shd w:val="clear" w:color="auto" w:fill="auto"/>
            <w:noWrap/>
            <w:vAlign w:val="center"/>
            <w:hideMark/>
          </w:tcPr>
          <w:p w14:paraId="50EE68E9" w14:textId="4ADB753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11</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Desarrollo Comercial Ignacio Zaragoza *</w:t>
            </w:r>
          </w:p>
        </w:tc>
      </w:tr>
      <w:tr w:rsidR="009A3001" w:rsidRPr="005F45A3" w14:paraId="26005712" w14:textId="77777777" w:rsidTr="00295AC0">
        <w:trPr>
          <w:trHeight w:val="300"/>
        </w:trPr>
        <w:tc>
          <w:tcPr>
            <w:tcW w:w="10202" w:type="dxa"/>
            <w:tcBorders>
              <w:top w:val="nil"/>
              <w:left w:val="nil"/>
              <w:bottom w:val="nil"/>
              <w:right w:val="nil"/>
            </w:tcBorders>
            <w:shd w:val="clear" w:color="auto" w:fill="auto"/>
            <w:noWrap/>
            <w:vAlign w:val="center"/>
            <w:hideMark/>
          </w:tcPr>
          <w:p w14:paraId="3A4C8E6A"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399BF8DD" w14:textId="77777777" w:rsidTr="00295AC0">
        <w:trPr>
          <w:trHeight w:val="300"/>
        </w:trPr>
        <w:tc>
          <w:tcPr>
            <w:tcW w:w="10202" w:type="dxa"/>
            <w:tcBorders>
              <w:top w:val="nil"/>
              <w:left w:val="nil"/>
              <w:bottom w:val="nil"/>
              <w:right w:val="nil"/>
            </w:tcBorders>
            <w:shd w:val="clear" w:color="auto" w:fill="auto"/>
            <w:noWrap/>
            <w:vAlign w:val="center"/>
            <w:hideMark/>
          </w:tcPr>
          <w:p w14:paraId="761909DA"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TURISMO</w:t>
            </w:r>
          </w:p>
        </w:tc>
      </w:tr>
      <w:tr w:rsidR="009A3001" w:rsidRPr="005F45A3" w14:paraId="38EE589B" w14:textId="77777777" w:rsidTr="00295AC0">
        <w:trPr>
          <w:trHeight w:val="300"/>
        </w:trPr>
        <w:tc>
          <w:tcPr>
            <w:tcW w:w="10202" w:type="dxa"/>
            <w:tcBorders>
              <w:top w:val="nil"/>
              <w:left w:val="nil"/>
              <w:bottom w:val="nil"/>
              <w:right w:val="nil"/>
            </w:tcBorders>
            <w:shd w:val="clear" w:color="auto" w:fill="auto"/>
            <w:noWrap/>
            <w:vAlign w:val="center"/>
            <w:hideMark/>
          </w:tcPr>
          <w:p w14:paraId="2FA71C1D" w14:textId="06A7D84E" w:rsidR="009A3001" w:rsidRPr="005F45A3" w:rsidRDefault="00760A56" w:rsidP="009A3001">
            <w:pPr>
              <w:spacing w:after="0" w:line="240" w:lineRule="auto"/>
              <w:jc w:val="both"/>
              <w:rPr>
                <w:rFonts w:asciiTheme="minorHAnsi" w:eastAsia="Times New Roman" w:hAnsiTheme="minorHAnsi" w:cstheme="minorHAnsi"/>
                <w:b/>
                <w:bCs/>
                <w:color w:val="000000"/>
                <w:sz w:val="18"/>
                <w:szCs w:val="18"/>
                <w:lang w:eastAsia="es-MX"/>
              </w:rPr>
            </w:pPr>
            <w:r w:rsidRPr="00597EEB">
              <w:rPr>
                <w:rFonts w:asciiTheme="minorHAnsi" w:eastAsia="Times New Roman" w:hAnsiTheme="minorHAnsi" w:cstheme="minorHAnsi"/>
                <w:bCs/>
                <w:color w:val="000000"/>
                <w:sz w:val="18"/>
                <w:szCs w:val="18"/>
                <w:lang w:eastAsia="es-MX"/>
              </w:rPr>
              <w:t>12</w:t>
            </w:r>
            <w:r w:rsidR="009A3001" w:rsidRPr="00597EEB">
              <w:rPr>
                <w:rFonts w:asciiTheme="minorHAnsi" w:eastAsia="Times New Roman" w:hAnsiTheme="minorHAnsi" w:cstheme="minorHAnsi"/>
                <w:bCs/>
                <w:color w:val="000000"/>
                <w:sz w:val="18"/>
                <w:szCs w:val="18"/>
                <w:lang w:eastAsia="es-MX"/>
              </w:rPr>
              <w:t>.</w:t>
            </w:r>
            <w:r w:rsidR="009A3001" w:rsidRPr="005F45A3">
              <w:rPr>
                <w:rFonts w:asciiTheme="minorHAnsi" w:eastAsia="Times New Roman" w:hAnsiTheme="minorHAnsi" w:cstheme="minorHAnsi"/>
                <w:b/>
                <w:bCs/>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Administración e Inversión del Impuesto por Servicios de Hospedaje del Estado de Tamaulipas</w:t>
            </w:r>
          </w:p>
        </w:tc>
      </w:tr>
      <w:tr w:rsidR="009A3001" w:rsidRPr="005F45A3" w14:paraId="231BACAB" w14:textId="77777777" w:rsidTr="00295AC0">
        <w:trPr>
          <w:trHeight w:val="300"/>
        </w:trPr>
        <w:tc>
          <w:tcPr>
            <w:tcW w:w="10202" w:type="dxa"/>
            <w:tcBorders>
              <w:top w:val="nil"/>
              <w:left w:val="nil"/>
              <w:bottom w:val="nil"/>
              <w:right w:val="nil"/>
            </w:tcBorders>
            <w:shd w:val="clear" w:color="auto" w:fill="auto"/>
            <w:noWrap/>
            <w:vAlign w:val="center"/>
            <w:hideMark/>
          </w:tcPr>
          <w:p w14:paraId="2ACA0482" w14:textId="572C14C1"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6A703378" w14:textId="77777777" w:rsidTr="00295AC0">
        <w:trPr>
          <w:trHeight w:val="300"/>
        </w:trPr>
        <w:tc>
          <w:tcPr>
            <w:tcW w:w="10202" w:type="dxa"/>
            <w:tcBorders>
              <w:top w:val="nil"/>
              <w:left w:val="nil"/>
              <w:bottom w:val="nil"/>
              <w:right w:val="nil"/>
            </w:tcBorders>
            <w:shd w:val="clear" w:color="auto" w:fill="auto"/>
            <w:noWrap/>
            <w:vAlign w:val="center"/>
            <w:hideMark/>
          </w:tcPr>
          <w:p w14:paraId="5DD5B43B"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DESARROLLO RURAL</w:t>
            </w:r>
          </w:p>
        </w:tc>
      </w:tr>
      <w:tr w:rsidR="009A3001" w:rsidRPr="005F45A3" w14:paraId="7F546CFB" w14:textId="77777777" w:rsidTr="00295AC0">
        <w:trPr>
          <w:trHeight w:val="300"/>
        </w:trPr>
        <w:tc>
          <w:tcPr>
            <w:tcW w:w="10202" w:type="dxa"/>
            <w:tcBorders>
              <w:top w:val="nil"/>
              <w:left w:val="nil"/>
              <w:bottom w:val="nil"/>
              <w:right w:val="nil"/>
            </w:tcBorders>
            <w:shd w:val="clear" w:color="auto" w:fill="auto"/>
            <w:noWrap/>
            <w:vAlign w:val="center"/>
            <w:hideMark/>
          </w:tcPr>
          <w:p w14:paraId="6D736772" w14:textId="60E5EA9C"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lastRenderedPageBreak/>
              <w:t>13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Fomento Agropecuario del Estado de Tamaulipas (</w:t>
            </w:r>
            <w:proofErr w:type="spellStart"/>
            <w:r w:rsidR="009A3001" w:rsidRPr="005F45A3">
              <w:rPr>
                <w:rFonts w:asciiTheme="minorHAnsi" w:eastAsia="Times New Roman" w:hAnsiTheme="minorHAnsi" w:cstheme="minorHAnsi"/>
                <w:color w:val="000000"/>
                <w:sz w:val="18"/>
                <w:szCs w:val="18"/>
                <w:lang w:eastAsia="es-MX"/>
              </w:rPr>
              <w:t>Fofaet</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61F6AF85" w14:textId="77777777" w:rsidTr="00295AC0">
        <w:trPr>
          <w:trHeight w:val="300"/>
        </w:trPr>
        <w:tc>
          <w:tcPr>
            <w:tcW w:w="10202" w:type="dxa"/>
            <w:tcBorders>
              <w:top w:val="nil"/>
              <w:left w:val="nil"/>
              <w:bottom w:val="nil"/>
              <w:right w:val="nil"/>
            </w:tcBorders>
            <w:shd w:val="clear" w:color="auto" w:fill="auto"/>
            <w:noWrap/>
            <w:vAlign w:val="center"/>
            <w:hideMark/>
          </w:tcPr>
          <w:p w14:paraId="64E5E107" w14:textId="40883B20"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14</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Garantía Líquida Solidaria del Estado de Tamaulipas (</w:t>
            </w:r>
            <w:proofErr w:type="spellStart"/>
            <w:r w:rsidR="009A3001" w:rsidRPr="005F45A3">
              <w:rPr>
                <w:rFonts w:asciiTheme="minorHAnsi" w:eastAsia="Times New Roman" w:hAnsiTheme="minorHAnsi" w:cstheme="minorHAnsi"/>
                <w:color w:val="000000"/>
                <w:sz w:val="18"/>
                <w:szCs w:val="18"/>
                <w:lang w:eastAsia="es-MX"/>
              </w:rPr>
              <w:t>Fidegat</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6FC7311B" w14:textId="77777777" w:rsidTr="00295AC0">
        <w:trPr>
          <w:trHeight w:val="300"/>
        </w:trPr>
        <w:tc>
          <w:tcPr>
            <w:tcW w:w="10202" w:type="dxa"/>
            <w:tcBorders>
              <w:top w:val="nil"/>
              <w:left w:val="nil"/>
              <w:bottom w:val="nil"/>
              <w:right w:val="nil"/>
            </w:tcBorders>
            <w:shd w:val="clear" w:color="auto" w:fill="auto"/>
            <w:noWrap/>
            <w:vAlign w:val="center"/>
            <w:hideMark/>
          </w:tcPr>
          <w:p w14:paraId="4FB86352" w14:textId="4FFB886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Desarrollo Forestal Sustentable del Estado de Tamaulipas (</w:t>
            </w:r>
            <w:proofErr w:type="spellStart"/>
            <w:r w:rsidR="009A3001" w:rsidRPr="005F45A3">
              <w:rPr>
                <w:rFonts w:asciiTheme="minorHAnsi" w:eastAsia="Times New Roman" w:hAnsiTheme="minorHAnsi" w:cstheme="minorHAnsi"/>
                <w:color w:val="000000"/>
                <w:sz w:val="18"/>
                <w:szCs w:val="18"/>
                <w:lang w:eastAsia="es-MX"/>
              </w:rPr>
              <w:t>Fidefoset</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557469A2" w14:textId="77777777" w:rsidTr="00295AC0">
        <w:trPr>
          <w:trHeight w:val="300"/>
        </w:trPr>
        <w:tc>
          <w:tcPr>
            <w:tcW w:w="10202" w:type="dxa"/>
            <w:tcBorders>
              <w:top w:val="nil"/>
              <w:left w:val="nil"/>
              <w:bottom w:val="nil"/>
              <w:right w:val="nil"/>
            </w:tcBorders>
            <w:shd w:val="clear" w:color="auto" w:fill="auto"/>
            <w:noWrap/>
            <w:vAlign w:val="center"/>
            <w:hideMark/>
          </w:tcPr>
          <w:p w14:paraId="47B3BD5D" w14:textId="0ADD2BB2"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Tamaulipas para Cobertura de Precios y Agricultura por Contrato (</w:t>
            </w:r>
            <w:proofErr w:type="spellStart"/>
            <w:r w:rsidR="009A3001" w:rsidRPr="005F45A3">
              <w:rPr>
                <w:rFonts w:asciiTheme="minorHAnsi" w:eastAsia="Times New Roman" w:hAnsiTheme="minorHAnsi" w:cstheme="minorHAnsi"/>
                <w:color w:val="000000"/>
                <w:sz w:val="18"/>
                <w:szCs w:val="18"/>
                <w:lang w:eastAsia="es-MX"/>
              </w:rPr>
              <w:t>Fitam</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5B41099E" w14:textId="77777777" w:rsidTr="00295AC0">
        <w:trPr>
          <w:trHeight w:val="300"/>
        </w:trPr>
        <w:tc>
          <w:tcPr>
            <w:tcW w:w="10202" w:type="dxa"/>
            <w:tcBorders>
              <w:top w:val="nil"/>
              <w:left w:val="nil"/>
              <w:bottom w:val="nil"/>
              <w:right w:val="nil"/>
            </w:tcBorders>
            <w:shd w:val="clear" w:color="auto" w:fill="auto"/>
            <w:noWrap/>
            <w:vAlign w:val="center"/>
            <w:hideMark/>
          </w:tcPr>
          <w:p w14:paraId="6E054550" w14:textId="3941B48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17</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Fondo de Garantía Agropecuaria del Estado de Tamaulipas (</w:t>
            </w:r>
            <w:proofErr w:type="spellStart"/>
            <w:r w:rsidR="009A3001" w:rsidRPr="005F45A3">
              <w:rPr>
                <w:rFonts w:asciiTheme="minorHAnsi" w:eastAsia="Times New Roman" w:hAnsiTheme="minorHAnsi" w:cstheme="minorHAnsi"/>
                <w:color w:val="000000"/>
                <w:sz w:val="18"/>
                <w:szCs w:val="18"/>
                <w:lang w:eastAsia="es-MX"/>
              </w:rPr>
              <w:t>Fogagro</w:t>
            </w:r>
            <w:proofErr w:type="spellEnd"/>
            <w:r w:rsidR="009A3001" w:rsidRPr="005F45A3">
              <w:rPr>
                <w:rFonts w:asciiTheme="minorHAnsi" w:eastAsia="Times New Roman" w:hAnsiTheme="minorHAnsi" w:cstheme="minorHAnsi"/>
                <w:color w:val="000000"/>
                <w:sz w:val="18"/>
                <w:szCs w:val="18"/>
                <w:lang w:eastAsia="es-MX"/>
              </w:rPr>
              <w:t>)</w:t>
            </w:r>
          </w:p>
        </w:tc>
      </w:tr>
      <w:tr w:rsidR="004056BA" w:rsidRPr="005F45A3" w14:paraId="1433046A" w14:textId="77777777" w:rsidTr="00295AC0">
        <w:trPr>
          <w:trHeight w:val="300"/>
        </w:trPr>
        <w:tc>
          <w:tcPr>
            <w:tcW w:w="10202" w:type="dxa"/>
            <w:tcBorders>
              <w:top w:val="nil"/>
              <w:left w:val="nil"/>
              <w:bottom w:val="nil"/>
              <w:right w:val="nil"/>
            </w:tcBorders>
            <w:shd w:val="clear" w:color="auto" w:fill="auto"/>
            <w:noWrap/>
            <w:vAlign w:val="center"/>
          </w:tcPr>
          <w:p w14:paraId="56DA6A76" w14:textId="77777777" w:rsidR="004056BA" w:rsidRDefault="004056BA"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0006778B" w14:textId="77777777" w:rsidTr="00295AC0">
        <w:trPr>
          <w:trHeight w:val="300"/>
        </w:trPr>
        <w:tc>
          <w:tcPr>
            <w:tcW w:w="10202" w:type="dxa"/>
            <w:tcBorders>
              <w:top w:val="nil"/>
              <w:left w:val="nil"/>
              <w:bottom w:val="nil"/>
              <w:right w:val="nil"/>
            </w:tcBorders>
            <w:shd w:val="clear" w:color="auto" w:fill="auto"/>
            <w:noWrap/>
            <w:vAlign w:val="center"/>
            <w:hideMark/>
          </w:tcPr>
          <w:p w14:paraId="056EA040"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EDUCACIÓN</w:t>
            </w:r>
          </w:p>
        </w:tc>
      </w:tr>
      <w:tr w:rsidR="009A3001" w:rsidRPr="005F45A3" w14:paraId="03786639" w14:textId="77777777" w:rsidTr="00295AC0">
        <w:trPr>
          <w:trHeight w:val="300"/>
        </w:trPr>
        <w:tc>
          <w:tcPr>
            <w:tcW w:w="10202" w:type="dxa"/>
            <w:tcBorders>
              <w:top w:val="nil"/>
              <w:left w:val="nil"/>
              <w:bottom w:val="nil"/>
              <w:right w:val="nil"/>
            </w:tcBorders>
            <w:shd w:val="clear" w:color="auto" w:fill="auto"/>
            <w:noWrap/>
            <w:vAlign w:val="center"/>
            <w:hideMark/>
          </w:tcPr>
          <w:p w14:paraId="1324BD21" w14:textId="7F7191B2"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18</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Instituto Tamaulipeco de Becas, Estímulos y Créditos Educativos (</w:t>
            </w:r>
            <w:proofErr w:type="spellStart"/>
            <w:r w:rsidR="009A3001" w:rsidRPr="005F45A3">
              <w:rPr>
                <w:rFonts w:asciiTheme="minorHAnsi" w:eastAsia="Times New Roman" w:hAnsiTheme="minorHAnsi" w:cstheme="minorHAnsi"/>
                <w:color w:val="000000"/>
                <w:sz w:val="18"/>
                <w:szCs w:val="18"/>
                <w:lang w:eastAsia="es-MX"/>
              </w:rPr>
              <w:t>Fitabec</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3DBC4FCF" w14:textId="77777777" w:rsidTr="00295AC0">
        <w:trPr>
          <w:trHeight w:val="300"/>
        </w:trPr>
        <w:tc>
          <w:tcPr>
            <w:tcW w:w="10202" w:type="dxa"/>
            <w:tcBorders>
              <w:top w:val="nil"/>
              <w:left w:val="nil"/>
              <w:bottom w:val="nil"/>
              <w:right w:val="nil"/>
            </w:tcBorders>
            <w:shd w:val="clear" w:color="auto" w:fill="auto"/>
            <w:noWrap/>
            <w:vAlign w:val="center"/>
            <w:hideMark/>
          </w:tcPr>
          <w:p w14:paraId="3C08EEC2" w14:textId="7476DE76"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 Apoyo de Tecnologías Educativas y de la Información para el Personal al Servicio de la Educación.</w:t>
            </w:r>
          </w:p>
        </w:tc>
      </w:tr>
      <w:tr w:rsidR="009A3001" w:rsidRPr="005F45A3" w14:paraId="6CD2607A" w14:textId="77777777" w:rsidTr="00295AC0">
        <w:trPr>
          <w:trHeight w:val="300"/>
        </w:trPr>
        <w:tc>
          <w:tcPr>
            <w:tcW w:w="10202" w:type="dxa"/>
            <w:tcBorders>
              <w:top w:val="nil"/>
              <w:left w:val="nil"/>
              <w:bottom w:val="nil"/>
              <w:right w:val="nil"/>
            </w:tcBorders>
            <w:shd w:val="clear" w:color="auto" w:fill="auto"/>
            <w:noWrap/>
            <w:vAlign w:val="center"/>
            <w:hideMark/>
          </w:tcPr>
          <w:p w14:paraId="7C4E8F0A" w14:textId="551F2B41"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20</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para el Programa Especial de Financiamiento a la Vivienda para el Magisterio del Estado de Tamaulipas (</w:t>
            </w:r>
            <w:proofErr w:type="spellStart"/>
            <w:r w:rsidR="009A3001" w:rsidRPr="005F45A3">
              <w:rPr>
                <w:rFonts w:asciiTheme="minorHAnsi" w:eastAsia="Times New Roman" w:hAnsiTheme="minorHAnsi" w:cstheme="minorHAnsi"/>
                <w:color w:val="000000"/>
                <w:sz w:val="18"/>
                <w:szCs w:val="18"/>
                <w:lang w:eastAsia="es-MX"/>
              </w:rPr>
              <w:t>Fovimat</w:t>
            </w:r>
            <w:proofErr w:type="spellEnd"/>
            <w:r w:rsidR="009A3001" w:rsidRPr="005F45A3">
              <w:rPr>
                <w:rFonts w:asciiTheme="minorHAnsi" w:eastAsia="Times New Roman" w:hAnsiTheme="minorHAnsi" w:cstheme="minorHAnsi"/>
                <w:color w:val="000000"/>
                <w:sz w:val="18"/>
                <w:szCs w:val="18"/>
                <w:lang w:eastAsia="es-MX"/>
              </w:rPr>
              <w:t>) *</w:t>
            </w:r>
          </w:p>
        </w:tc>
      </w:tr>
      <w:tr w:rsidR="009A3001" w:rsidRPr="005F45A3" w14:paraId="78251D7F" w14:textId="77777777" w:rsidTr="00295AC0">
        <w:trPr>
          <w:trHeight w:val="300"/>
        </w:trPr>
        <w:tc>
          <w:tcPr>
            <w:tcW w:w="10202" w:type="dxa"/>
            <w:tcBorders>
              <w:top w:val="nil"/>
              <w:left w:val="nil"/>
              <w:bottom w:val="nil"/>
              <w:right w:val="nil"/>
            </w:tcBorders>
            <w:shd w:val="clear" w:color="auto" w:fill="auto"/>
            <w:noWrap/>
            <w:vAlign w:val="center"/>
            <w:hideMark/>
          </w:tcPr>
          <w:p w14:paraId="5DCC0D3F" w14:textId="38F4FD5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21</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 xml:space="preserve">Fideicomiso del Centro de Capacitación de Altamira </w:t>
            </w:r>
          </w:p>
        </w:tc>
      </w:tr>
      <w:tr w:rsidR="009A3001" w:rsidRPr="005F45A3" w14:paraId="17091674" w14:textId="77777777" w:rsidTr="00295AC0">
        <w:trPr>
          <w:trHeight w:val="300"/>
        </w:trPr>
        <w:tc>
          <w:tcPr>
            <w:tcW w:w="10202" w:type="dxa"/>
            <w:tcBorders>
              <w:top w:val="nil"/>
              <w:left w:val="nil"/>
              <w:bottom w:val="nil"/>
              <w:right w:val="nil"/>
            </w:tcBorders>
            <w:shd w:val="clear" w:color="auto" w:fill="auto"/>
            <w:noWrap/>
            <w:vAlign w:val="center"/>
            <w:hideMark/>
          </w:tcPr>
          <w:p w14:paraId="42E99BC1" w14:textId="77777777" w:rsidR="009A3001" w:rsidRPr="005F45A3" w:rsidRDefault="009A3001"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23FA6A44" w14:textId="77777777" w:rsidTr="00295AC0">
        <w:trPr>
          <w:trHeight w:val="300"/>
        </w:trPr>
        <w:tc>
          <w:tcPr>
            <w:tcW w:w="10202" w:type="dxa"/>
            <w:tcBorders>
              <w:top w:val="nil"/>
              <w:left w:val="nil"/>
              <w:bottom w:val="nil"/>
              <w:right w:val="nil"/>
            </w:tcBorders>
            <w:shd w:val="clear" w:color="auto" w:fill="auto"/>
            <w:noWrap/>
            <w:vAlign w:val="center"/>
            <w:hideMark/>
          </w:tcPr>
          <w:p w14:paraId="52AF23BA"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DESARROLLO URBANO Y MEDIO AMBIENTE</w:t>
            </w:r>
          </w:p>
        </w:tc>
      </w:tr>
      <w:tr w:rsidR="009A3001" w:rsidRPr="005F45A3" w14:paraId="133D6949" w14:textId="77777777" w:rsidTr="00295AC0">
        <w:trPr>
          <w:trHeight w:val="300"/>
        </w:trPr>
        <w:tc>
          <w:tcPr>
            <w:tcW w:w="10202" w:type="dxa"/>
            <w:tcBorders>
              <w:top w:val="nil"/>
              <w:left w:val="nil"/>
              <w:bottom w:val="nil"/>
              <w:right w:val="nil"/>
            </w:tcBorders>
            <w:shd w:val="clear" w:color="auto" w:fill="auto"/>
            <w:noWrap/>
            <w:vAlign w:val="center"/>
            <w:hideMark/>
          </w:tcPr>
          <w:p w14:paraId="58CB886B" w14:textId="0BC409D3" w:rsidR="009A3001" w:rsidRPr="005F45A3"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22</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Centro Histórico de Tampico (</w:t>
            </w:r>
            <w:proofErr w:type="spellStart"/>
            <w:r w:rsidR="009A3001" w:rsidRPr="005F45A3">
              <w:rPr>
                <w:rFonts w:asciiTheme="minorHAnsi" w:eastAsia="Times New Roman" w:hAnsiTheme="minorHAnsi" w:cstheme="minorHAnsi"/>
                <w:color w:val="000000"/>
                <w:sz w:val="18"/>
                <w:szCs w:val="18"/>
                <w:lang w:eastAsia="es-MX"/>
              </w:rPr>
              <w:t>Ficetam</w:t>
            </w:r>
            <w:proofErr w:type="spellEnd"/>
            <w:r w:rsidR="009A3001" w:rsidRPr="005F45A3">
              <w:rPr>
                <w:rFonts w:asciiTheme="minorHAnsi" w:eastAsia="Times New Roman" w:hAnsiTheme="minorHAnsi" w:cstheme="minorHAnsi"/>
                <w:color w:val="000000"/>
                <w:sz w:val="18"/>
                <w:szCs w:val="18"/>
                <w:lang w:eastAsia="es-MX"/>
              </w:rPr>
              <w:t>)</w:t>
            </w:r>
          </w:p>
        </w:tc>
      </w:tr>
      <w:tr w:rsidR="009A3001" w:rsidRPr="005F45A3" w14:paraId="5084C5D5" w14:textId="77777777" w:rsidTr="00295AC0">
        <w:trPr>
          <w:trHeight w:val="300"/>
        </w:trPr>
        <w:tc>
          <w:tcPr>
            <w:tcW w:w="10202" w:type="dxa"/>
            <w:tcBorders>
              <w:top w:val="nil"/>
              <w:left w:val="nil"/>
              <w:bottom w:val="nil"/>
              <w:right w:val="nil"/>
            </w:tcBorders>
            <w:shd w:val="clear" w:color="auto" w:fill="auto"/>
            <w:noWrap/>
            <w:vAlign w:val="center"/>
            <w:hideMark/>
          </w:tcPr>
          <w:p w14:paraId="3A861100" w14:textId="40994680" w:rsidR="00D15E87" w:rsidRDefault="00760A56"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23</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Centro Urbano Turístic</w:t>
            </w:r>
            <w:r w:rsidR="00383528">
              <w:rPr>
                <w:rFonts w:asciiTheme="minorHAnsi" w:eastAsia="Times New Roman" w:hAnsiTheme="minorHAnsi" w:cstheme="minorHAnsi"/>
                <w:color w:val="000000"/>
                <w:sz w:val="18"/>
                <w:szCs w:val="18"/>
                <w:lang w:eastAsia="es-MX"/>
              </w:rPr>
              <w:t>o de Ciudad Madero (</w:t>
            </w:r>
            <w:proofErr w:type="spellStart"/>
            <w:r w:rsidR="00383528">
              <w:rPr>
                <w:rFonts w:asciiTheme="minorHAnsi" w:eastAsia="Times New Roman" w:hAnsiTheme="minorHAnsi" w:cstheme="minorHAnsi"/>
                <w:color w:val="000000"/>
                <w:sz w:val="18"/>
                <w:szCs w:val="18"/>
                <w:lang w:eastAsia="es-MX"/>
              </w:rPr>
              <w:t>Ficutmad</w:t>
            </w:r>
            <w:proofErr w:type="spellEnd"/>
            <w:r w:rsidR="00383528">
              <w:rPr>
                <w:rFonts w:asciiTheme="minorHAnsi" w:eastAsia="Times New Roman" w:hAnsiTheme="minorHAnsi" w:cstheme="minorHAnsi"/>
                <w:color w:val="000000"/>
                <w:sz w:val="18"/>
                <w:szCs w:val="18"/>
                <w:lang w:eastAsia="es-MX"/>
              </w:rPr>
              <w:t>) *</w:t>
            </w:r>
          </w:p>
          <w:p w14:paraId="5332694D" w14:textId="1B01DA38" w:rsidR="00383528" w:rsidRDefault="00383528"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24.  Fideicomiso Fondo de Cambio Climático para el Estado de Tamaulipas</w:t>
            </w:r>
          </w:p>
          <w:p w14:paraId="765FB3E1" w14:textId="66508834" w:rsidR="00295AC0" w:rsidRPr="005F45A3" w:rsidRDefault="00295AC0" w:rsidP="009A3001">
            <w:pPr>
              <w:spacing w:after="0" w:line="240" w:lineRule="auto"/>
              <w:jc w:val="both"/>
              <w:rPr>
                <w:rFonts w:asciiTheme="minorHAnsi" w:eastAsia="Times New Roman" w:hAnsiTheme="minorHAnsi" w:cstheme="minorHAnsi"/>
                <w:color w:val="000000"/>
                <w:sz w:val="18"/>
                <w:szCs w:val="18"/>
                <w:lang w:eastAsia="es-MX"/>
              </w:rPr>
            </w:pPr>
          </w:p>
        </w:tc>
      </w:tr>
      <w:tr w:rsidR="009A3001" w:rsidRPr="005F45A3" w14:paraId="5B2652E8" w14:textId="77777777" w:rsidTr="00295AC0">
        <w:trPr>
          <w:trHeight w:val="300"/>
        </w:trPr>
        <w:tc>
          <w:tcPr>
            <w:tcW w:w="10202" w:type="dxa"/>
            <w:tcBorders>
              <w:top w:val="nil"/>
              <w:left w:val="nil"/>
              <w:bottom w:val="nil"/>
              <w:right w:val="nil"/>
            </w:tcBorders>
            <w:shd w:val="clear" w:color="auto" w:fill="auto"/>
            <w:noWrap/>
            <w:vAlign w:val="center"/>
            <w:hideMark/>
          </w:tcPr>
          <w:p w14:paraId="10A66967" w14:textId="77777777" w:rsidR="009A3001" w:rsidRPr="005F45A3" w:rsidRDefault="009A3001"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SECRETARÍA DE OBRAS PÚBLICAS</w:t>
            </w:r>
          </w:p>
        </w:tc>
      </w:tr>
      <w:tr w:rsidR="009A3001" w:rsidRPr="005F45A3" w14:paraId="1940DE9B" w14:textId="77777777" w:rsidTr="00295AC0">
        <w:trPr>
          <w:trHeight w:val="300"/>
        </w:trPr>
        <w:tc>
          <w:tcPr>
            <w:tcW w:w="10202" w:type="dxa"/>
            <w:tcBorders>
              <w:top w:val="nil"/>
              <w:left w:val="nil"/>
              <w:bottom w:val="nil"/>
              <w:right w:val="nil"/>
            </w:tcBorders>
            <w:shd w:val="clear" w:color="auto" w:fill="auto"/>
            <w:noWrap/>
            <w:vAlign w:val="center"/>
            <w:hideMark/>
          </w:tcPr>
          <w:p w14:paraId="68477ADA" w14:textId="4AD3F867" w:rsidR="009A3001" w:rsidRPr="005F45A3" w:rsidRDefault="00383528"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25</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Puente Internacional Río Bravo-</w:t>
            </w:r>
            <w:proofErr w:type="spellStart"/>
            <w:r w:rsidR="009A3001" w:rsidRPr="005F45A3">
              <w:rPr>
                <w:rFonts w:asciiTheme="minorHAnsi" w:eastAsia="Times New Roman" w:hAnsiTheme="minorHAnsi" w:cstheme="minorHAnsi"/>
                <w:color w:val="000000"/>
                <w:sz w:val="18"/>
                <w:szCs w:val="18"/>
                <w:lang w:eastAsia="es-MX"/>
              </w:rPr>
              <w:t>Donna</w:t>
            </w:r>
            <w:proofErr w:type="spellEnd"/>
          </w:p>
        </w:tc>
      </w:tr>
      <w:tr w:rsidR="009A3001" w:rsidRPr="005F45A3" w14:paraId="26FDCEE6" w14:textId="77777777" w:rsidTr="00295AC0">
        <w:trPr>
          <w:trHeight w:val="300"/>
        </w:trPr>
        <w:tc>
          <w:tcPr>
            <w:tcW w:w="10202" w:type="dxa"/>
            <w:tcBorders>
              <w:top w:val="nil"/>
              <w:left w:val="nil"/>
              <w:bottom w:val="nil"/>
              <w:right w:val="nil"/>
            </w:tcBorders>
            <w:shd w:val="clear" w:color="auto" w:fill="auto"/>
            <w:noWrap/>
            <w:vAlign w:val="center"/>
            <w:hideMark/>
          </w:tcPr>
          <w:p w14:paraId="68A898E1" w14:textId="6CBEDDE6" w:rsidR="009A3001" w:rsidRPr="005F45A3" w:rsidRDefault="00383528"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26</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Mante-Ocampo-Tula</w:t>
            </w:r>
          </w:p>
        </w:tc>
      </w:tr>
      <w:tr w:rsidR="009A3001" w:rsidRPr="005F45A3" w14:paraId="014CD162" w14:textId="77777777" w:rsidTr="00295AC0">
        <w:trPr>
          <w:trHeight w:val="300"/>
        </w:trPr>
        <w:tc>
          <w:tcPr>
            <w:tcW w:w="10202" w:type="dxa"/>
            <w:tcBorders>
              <w:top w:val="nil"/>
              <w:left w:val="nil"/>
              <w:bottom w:val="nil"/>
              <w:right w:val="nil"/>
            </w:tcBorders>
            <w:shd w:val="clear" w:color="auto" w:fill="auto"/>
            <w:noWrap/>
            <w:vAlign w:val="center"/>
            <w:hideMark/>
          </w:tcPr>
          <w:p w14:paraId="71F71B41" w14:textId="31427066" w:rsidR="009A3001" w:rsidRPr="005F45A3" w:rsidRDefault="00383528" w:rsidP="009A3001">
            <w:pPr>
              <w:spacing w:after="0" w:line="240" w:lineRule="auto"/>
              <w:jc w:val="both"/>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27</w:t>
            </w:r>
            <w:r w:rsidR="009A3001" w:rsidRPr="005F45A3">
              <w:rPr>
                <w:rFonts w:asciiTheme="minorHAnsi" w:eastAsia="Times New Roman" w:hAnsiTheme="minorHAnsi" w:cstheme="minorHAnsi"/>
                <w:color w:val="000000"/>
                <w:sz w:val="18"/>
                <w:szCs w:val="18"/>
                <w:lang w:eastAsia="es-MX"/>
              </w:rPr>
              <w:t>.</w:t>
            </w:r>
            <w:r w:rsidR="009A3001" w:rsidRPr="005F45A3">
              <w:rPr>
                <w:rFonts w:asciiTheme="minorHAnsi" w:eastAsia="Times New Roman" w:hAnsiTheme="minorHAnsi" w:cstheme="minorHAnsi"/>
                <w:color w:val="000000"/>
                <w:sz w:val="14"/>
                <w:szCs w:val="14"/>
                <w:lang w:eastAsia="es-MX"/>
              </w:rPr>
              <w:t xml:space="preserve">   </w:t>
            </w:r>
            <w:r w:rsidR="009A3001" w:rsidRPr="005F45A3">
              <w:rPr>
                <w:rFonts w:asciiTheme="minorHAnsi" w:eastAsia="Times New Roman" w:hAnsiTheme="minorHAnsi" w:cstheme="minorHAnsi"/>
                <w:color w:val="000000"/>
                <w:sz w:val="18"/>
                <w:szCs w:val="18"/>
                <w:lang w:eastAsia="es-MX"/>
              </w:rPr>
              <w:t>Fideicomiso del Corredor Económico del Norte</w:t>
            </w:r>
          </w:p>
          <w:p w14:paraId="2FDD7451" w14:textId="77777777" w:rsidR="00100166" w:rsidRPr="005F45A3" w:rsidRDefault="00100166" w:rsidP="009A3001">
            <w:pPr>
              <w:spacing w:after="0" w:line="240" w:lineRule="auto"/>
              <w:jc w:val="both"/>
              <w:rPr>
                <w:rFonts w:asciiTheme="minorHAnsi" w:eastAsia="Times New Roman" w:hAnsiTheme="minorHAnsi" w:cstheme="minorHAnsi"/>
                <w:color w:val="000000"/>
                <w:sz w:val="18"/>
                <w:szCs w:val="18"/>
                <w:lang w:eastAsia="es-MX"/>
              </w:rPr>
            </w:pPr>
          </w:p>
          <w:p w14:paraId="69316721" w14:textId="77777777" w:rsidR="00100166" w:rsidRPr="005F45A3" w:rsidRDefault="00100166" w:rsidP="009A3001">
            <w:pPr>
              <w:spacing w:after="0" w:line="240" w:lineRule="auto"/>
              <w:jc w:val="both"/>
              <w:rPr>
                <w:rFonts w:asciiTheme="minorHAnsi" w:eastAsia="Times New Roman" w:hAnsiTheme="minorHAnsi" w:cstheme="minorHAnsi"/>
                <w:b/>
                <w:bCs/>
                <w:color w:val="000000"/>
                <w:sz w:val="18"/>
                <w:szCs w:val="18"/>
                <w:lang w:eastAsia="es-MX"/>
              </w:rPr>
            </w:pPr>
            <w:r w:rsidRPr="005F45A3">
              <w:rPr>
                <w:rFonts w:asciiTheme="minorHAnsi" w:eastAsia="Times New Roman" w:hAnsiTheme="minorHAnsi" w:cstheme="minorHAnsi"/>
                <w:b/>
                <w:bCs/>
                <w:color w:val="000000"/>
                <w:sz w:val="18"/>
                <w:szCs w:val="18"/>
                <w:lang w:eastAsia="es-MX"/>
              </w:rPr>
              <w:t>SISTEMA DIF TAMAULIPAS</w:t>
            </w:r>
          </w:p>
          <w:p w14:paraId="0275856C" w14:textId="77777777"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p w14:paraId="287E50D4" w14:textId="38DB2EDB" w:rsidR="00841211" w:rsidRDefault="00760A56" w:rsidP="00841211">
            <w:pPr>
              <w:spacing w:after="0" w:line="240" w:lineRule="auto"/>
              <w:jc w:val="both"/>
              <w:rPr>
                <w:rFonts w:asciiTheme="minorHAnsi" w:hAnsiTheme="minorHAnsi" w:cstheme="minorHAnsi"/>
                <w:sz w:val="18"/>
                <w:szCs w:val="18"/>
              </w:rPr>
            </w:pPr>
            <w:r>
              <w:rPr>
                <w:rFonts w:asciiTheme="minorHAnsi" w:eastAsia="Times New Roman" w:hAnsiTheme="minorHAnsi" w:cstheme="minorHAnsi"/>
                <w:color w:val="000000"/>
                <w:sz w:val="18"/>
                <w:szCs w:val="18"/>
                <w:lang w:eastAsia="es-MX"/>
              </w:rPr>
              <w:t>2</w:t>
            </w:r>
            <w:r w:rsidR="00383528">
              <w:rPr>
                <w:rFonts w:asciiTheme="minorHAnsi" w:eastAsia="Times New Roman" w:hAnsiTheme="minorHAnsi" w:cstheme="minorHAnsi"/>
                <w:color w:val="000000"/>
                <w:sz w:val="18"/>
                <w:szCs w:val="18"/>
                <w:lang w:eastAsia="es-MX"/>
              </w:rPr>
              <w:t>8</w:t>
            </w:r>
            <w:r w:rsidR="00841211" w:rsidRPr="005F45A3">
              <w:rPr>
                <w:rFonts w:asciiTheme="minorHAnsi" w:eastAsia="Times New Roman" w:hAnsiTheme="minorHAnsi" w:cstheme="minorHAnsi"/>
                <w:color w:val="000000"/>
                <w:sz w:val="18"/>
                <w:szCs w:val="18"/>
                <w:lang w:eastAsia="es-MX"/>
              </w:rPr>
              <w:t>.</w:t>
            </w:r>
            <w:r w:rsidR="00295AC0">
              <w:rPr>
                <w:rFonts w:asciiTheme="minorHAnsi" w:eastAsia="Times New Roman" w:hAnsiTheme="minorHAnsi" w:cstheme="minorHAnsi"/>
                <w:color w:val="000000"/>
                <w:sz w:val="18"/>
                <w:szCs w:val="18"/>
                <w:lang w:eastAsia="es-MX"/>
              </w:rPr>
              <w:t xml:space="preserve">  </w:t>
            </w:r>
            <w:r w:rsidR="00841211" w:rsidRPr="005F45A3">
              <w:rPr>
                <w:rFonts w:asciiTheme="minorHAnsi" w:eastAsia="Times New Roman" w:hAnsiTheme="minorHAnsi" w:cstheme="minorHAnsi"/>
                <w:color w:val="000000"/>
                <w:sz w:val="18"/>
                <w:szCs w:val="18"/>
                <w:lang w:eastAsia="es-MX"/>
              </w:rPr>
              <w:t>Fideicomiso de</w:t>
            </w:r>
            <w:r w:rsidR="00841211" w:rsidRPr="005F45A3">
              <w:rPr>
                <w:rFonts w:asciiTheme="minorHAnsi" w:hAnsiTheme="minorHAnsi" w:cstheme="minorHAnsi"/>
                <w:sz w:val="18"/>
                <w:szCs w:val="18"/>
              </w:rPr>
              <w:t xml:space="preserve"> Administración e Inversión para el Desarrollo del Programa “Nuestros Niños, Nuestro Futuro”</w:t>
            </w:r>
            <w:r w:rsidR="009325D7">
              <w:rPr>
                <w:rFonts w:asciiTheme="minorHAnsi" w:hAnsiTheme="minorHAnsi" w:cstheme="minorHAnsi"/>
                <w:sz w:val="18"/>
                <w:szCs w:val="18"/>
              </w:rPr>
              <w:t>.</w:t>
            </w:r>
            <w:r w:rsidR="00841211" w:rsidRPr="005F45A3">
              <w:rPr>
                <w:rFonts w:asciiTheme="minorHAnsi" w:hAnsiTheme="minorHAnsi" w:cstheme="minorHAnsi"/>
                <w:sz w:val="18"/>
                <w:szCs w:val="18"/>
              </w:rPr>
              <w:t xml:space="preserve"> </w:t>
            </w:r>
          </w:p>
          <w:p w14:paraId="2222E48D" w14:textId="77777777" w:rsidR="00383528" w:rsidRDefault="00383528" w:rsidP="00841211">
            <w:pPr>
              <w:spacing w:after="0" w:line="240" w:lineRule="auto"/>
              <w:jc w:val="both"/>
              <w:rPr>
                <w:rFonts w:asciiTheme="minorHAnsi" w:hAnsiTheme="minorHAnsi" w:cstheme="minorHAnsi"/>
                <w:sz w:val="18"/>
                <w:szCs w:val="18"/>
              </w:rPr>
            </w:pPr>
          </w:p>
          <w:p w14:paraId="2FA6C087" w14:textId="77777777" w:rsidR="00383528" w:rsidRPr="005F45A3" w:rsidRDefault="00383528" w:rsidP="00841211">
            <w:pPr>
              <w:spacing w:after="0" w:line="240" w:lineRule="auto"/>
              <w:jc w:val="both"/>
              <w:rPr>
                <w:rFonts w:asciiTheme="minorHAnsi" w:hAnsiTheme="minorHAnsi" w:cstheme="minorHAnsi"/>
                <w:sz w:val="18"/>
                <w:szCs w:val="18"/>
              </w:rPr>
            </w:pPr>
          </w:p>
          <w:p w14:paraId="16959BFF" w14:textId="77777777"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p w14:paraId="4967AF3D" w14:textId="77777777" w:rsidR="00841211" w:rsidRPr="00B43367" w:rsidRDefault="00841211" w:rsidP="009325D7">
            <w:pPr>
              <w:pStyle w:val="Prrafodelista"/>
              <w:numPr>
                <w:ilvl w:val="0"/>
                <w:numId w:val="12"/>
              </w:numPr>
              <w:spacing w:after="0" w:line="240" w:lineRule="auto"/>
              <w:ind w:left="359" w:hanging="283"/>
              <w:jc w:val="both"/>
              <w:rPr>
                <w:rFonts w:asciiTheme="minorHAnsi" w:eastAsia="Times New Roman" w:hAnsiTheme="minorHAnsi" w:cstheme="minorHAnsi"/>
                <w:b/>
                <w:color w:val="000000"/>
                <w:sz w:val="18"/>
                <w:szCs w:val="18"/>
                <w:lang w:eastAsia="es-MX"/>
              </w:rPr>
            </w:pPr>
            <w:r w:rsidRPr="00B43367">
              <w:rPr>
                <w:rFonts w:asciiTheme="minorHAnsi" w:hAnsiTheme="minorHAnsi" w:cstheme="minorHAnsi"/>
                <w:b/>
                <w:sz w:val="18"/>
                <w:szCs w:val="18"/>
              </w:rPr>
              <w:t>Se enlista los de mayor monto de disponibilidad, relacionando aquellos que conforman el 80% de disponibilidades.</w:t>
            </w:r>
          </w:p>
          <w:p w14:paraId="2231EA58" w14:textId="77777777"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p w14:paraId="2D9CF7E9" w14:textId="5D7497BB" w:rsidR="00841211" w:rsidRPr="00597EEB" w:rsidRDefault="00841211" w:rsidP="009A3001">
            <w:pPr>
              <w:spacing w:after="0" w:line="240" w:lineRule="auto"/>
              <w:jc w:val="both"/>
              <w:rPr>
                <w:rFonts w:asciiTheme="minorHAnsi" w:eastAsia="Times New Roman" w:hAnsiTheme="minorHAnsi" w:cstheme="minorHAnsi"/>
                <w:b/>
                <w:bCs/>
                <w:color w:val="000000"/>
                <w:sz w:val="14"/>
                <w:szCs w:val="18"/>
                <w:lang w:eastAsia="es-MX"/>
              </w:rPr>
            </w:pPr>
          </w:p>
          <w:tbl>
            <w:tblPr>
              <w:tblW w:w="6159" w:type="dxa"/>
              <w:tblCellMar>
                <w:left w:w="70" w:type="dxa"/>
                <w:right w:w="70" w:type="dxa"/>
              </w:tblCellMar>
              <w:tblLook w:val="04A0" w:firstRow="1" w:lastRow="0" w:firstColumn="1" w:lastColumn="0" w:noHBand="0" w:noVBand="1"/>
            </w:tblPr>
            <w:tblGrid>
              <w:gridCol w:w="4514"/>
              <w:gridCol w:w="1645"/>
            </w:tblGrid>
            <w:tr w:rsidR="009B3320" w:rsidRPr="009B3320" w14:paraId="2079A8F9" w14:textId="77777777" w:rsidTr="009B3320">
              <w:trPr>
                <w:trHeight w:val="396"/>
              </w:trPr>
              <w:tc>
                <w:tcPr>
                  <w:tcW w:w="4514"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0AECF4EA"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Fideicomisos</w:t>
                  </w:r>
                </w:p>
              </w:tc>
              <w:tc>
                <w:tcPr>
                  <w:tcW w:w="1645" w:type="dxa"/>
                  <w:tcBorders>
                    <w:top w:val="single" w:sz="4" w:space="0" w:color="auto"/>
                    <w:left w:val="nil"/>
                    <w:bottom w:val="single" w:sz="4" w:space="0" w:color="auto"/>
                    <w:right w:val="single" w:sz="4" w:space="0" w:color="auto"/>
                  </w:tcBorders>
                  <w:shd w:val="clear" w:color="000000" w:fill="AB0033"/>
                  <w:vAlign w:val="center"/>
                  <w:hideMark/>
                </w:tcPr>
                <w:p w14:paraId="3F7C5946" w14:textId="77777777" w:rsidR="009B3320" w:rsidRPr="009B3320" w:rsidRDefault="009B3320" w:rsidP="009B3320">
                  <w:pPr>
                    <w:spacing w:after="0" w:line="240" w:lineRule="auto"/>
                    <w:jc w:val="center"/>
                    <w:rPr>
                      <w:rFonts w:eastAsia="Times New Roman" w:cs="Calibri"/>
                      <w:b/>
                      <w:bCs/>
                      <w:color w:val="FFFFFF"/>
                      <w:sz w:val="16"/>
                      <w:szCs w:val="16"/>
                      <w:lang w:eastAsia="es-MX"/>
                    </w:rPr>
                  </w:pPr>
                  <w:r w:rsidRPr="009B3320">
                    <w:rPr>
                      <w:rFonts w:eastAsia="Times New Roman" w:cs="Calibri"/>
                      <w:b/>
                      <w:bCs/>
                      <w:color w:val="FFFFFF"/>
                      <w:sz w:val="16"/>
                      <w:szCs w:val="16"/>
                      <w:lang w:eastAsia="es-MX"/>
                    </w:rPr>
                    <w:t>Importe</w:t>
                  </w:r>
                </w:p>
              </w:tc>
            </w:tr>
            <w:tr w:rsidR="009B3320" w:rsidRPr="009B3320" w14:paraId="2EE4B81A" w14:textId="77777777" w:rsidTr="009B3320">
              <w:trPr>
                <w:trHeight w:val="304"/>
              </w:trPr>
              <w:tc>
                <w:tcPr>
                  <w:tcW w:w="4514" w:type="dxa"/>
                  <w:tcBorders>
                    <w:top w:val="nil"/>
                    <w:left w:val="single" w:sz="4" w:space="0" w:color="auto"/>
                    <w:bottom w:val="single" w:sz="4" w:space="0" w:color="auto"/>
                    <w:right w:val="single" w:sz="4" w:space="0" w:color="auto"/>
                  </w:tcBorders>
                  <w:shd w:val="clear" w:color="auto" w:fill="auto"/>
                  <w:noWrap/>
                  <w:vAlign w:val="center"/>
                  <w:hideMark/>
                </w:tcPr>
                <w:p w14:paraId="76542A6D"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Fideicomiso Puente Internacional Nuevo Laredo III</w:t>
                  </w:r>
                </w:p>
              </w:tc>
              <w:tc>
                <w:tcPr>
                  <w:tcW w:w="1645" w:type="dxa"/>
                  <w:tcBorders>
                    <w:top w:val="nil"/>
                    <w:left w:val="nil"/>
                    <w:bottom w:val="single" w:sz="4" w:space="0" w:color="auto"/>
                    <w:right w:val="single" w:sz="4" w:space="0" w:color="auto"/>
                  </w:tcBorders>
                  <w:shd w:val="clear" w:color="auto" w:fill="auto"/>
                  <w:noWrap/>
                  <w:vAlign w:val="bottom"/>
                  <w:hideMark/>
                </w:tcPr>
                <w:p w14:paraId="15EC8CDD"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512,924,813</w:t>
                  </w:r>
                </w:p>
              </w:tc>
            </w:tr>
            <w:tr w:rsidR="009B3320" w:rsidRPr="009B3320" w14:paraId="0B413465" w14:textId="77777777" w:rsidTr="009B3320">
              <w:trPr>
                <w:trHeight w:val="304"/>
              </w:trPr>
              <w:tc>
                <w:tcPr>
                  <w:tcW w:w="4514" w:type="dxa"/>
                  <w:tcBorders>
                    <w:top w:val="nil"/>
                    <w:left w:val="single" w:sz="4" w:space="0" w:color="auto"/>
                    <w:bottom w:val="single" w:sz="4" w:space="0" w:color="auto"/>
                    <w:right w:val="single" w:sz="4" w:space="0" w:color="auto"/>
                  </w:tcBorders>
                  <w:shd w:val="clear" w:color="auto" w:fill="auto"/>
                  <w:noWrap/>
                  <w:vAlign w:val="center"/>
                  <w:hideMark/>
                </w:tcPr>
                <w:p w14:paraId="177791AB"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Fideicomiso Santander 200-3885 (CREDITOS)</w:t>
                  </w:r>
                </w:p>
              </w:tc>
              <w:tc>
                <w:tcPr>
                  <w:tcW w:w="1645" w:type="dxa"/>
                  <w:tcBorders>
                    <w:top w:val="nil"/>
                    <w:left w:val="nil"/>
                    <w:bottom w:val="single" w:sz="4" w:space="0" w:color="auto"/>
                    <w:right w:val="single" w:sz="4" w:space="0" w:color="auto"/>
                  </w:tcBorders>
                  <w:shd w:val="clear" w:color="auto" w:fill="auto"/>
                  <w:noWrap/>
                  <w:vAlign w:val="bottom"/>
                  <w:hideMark/>
                </w:tcPr>
                <w:p w14:paraId="611C06E4"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398,558,446</w:t>
                  </w:r>
                </w:p>
              </w:tc>
            </w:tr>
            <w:tr w:rsidR="009B3320" w:rsidRPr="009B3320" w14:paraId="10D5059B" w14:textId="77777777" w:rsidTr="009B3320">
              <w:trPr>
                <w:trHeight w:val="304"/>
              </w:trPr>
              <w:tc>
                <w:tcPr>
                  <w:tcW w:w="4514" w:type="dxa"/>
                  <w:tcBorders>
                    <w:top w:val="nil"/>
                    <w:left w:val="single" w:sz="4" w:space="0" w:color="auto"/>
                    <w:bottom w:val="single" w:sz="4" w:space="0" w:color="auto"/>
                    <w:right w:val="single" w:sz="4" w:space="0" w:color="auto"/>
                  </w:tcBorders>
                  <w:shd w:val="clear" w:color="auto" w:fill="auto"/>
                  <w:noWrap/>
                  <w:vAlign w:val="center"/>
                  <w:hideMark/>
                </w:tcPr>
                <w:p w14:paraId="5F83B8D1"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 xml:space="preserve">Fideicomiso de </w:t>
                  </w:r>
                  <w:proofErr w:type="spellStart"/>
                  <w:r w:rsidRPr="009B3320">
                    <w:rPr>
                      <w:rFonts w:eastAsia="Times New Roman" w:cs="Calibri"/>
                      <w:color w:val="000000"/>
                      <w:sz w:val="14"/>
                      <w:szCs w:val="14"/>
                      <w:lang w:eastAsia="es-MX"/>
                    </w:rPr>
                    <w:t>Admon</w:t>
                  </w:r>
                  <w:proofErr w:type="spellEnd"/>
                  <w:r w:rsidRPr="009B3320">
                    <w:rPr>
                      <w:rFonts w:eastAsia="Times New Roman" w:cs="Calibri"/>
                      <w:color w:val="000000"/>
                      <w:sz w:val="14"/>
                      <w:szCs w:val="14"/>
                      <w:lang w:eastAsia="es-MX"/>
                    </w:rPr>
                    <w:t>. Y Fuente de Pago APP</w:t>
                  </w:r>
                </w:p>
              </w:tc>
              <w:tc>
                <w:tcPr>
                  <w:tcW w:w="1645" w:type="dxa"/>
                  <w:tcBorders>
                    <w:top w:val="nil"/>
                    <w:left w:val="nil"/>
                    <w:bottom w:val="single" w:sz="4" w:space="0" w:color="auto"/>
                    <w:right w:val="single" w:sz="4" w:space="0" w:color="auto"/>
                  </w:tcBorders>
                  <w:shd w:val="clear" w:color="auto" w:fill="auto"/>
                  <w:noWrap/>
                  <w:vAlign w:val="bottom"/>
                  <w:hideMark/>
                </w:tcPr>
                <w:p w14:paraId="5B56179F"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236,105,089</w:t>
                  </w:r>
                </w:p>
              </w:tc>
            </w:tr>
            <w:tr w:rsidR="009B3320" w:rsidRPr="009B3320" w14:paraId="64102E7F" w14:textId="77777777" w:rsidTr="009B3320">
              <w:trPr>
                <w:trHeight w:val="304"/>
              </w:trPr>
              <w:tc>
                <w:tcPr>
                  <w:tcW w:w="4514" w:type="dxa"/>
                  <w:tcBorders>
                    <w:top w:val="nil"/>
                    <w:left w:val="single" w:sz="4" w:space="0" w:color="auto"/>
                    <w:bottom w:val="single" w:sz="4" w:space="0" w:color="auto"/>
                    <w:right w:val="single" w:sz="4" w:space="0" w:color="auto"/>
                  </w:tcBorders>
                  <w:shd w:val="clear" w:color="auto" w:fill="auto"/>
                  <w:noWrap/>
                  <w:vAlign w:val="center"/>
                  <w:hideMark/>
                </w:tcPr>
                <w:p w14:paraId="5744D2CA" w14:textId="77777777" w:rsidR="009B3320" w:rsidRPr="009B3320" w:rsidRDefault="009B3320" w:rsidP="009B3320">
                  <w:pPr>
                    <w:spacing w:after="0" w:line="240" w:lineRule="auto"/>
                    <w:rPr>
                      <w:rFonts w:eastAsia="Times New Roman" w:cs="Calibri"/>
                      <w:color w:val="000000"/>
                      <w:sz w:val="14"/>
                      <w:szCs w:val="14"/>
                      <w:lang w:eastAsia="es-MX"/>
                    </w:rPr>
                  </w:pPr>
                  <w:r w:rsidRPr="009B3320">
                    <w:rPr>
                      <w:rFonts w:eastAsia="Times New Roman" w:cs="Calibri"/>
                      <w:color w:val="000000"/>
                      <w:sz w:val="14"/>
                      <w:szCs w:val="14"/>
                      <w:lang w:eastAsia="es-MX"/>
                    </w:rPr>
                    <w:t>Fideicomiso FOFAET</w:t>
                  </w:r>
                </w:p>
              </w:tc>
              <w:tc>
                <w:tcPr>
                  <w:tcW w:w="1645" w:type="dxa"/>
                  <w:tcBorders>
                    <w:top w:val="nil"/>
                    <w:left w:val="nil"/>
                    <w:bottom w:val="single" w:sz="4" w:space="0" w:color="auto"/>
                    <w:right w:val="single" w:sz="4" w:space="0" w:color="auto"/>
                  </w:tcBorders>
                  <w:shd w:val="clear" w:color="auto" w:fill="auto"/>
                  <w:noWrap/>
                  <w:vAlign w:val="bottom"/>
                  <w:hideMark/>
                </w:tcPr>
                <w:p w14:paraId="0657742A" w14:textId="77777777" w:rsidR="009B3320" w:rsidRPr="009B3320" w:rsidRDefault="009B3320" w:rsidP="009B3320">
                  <w:pPr>
                    <w:spacing w:after="0" w:line="240" w:lineRule="auto"/>
                    <w:jc w:val="right"/>
                    <w:rPr>
                      <w:rFonts w:eastAsia="Times New Roman" w:cs="Calibri"/>
                      <w:color w:val="000000"/>
                      <w:sz w:val="14"/>
                      <w:szCs w:val="14"/>
                      <w:lang w:eastAsia="es-MX"/>
                    </w:rPr>
                  </w:pPr>
                  <w:r w:rsidRPr="009B3320">
                    <w:rPr>
                      <w:rFonts w:eastAsia="Times New Roman" w:cs="Calibri"/>
                      <w:color w:val="000000"/>
                      <w:sz w:val="14"/>
                      <w:szCs w:val="14"/>
                      <w:lang w:eastAsia="es-MX"/>
                    </w:rPr>
                    <w:t>83,375,310</w:t>
                  </w:r>
                </w:p>
              </w:tc>
            </w:tr>
          </w:tbl>
          <w:p w14:paraId="5CEDD2AC" w14:textId="1933F6C7" w:rsidR="0007447E" w:rsidRPr="005F45A3" w:rsidRDefault="0007447E" w:rsidP="009A3001">
            <w:pPr>
              <w:spacing w:after="0" w:line="240" w:lineRule="auto"/>
              <w:jc w:val="both"/>
              <w:rPr>
                <w:rFonts w:asciiTheme="minorHAnsi" w:eastAsia="Times New Roman" w:hAnsiTheme="minorHAnsi" w:cstheme="minorHAnsi"/>
                <w:b/>
                <w:bCs/>
                <w:color w:val="000000"/>
                <w:sz w:val="18"/>
                <w:szCs w:val="18"/>
                <w:lang w:eastAsia="es-MX"/>
              </w:rPr>
            </w:pPr>
          </w:p>
          <w:p w14:paraId="44BC27BA" w14:textId="07504613" w:rsidR="00841211" w:rsidRPr="005F45A3" w:rsidRDefault="00841211" w:rsidP="009A3001">
            <w:pPr>
              <w:spacing w:after="0" w:line="240" w:lineRule="auto"/>
              <w:jc w:val="both"/>
              <w:rPr>
                <w:rFonts w:asciiTheme="minorHAnsi" w:eastAsia="Times New Roman" w:hAnsiTheme="minorHAnsi" w:cstheme="minorHAnsi"/>
                <w:color w:val="000000"/>
                <w:sz w:val="18"/>
                <w:szCs w:val="18"/>
                <w:lang w:eastAsia="es-MX"/>
              </w:rPr>
            </w:pPr>
          </w:p>
        </w:tc>
      </w:tr>
    </w:tbl>
    <w:p w14:paraId="655B8E74"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10D379EB"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37DB208B"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794E99F8"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5ABFDDC9"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28529976"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455BBBAA"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5923B406"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1FC6167D"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3DBB2F38" w14:textId="77777777" w:rsidR="00B43367" w:rsidRDefault="00B43367" w:rsidP="00295AC0">
      <w:pPr>
        <w:pStyle w:val="Prrafodelista"/>
        <w:spacing w:after="0" w:line="220" w:lineRule="exact"/>
        <w:ind w:left="-142"/>
        <w:jc w:val="both"/>
        <w:rPr>
          <w:rFonts w:asciiTheme="minorHAnsi" w:eastAsia="Times New Roman" w:hAnsiTheme="minorHAnsi" w:cstheme="minorHAnsi"/>
          <w:b/>
          <w:sz w:val="20"/>
          <w:szCs w:val="18"/>
          <w:lang w:eastAsia="es-ES"/>
        </w:rPr>
      </w:pPr>
    </w:p>
    <w:p w14:paraId="57C29D66" w14:textId="7C9C639A" w:rsidR="00AA7087" w:rsidRPr="005F45A3" w:rsidRDefault="00AA7087" w:rsidP="00295AC0">
      <w:pPr>
        <w:pStyle w:val="Prrafodelista"/>
        <w:spacing w:after="0" w:line="220" w:lineRule="exact"/>
        <w:ind w:left="-142"/>
        <w:jc w:val="both"/>
        <w:rPr>
          <w:rFonts w:asciiTheme="minorHAnsi" w:eastAsia="Times New Roman" w:hAnsiTheme="minorHAnsi" w:cstheme="minorHAnsi"/>
          <w:b/>
          <w:sz w:val="20"/>
          <w:szCs w:val="18"/>
          <w:lang w:eastAsia="es-ES"/>
        </w:rPr>
      </w:pPr>
      <w:r w:rsidRPr="005F45A3">
        <w:rPr>
          <w:rFonts w:asciiTheme="minorHAnsi" w:eastAsia="Times New Roman" w:hAnsiTheme="minorHAnsi" w:cstheme="minorHAnsi"/>
          <w:b/>
          <w:sz w:val="20"/>
          <w:szCs w:val="18"/>
          <w:lang w:eastAsia="es-ES"/>
        </w:rPr>
        <w:t>Reporte de la Recaudación</w:t>
      </w:r>
    </w:p>
    <w:p w14:paraId="601D38A1" w14:textId="77777777" w:rsidR="00AA7087" w:rsidRPr="005F45A3" w:rsidRDefault="00AA7087" w:rsidP="005205C0">
      <w:pPr>
        <w:pStyle w:val="Prrafodelista"/>
        <w:spacing w:after="0" w:line="220" w:lineRule="exact"/>
        <w:ind w:left="357"/>
        <w:jc w:val="both"/>
        <w:rPr>
          <w:rFonts w:asciiTheme="minorHAnsi" w:eastAsia="Times New Roman" w:hAnsiTheme="minorHAnsi" w:cstheme="minorHAnsi"/>
          <w:b/>
          <w:sz w:val="18"/>
          <w:szCs w:val="18"/>
          <w:lang w:eastAsia="es-ES"/>
        </w:rPr>
      </w:pPr>
    </w:p>
    <w:p w14:paraId="5C126BE0" w14:textId="6179689A" w:rsidR="0052769C" w:rsidRDefault="00AA7087" w:rsidP="00295AC0">
      <w:pPr>
        <w:pStyle w:val="Prrafodelista"/>
        <w:numPr>
          <w:ilvl w:val="0"/>
          <w:numId w:val="13"/>
        </w:numPr>
        <w:spacing w:after="0" w:line="240" w:lineRule="exact"/>
        <w:ind w:left="284"/>
        <w:jc w:val="both"/>
        <w:rPr>
          <w:rFonts w:asciiTheme="minorHAnsi" w:eastAsia="Times New Roman" w:hAnsiTheme="minorHAnsi" w:cstheme="minorHAnsi"/>
          <w:sz w:val="18"/>
          <w:szCs w:val="16"/>
          <w:lang w:val="es-ES" w:eastAsia="es-ES"/>
        </w:rPr>
      </w:pPr>
      <w:r w:rsidRPr="005F45A3">
        <w:rPr>
          <w:rFonts w:asciiTheme="minorHAnsi" w:eastAsia="Times New Roman" w:hAnsiTheme="minorHAnsi" w:cstheme="minorHAnsi"/>
          <w:sz w:val="18"/>
          <w:szCs w:val="16"/>
          <w:lang w:eastAsia="es-ES"/>
        </w:rPr>
        <w:t xml:space="preserve">Análisis del comportamiento </w:t>
      </w:r>
      <w:r w:rsidRPr="005F45A3">
        <w:rPr>
          <w:rFonts w:asciiTheme="minorHAnsi" w:eastAsia="Times New Roman" w:hAnsiTheme="minorHAnsi" w:cstheme="minorHAnsi"/>
          <w:sz w:val="18"/>
          <w:szCs w:val="16"/>
          <w:lang w:val="es-ES" w:eastAsia="es-ES"/>
        </w:rPr>
        <w:t xml:space="preserve">de la Recaudación correspondiente al Ente Público o cualquier tipo de Ingreso, de forma separada los Ingresos locales de los </w:t>
      </w:r>
      <w:r w:rsidR="002F6DBD" w:rsidRPr="005F45A3">
        <w:rPr>
          <w:rFonts w:asciiTheme="minorHAnsi" w:eastAsia="Times New Roman" w:hAnsiTheme="minorHAnsi" w:cstheme="minorHAnsi"/>
          <w:sz w:val="18"/>
          <w:szCs w:val="16"/>
          <w:lang w:val="es-ES" w:eastAsia="es-ES"/>
        </w:rPr>
        <w:t>Federales.</w:t>
      </w:r>
      <w:r w:rsidR="00A05FDB" w:rsidRPr="005F45A3">
        <w:rPr>
          <w:rFonts w:asciiTheme="minorHAnsi" w:eastAsia="Times New Roman" w:hAnsiTheme="minorHAnsi" w:cstheme="minorHAnsi"/>
          <w:sz w:val="18"/>
          <w:szCs w:val="16"/>
          <w:lang w:val="es-ES" w:eastAsia="es-ES"/>
        </w:rPr>
        <w:t xml:space="preserve"> </w:t>
      </w:r>
    </w:p>
    <w:p w14:paraId="37CE8A34" w14:textId="0998C622" w:rsidR="0050603D" w:rsidRDefault="0050603D" w:rsidP="0050603D">
      <w:pPr>
        <w:spacing w:after="0" w:line="240" w:lineRule="exact"/>
        <w:jc w:val="both"/>
        <w:rPr>
          <w:rFonts w:asciiTheme="minorHAnsi" w:eastAsia="Times New Roman" w:hAnsiTheme="minorHAnsi" w:cstheme="minorHAnsi"/>
          <w:sz w:val="18"/>
          <w:szCs w:val="16"/>
          <w:lang w:val="es-ES" w:eastAsia="es-ES"/>
        </w:rPr>
      </w:pPr>
    </w:p>
    <w:tbl>
      <w:tblPr>
        <w:tblW w:w="8400" w:type="dxa"/>
        <w:tblInd w:w="75" w:type="dxa"/>
        <w:tblCellMar>
          <w:left w:w="70" w:type="dxa"/>
          <w:right w:w="70" w:type="dxa"/>
        </w:tblCellMar>
        <w:tblLook w:val="04A0" w:firstRow="1" w:lastRow="0" w:firstColumn="1" w:lastColumn="0" w:noHBand="0" w:noVBand="1"/>
      </w:tblPr>
      <w:tblGrid>
        <w:gridCol w:w="2980"/>
        <w:gridCol w:w="1460"/>
        <w:gridCol w:w="1460"/>
        <w:gridCol w:w="1300"/>
        <w:gridCol w:w="1200"/>
      </w:tblGrid>
      <w:tr w:rsidR="00E212C6" w:rsidRPr="00E212C6" w14:paraId="05F32393" w14:textId="77777777" w:rsidTr="00E212C6">
        <w:trPr>
          <w:trHeight w:val="420"/>
        </w:trPr>
        <w:tc>
          <w:tcPr>
            <w:tcW w:w="298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1C7836B3" w14:textId="77777777" w:rsidR="00E212C6" w:rsidRPr="00E212C6" w:rsidRDefault="00E212C6" w:rsidP="00E212C6">
            <w:pPr>
              <w:spacing w:after="0" w:line="240" w:lineRule="auto"/>
              <w:jc w:val="center"/>
              <w:rPr>
                <w:rFonts w:eastAsia="Times New Roman" w:cs="Calibri"/>
                <w:b/>
                <w:bCs/>
                <w:color w:val="FFFFFF"/>
                <w:sz w:val="16"/>
                <w:szCs w:val="16"/>
                <w:lang w:eastAsia="es-MX"/>
              </w:rPr>
            </w:pPr>
            <w:r w:rsidRPr="00E212C6">
              <w:rPr>
                <w:rFonts w:eastAsia="Times New Roman" w:cs="Calibri"/>
                <w:b/>
                <w:bCs/>
                <w:color w:val="FFFFFF"/>
                <w:sz w:val="16"/>
                <w:szCs w:val="16"/>
                <w:lang w:eastAsia="es-MX"/>
              </w:rPr>
              <w:t>Concepto</w:t>
            </w:r>
          </w:p>
        </w:tc>
        <w:tc>
          <w:tcPr>
            <w:tcW w:w="1460" w:type="dxa"/>
            <w:tcBorders>
              <w:top w:val="single" w:sz="4" w:space="0" w:color="auto"/>
              <w:left w:val="nil"/>
              <w:bottom w:val="single" w:sz="4" w:space="0" w:color="auto"/>
              <w:right w:val="single" w:sz="4" w:space="0" w:color="auto"/>
            </w:tcBorders>
            <w:shd w:val="clear" w:color="000000" w:fill="AB0033"/>
            <w:vAlign w:val="center"/>
            <w:hideMark/>
          </w:tcPr>
          <w:p w14:paraId="4AD7228E" w14:textId="77777777" w:rsidR="00E212C6" w:rsidRPr="00E212C6" w:rsidRDefault="00E212C6" w:rsidP="00E212C6">
            <w:pPr>
              <w:spacing w:after="0" w:line="240" w:lineRule="auto"/>
              <w:jc w:val="center"/>
              <w:rPr>
                <w:rFonts w:eastAsia="Times New Roman" w:cs="Calibri"/>
                <w:b/>
                <w:bCs/>
                <w:color w:val="FFFFFF"/>
                <w:sz w:val="16"/>
                <w:szCs w:val="16"/>
                <w:lang w:eastAsia="es-MX"/>
              </w:rPr>
            </w:pPr>
            <w:r w:rsidRPr="00E212C6">
              <w:rPr>
                <w:rFonts w:eastAsia="Times New Roman" w:cs="Calibri"/>
                <w:b/>
                <w:bCs/>
                <w:color w:val="FFFFFF"/>
                <w:sz w:val="16"/>
                <w:szCs w:val="16"/>
                <w:lang w:eastAsia="es-MX"/>
              </w:rPr>
              <w:t>Saldo al 31 de Diciembre 2022</w:t>
            </w:r>
          </w:p>
        </w:tc>
        <w:tc>
          <w:tcPr>
            <w:tcW w:w="1460" w:type="dxa"/>
            <w:tcBorders>
              <w:top w:val="single" w:sz="4" w:space="0" w:color="auto"/>
              <w:left w:val="nil"/>
              <w:bottom w:val="single" w:sz="4" w:space="0" w:color="auto"/>
              <w:right w:val="single" w:sz="4" w:space="0" w:color="auto"/>
            </w:tcBorders>
            <w:shd w:val="clear" w:color="000000" w:fill="AB0033"/>
            <w:vAlign w:val="center"/>
            <w:hideMark/>
          </w:tcPr>
          <w:p w14:paraId="3A557DE6" w14:textId="77777777" w:rsidR="00E212C6" w:rsidRPr="00E212C6" w:rsidRDefault="00E212C6" w:rsidP="00E212C6">
            <w:pPr>
              <w:spacing w:after="0" w:line="240" w:lineRule="auto"/>
              <w:jc w:val="center"/>
              <w:rPr>
                <w:rFonts w:eastAsia="Times New Roman" w:cs="Calibri"/>
                <w:b/>
                <w:bCs/>
                <w:color w:val="FFFFFF"/>
                <w:sz w:val="16"/>
                <w:szCs w:val="16"/>
                <w:lang w:eastAsia="es-MX"/>
              </w:rPr>
            </w:pPr>
            <w:r w:rsidRPr="00E212C6">
              <w:rPr>
                <w:rFonts w:eastAsia="Times New Roman" w:cs="Calibri"/>
                <w:b/>
                <w:bCs/>
                <w:color w:val="FFFFFF"/>
                <w:sz w:val="16"/>
                <w:szCs w:val="16"/>
                <w:lang w:eastAsia="es-MX"/>
              </w:rPr>
              <w:t>Saldo al 31 de Diciembre 2021</w:t>
            </w:r>
          </w:p>
        </w:tc>
        <w:tc>
          <w:tcPr>
            <w:tcW w:w="1300" w:type="dxa"/>
            <w:tcBorders>
              <w:top w:val="single" w:sz="4" w:space="0" w:color="auto"/>
              <w:left w:val="nil"/>
              <w:bottom w:val="single" w:sz="4" w:space="0" w:color="auto"/>
              <w:right w:val="single" w:sz="4" w:space="0" w:color="auto"/>
            </w:tcBorders>
            <w:shd w:val="clear" w:color="000000" w:fill="AB0033"/>
            <w:vAlign w:val="center"/>
            <w:hideMark/>
          </w:tcPr>
          <w:p w14:paraId="7CCBB200" w14:textId="77777777" w:rsidR="00E212C6" w:rsidRPr="00E212C6" w:rsidRDefault="00E212C6" w:rsidP="00E212C6">
            <w:pPr>
              <w:spacing w:after="0" w:line="240" w:lineRule="auto"/>
              <w:jc w:val="center"/>
              <w:rPr>
                <w:rFonts w:eastAsia="Times New Roman" w:cs="Calibri"/>
                <w:b/>
                <w:bCs/>
                <w:color w:val="FFFFFF"/>
                <w:sz w:val="16"/>
                <w:szCs w:val="16"/>
                <w:lang w:eastAsia="es-MX"/>
              </w:rPr>
            </w:pPr>
            <w:r w:rsidRPr="00E212C6">
              <w:rPr>
                <w:rFonts w:eastAsia="Times New Roman" w:cs="Calibri"/>
                <w:b/>
                <w:bCs/>
                <w:color w:val="FFFFFF"/>
                <w:sz w:val="16"/>
                <w:szCs w:val="16"/>
                <w:lang w:eastAsia="es-MX"/>
              </w:rPr>
              <w:t>Variación</w:t>
            </w:r>
          </w:p>
        </w:tc>
        <w:tc>
          <w:tcPr>
            <w:tcW w:w="1200" w:type="dxa"/>
            <w:tcBorders>
              <w:top w:val="single" w:sz="4" w:space="0" w:color="auto"/>
              <w:left w:val="nil"/>
              <w:bottom w:val="single" w:sz="4" w:space="0" w:color="auto"/>
              <w:right w:val="single" w:sz="4" w:space="0" w:color="auto"/>
            </w:tcBorders>
            <w:shd w:val="clear" w:color="000000" w:fill="AB0033"/>
            <w:vAlign w:val="center"/>
            <w:hideMark/>
          </w:tcPr>
          <w:p w14:paraId="2D7894D9" w14:textId="77777777" w:rsidR="00E212C6" w:rsidRPr="00E212C6" w:rsidRDefault="00E212C6" w:rsidP="00E212C6">
            <w:pPr>
              <w:spacing w:after="0" w:line="240" w:lineRule="auto"/>
              <w:jc w:val="center"/>
              <w:rPr>
                <w:rFonts w:eastAsia="Times New Roman" w:cs="Calibri"/>
                <w:b/>
                <w:bCs/>
                <w:color w:val="FFFFFF"/>
                <w:sz w:val="16"/>
                <w:szCs w:val="16"/>
                <w:lang w:eastAsia="es-MX"/>
              </w:rPr>
            </w:pPr>
            <w:r w:rsidRPr="00E212C6">
              <w:rPr>
                <w:rFonts w:eastAsia="Times New Roman" w:cs="Calibri"/>
                <w:b/>
                <w:bCs/>
                <w:color w:val="FFFFFF"/>
                <w:sz w:val="16"/>
                <w:szCs w:val="16"/>
                <w:lang w:eastAsia="es-MX"/>
              </w:rPr>
              <w:t>Porcentaje</w:t>
            </w:r>
          </w:p>
        </w:tc>
      </w:tr>
      <w:tr w:rsidR="00E212C6" w:rsidRPr="00E212C6" w14:paraId="25122CE6" w14:textId="77777777" w:rsidTr="00E212C6">
        <w:trPr>
          <w:trHeight w:val="290"/>
        </w:trPr>
        <w:tc>
          <w:tcPr>
            <w:tcW w:w="2980" w:type="dxa"/>
            <w:tcBorders>
              <w:top w:val="nil"/>
              <w:left w:val="single" w:sz="4" w:space="0" w:color="auto"/>
              <w:bottom w:val="single" w:sz="4" w:space="0" w:color="auto"/>
              <w:right w:val="single" w:sz="4" w:space="0" w:color="auto"/>
            </w:tcBorders>
            <w:shd w:val="clear" w:color="000000" w:fill="D9D9D9"/>
            <w:noWrap/>
            <w:vAlign w:val="center"/>
            <w:hideMark/>
          </w:tcPr>
          <w:p w14:paraId="5BA8709A" w14:textId="77777777" w:rsidR="00E212C6" w:rsidRPr="00E212C6" w:rsidRDefault="00E212C6" w:rsidP="00E212C6">
            <w:pPr>
              <w:spacing w:after="0" w:line="240" w:lineRule="auto"/>
              <w:rPr>
                <w:rFonts w:eastAsia="Times New Roman" w:cs="Calibri"/>
                <w:b/>
                <w:bCs/>
                <w:color w:val="000000"/>
                <w:sz w:val="16"/>
                <w:szCs w:val="16"/>
                <w:lang w:eastAsia="es-MX"/>
              </w:rPr>
            </w:pPr>
            <w:r w:rsidRPr="00E212C6">
              <w:rPr>
                <w:rFonts w:eastAsia="Times New Roman" w:cs="Calibri"/>
                <w:b/>
                <w:bCs/>
                <w:color w:val="000000"/>
                <w:sz w:val="16"/>
                <w:szCs w:val="16"/>
                <w:lang w:eastAsia="es-MX"/>
              </w:rPr>
              <w:t xml:space="preserve"> Ingresos Propios </w:t>
            </w:r>
          </w:p>
        </w:tc>
        <w:tc>
          <w:tcPr>
            <w:tcW w:w="1460" w:type="dxa"/>
            <w:tcBorders>
              <w:top w:val="nil"/>
              <w:left w:val="nil"/>
              <w:bottom w:val="single" w:sz="4" w:space="0" w:color="auto"/>
              <w:right w:val="single" w:sz="4" w:space="0" w:color="auto"/>
            </w:tcBorders>
            <w:shd w:val="clear" w:color="000000" w:fill="D9D9D9"/>
            <w:noWrap/>
            <w:vAlign w:val="center"/>
            <w:hideMark/>
          </w:tcPr>
          <w:p w14:paraId="67F4B89B" w14:textId="77777777" w:rsidR="00E212C6" w:rsidRPr="00E212C6" w:rsidRDefault="00E212C6" w:rsidP="00E212C6">
            <w:pPr>
              <w:spacing w:after="0" w:line="240" w:lineRule="auto"/>
              <w:jc w:val="right"/>
              <w:rPr>
                <w:rFonts w:eastAsia="Times New Roman" w:cs="Calibri"/>
                <w:b/>
                <w:bCs/>
                <w:color w:val="000000"/>
                <w:sz w:val="16"/>
                <w:szCs w:val="16"/>
                <w:lang w:eastAsia="es-MX"/>
              </w:rPr>
            </w:pPr>
            <w:r w:rsidRPr="00E212C6">
              <w:rPr>
                <w:rFonts w:eastAsia="Times New Roman" w:cs="Calibri"/>
                <w:b/>
                <w:bCs/>
                <w:color w:val="000000"/>
                <w:sz w:val="16"/>
                <w:szCs w:val="16"/>
                <w:lang w:eastAsia="es-MX"/>
              </w:rPr>
              <w:t>9,445,961,212</w:t>
            </w:r>
          </w:p>
        </w:tc>
        <w:tc>
          <w:tcPr>
            <w:tcW w:w="1460" w:type="dxa"/>
            <w:tcBorders>
              <w:top w:val="nil"/>
              <w:left w:val="nil"/>
              <w:bottom w:val="single" w:sz="4" w:space="0" w:color="auto"/>
              <w:right w:val="single" w:sz="4" w:space="0" w:color="auto"/>
            </w:tcBorders>
            <w:shd w:val="clear" w:color="000000" w:fill="D9D9D9"/>
            <w:noWrap/>
            <w:vAlign w:val="center"/>
            <w:hideMark/>
          </w:tcPr>
          <w:p w14:paraId="325B0B65" w14:textId="77777777" w:rsidR="00E212C6" w:rsidRPr="00E212C6" w:rsidRDefault="00E212C6" w:rsidP="00E212C6">
            <w:pPr>
              <w:spacing w:after="0" w:line="240" w:lineRule="auto"/>
              <w:jc w:val="right"/>
              <w:rPr>
                <w:rFonts w:eastAsia="Times New Roman" w:cs="Calibri"/>
                <w:b/>
                <w:bCs/>
                <w:color w:val="000000"/>
                <w:sz w:val="16"/>
                <w:szCs w:val="16"/>
                <w:lang w:eastAsia="es-MX"/>
              </w:rPr>
            </w:pPr>
            <w:r w:rsidRPr="00E212C6">
              <w:rPr>
                <w:rFonts w:eastAsia="Times New Roman" w:cs="Calibri"/>
                <w:b/>
                <w:bCs/>
                <w:color w:val="000000"/>
                <w:sz w:val="16"/>
                <w:szCs w:val="16"/>
                <w:lang w:eastAsia="es-MX"/>
              </w:rPr>
              <w:t>7,996,036,000</w:t>
            </w:r>
          </w:p>
        </w:tc>
        <w:tc>
          <w:tcPr>
            <w:tcW w:w="1300" w:type="dxa"/>
            <w:tcBorders>
              <w:top w:val="nil"/>
              <w:left w:val="nil"/>
              <w:bottom w:val="single" w:sz="4" w:space="0" w:color="auto"/>
              <w:right w:val="single" w:sz="4" w:space="0" w:color="auto"/>
            </w:tcBorders>
            <w:shd w:val="clear" w:color="000000" w:fill="D9D9D9"/>
            <w:noWrap/>
            <w:vAlign w:val="center"/>
            <w:hideMark/>
          </w:tcPr>
          <w:p w14:paraId="69D0E98C" w14:textId="77777777" w:rsidR="00E212C6" w:rsidRPr="00E212C6" w:rsidRDefault="00E212C6" w:rsidP="00E212C6">
            <w:pPr>
              <w:spacing w:after="0" w:line="240" w:lineRule="auto"/>
              <w:jc w:val="right"/>
              <w:rPr>
                <w:rFonts w:eastAsia="Times New Roman" w:cs="Calibri"/>
                <w:b/>
                <w:bCs/>
                <w:color w:val="000000"/>
                <w:sz w:val="16"/>
                <w:szCs w:val="16"/>
                <w:lang w:eastAsia="es-MX"/>
              </w:rPr>
            </w:pPr>
            <w:r w:rsidRPr="00E212C6">
              <w:rPr>
                <w:rFonts w:eastAsia="Times New Roman" w:cs="Calibri"/>
                <w:b/>
                <w:bCs/>
                <w:color w:val="000000"/>
                <w:sz w:val="16"/>
                <w:szCs w:val="16"/>
                <w:lang w:eastAsia="es-MX"/>
              </w:rPr>
              <w:t>1,449,925,212</w:t>
            </w:r>
          </w:p>
        </w:tc>
        <w:tc>
          <w:tcPr>
            <w:tcW w:w="1200" w:type="dxa"/>
            <w:tcBorders>
              <w:top w:val="nil"/>
              <w:left w:val="nil"/>
              <w:bottom w:val="single" w:sz="4" w:space="0" w:color="auto"/>
              <w:right w:val="single" w:sz="4" w:space="0" w:color="auto"/>
            </w:tcBorders>
            <w:shd w:val="clear" w:color="000000" w:fill="D9D9D9"/>
            <w:noWrap/>
            <w:vAlign w:val="center"/>
            <w:hideMark/>
          </w:tcPr>
          <w:p w14:paraId="0E9C811F" w14:textId="77777777" w:rsidR="00E212C6" w:rsidRPr="00E212C6" w:rsidRDefault="00E212C6" w:rsidP="00E212C6">
            <w:pPr>
              <w:spacing w:after="0" w:line="240" w:lineRule="auto"/>
              <w:jc w:val="right"/>
              <w:rPr>
                <w:rFonts w:eastAsia="Times New Roman" w:cs="Calibri"/>
                <w:b/>
                <w:bCs/>
                <w:color w:val="000000"/>
                <w:sz w:val="16"/>
                <w:szCs w:val="16"/>
                <w:lang w:eastAsia="es-MX"/>
              </w:rPr>
            </w:pPr>
            <w:r w:rsidRPr="00E212C6">
              <w:rPr>
                <w:rFonts w:eastAsia="Times New Roman" w:cs="Calibri"/>
                <w:b/>
                <w:bCs/>
                <w:color w:val="000000"/>
                <w:sz w:val="16"/>
                <w:szCs w:val="16"/>
                <w:lang w:eastAsia="es-MX"/>
              </w:rPr>
              <w:t>18.13%</w:t>
            </w:r>
          </w:p>
        </w:tc>
      </w:tr>
      <w:tr w:rsidR="00E212C6" w:rsidRPr="00E212C6" w14:paraId="61E7256C"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5513498" w14:textId="77777777" w:rsidR="00E212C6" w:rsidRPr="00E212C6" w:rsidRDefault="00E212C6" w:rsidP="00E212C6">
            <w:pPr>
              <w:spacing w:after="0" w:line="240" w:lineRule="auto"/>
              <w:rPr>
                <w:rFonts w:eastAsia="Times New Roman" w:cs="Calibri"/>
                <w:color w:val="000000"/>
                <w:sz w:val="14"/>
                <w:szCs w:val="14"/>
                <w:lang w:eastAsia="es-MX"/>
              </w:rPr>
            </w:pPr>
            <w:r w:rsidRPr="00E212C6">
              <w:rPr>
                <w:rFonts w:eastAsia="Times New Roman" w:cs="Calibri"/>
                <w:color w:val="000000"/>
                <w:sz w:val="14"/>
                <w:szCs w:val="14"/>
                <w:lang w:eastAsia="es-MX"/>
              </w:rPr>
              <w:t xml:space="preserve"> Impuestos </w:t>
            </w:r>
          </w:p>
        </w:tc>
        <w:tc>
          <w:tcPr>
            <w:tcW w:w="1460" w:type="dxa"/>
            <w:tcBorders>
              <w:top w:val="nil"/>
              <w:left w:val="nil"/>
              <w:bottom w:val="single" w:sz="4" w:space="0" w:color="auto"/>
              <w:right w:val="single" w:sz="4" w:space="0" w:color="auto"/>
            </w:tcBorders>
            <w:shd w:val="clear" w:color="000000" w:fill="FFFFFF"/>
            <w:noWrap/>
            <w:vAlign w:val="center"/>
            <w:hideMark/>
          </w:tcPr>
          <w:p w14:paraId="575B782B"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5,630,159,075</w:t>
            </w:r>
          </w:p>
        </w:tc>
        <w:tc>
          <w:tcPr>
            <w:tcW w:w="1460" w:type="dxa"/>
            <w:tcBorders>
              <w:top w:val="nil"/>
              <w:left w:val="nil"/>
              <w:bottom w:val="single" w:sz="4" w:space="0" w:color="auto"/>
              <w:right w:val="single" w:sz="4" w:space="0" w:color="auto"/>
            </w:tcBorders>
            <w:shd w:val="clear" w:color="auto" w:fill="auto"/>
            <w:noWrap/>
            <w:vAlign w:val="center"/>
            <w:hideMark/>
          </w:tcPr>
          <w:p w14:paraId="6B1DF85D"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5,025,761,088</w:t>
            </w:r>
          </w:p>
        </w:tc>
        <w:tc>
          <w:tcPr>
            <w:tcW w:w="1300" w:type="dxa"/>
            <w:tcBorders>
              <w:top w:val="nil"/>
              <w:left w:val="nil"/>
              <w:bottom w:val="single" w:sz="4" w:space="0" w:color="auto"/>
              <w:right w:val="single" w:sz="4" w:space="0" w:color="auto"/>
            </w:tcBorders>
            <w:shd w:val="clear" w:color="auto" w:fill="auto"/>
            <w:noWrap/>
            <w:vAlign w:val="center"/>
            <w:hideMark/>
          </w:tcPr>
          <w:p w14:paraId="77CDF374"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604,397,987</w:t>
            </w:r>
          </w:p>
        </w:tc>
        <w:tc>
          <w:tcPr>
            <w:tcW w:w="1200" w:type="dxa"/>
            <w:tcBorders>
              <w:top w:val="nil"/>
              <w:left w:val="nil"/>
              <w:bottom w:val="single" w:sz="4" w:space="0" w:color="auto"/>
              <w:right w:val="single" w:sz="4" w:space="0" w:color="auto"/>
            </w:tcBorders>
            <w:shd w:val="clear" w:color="auto" w:fill="auto"/>
            <w:noWrap/>
            <w:vAlign w:val="center"/>
            <w:hideMark/>
          </w:tcPr>
          <w:p w14:paraId="3301AA18"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12.03%</w:t>
            </w:r>
          </w:p>
        </w:tc>
      </w:tr>
      <w:tr w:rsidR="00E212C6" w:rsidRPr="00E212C6" w14:paraId="3D530B37"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B937DBE" w14:textId="77777777" w:rsidR="00E212C6" w:rsidRPr="00E212C6" w:rsidRDefault="00E212C6" w:rsidP="00E212C6">
            <w:pPr>
              <w:spacing w:after="0" w:line="240" w:lineRule="auto"/>
              <w:rPr>
                <w:rFonts w:eastAsia="Times New Roman" w:cs="Calibri"/>
                <w:color w:val="000000"/>
                <w:sz w:val="14"/>
                <w:szCs w:val="14"/>
                <w:lang w:eastAsia="es-MX"/>
              </w:rPr>
            </w:pPr>
            <w:r w:rsidRPr="00E212C6">
              <w:rPr>
                <w:rFonts w:eastAsia="Times New Roman" w:cs="Calibri"/>
                <w:color w:val="000000"/>
                <w:sz w:val="14"/>
                <w:szCs w:val="14"/>
                <w:lang w:eastAsia="es-MX"/>
              </w:rPr>
              <w:t xml:space="preserve"> Contribuciones y Aportaciones de Seguridad Social </w:t>
            </w:r>
          </w:p>
        </w:tc>
        <w:tc>
          <w:tcPr>
            <w:tcW w:w="1460" w:type="dxa"/>
            <w:tcBorders>
              <w:top w:val="nil"/>
              <w:left w:val="nil"/>
              <w:bottom w:val="single" w:sz="4" w:space="0" w:color="auto"/>
              <w:right w:val="single" w:sz="4" w:space="0" w:color="auto"/>
            </w:tcBorders>
            <w:shd w:val="clear" w:color="000000" w:fill="FFFFFF"/>
            <w:noWrap/>
            <w:vAlign w:val="center"/>
            <w:hideMark/>
          </w:tcPr>
          <w:p w14:paraId="644BD63C"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w:t>
            </w:r>
          </w:p>
        </w:tc>
        <w:tc>
          <w:tcPr>
            <w:tcW w:w="1460" w:type="dxa"/>
            <w:tcBorders>
              <w:top w:val="nil"/>
              <w:left w:val="nil"/>
              <w:bottom w:val="single" w:sz="4" w:space="0" w:color="auto"/>
              <w:right w:val="single" w:sz="4" w:space="0" w:color="auto"/>
            </w:tcBorders>
            <w:shd w:val="clear" w:color="auto" w:fill="auto"/>
            <w:noWrap/>
            <w:vAlign w:val="center"/>
            <w:hideMark/>
          </w:tcPr>
          <w:p w14:paraId="4C66B182"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w:t>
            </w:r>
          </w:p>
        </w:tc>
        <w:tc>
          <w:tcPr>
            <w:tcW w:w="1300" w:type="dxa"/>
            <w:tcBorders>
              <w:top w:val="nil"/>
              <w:left w:val="nil"/>
              <w:bottom w:val="single" w:sz="4" w:space="0" w:color="auto"/>
              <w:right w:val="single" w:sz="4" w:space="0" w:color="auto"/>
            </w:tcBorders>
            <w:shd w:val="clear" w:color="auto" w:fill="auto"/>
            <w:noWrap/>
            <w:vAlign w:val="center"/>
            <w:hideMark/>
          </w:tcPr>
          <w:p w14:paraId="1AB4AFC8"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20C8402F"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0.00%</w:t>
            </w:r>
          </w:p>
        </w:tc>
      </w:tr>
      <w:tr w:rsidR="00E212C6" w:rsidRPr="00E212C6" w14:paraId="73B44E1E"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5E2030A" w14:textId="77777777" w:rsidR="00E212C6" w:rsidRPr="00E212C6" w:rsidRDefault="00E212C6" w:rsidP="00E212C6">
            <w:pPr>
              <w:spacing w:after="0" w:line="240" w:lineRule="auto"/>
              <w:rPr>
                <w:rFonts w:eastAsia="Times New Roman" w:cs="Calibri"/>
                <w:color w:val="000000"/>
                <w:sz w:val="14"/>
                <w:szCs w:val="14"/>
                <w:lang w:eastAsia="es-MX"/>
              </w:rPr>
            </w:pPr>
            <w:r w:rsidRPr="00E212C6">
              <w:rPr>
                <w:rFonts w:eastAsia="Times New Roman" w:cs="Calibri"/>
                <w:color w:val="000000"/>
                <w:sz w:val="14"/>
                <w:szCs w:val="14"/>
                <w:lang w:eastAsia="es-MX"/>
              </w:rPr>
              <w:t>Contribuciones de Mejoras</w:t>
            </w:r>
          </w:p>
        </w:tc>
        <w:tc>
          <w:tcPr>
            <w:tcW w:w="1460" w:type="dxa"/>
            <w:tcBorders>
              <w:top w:val="nil"/>
              <w:left w:val="nil"/>
              <w:bottom w:val="single" w:sz="4" w:space="0" w:color="auto"/>
              <w:right w:val="single" w:sz="4" w:space="0" w:color="auto"/>
            </w:tcBorders>
            <w:shd w:val="clear" w:color="000000" w:fill="FFFFFF"/>
            <w:noWrap/>
            <w:vAlign w:val="center"/>
            <w:hideMark/>
          </w:tcPr>
          <w:p w14:paraId="3A9B6A1B"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w:t>
            </w:r>
          </w:p>
        </w:tc>
        <w:tc>
          <w:tcPr>
            <w:tcW w:w="1460" w:type="dxa"/>
            <w:tcBorders>
              <w:top w:val="nil"/>
              <w:left w:val="nil"/>
              <w:bottom w:val="single" w:sz="4" w:space="0" w:color="auto"/>
              <w:right w:val="single" w:sz="4" w:space="0" w:color="auto"/>
            </w:tcBorders>
            <w:shd w:val="clear" w:color="auto" w:fill="auto"/>
            <w:noWrap/>
            <w:vAlign w:val="center"/>
            <w:hideMark/>
          </w:tcPr>
          <w:p w14:paraId="77424E9E"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w:t>
            </w:r>
          </w:p>
        </w:tc>
        <w:tc>
          <w:tcPr>
            <w:tcW w:w="1300" w:type="dxa"/>
            <w:tcBorders>
              <w:top w:val="nil"/>
              <w:left w:val="nil"/>
              <w:bottom w:val="single" w:sz="4" w:space="0" w:color="auto"/>
              <w:right w:val="single" w:sz="4" w:space="0" w:color="auto"/>
            </w:tcBorders>
            <w:shd w:val="clear" w:color="auto" w:fill="auto"/>
            <w:noWrap/>
            <w:vAlign w:val="center"/>
            <w:hideMark/>
          </w:tcPr>
          <w:p w14:paraId="45CF082C"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14:paraId="327954BB"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0.00%</w:t>
            </w:r>
          </w:p>
        </w:tc>
      </w:tr>
      <w:tr w:rsidR="00E212C6" w:rsidRPr="00E212C6" w14:paraId="3B939150"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725B9FA" w14:textId="77777777" w:rsidR="00E212C6" w:rsidRPr="00E212C6" w:rsidRDefault="00E212C6" w:rsidP="00E212C6">
            <w:pPr>
              <w:spacing w:after="0" w:line="240" w:lineRule="auto"/>
              <w:rPr>
                <w:rFonts w:eastAsia="Times New Roman" w:cs="Calibri"/>
                <w:color w:val="000000"/>
                <w:sz w:val="14"/>
                <w:szCs w:val="14"/>
                <w:lang w:eastAsia="es-MX"/>
              </w:rPr>
            </w:pPr>
            <w:r w:rsidRPr="00E212C6">
              <w:rPr>
                <w:rFonts w:eastAsia="Times New Roman" w:cs="Calibri"/>
                <w:color w:val="000000"/>
                <w:sz w:val="14"/>
                <w:szCs w:val="14"/>
                <w:lang w:eastAsia="es-MX"/>
              </w:rPr>
              <w:t xml:space="preserve"> Derechos </w:t>
            </w:r>
          </w:p>
        </w:tc>
        <w:tc>
          <w:tcPr>
            <w:tcW w:w="1460" w:type="dxa"/>
            <w:tcBorders>
              <w:top w:val="nil"/>
              <w:left w:val="nil"/>
              <w:bottom w:val="single" w:sz="4" w:space="0" w:color="auto"/>
              <w:right w:val="single" w:sz="4" w:space="0" w:color="auto"/>
            </w:tcBorders>
            <w:shd w:val="clear" w:color="000000" w:fill="FFFFFF"/>
            <w:noWrap/>
            <w:vAlign w:val="center"/>
            <w:hideMark/>
          </w:tcPr>
          <w:p w14:paraId="2D5C8702"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2,967,740,859</w:t>
            </w:r>
          </w:p>
        </w:tc>
        <w:tc>
          <w:tcPr>
            <w:tcW w:w="1460" w:type="dxa"/>
            <w:tcBorders>
              <w:top w:val="nil"/>
              <w:left w:val="nil"/>
              <w:bottom w:val="single" w:sz="4" w:space="0" w:color="auto"/>
              <w:right w:val="single" w:sz="4" w:space="0" w:color="auto"/>
            </w:tcBorders>
            <w:shd w:val="clear" w:color="auto" w:fill="auto"/>
            <w:noWrap/>
            <w:vAlign w:val="center"/>
            <w:hideMark/>
          </w:tcPr>
          <w:p w14:paraId="51B433BD"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2,285,320,112</w:t>
            </w:r>
          </w:p>
        </w:tc>
        <w:tc>
          <w:tcPr>
            <w:tcW w:w="1300" w:type="dxa"/>
            <w:tcBorders>
              <w:top w:val="nil"/>
              <w:left w:val="nil"/>
              <w:bottom w:val="single" w:sz="4" w:space="0" w:color="auto"/>
              <w:right w:val="single" w:sz="4" w:space="0" w:color="auto"/>
            </w:tcBorders>
            <w:shd w:val="clear" w:color="auto" w:fill="auto"/>
            <w:noWrap/>
            <w:vAlign w:val="center"/>
            <w:hideMark/>
          </w:tcPr>
          <w:p w14:paraId="0931B59A"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682,420,747</w:t>
            </w:r>
          </w:p>
        </w:tc>
        <w:tc>
          <w:tcPr>
            <w:tcW w:w="1200" w:type="dxa"/>
            <w:tcBorders>
              <w:top w:val="nil"/>
              <w:left w:val="nil"/>
              <w:bottom w:val="single" w:sz="4" w:space="0" w:color="auto"/>
              <w:right w:val="single" w:sz="4" w:space="0" w:color="auto"/>
            </w:tcBorders>
            <w:shd w:val="clear" w:color="auto" w:fill="auto"/>
            <w:noWrap/>
            <w:vAlign w:val="center"/>
            <w:hideMark/>
          </w:tcPr>
          <w:p w14:paraId="5310838D"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29.86%</w:t>
            </w:r>
          </w:p>
        </w:tc>
      </w:tr>
      <w:tr w:rsidR="00E212C6" w:rsidRPr="00E212C6" w14:paraId="3769CA44"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73A82C8" w14:textId="77777777" w:rsidR="00E212C6" w:rsidRPr="00E212C6" w:rsidRDefault="00E212C6" w:rsidP="00E212C6">
            <w:pPr>
              <w:spacing w:after="0" w:line="240" w:lineRule="auto"/>
              <w:rPr>
                <w:rFonts w:eastAsia="Times New Roman" w:cs="Calibri"/>
                <w:color w:val="000000"/>
                <w:sz w:val="14"/>
                <w:szCs w:val="14"/>
                <w:lang w:eastAsia="es-MX"/>
              </w:rPr>
            </w:pPr>
            <w:r w:rsidRPr="00E212C6">
              <w:rPr>
                <w:rFonts w:eastAsia="Times New Roman" w:cs="Calibri"/>
                <w:color w:val="000000"/>
                <w:sz w:val="14"/>
                <w:szCs w:val="14"/>
                <w:lang w:eastAsia="es-MX"/>
              </w:rPr>
              <w:t xml:space="preserve"> Productos </w:t>
            </w:r>
          </w:p>
        </w:tc>
        <w:tc>
          <w:tcPr>
            <w:tcW w:w="1460" w:type="dxa"/>
            <w:tcBorders>
              <w:top w:val="nil"/>
              <w:left w:val="nil"/>
              <w:bottom w:val="single" w:sz="4" w:space="0" w:color="auto"/>
              <w:right w:val="single" w:sz="4" w:space="0" w:color="auto"/>
            </w:tcBorders>
            <w:shd w:val="clear" w:color="000000" w:fill="FFFFFF"/>
            <w:noWrap/>
            <w:vAlign w:val="center"/>
            <w:hideMark/>
          </w:tcPr>
          <w:p w14:paraId="0AB7E889"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240,252,787</w:t>
            </w:r>
          </w:p>
        </w:tc>
        <w:tc>
          <w:tcPr>
            <w:tcW w:w="1460" w:type="dxa"/>
            <w:tcBorders>
              <w:top w:val="nil"/>
              <w:left w:val="nil"/>
              <w:bottom w:val="single" w:sz="4" w:space="0" w:color="auto"/>
              <w:right w:val="single" w:sz="4" w:space="0" w:color="auto"/>
            </w:tcBorders>
            <w:shd w:val="clear" w:color="auto" w:fill="auto"/>
            <w:noWrap/>
            <w:vAlign w:val="center"/>
            <w:hideMark/>
          </w:tcPr>
          <w:p w14:paraId="4C6073E2"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247,094,179</w:t>
            </w:r>
          </w:p>
        </w:tc>
        <w:tc>
          <w:tcPr>
            <w:tcW w:w="1300" w:type="dxa"/>
            <w:tcBorders>
              <w:top w:val="nil"/>
              <w:left w:val="nil"/>
              <w:bottom w:val="single" w:sz="4" w:space="0" w:color="auto"/>
              <w:right w:val="single" w:sz="4" w:space="0" w:color="auto"/>
            </w:tcBorders>
            <w:shd w:val="clear" w:color="auto" w:fill="auto"/>
            <w:noWrap/>
            <w:vAlign w:val="center"/>
            <w:hideMark/>
          </w:tcPr>
          <w:p w14:paraId="2B4A9412"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-6,841,392</w:t>
            </w:r>
          </w:p>
        </w:tc>
        <w:tc>
          <w:tcPr>
            <w:tcW w:w="1200" w:type="dxa"/>
            <w:tcBorders>
              <w:top w:val="nil"/>
              <w:left w:val="nil"/>
              <w:bottom w:val="single" w:sz="4" w:space="0" w:color="auto"/>
              <w:right w:val="single" w:sz="4" w:space="0" w:color="auto"/>
            </w:tcBorders>
            <w:shd w:val="clear" w:color="auto" w:fill="auto"/>
            <w:noWrap/>
            <w:vAlign w:val="center"/>
            <w:hideMark/>
          </w:tcPr>
          <w:p w14:paraId="671F50C0"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-2.77%</w:t>
            </w:r>
          </w:p>
        </w:tc>
      </w:tr>
      <w:tr w:rsidR="00E212C6" w:rsidRPr="00E212C6" w14:paraId="2D6A652F"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081577C" w14:textId="77777777" w:rsidR="00E212C6" w:rsidRPr="00E212C6" w:rsidRDefault="00E212C6" w:rsidP="00E212C6">
            <w:pPr>
              <w:spacing w:after="0" w:line="240" w:lineRule="auto"/>
              <w:rPr>
                <w:rFonts w:eastAsia="Times New Roman" w:cs="Calibri"/>
                <w:color w:val="000000"/>
                <w:sz w:val="14"/>
                <w:szCs w:val="14"/>
                <w:lang w:eastAsia="es-MX"/>
              </w:rPr>
            </w:pPr>
            <w:r w:rsidRPr="00E212C6">
              <w:rPr>
                <w:rFonts w:eastAsia="Times New Roman" w:cs="Calibri"/>
                <w:color w:val="000000"/>
                <w:sz w:val="14"/>
                <w:szCs w:val="14"/>
                <w:lang w:eastAsia="es-MX"/>
              </w:rPr>
              <w:t xml:space="preserve"> Aprovechamientos </w:t>
            </w:r>
          </w:p>
        </w:tc>
        <w:tc>
          <w:tcPr>
            <w:tcW w:w="1460" w:type="dxa"/>
            <w:tcBorders>
              <w:top w:val="nil"/>
              <w:left w:val="nil"/>
              <w:bottom w:val="single" w:sz="4" w:space="0" w:color="auto"/>
              <w:right w:val="single" w:sz="4" w:space="0" w:color="auto"/>
            </w:tcBorders>
            <w:shd w:val="clear" w:color="000000" w:fill="FFFFFF"/>
            <w:noWrap/>
            <w:vAlign w:val="center"/>
            <w:hideMark/>
          </w:tcPr>
          <w:p w14:paraId="2D062683"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607,808,491</w:t>
            </w:r>
          </w:p>
        </w:tc>
        <w:tc>
          <w:tcPr>
            <w:tcW w:w="1460" w:type="dxa"/>
            <w:tcBorders>
              <w:top w:val="nil"/>
              <w:left w:val="nil"/>
              <w:bottom w:val="single" w:sz="4" w:space="0" w:color="auto"/>
              <w:right w:val="single" w:sz="4" w:space="0" w:color="auto"/>
            </w:tcBorders>
            <w:shd w:val="clear" w:color="auto" w:fill="auto"/>
            <w:noWrap/>
            <w:vAlign w:val="center"/>
            <w:hideMark/>
          </w:tcPr>
          <w:p w14:paraId="600029CF"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437,860,621</w:t>
            </w:r>
          </w:p>
        </w:tc>
        <w:tc>
          <w:tcPr>
            <w:tcW w:w="1300" w:type="dxa"/>
            <w:tcBorders>
              <w:top w:val="nil"/>
              <w:left w:val="nil"/>
              <w:bottom w:val="single" w:sz="4" w:space="0" w:color="auto"/>
              <w:right w:val="single" w:sz="4" w:space="0" w:color="auto"/>
            </w:tcBorders>
            <w:shd w:val="clear" w:color="000000" w:fill="FFFFFF"/>
            <w:noWrap/>
            <w:vAlign w:val="center"/>
            <w:hideMark/>
          </w:tcPr>
          <w:p w14:paraId="0150C936"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169,947,870</w:t>
            </w:r>
          </w:p>
        </w:tc>
        <w:tc>
          <w:tcPr>
            <w:tcW w:w="1200" w:type="dxa"/>
            <w:tcBorders>
              <w:top w:val="nil"/>
              <w:left w:val="nil"/>
              <w:bottom w:val="single" w:sz="4" w:space="0" w:color="auto"/>
              <w:right w:val="single" w:sz="4" w:space="0" w:color="auto"/>
            </w:tcBorders>
            <w:shd w:val="clear" w:color="auto" w:fill="auto"/>
            <w:noWrap/>
            <w:vAlign w:val="center"/>
            <w:hideMark/>
          </w:tcPr>
          <w:p w14:paraId="1343DC62"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38.81%</w:t>
            </w:r>
          </w:p>
        </w:tc>
      </w:tr>
      <w:tr w:rsidR="00E212C6" w:rsidRPr="00E212C6" w14:paraId="7D6D64CC"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5B88949" w14:textId="77777777" w:rsidR="00E212C6" w:rsidRPr="00E212C6" w:rsidRDefault="00E212C6" w:rsidP="00E212C6">
            <w:pPr>
              <w:spacing w:after="0" w:line="240" w:lineRule="auto"/>
              <w:rPr>
                <w:rFonts w:eastAsia="Times New Roman" w:cs="Calibri"/>
                <w:color w:val="000000"/>
                <w:sz w:val="20"/>
                <w:szCs w:val="20"/>
                <w:lang w:eastAsia="es-MX"/>
              </w:rPr>
            </w:pPr>
            <w:r w:rsidRPr="00E212C6">
              <w:rPr>
                <w:rFonts w:eastAsia="Times New Roman" w:cs="Calibri"/>
                <w:color w:val="000000"/>
                <w:sz w:val="20"/>
                <w:szCs w:val="20"/>
                <w:lang w:eastAsia="es-MX"/>
              </w:rPr>
              <w:t> </w:t>
            </w:r>
          </w:p>
        </w:tc>
        <w:tc>
          <w:tcPr>
            <w:tcW w:w="1460" w:type="dxa"/>
            <w:tcBorders>
              <w:top w:val="nil"/>
              <w:left w:val="nil"/>
              <w:bottom w:val="single" w:sz="4" w:space="0" w:color="auto"/>
              <w:right w:val="single" w:sz="4" w:space="0" w:color="auto"/>
            </w:tcBorders>
            <w:shd w:val="clear" w:color="auto" w:fill="auto"/>
            <w:noWrap/>
            <w:vAlign w:val="center"/>
            <w:hideMark/>
          </w:tcPr>
          <w:p w14:paraId="7377A978" w14:textId="77777777" w:rsidR="00E212C6" w:rsidRPr="00E212C6" w:rsidRDefault="00E212C6" w:rsidP="00E212C6">
            <w:pPr>
              <w:spacing w:after="0" w:line="240" w:lineRule="auto"/>
              <w:rPr>
                <w:rFonts w:eastAsia="Times New Roman" w:cs="Calibri"/>
                <w:color w:val="000000"/>
                <w:sz w:val="20"/>
                <w:szCs w:val="20"/>
                <w:lang w:eastAsia="es-MX"/>
              </w:rPr>
            </w:pPr>
            <w:r w:rsidRPr="00E212C6">
              <w:rPr>
                <w:rFonts w:eastAsia="Times New Roman" w:cs="Calibri"/>
                <w:color w:val="000000"/>
                <w:sz w:val="20"/>
                <w:szCs w:val="20"/>
                <w:lang w:eastAsia="es-MX"/>
              </w:rPr>
              <w:t> </w:t>
            </w:r>
          </w:p>
        </w:tc>
        <w:tc>
          <w:tcPr>
            <w:tcW w:w="1460" w:type="dxa"/>
            <w:tcBorders>
              <w:top w:val="nil"/>
              <w:left w:val="nil"/>
              <w:bottom w:val="single" w:sz="4" w:space="0" w:color="auto"/>
              <w:right w:val="single" w:sz="4" w:space="0" w:color="auto"/>
            </w:tcBorders>
            <w:shd w:val="clear" w:color="auto" w:fill="auto"/>
            <w:noWrap/>
            <w:vAlign w:val="center"/>
            <w:hideMark/>
          </w:tcPr>
          <w:p w14:paraId="50AD50FC" w14:textId="77777777" w:rsidR="00E212C6" w:rsidRPr="00E212C6" w:rsidRDefault="00E212C6" w:rsidP="00E212C6">
            <w:pPr>
              <w:spacing w:after="0" w:line="240" w:lineRule="auto"/>
              <w:rPr>
                <w:rFonts w:eastAsia="Times New Roman" w:cs="Calibri"/>
                <w:color w:val="000000"/>
                <w:sz w:val="20"/>
                <w:szCs w:val="20"/>
                <w:lang w:eastAsia="es-MX"/>
              </w:rPr>
            </w:pPr>
            <w:r w:rsidRPr="00E212C6">
              <w:rPr>
                <w:rFonts w:eastAsia="Times New Roman" w:cs="Calibri"/>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center"/>
            <w:hideMark/>
          </w:tcPr>
          <w:p w14:paraId="2408BF12" w14:textId="77777777" w:rsidR="00E212C6" w:rsidRPr="00E212C6" w:rsidRDefault="00E212C6" w:rsidP="00E212C6">
            <w:pPr>
              <w:spacing w:after="0" w:line="240" w:lineRule="auto"/>
              <w:rPr>
                <w:rFonts w:eastAsia="Times New Roman" w:cs="Calibri"/>
                <w:color w:val="000000"/>
                <w:sz w:val="20"/>
                <w:szCs w:val="20"/>
                <w:lang w:eastAsia="es-MX"/>
              </w:rPr>
            </w:pPr>
            <w:r w:rsidRPr="00E212C6">
              <w:rPr>
                <w:rFonts w:eastAsia="Times New Roman"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14:paraId="7E96E21D" w14:textId="77777777" w:rsidR="00E212C6" w:rsidRPr="00E212C6" w:rsidRDefault="00E212C6" w:rsidP="00E212C6">
            <w:pPr>
              <w:spacing w:after="0" w:line="240" w:lineRule="auto"/>
              <w:rPr>
                <w:rFonts w:eastAsia="Times New Roman" w:cs="Calibri"/>
                <w:color w:val="000000"/>
                <w:sz w:val="20"/>
                <w:szCs w:val="20"/>
                <w:lang w:eastAsia="es-MX"/>
              </w:rPr>
            </w:pPr>
            <w:r w:rsidRPr="00E212C6">
              <w:rPr>
                <w:rFonts w:eastAsia="Times New Roman" w:cs="Calibri"/>
                <w:color w:val="000000"/>
                <w:sz w:val="20"/>
                <w:szCs w:val="20"/>
                <w:lang w:eastAsia="es-MX"/>
              </w:rPr>
              <w:t> </w:t>
            </w:r>
          </w:p>
        </w:tc>
      </w:tr>
      <w:tr w:rsidR="00E212C6" w:rsidRPr="00E212C6" w14:paraId="72E14A3F" w14:textId="77777777" w:rsidTr="00E212C6">
        <w:trPr>
          <w:trHeight w:val="290"/>
        </w:trPr>
        <w:tc>
          <w:tcPr>
            <w:tcW w:w="2980" w:type="dxa"/>
            <w:tcBorders>
              <w:top w:val="nil"/>
              <w:left w:val="single" w:sz="4" w:space="0" w:color="auto"/>
              <w:bottom w:val="single" w:sz="4" w:space="0" w:color="auto"/>
              <w:right w:val="single" w:sz="4" w:space="0" w:color="auto"/>
            </w:tcBorders>
            <w:shd w:val="clear" w:color="000000" w:fill="D9D9D9"/>
            <w:vAlign w:val="center"/>
            <w:hideMark/>
          </w:tcPr>
          <w:p w14:paraId="68C0E676" w14:textId="77777777" w:rsidR="00E212C6" w:rsidRPr="00E212C6" w:rsidRDefault="00E212C6" w:rsidP="00E212C6">
            <w:pPr>
              <w:spacing w:after="0" w:line="240" w:lineRule="auto"/>
              <w:jc w:val="center"/>
              <w:rPr>
                <w:rFonts w:eastAsia="Times New Roman" w:cs="Calibri"/>
                <w:b/>
                <w:bCs/>
                <w:color w:val="000000"/>
                <w:sz w:val="14"/>
                <w:szCs w:val="14"/>
                <w:lang w:eastAsia="es-MX"/>
              </w:rPr>
            </w:pPr>
            <w:r w:rsidRPr="00E212C6">
              <w:rPr>
                <w:rFonts w:eastAsia="Times New Roman" w:cs="Calibri"/>
                <w:b/>
                <w:bCs/>
                <w:color w:val="000000"/>
                <w:sz w:val="14"/>
                <w:szCs w:val="14"/>
                <w:lang w:eastAsia="es-MX"/>
              </w:rPr>
              <w:t xml:space="preserve"> Participaciones y Aportaciones </w:t>
            </w:r>
          </w:p>
        </w:tc>
        <w:tc>
          <w:tcPr>
            <w:tcW w:w="1460" w:type="dxa"/>
            <w:tcBorders>
              <w:top w:val="nil"/>
              <w:left w:val="nil"/>
              <w:bottom w:val="single" w:sz="4" w:space="0" w:color="auto"/>
              <w:right w:val="single" w:sz="4" w:space="0" w:color="auto"/>
            </w:tcBorders>
            <w:shd w:val="clear" w:color="000000" w:fill="D9D9D9"/>
            <w:vAlign w:val="center"/>
            <w:hideMark/>
          </w:tcPr>
          <w:p w14:paraId="4B561C8D" w14:textId="77777777" w:rsidR="00E212C6" w:rsidRPr="00E212C6" w:rsidRDefault="00E212C6" w:rsidP="00E212C6">
            <w:pPr>
              <w:spacing w:after="0" w:line="240" w:lineRule="auto"/>
              <w:jc w:val="right"/>
              <w:rPr>
                <w:rFonts w:eastAsia="Times New Roman" w:cs="Calibri"/>
                <w:b/>
                <w:bCs/>
                <w:color w:val="000000"/>
                <w:sz w:val="14"/>
                <w:szCs w:val="14"/>
                <w:lang w:eastAsia="es-MX"/>
              </w:rPr>
            </w:pPr>
            <w:r w:rsidRPr="00E212C6">
              <w:rPr>
                <w:rFonts w:eastAsia="Times New Roman" w:cs="Calibri"/>
                <w:b/>
                <w:bCs/>
                <w:color w:val="000000"/>
                <w:sz w:val="14"/>
                <w:szCs w:val="14"/>
                <w:lang w:eastAsia="es-MX"/>
              </w:rPr>
              <w:t xml:space="preserve">             60,511,461,765 </w:t>
            </w:r>
          </w:p>
        </w:tc>
        <w:tc>
          <w:tcPr>
            <w:tcW w:w="1460" w:type="dxa"/>
            <w:tcBorders>
              <w:top w:val="nil"/>
              <w:left w:val="nil"/>
              <w:bottom w:val="single" w:sz="4" w:space="0" w:color="auto"/>
              <w:right w:val="single" w:sz="4" w:space="0" w:color="auto"/>
            </w:tcBorders>
            <w:shd w:val="clear" w:color="000000" w:fill="D9D9D9"/>
            <w:vAlign w:val="center"/>
            <w:hideMark/>
          </w:tcPr>
          <w:p w14:paraId="41922557" w14:textId="77777777" w:rsidR="00E212C6" w:rsidRPr="00E212C6" w:rsidRDefault="00E212C6" w:rsidP="00E212C6">
            <w:pPr>
              <w:spacing w:after="0" w:line="240" w:lineRule="auto"/>
              <w:jc w:val="right"/>
              <w:rPr>
                <w:rFonts w:eastAsia="Times New Roman" w:cs="Calibri"/>
                <w:b/>
                <w:bCs/>
                <w:color w:val="000000"/>
                <w:sz w:val="14"/>
                <w:szCs w:val="14"/>
                <w:lang w:eastAsia="es-MX"/>
              </w:rPr>
            </w:pPr>
            <w:r w:rsidRPr="00E212C6">
              <w:rPr>
                <w:rFonts w:eastAsia="Times New Roman" w:cs="Calibri"/>
                <w:b/>
                <w:bCs/>
                <w:color w:val="000000"/>
                <w:sz w:val="14"/>
                <w:szCs w:val="14"/>
                <w:lang w:eastAsia="es-MX"/>
              </w:rPr>
              <w:t xml:space="preserve">             54,916,810,251 </w:t>
            </w:r>
          </w:p>
        </w:tc>
        <w:tc>
          <w:tcPr>
            <w:tcW w:w="1300" w:type="dxa"/>
            <w:tcBorders>
              <w:top w:val="nil"/>
              <w:left w:val="nil"/>
              <w:bottom w:val="single" w:sz="4" w:space="0" w:color="auto"/>
              <w:right w:val="single" w:sz="4" w:space="0" w:color="auto"/>
            </w:tcBorders>
            <w:shd w:val="clear" w:color="000000" w:fill="D9D9D9"/>
            <w:vAlign w:val="center"/>
            <w:hideMark/>
          </w:tcPr>
          <w:p w14:paraId="1EAF4576" w14:textId="77777777" w:rsidR="00E212C6" w:rsidRPr="00E212C6" w:rsidRDefault="00E212C6" w:rsidP="00E212C6">
            <w:pPr>
              <w:spacing w:after="0" w:line="240" w:lineRule="auto"/>
              <w:jc w:val="center"/>
              <w:rPr>
                <w:rFonts w:eastAsia="Times New Roman" w:cs="Calibri"/>
                <w:b/>
                <w:bCs/>
                <w:color w:val="000000"/>
                <w:sz w:val="14"/>
                <w:szCs w:val="14"/>
                <w:lang w:eastAsia="es-MX"/>
              </w:rPr>
            </w:pPr>
            <w:r w:rsidRPr="00E212C6">
              <w:rPr>
                <w:rFonts w:eastAsia="Times New Roman" w:cs="Calibri"/>
                <w:b/>
                <w:bCs/>
                <w:color w:val="000000"/>
                <w:sz w:val="14"/>
                <w:szCs w:val="14"/>
                <w:lang w:eastAsia="es-MX"/>
              </w:rPr>
              <w:t xml:space="preserve">          5,594,651,514 </w:t>
            </w:r>
          </w:p>
        </w:tc>
        <w:tc>
          <w:tcPr>
            <w:tcW w:w="1200" w:type="dxa"/>
            <w:tcBorders>
              <w:top w:val="nil"/>
              <w:left w:val="nil"/>
              <w:bottom w:val="single" w:sz="4" w:space="0" w:color="auto"/>
              <w:right w:val="single" w:sz="4" w:space="0" w:color="auto"/>
            </w:tcBorders>
            <w:shd w:val="clear" w:color="000000" w:fill="D9D9D9"/>
            <w:vAlign w:val="center"/>
            <w:hideMark/>
          </w:tcPr>
          <w:p w14:paraId="450884F3" w14:textId="77777777" w:rsidR="00E212C6" w:rsidRPr="00E212C6" w:rsidRDefault="00E212C6" w:rsidP="00E212C6">
            <w:pPr>
              <w:spacing w:after="0" w:line="240" w:lineRule="auto"/>
              <w:jc w:val="right"/>
              <w:rPr>
                <w:rFonts w:eastAsia="Times New Roman" w:cs="Calibri"/>
                <w:b/>
                <w:bCs/>
                <w:color w:val="000000"/>
                <w:sz w:val="14"/>
                <w:szCs w:val="14"/>
                <w:lang w:eastAsia="es-MX"/>
              </w:rPr>
            </w:pPr>
            <w:r w:rsidRPr="00E212C6">
              <w:rPr>
                <w:rFonts w:eastAsia="Times New Roman" w:cs="Calibri"/>
                <w:b/>
                <w:bCs/>
                <w:color w:val="000000"/>
                <w:sz w:val="14"/>
                <w:szCs w:val="14"/>
                <w:lang w:eastAsia="es-MX"/>
              </w:rPr>
              <w:t>10.19%</w:t>
            </w:r>
          </w:p>
        </w:tc>
      </w:tr>
      <w:tr w:rsidR="00E212C6" w:rsidRPr="00E212C6" w14:paraId="4E1000DA"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7EA4946" w14:textId="77777777" w:rsidR="00E212C6" w:rsidRPr="00E212C6" w:rsidRDefault="00E212C6" w:rsidP="00E212C6">
            <w:pPr>
              <w:spacing w:after="0" w:line="240" w:lineRule="auto"/>
              <w:rPr>
                <w:rFonts w:eastAsia="Times New Roman" w:cs="Calibri"/>
                <w:i/>
                <w:iCs/>
                <w:color w:val="333333"/>
                <w:sz w:val="14"/>
                <w:szCs w:val="14"/>
                <w:lang w:eastAsia="es-MX"/>
              </w:rPr>
            </w:pPr>
            <w:r w:rsidRPr="00E212C6">
              <w:rPr>
                <w:rFonts w:eastAsia="Times New Roman" w:cs="Calibri"/>
                <w:i/>
                <w:iCs/>
                <w:color w:val="333333"/>
                <w:sz w:val="14"/>
                <w:szCs w:val="14"/>
                <w:lang w:eastAsia="es-MX"/>
              </w:rPr>
              <w:t xml:space="preserve">     Participaciones Federales </w:t>
            </w:r>
          </w:p>
        </w:tc>
        <w:tc>
          <w:tcPr>
            <w:tcW w:w="1460" w:type="dxa"/>
            <w:tcBorders>
              <w:top w:val="nil"/>
              <w:left w:val="nil"/>
              <w:bottom w:val="single" w:sz="4" w:space="0" w:color="auto"/>
              <w:right w:val="single" w:sz="4" w:space="0" w:color="auto"/>
            </w:tcBorders>
            <w:shd w:val="clear" w:color="000000" w:fill="FFFFFF"/>
            <w:noWrap/>
            <w:vAlign w:val="center"/>
            <w:hideMark/>
          </w:tcPr>
          <w:p w14:paraId="0209DBF9"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27,529,625,268</w:t>
            </w:r>
          </w:p>
        </w:tc>
        <w:tc>
          <w:tcPr>
            <w:tcW w:w="1460" w:type="dxa"/>
            <w:tcBorders>
              <w:top w:val="nil"/>
              <w:left w:val="nil"/>
              <w:bottom w:val="single" w:sz="4" w:space="0" w:color="auto"/>
              <w:right w:val="single" w:sz="4" w:space="0" w:color="auto"/>
            </w:tcBorders>
            <w:shd w:val="clear" w:color="auto" w:fill="auto"/>
            <w:noWrap/>
            <w:vAlign w:val="center"/>
            <w:hideMark/>
          </w:tcPr>
          <w:p w14:paraId="4F489541"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24,440,843,888</w:t>
            </w:r>
          </w:p>
        </w:tc>
        <w:tc>
          <w:tcPr>
            <w:tcW w:w="1300" w:type="dxa"/>
            <w:tcBorders>
              <w:top w:val="nil"/>
              <w:left w:val="nil"/>
              <w:bottom w:val="single" w:sz="4" w:space="0" w:color="auto"/>
              <w:right w:val="single" w:sz="4" w:space="0" w:color="auto"/>
            </w:tcBorders>
            <w:shd w:val="clear" w:color="000000" w:fill="FFFFFF"/>
            <w:noWrap/>
            <w:vAlign w:val="center"/>
            <w:hideMark/>
          </w:tcPr>
          <w:p w14:paraId="2E92C87E"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3,088,781,380</w:t>
            </w:r>
          </w:p>
        </w:tc>
        <w:tc>
          <w:tcPr>
            <w:tcW w:w="1200" w:type="dxa"/>
            <w:tcBorders>
              <w:top w:val="nil"/>
              <w:left w:val="nil"/>
              <w:bottom w:val="single" w:sz="4" w:space="0" w:color="auto"/>
              <w:right w:val="single" w:sz="4" w:space="0" w:color="auto"/>
            </w:tcBorders>
            <w:shd w:val="clear" w:color="auto" w:fill="auto"/>
            <w:noWrap/>
            <w:vAlign w:val="center"/>
            <w:hideMark/>
          </w:tcPr>
          <w:p w14:paraId="50224724"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4.65%</w:t>
            </w:r>
          </w:p>
        </w:tc>
      </w:tr>
      <w:tr w:rsidR="00E212C6" w:rsidRPr="00E212C6" w14:paraId="11BB1D82"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6FD7DB1" w14:textId="77777777" w:rsidR="00E212C6" w:rsidRPr="00E212C6" w:rsidRDefault="00E212C6" w:rsidP="00E212C6">
            <w:pPr>
              <w:spacing w:after="0" w:line="240" w:lineRule="auto"/>
              <w:rPr>
                <w:rFonts w:eastAsia="Times New Roman" w:cs="Calibri"/>
                <w:i/>
                <w:iCs/>
                <w:color w:val="333333"/>
                <w:sz w:val="14"/>
                <w:szCs w:val="14"/>
                <w:lang w:eastAsia="es-MX"/>
              </w:rPr>
            </w:pPr>
            <w:r w:rsidRPr="00E212C6">
              <w:rPr>
                <w:rFonts w:eastAsia="Times New Roman" w:cs="Calibri"/>
                <w:i/>
                <w:iCs/>
                <w:color w:val="333333"/>
                <w:sz w:val="14"/>
                <w:szCs w:val="14"/>
                <w:lang w:eastAsia="es-MX"/>
              </w:rPr>
              <w:t xml:space="preserve">     Aportaciones </w:t>
            </w:r>
          </w:p>
        </w:tc>
        <w:tc>
          <w:tcPr>
            <w:tcW w:w="1460" w:type="dxa"/>
            <w:tcBorders>
              <w:top w:val="nil"/>
              <w:left w:val="nil"/>
              <w:bottom w:val="single" w:sz="4" w:space="0" w:color="auto"/>
              <w:right w:val="single" w:sz="4" w:space="0" w:color="auto"/>
            </w:tcBorders>
            <w:shd w:val="clear" w:color="000000" w:fill="FFFFFF"/>
            <w:noWrap/>
            <w:vAlign w:val="center"/>
            <w:hideMark/>
          </w:tcPr>
          <w:p w14:paraId="55CBC89D"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25,005,593,058</w:t>
            </w:r>
          </w:p>
        </w:tc>
        <w:tc>
          <w:tcPr>
            <w:tcW w:w="1460" w:type="dxa"/>
            <w:tcBorders>
              <w:top w:val="nil"/>
              <w:left w:val="nil"/>
              <w:bottom w:val="single" w:sz="4" w:space="0" w:color="auto"/>
              <w:right w:val="single" w:sz="4" w:space="0" w:color="auto"/>
            </w:tcBorders>
            <w:shd w:val="clear" w:color="auto" w:fill="auto"/>
            <w:noWrap/>
            <w:vAlign w:val="center"/>
            <w:hideMark/>
          </w:tcPr>
          <w:p w14:paraId="05DC1CA9"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23,191,917,713</w:t>
            </w:r>
          </w:p>
        </w:tc>
        <w:tc>
          <w:tcPr>
            <w:tcW w:w="1300" w:type="dxa"/>
            <w:tcBorders>
              <w:top w:val="nil"/>
              <w:left w:val="nil"/>
              <w:bottom w:val="single" w:sz="4" w:space="0" w:color="auto"/>
              <w:right w:val="single" w:sz="4" w:space="0" w:color="auto"/>
            </w:tcBorders>
            <w:shd w:val="clear" w:color="000000" w:fill="FFFFFF"/>
            <w:noWrap/>
            <w:vAlign w:val="center"/>
            <w:hideMark/>
          </w:tcPr>
          <w:p w14:paraId="684428E7"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1,813,675,345</w:t>
            </w:r>
          </w:p>
        </w:tc>
        <w:tc>
          <w:tcPr>
            <w:tcW w:w="1200" w:type="dxa"/>
            <w:tcBorders>
              <w:top w:val="nil"/>
              <w:left w:val="nil"/>
              <w:bottom w:val="single" w:sz="4" w:space="0" w:color="auto"/>
              <w:right w:val="single" w:sz="4" w:space="0" w:color="auto"/>
            </w:tcBorders>
            <w:shd w:val="clear" w:color="auto" w:fill="auto"/>
            <w:noWrap/>
            <w:vAlign w:val="center"/>
            <w:hideMark/>
          </w:tcPr>
          <w:p w14:paraId="19E217E3"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2.73%</w:t>
            </w:r>
          </w:p>
        </w:tc>
      </w:tr>
      <w:tr w:rsidR="00E212C6" w:rsidRPr="00E212C6" w14:paraId="0264F174"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267C6FD" w14:textId="77777777" w:rsidR="00E212C6" w:rsidRPr="00E212C6" w:rsidRDefault="00E212C6" w:rsidP="00E212C6">
            <w:pPr>
              <w:spacing w:after="0" w:line="240" w:lineRule="auto"/>
              <w:rPr>
                <w:rFonts w:eastAsia="Times New Roman" w:cs="Calibri"/>
                <w:i/>
                <w:iCs/>
                <w:color w:val="333333"/>
                <w:sz w:val="14"/>
                <w:szCs w:val="14"/>
                <w:lang w:eastAsia="es-MX"/>
              </w:rPr>
            </w:pPr>
            <w:r w:rsidRPr="00E212C6">
              <w:rPr>
                <w:rFonts w:eastAsia="Times New Roman" w:cs="Calibri"/>
                <w:i/>
                <w:iCs/>
                <w:color w:val="333333"/>
                <w:sz w:val="14"/>
                <w:szCs w:val="14"/>
                <w:lang w:eastAsia="es-MX"/>
              </w:rPr>
              <w:t xml:space="preserve">     Convenios </w:t>
            </w:r>
          </w:p>
        </w:tc>
        <w:tc>
          <w:tcPr>
            <w:tcW w:w="1460" w:type="dxa"/>
            <w:tcBorders>
              <w:top w:val="nil"/>
              <w:left w:val="nil"/>
              <w:bottom w:val="single" w:sz="4" w:space="0" w:color="auto"/>
              <w:right w:val="single" w:sz="4" w:space="0" w:color="auto"/>
            </w:tcBorders>
            <w:shd w:val="clear" w:color="000000" w:fill="FFFFFF"/>
            <w:noWrap/>
            <w:vAlign w:val="center"/>
            <w:hideMark/>
          </w:tcPr>
          <w:p w14:paraId="7249ABAD"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5,286,041,106</w:t>
            </w:r>
          </w:p>
        </w:tc>
        <w:tc>
          <w:tcPr>
            <w:tcW w:w="1460" w:type="dxa"/>
            <w:tcBorders>
              <w:top w:val="nil"/>
              <w:left w:val="nil"/>
              <w:bottom w:val="single" w:sz="4" w:space="0" w:color="auto"/>
              <w:right w:val="single" w:sz="4" w:space="0" w:color="auto"/>
            </w:tcBorders>
            <w:shd w:val="clear" w:color="auto" w:fill="auto"/>
            <w:noWrap/>
            <w:vAlign w:val="center"/>
            <w:hideMark/>
          </w:tcPr>
          <w:p w14:paraId="0F4C0EE7"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4,888,873,004</w:t>
            </w:r>
          </w:p>
        </w:tc>
        <w:tc>
          <w:tcPr>
            <w:tcW w:w="1300" w:type="dxa"/>
            <w:tcBorders>
              <w:top w:val="nil"/>
              <w:left w:val="nil"/>
              <w:bottom w:val="single" w:sz="4" w:space="0" w:color="auto"/>
              <w:right w:val="single" w:sz="4" w:space="0" w:color="auto"/>
            </w:tcBorders>
            <w:shd w:val="clear" w:color="000000" w:fill="FFFFFF"/>
            <w:noWrap/>
            <w:vAlign w:val="center"/>
            <w:hideMark/>
          </w:tcPr>
          <w:p w14:paraId="73E45B8D"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397,168,102</w:t>
            </w:r>
          </w:p>
        </w:tc>
        <w:tc>
          <w:tcPr>
            <w:tcW w:w="1200" w:type="dxa"/>
            <w:tcBorders>
              <w:top w:val="nil"/>
              <w:left w:val="nil"/>
              <w:bottom w:val="single" w:sz="4" w:space="0" w:color="auto"/>
              <w:right w:val="single" w:sz="4" w:space="0" w:color="auto"/>
            </w:tcBorders>
            <w:shd w:val="clear" w:color="auto" w:fill="auto"/>
            <w:noWrap/>
            <w:vAlign w:val="center"/>
            <w:hideMark/>
          </w:tcPr>
          <w:p w14:paraId="1A9933CD"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0.60%</w:t>
            </w:r>
          </w:p>
        </w:tc>
      </w:tr>
      <w:tr w:rsidR="00E212C6" w:rsidRPr="00E212C6" w14:paraId="20385D23"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58FA888" w14:textId="77777777" w:rsidR="00E212C6" w:rsidRPr="00E212C6" w:rsidRDefault="00E212C6" w:rsidP="00E212C6">
            <w:pPr>
              <w:spacing w:after="0" w:line="240" w:lineRule="auto"/>
              <w:rPr>
                <w:rFonts w:eastAsia="Times New Roman" w:cs="Calibri"/>
                <w:i/>
                <w:iCs/>
                <w:color w:val="333333"/>
                <w:sz w:val="14"/>
                <w:szCs w:val="14"/>
                <w:lang w:eastAsia="es-MX"/>
              </w:rPr>
            </w:pPr>
            <w:r w:rsidRPr="00E212C6">
              <w:rPr>
                <w:rFonts w:eastAsia="Times New Roman" w:cs="Calibri"/>
                <w:i/>
                <w:iCs/>
                <w:color w:val="333333"/>
                <w:sz w:val="14"/>
                <w:szCs w:val="14"/>
                <w:lang w:eastAsia="es-MX"/>
              </w:rPr>
              <w:t>Incentivos Derivados de la Colaboración Fiscal</w:t>
            </w:r>
          </w:p>
        </w:tc>
        <w:tc>
          <w:tcPr>
            <w:tcW w:w="1460" w:type="dxa"/>
            <w:tcBorders>
              <w:top w:val="nil"/>
              <w:left w:val="nil"/>
              <w:bottom w:val="single" w:sz="4" w:space="0" w:color="auto"/>
              <w:right w:val="single" w:sz="4" w:space="0" w:color="auto"/>
            </w:tcBorders>
            <w:shd w:val="clear" w:color="000000" w:fill="FFFFFF"/>
            <w:noWrap/>
            <w:vAlign w:val="center"/>
            <w:hideMark/>
          </w:tcPr>
          <w:p w14:paraId="23416EDC"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992,273,239</w:t>
            </w:r>
          </w:p>
        </w:tc>
        <w:tc>
          <w:tcPr>
            <w:tcW w:w="1460" w:type="dxa"/>
            <w:tcBorders>
              <w:top w:val="nil"/>
              <w:left w:val="nil"/>
              <w:bottom w:val="single" w:sz="4" w:space="0" w:color="auto"/>
              <w:right w:val="single" w:sz="4" w:space="0" w:color="auto"/>
            </w:tcBorders>
            <w:shd w:val="clear" w:color="auto" w:fill="auto"/>
            <w:noWrap/>
            <w:vAlign w:val="center"/>
            <w:hideMark/>
          </w:tcPr>
          <w:p w14:paraId="2046A54C"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880,047,098</w:t>
            </w:r>
          </w:p>
        </w:tc>
        <w:tc>
          <w:tcPr>
            <w:tcW w:w="1300" w:type="dxa"/>
            <w:tcBorders>
              <w:top w:val="nil"/>
              <w:left w:val="nil"/>
              <w:bottom w:val="single" w:sz="4" w:space="0" w:color="auto"/>
              <w:right w:val="single" w:sz="4" w:space="0" w:color="auto"/>
            </w:tcBorders>
            <w:shd w:val="clear" w:color="000000" w:fill="FFFFFF"/>
            <w:noWrap/>
            <w:vAlign w:val="center"/>
            <w:hideMark/>
          </w:tcPr>
          <w:p w14:paraId="51401100"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112,226,141</w:t>
            </w:r>
          </w:p>
        </w:tc>
        <w:tc>
          <w:tcPr>
            <w:tcW w:w="1200" w:type="dxa"/>
            <w:tcBorders>
              <w:top w:val="nil"/>
              <w:left w:val="nil"/>
              <w:bottom w:val="single" w:sz="4" w:space="0" w:color="auto"/>
              <w:right w:val="single" w:sz="4" w:space="0" w:color="auto"/>
            </w:tcBorders>
            <w:shd w:val="clear" w:color="auto" w:fill="auto"/>
            <w:noWrap/>
            <w:vAlign w:val="center"/>
            <w:hideMark/>
          </w:tcPr>
          <w:p w14:paraId="21D91647"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0.17%</w:t>
            </w:r>
          </w:p>
        </w:tc>
      </w:tr>
      <w:tr w:rsidR="00E212C6" w:rsidRPr="00E212C6" w14:paraId="493DA618" w14:textId="77777777" w:rsidTr="00E212C6">
        <w:trPr>
          <w:trHeight w:val="29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D59DC29" w14:textId="77777777" w:rsidR="00E212C6" w:rsidRPr="00E212C6" w:rsidRDefault="00E212C6" w:rsidP="00E212C6">
            <w:pPr>
              <w:spacing w:after="0" w:line="240" w:lineRule="auto"/>
              <w:rPr>
                <w:rFonts w:eastAsia="Times New Roman" w:cs="Calibri"/>
                <w:i/>
                <w:iCs/>
                <w:color w:val="333333"/>
                <w:sz w:val="14"/>
                <w:szCs w:val="14"/>
                <w:lang w:eastAsia="es-MX"/>
              </w:rPr>
            </w:pPr>
            <w:r w:rsidRPr="00E212C6">
              <w:rPr>
                <w:rFonts w:eastAsia="Times New Roman" w:cs="Calibri"/>
                <w:i/>
                <w:iCs/>
                <w:color w:val="333333"/>
                <w:sz w:val="14"/>
                <w:szCs w:val="14"/>
                <w:lang w:eastAsia="es-MX"/>
              </w:rPr>
              <w:t>Fondos Distintos de Aportaciones</w:t>
            </w:r>
          </w:p>
        </w:tc>
        <w:tc>
          <w:tcPr>
            <w:tcW w:w="1460" w:type="dxa"/>
            <w:tcBorders>
              <w:top w:val="nil"/>
              <w:left w:val="nil"/>
              <w:bottom w:val="single" w:sz="4" w:space="0" w:color="auto"/>
              <w:right w:val="single" w:sz="4" w:space="0" w:color="auto"/>
            </w:tcBorders>
            <w:shd w:val="clear" w:color="000000" w:fill="FFFFFF"/>
            <w:noWrap/>
            <w:vAlign w:val="center"/>
            <w:hideMark/>
          </w:tcPr>
          <w:p w14:paraId="6B5FDF91"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1,697,929,094</w:t>
            </w:r>
          </w:p>
        </w:tc>
        <w:tc>
          <w:tcPr>
            <w:tcW w:w="1460" w:type="dxa"/>
            <w:tcBorders>
              <w:top w:val="nil"/>
              <w:left w:val="nil"/>
              <w:bottom w:val="single" w:sz="4" w:space="0" w:color="auto"/>
              <w:right w:val="single" w:sz="4" w:space="0" w:color="auto"/>
            </w:tcBorders>
            <w:shd w:val="clear" w:color="auto" w:fill="auto"/>
            <w:noWrap/>
            <w:vAlign w:val="center"/>
            <w:hideMark/>
          </w:tcPr>
          <w:p w14:paraId="5810B33D"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1,515,128,548</w:t>
            </w:r>
          </w:p>
        </w:tc>
        <w:tc>
          <w:tcPr>
            <w:tcW w:w="1300" w:type="dxa"/>
            <w:tcBorders>
              <w:top w:val="nil"/>
              <w:left w:val="nil"/>
              <w:bottom w:val="single" w:sz="4" w:space="0" w:color="auto"/>
              <w:right w:val="single" w:sz="4" w:space="0" w:color="auto"/>
            </w:tcBorders>
            <w:shd w:val="clear" w:color="000000" w:fill="FFFFFF"/>
            <w:noWrap/>
            <w:vAlign w:val="center"/>
            <w:hideMark/>
          </w:tcPr>
          <w:p w14:paraId="13B904DA"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182,800,546</w:t>
            </w:r>
          </w:p>
        </w:tc>
        <w:tc>
          <w:tcPr>
            <w:tcW w:w="1200" w:type="dxa"/>
            <w:tcBorders>
              <w:top w:val="nil"/>
              <w:left w:val="nil"/>
              <w:bottom w:val="single" w:sz="4" w:space="0" w:color="auto"/>
              <w:right w:val="single" w:sz="4" w:space="0" w:color="auto"/>
            </w:tcBorders>
            <w:shd w:val="clear" w:color="auto" w:fill="auto"/>
            <w:noWrap/>
            <w:vAlign w:val="center"/>
            <w:hideMark/>
          </w:tcPr>
          <w:p w14:paraId="3BFBE2EE"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0.28%</w:t>
            </w:r>
          </w:p>
        </w:tc>
      </w:tr>
      <w:tr w:rsidR="00E212C6" w:rsidRPr="00E212C6" w14:paraId="7DE51DD3" w14:textId="77777777" w:rsidTr="00E212C6">
        <w:trPr>
          <w:trHeight w:val="290"/>
        </w:trPr>
        <w:tc>
          <w:tcPr>
            <w:tcW w:w="2980" w:type="dxa"/>
            <w:tcBorders>
              <w:top w:val="nil"/>
              <w:left w:val="single" w:sz="4" w:space="0" w:color="auto"/>
              <w:bottom w:val="single" w:sz="4" w:space="0" w:color="auto"/>
              <w:right w:val="single" w:sz="4" w:space="0" w:color="auto"/>
            </w:tcBorders>
            <w:shd w:val="clear" w:color="000000" w:fill="D9D9D9"/>
            <w:noWrap/>
            <w:vAlign w:val="center"/>
            <w:hideMark/>
          </w:tcPr>
          <w:p w14:paraId="5D19B431" w14:textId="77777777" w:rsidR="00E212C6" w:rsidRPr="00E212C6" w:rsidRDefault="00E212C6" w:rsidP="00E212C6">
            <w:pPr>
              <w:spacing w:after="0" w:line="240" w:lineRule="auto"/>
              <w:rPr>
                <w:rFonts w:eastAsia="Times New Roman" w:cs="Calibri"/>
                <w:b/>
                <w:bCs/>
                <w:color w:val="000000"/>
                <w:sz w:val="16"/>
                <w:szCs w:val="16"/>
                <w:lang w:eastAsia="es-MX"/>
              </w:rPr>
            </w:pPr>
            <w:r w:rsidRPr="00E212C6">
              <w:rPr>
                <w:rFonts w:eastAsia="Times New Roman" w:cs="Calibri"/>
                <w:b/>
                <w:bCs/>
                <w:color w:val="000000"/>
                <w:sz w:val="16"/>
                <w:szCs w:val="16"/>
                <w:lang w:eastAsia="es-MX"/>
              </w:rPr>
              <w:t>Ingresos por Financiamiento</w:t>
            </w:r>
          </w:p>
        </w:tc>
        <w:tc>
          <w:tcPr>
            <w:tcW w:w="1460" w:type="dxa"/>
            <w:tcBorders>
              <w:top w:val="nil"/>
              <w:left w:val="nil"/>
              <w:bottom w:val="single" w:sz="4" w:space="0" w:color="auto"/>
              <w:right w:val="single" w:sz="4" w:space="0" w:color="auto"/>
            </w:tcBorders>
            <w:shd w:val="clear" w:color="000000" w:fill="D9D9D9"/>
            <w:noWrap/>
            <w:vAlign w:val="center"/>
            <w:hideMark/>
          </w:tcPr>
          <w:p w14:paraId="3E22B4F6" w14:textId="77777777" w:rsidR="00E212C6" w:rsidRPr="00E212C6" w:rsidRDefault="00E212C6" w:rsidP="00E212C6">
            <w:pPr>
              <w:spacing w:after="0" w:line="240" w:lineRule="auto"/>
              <w:jc w:val="right"/>
              <w:rPr>
                <w:rFonts w:eastAsia="Times New Roman" w:cs="Calibri"/>
                <w:b/>
                <w:bCs/>
                <w:color w:val="000000"/>
                <w:sz w:val="16"/>
                <w:szCs w:val="16"/>
                <w:lang w:eastAsia="es-MX"/>
              </w:rPr>
            </w:pPr>
            <w:r w:rsidRPr="00E212C6">
              <w:rPr>
                <w:rFonts w:eastAsia="Times New Roman" w:cs="Calibri"/>
                <w:b/>
                <w:bCs/>
                <w:color w:val="000000"/>
                <w:sz w:val="16"/>
                <w:szCs w:val="16"/>
                <w:lang w:eastAsia="es-MX"/>
              </w:rPr>
              <w:t>1,863,000,000</w:t>
            </w:r>
          </w:p>
        </w:tc>
        <w:tc>
          <w:tcPr>
            <w:tcW w:w="1460" w:type="dxa"/>
            <w:tcBorders>
              <w:top w:val="nil"/>
              <w:left w:val="nil"/>
              <w:bottom w:val="single" w:sz="4" w:space="0" w:color="auto"/>
              <w:right w:val="single" w:sz="4" w:space="0" w:color="auto"/>
            </w:tcBorders>
            <w:shd w:val="clear" w:color="000000" w:fill="D9D9D9"/>
            <w:noWrap/>
            <w:vAlign w:val="center"/>
            <w:hideMark/>
          </w:tcPr>
          <w:p w14:paraId="54851031" w14:textId="77777777" w:rsidR="00E212C6" w:rsidRPr="00E212C6" w:rsidRDefault="00E212C6" w:rsidP="00E212C6">
            <w:pPr>
              <w:spacing w:after="0" w:line="240" w:lineRule="auto"/>
              <w:jc w:val="right"/>
              <w:rPr>
                <w:rFonts w:eastAsia="Times New Roman" w:cs="Calibri"/>
                <w:b/>
                <w:bCs/>
                <w:color w:val="000000"/>
                <w:sz w:val="16"/>
                <w:szCs w:val="16"/>
                <w:lang w:eastAsia="es-MX"/>
              </w:rPr>
            </w:pPr>
            <w:r w:rsidRPr="00E212C6">
              <w:rPr>
                <w:rFonts w:eastAsia="Times New Roman" w:cs="Calibri"/>
                <w:b/>
                <w:bCs/>
                <w:color w:val="000000"/>
                <w:sz w:val="16"/>
                <w:szCs w:val="16"/>
                <w:lang w:eastAsia="es-MX"/>
              </w:rPr>
              <w:t>3,452,000,000</w:t>
            </w:r>
          </w:p>
        </w:tc>
        <w:tc>
          <w:tcPr>
            <w:tcW w:w="1300" w:type="dxa"/>
            <w:tcBorders>
              <w:top w:val="nil"/>
              <w:left w:val="nil"/>
              <w:bottom w:val="single" w:sz="4" w:space="0" w:color="auto"/>
              <w:right w:val="single" w:sz="4" w:space="0" w:color="auto"/>
            </w:tcBorders>
            <w:shd w:val="clear" w:color="000000" w:fill="D9D9D9"/>
            <w:noWrap/>
            <w:vAlign w:val="center"/>
            <w:hideMark/>
          </w:tcPr>
          <w:p w14:paraId="0FCB04F1"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7A893C8E" w14:textId="77777777" w:rsidR="00E212C6" w:rsidRPr="00E212C6" w:rsidRDefault="00E212C6" w:rsidP="00E212C6">
            <w:pPr>
              <w:spacing w:after="0" w:line="240" w:lineRule="auto"/>
              <w:jc w:val="right"/>
              <w:rPr>
                <w:rFonts w:eastAsia="Times New Roman" w:cs="Calibri"/>
                <w:color w:val="000000"/>
                <w:sz w:val="14"/>
                <w:szCs w:val="14"/>
                <w:lang w:eastAsia="es-MX"/>
              </w:rPr>
            </w:pPr>
            <w:r w:rsidRPr="00E212C6">
              <w:rPr>
                <w:rFonts w:eastAsia="Times New Roman" w:cs="Calibri"/>
                <w:color w:val="000000"/>
                <w:sz w:val="14"/>
                <w:szCs w:val="14"/>
                <w:lang w:eastAsia="es-MX"/>
              </w:rPr>
              <w:t> </w:t>
            </w:r>
          </w:p>
        </w:tc>
      </w:tr>
      <w:tr w:rsidR="00B43367" w:rsidRPr="00B43367" w14:paraId="131BC5F3" w14:textId="77777777" w:rsidTr="00B43367">
        <w:trPr>
          <w:trHeight w:val="300"/>
        </w:trPr>
        <w:tc>
          <w:tcPr>
            <w:tcW w:w="2980" w:type="dxa"/>
            <w:tcBorders>
              <w:top w:val="nil"/>
              <w:left w:val="single" w:sz="4" w:space="0" w:color="auto"/>
              <w:bottom w:val="single" w:sz="4" w:space="0" w:color="auto"/>
              <w:right w:val="single" w:sz="4" w:space="0" w:color="auto"/>
            </w:tcBorders>
            <w:shd w:val="clear" w:color="auto" w:fill="DDC9A3"/>
            <w:vAlign w:val="center"/>
            <w:hideMark/>
          </w:tcPr>
          <w:p w14:paraId="59B62CCC" w14:textId="77777777" w:rsidR="00E212C6" w:rsidRPr="00B43367" w:rsidRDefault="00E212C6" w:rsidP="00E212C6">
            <w:pPr>
              <w:spacing w:after="0" w:line="240" w:lineRule="auto"/>
              <w:jc w:val="center"/>
              <w:rPr>
                <w:rFonts w:eastAsia="Times New Roman" w:cs="Calibri"/>
                <w:b/>
                <w:bCs/>
                <w:sz w:val="14"/>
                <w:szCs w:val="14"/>
                <w:lang w:eastAsia="es-MX"/>
              </w:rPr>
            </w:pPr>
            <w:r w:rsidRPr="00B43367">
              <w:rPr>
                <w:rFonts w:eastAsia="Times New Roman" w:cs="Calibri"/>
                <w:b/>
                <w:bCs/>
                <w:sz w:val="14"/>
                <w:szCs w:val="14"/>
                <w:lang w:eastAsia="es-MX"/>
              </w:rPr>
              <w:t>Total de Ingresos Presupuestarios</w:t>
            </w:r>
          </w:p>
        </w:tc>
        <w:tc>
          <w:tcPr>
            <w:tcW w:w="1460" w:type="dxa"/>
            <w:tcBorders>
              <w:top w:val="nil"/>
              <w:left w:val="nil"/>
              <w:bottom w:val="single" w:sz="4" w:space="0" w:color="auto"/>
              <w:right w:val="single" w:sz="4" w:space="0" w:color="auto"/>
            </w:tcBorders>
            <w:shd w:val="clear" w:color="auto" w:fill="DDC9A3"/>
            <w:vAlign w:val="center"/>
            <w:hideMark/>
          </w:tcPr>
          <w:p w14:paraId="3CE185C5" w14:textId="77777777" w:rsidR="00E212C6" w:rsidRPr="00B43367" w:rsidRDefault="00E212C6" w:rsidP="00E212C6">
            <w:pPr>
              <w:spacing w:after="0" w:line="240" w:lineRule="auto"/>
              <w:jc w:val="right"/>
              <w:rPr>
                <w:rFonts w:eastAsia="Times New Roman" w:cs="Calibri"/>
                <w:b/>
                <w:bCs/>
                <w:sz w:val="14"/>
                <w:szCs w:val="14"/>
                <w:lang w:eastAsia="es-MX"/>
              </w:rPr>
            </w:pPr>
            <w:r w:rsidRPr="00B43367">
              <w:rPr>
                <w:rFonts w:eastAsia="Times New Roman" w:cs="Calibri"/>
                <w:b/>
                <w:bCs/>
                <w:sz w:val="14"/>
                <w:szCs w:val="14"/>
                <w:lang w:eastAsia="es-MX"/>
              </w:rPr>
              <w:t>71,820,422,977</w:t>
            </w:r>
          </w:p>
        </w:tc>
        <w:tc>
          <w:tcPr>
            <w:tcW w:w="1460" w:type="dxa"/>
            <w:tcBorders>
              <w:top w:val="nil"/>
              <w:left w:val="nil"/>
              <w:bottom w:val="single" w:sz="4" w:space="0" w:color="auto"/>
              <w:right w:val="single" w:sz="4" w:space="0" w:color="auto"/>
            </w:tcBorders>
            <w:shd w:val="clear" w:color="auto" w:fill="DDC9A3"/>
            <w:vAlign w:val="center"/>
            <w:hideMark/>
          </w:tcPr>
          <w:p w14:paraId="32D5B37B" w14:textId="77777777" w:rsidR="00E212C6" w:rsidRPr="00B43367" w:rsidRDefault="00E212C6" w:rsidP="00E212C6">
            <w:pPr>
              <w:spacing w:after="0" w:line="240" w:lineRule="auto"/>
              <w:jc w:val="right"/>
              <w:rPr>
                <w:rFonts w:eastAsia="Times New Roman" w:cs="Calibri"/>
                <w:b/>
                <w:bCs/>
                <w:sz w:val="14"/>
                <w:szCs w:val="14"/>
                <w:lang w:eastAsia="es-MX"/>
              </w:rPr>
            </w:pPr>
            <w:r w:rsidRPr="00B43367">
              <w:rPr>
                <w:rFonts w:eastAsia="Times New Roman" w:cs="Calibri"/>
                <w:b/>
                <w:bCs/>
                <w:sz w:val="14"/>
                <w:szCs w:val="14"/>
                <w:lang w:eastAsia="es-MX"/>
              </w:rPr>
              <w:t>66,364,846,251</w:t>
            </w:r>
          </w:p>
        </w:tc>
        <w:tc>
          <w:tcPr>
            <w:tcW w:w="1300" w:type="dxa"/>
            <w:tcBorders>
              <w:top w:val="nil"/>
              <w:left w:val="nil"/>
              <w:bottom w:val="single" w:sz="4" w:space="0" w:color="auto"/>
              <w:right w:val="single" w:sz="4" w:space="0" w:color="auto"/>
            </w:tcBorders>
            <w:shd w:val="clear" w:color="auto" w:fill="DDC9A3"/>
            <w:vAlign w:val="center"/>
            <w:hideMark/>
          </w:tcPr>
          <w:p w14:paraId="4B533226" w14:textId="77777777" w:rsidR="00E212C6" w:rsidRPr="00B43367" w:rsidRDefault="00E212C6" w:rsidP="00E212C6">
            <w:pPr>
              <w:spacing w:after="0" w:line="240" w:lineRule="auto"/>
              <w:jc w:val="right"/>
              <w:rPr>
                <w:rFonts w:eastAsia="Times New Roman" w:cs="Calibri"/>
                <w:b/>
                <w:bCs/>
                <w:sz w:val="14"/>
                <w:szCs w:val="14"/>
                <w:lang w:eastAsia="es-MX"/>
              </w:rPr>
            </w:pPr>
            <w:r w:rsidRPr="00B43367">
              <w:rPr>
                <w:rFonts w:eastAsia="Times New Roman" w:cs="Calibri"/>
                <w:b/>
                <w:bCs/>
                <w:sz w:val="14"/>
                <w:szCs w:val="14"/>
                <w:lang w:eastAsia="es-MX"/>
              </w:rPr>
              <w:t>7,044,576,726</w:t>
            </w:r>
          </w:p>
        </w:tc>
        <w:tc>
          <w:tcPr>
            <w:tcW w:w="1200" w:type="dxa"/>
            <w:tcBorders>
              <w:top w:val="nil"/>
              <w:left w:val="nil"/>
              <w:bottom w:val="single" w:sz="4" w:space="0" w:color="auto"/>
              <w:right w:val="single" w:sz="4" w:space="0" w:color="auto"/>
            </w:tcBorders>
            <w:shd w:val="clear" w:color="auto" w:fill="DDC9A3"/>
            <w:noWrap/>
            <w:vAlign w:val="center"/>
            <w:hideMark/>
          </w:tcPr>
          <w:p w14:paraId="51B7CC0C" w14:textId="77777777" w:rsidR="00E212C6" w:rsidRPr="00B43367" w:rsidRDefault="00E212C6" w:rsidP="00E212C6">
            <w:pPr>
              <w:spacing w:after="0" w:line="240" w:lineRule="auto"/>
              <w:jc w:val="right"/>
              <w:rPr>
                <w:rFonts w:eastAsia="Times New Roman" w:cs="Calibri"/>
                <w:b/>
                <w:bCs/>
                <w:sz w:val="16"/>
                <w:szCs w:val="16"/>
                <w:lang w:eastAsia="es-MX"/>
              </w:rPr>
            </w:pPr>
            <w:r w:rsidRPr="00B43367">
              <w:rPr>
                <w:rFonts w:eastAsia="Times New Roman" w:cs="Calibri"/>
                <w:b/>
                <w:bCs/>
                <w:sz w:val="16"/>
                <w:szCs w:val="16"/>
                <w:lang w:eastAsia="es-MX"/>
              </w:rPr>
              <w:t>10.61%</w:t>
            </w:r>
          </w:p>
        </w:tc>
      </w:tr>
    </w:tbl>
    <w:p w14:paraId="5729B3A1" w14:textId="75DD0F69" w:rsidR="0050603D" w:rsidRDefault="0050603D" w:rsidP="0050603D">
      <w:pPr>
        <w:spacing w:after="0" w:line="240" w:lineRule="exact"/>
        <w:jc w:val="both"/>
        <w:rPr>
          <w:rFonts w:asciiTheme="minorHAnsi" w:eastAsia="Times New Roman" w:hAnsiTheme="minorHAnsi" w:cstheme="minorHAnsi"/>
          <w:sz w:val="18"/>
          <w:szCs w:val="16"/>
          <w:lang w:val="es-ES" w:eastAsia="es-ES"/>
        </w:rPr>
      </w:pPr>
    </w:p>
    <w:p w14:paraId="3F4C6FAA" w14:textId="6CC432A8" w:rsidR="00A16AD3" w:rsidRDefault="00A05FDB" w:rsidP="00B9489D">
      <w:pPr>
        <w:spacing w:after="0" w:line="240" w:lineRule="exact"/>
        <w:ind w:hanging="567"/>
        <w:jc w:val="both"/>
        <w:rPr>
          <w:rFonts w:asciiTheme="minorHAnsi" w:hAnsiTheme="minorHAnsi" w:cstheme="minorHAnsi"/>
          <w:sz w:val="18"/>
          <w:szCs w:val="18"/>
        </w:rPr>
      </w:pPr>
      <w:r w:rsidRPr="005F45A3">
        <w:rPr>
          <w:rFonts w:asciiTheme="minorHAnsi" w:eastAsia="Times New Roman" w:hAnsiTheme="minorHAnsi" w:cstheme="minorHAnsi"/>
          <w:sz w:val="18"/>
          <w:szCs w:val="16"/>
          <w:lang w:val="es-ES" w:eastAsia="es-ES"/>
        </w:rPr>
        <w:t xml:space="preserve">            </w:t>
      </w:r>
      <w:r w:rsidR="000C212D">
        <w:rPr>
          <w:rFonts w:asciiTheme="minorHAnsi" w:eastAsia="Times New Roman" w:hAnsiTheme="minorHAnsi" w:cstheme="minorHAnsi"/>
          <w:sz w:val="18"/>
          <w:szCs w:val="16"/>
          <w:lang w:val="es-ES" w:eastAsia="es-ES"/>
        </w:rPr>
        <w:t xml:space="preserve">  </w:t>
      </w:r>
      <w:r w:rsidR="0069250B" w:rsidRPr="005F45A3">
        <w:rPr>
          <w:rFonts w:asciiTheme="minorHAnsi" w:hAnsiTheme="minorHAnsi" w:cstheme="minorHAnsi"/>
          <w:sz w:val="18"/>
          <w:szCs w:val="18"/>
        </w:rPr>
        <w:t>Los ingresos</w:t>
      </w:r>
      <w:r w:rsidR="00920BEF" w:rsidRPr="005F45A3">
        <w:rPr>
          <w:rFonts w:asciiTheme="minorHAnsi" w:hAnsiTheme="minorHAnsi" w:cstheme="minorHAnsi"/>
          <w:sz w:val="18"/>
          <w:szCs w:val="18"/>
        </w:rPr>
        <w:t xml:space="preserve"> propios</w:t>
      </w:r>
      <w:r w:rsidR="0069250B" w:rsidRPr="005F45A3">
        <w:rPr>
          <w:rFonts w:asciiTheme="minorHAnsi" w:hAnsiTheme="minorHAnsi" w:cstheme="minorHAnsi"/>
          <w:sz w:val="18"/>
          <w:szCs w:val="18"/>
        </w:rPr>
        <w:t xml:space="preserve"> presupuestarios sin incluir los ingresos derivados de financiamiento representaron en forma global </w:t>
      </w:r>
      <w:r w:rsidR="005F61A0" w:rsidRPr="005F45A3">
        <w:rPr>
          <w:rFonts w:asciiTheme="minorHAnsi" w:hAnsiTheme="minorHAnsi" w:cstheme="minorHAnsi"/>
          <w:sz w:val="18"/>
          <w:szCs w:val="18"/>
        </w:rPr>
        <w:t xml:space="preserve">un incremento </w:t>
      </w:r>
      <w:r w:rsidR="00920BEF" w:rsidRPr="005F45A3">
        <w:rPr>
          <w:rFonts w:asciiTheme="minorHAnsi" w:hAnsiTheme="minorHAnsi" w:cstheme="minorHAnsi"/>
          <w:sz w:val="18"/>
          <w:szCs w:val="18"/>
        </w:rPr>
        <w:t xml:space="preserve">del </w:t>
      </w:r>
      <w:r w:rsidR="00B9489D">
        <w:rPr>
          <w:rFonts w:asciiTheme="minorHAnsi" w:hAnsiTheme="minorHAnsi" w:cstheme="minorHAnsi"/>
          <w:sz w:val="18"/>
          <w:szCs w:val="18"/>
        </w:rPr>
        <w:t>18.1</w:t>
      </w:r>
      <w:r w:rsidR="00E212C6">
        <w:rPr>
          <w:rFonts w:asciiTheme="minorHAnsi" w:hAnsiTheme="minorHAnsi" w:cstheme="minorHAnsi"/>
          <w:sz w:val="18"/>
          <w:szCs w:val="18"/>
        </w:rPr>
        <w:t>3</w:t>
      </w:r>
      <w:r w:rsidR="00920BEF" w:rsidRPr="005F45A3">
        <w:rPr>
          <w:rFonts w:asciiTheme="minorHAnsi" w:hAnsiTheme="minorHAnsi" w:cstheme="minorHAnsi"/>
          <w:sz w:val="18"/>
          <w:szCs w:val="18"/>
        </w:rPr>
        <w:t xml:space="preserve"> %</w:t>
      </w:r>
      <w:r w:rsidR="0069250B" w:rsidRPr="005F45A3">
        <w:rPr>
          <w:rFonts w:asciiTheme="minorHAnsi" w:hAnsiTheme="minorHAnsi" w:cstheme="minorHAnsi"/>
          <w:sz w:val="18"/>
          <w:szCs w:val="18"/>
        </w:rPr>
        <w:t xml:space="preserve"> </w:t>
      </w:r>
      <w:r w:rsidR="00B07C73" w:rsidRPr="005F45A3">
        <w:rPr>
          <w:rFonts w:asciiTheme="minorHAnsi" w:hAnsiTheme="minorHAnsi" w:cstheme="minorHAnsi"/>
          <w:sz w:val="18"/>
          <w:szCs w:val="18"/>
        </w:rPr>
        <w:t>con respecto</w:t>
      </w:r>
      <w:r w:rsidR="0069250B" w:rsidRPr="005F45A3">
        <w:rPr>
          <w:rFonts w:asciiTheme="minorHAnsi" w:hAnsiTheme="minorHAnsi" w:cstheme="minorHAnsi"/>
          <w:sz w:val="18"/>
          <w:szCs w:val="18"/>
        </w:rPr>
        <w:t xml:space="preserve"> </w:t>
      </w:r>
      <w:r w:rsidR="00B9489D" w:rsidRPr="005F45A3">
        <w:rPr>
          <w:rFonts w:asciiTheme="minorHAnsi" w:hAnsiTheme="minorHAnsi" w:cstheme="minorHAnsi"/>
          <w:sz w:val="18"/>
          <w:szCs w:val="18"/>
        </w:rPr>
        <w:t xml:space="preserve">al </w:t>
      </w:r>
      <w:r w:rsidR="00E212C6">
        <w:rPr>
          <w:rFonts w:asciiTheme="minorHAnsi" w:hAnsiTheme="minorHAnsi" w:cstheme="minorHAnsi"/>
          <w:sz w:val="18"/>
          <w:szCs w:val="18"/>
        </w:rPr>
        <w:t>cierre de la Cuenta Pública 2021</w:t>
      </w:r>
      <w:r w:rsidR="00113935">
        <w:rPr>
          <w:rFonts w:asciiTheme="minorHAnsi" w:hAnsiTheme="minorHAnsi" w:cstheme="minorHAnsi"/>
          <w:sz w:val="18"/>
          <w:szCs w:val="18"/>
        </w:rPr>
        <w:t xml:space="preserve">, </w:t>
      </w:r>
      <w:r w:rsidR="0069250B" w:rsidRPr="005F45A3">
        <w:rPr>
          <w:rFonts w:asciiTheme="minorHAnsi" w:hAnsiTheme="minorHAnsi" w:cstheme="minorHAnsi"/>
          <w:sz w:val="18"/>
          <w:szCs w:val="18"/>
        </w:rPr>
        <w:t xml:space="preserve">por la </w:t>
      </w:r>
      <w:r w:rsidR="00B07C73" w:rsidRPr="005F45A3">
        <w:rPr>
          <w:rFonts w:asciiTheme="minorHAnsi" w:hAnsiTheme="minorHAnsi" w:cstheme="minorHAnsi"/>
          <w:sz w:val="18"/>
          <w:szCs w:val="18"/>
        </w:rPr>
        <w:t>cantidad de</w:t>
      </w:r>
      <w:r w:rsidR="0069250B" w:rsidRPr="005F45A3">
        <w:rPr>
          <w:rFonts w:asciiTheme="minorHAnsi" w:hAnsiTheme="minorHAnsi" w:cstheme="minorHAnsi"/>
          <w:sz w:val="18"/>
          <w:szCs w:val="18"/>
        </w:rPr>
        <w:t xml:space="preserve"> </w:t>
      </w:r>
      <w:r w:rsidR="009841F8" w:rsidRPr="005F45A3">
        <w:rPr>
          <w:rFonts w:asciiTheme="minorHAnsi" w:hAnsiTheme="minorHAnsi" w:cstheme="minorHAnsi"/>
          <w:sz w:val="18"/>
          <w:szCs w:val="18"/>
        </w:rPr>
        <w:t>$</w:t>
      </w:r>
      <w:r w:rsidR="00B9489D">
        <w:rPr>
          <w:rFonts w:asciiTheme="minorHAnsi" w:hAnsiTheme="minorHAnsi" w:cstheme="minorHAnsi"/>
          <w:sz w:val="18"/>
          <w:szCs w:val="18"/>
        </w:rPr>
        <w:t>1</w:t>
      </w:r>
      <w:proofErr w:type="gramStart"/>
      <w:r w:rsidR="00B9489D">
        <w:rPr>
          <w:rFonts w:asciiTheme="minorHAnsi" w:hAnsiTheme="minorHAnsi" w:cstheme="minorHAnsi"/>
          <w:sz w:val="18"/>
          <w:szCs w:val="18"/>
        </w:rPr>
        <w:t>,</w:t>
      </w:r>
      <w:r w:rsidR="00E212C6">
        <w:rPr>
          <w:rFonts w:asciiTheme="minorHAnsi" w:hAnsiTheme="minorHAnsi" w:cstheme="minorHAnsi"/>
          <w:sz w:val="18"/>
          <w:szCs w:val="18"/>
        </w:rPr>
        <w:t>449,925,212</w:t>
      </w:r>
      <w:proofErr w:type="gramEnd"/>
      <w:r w:rsidR="00B9489D">
        <w:rPr>
          <w:rFonts w:asciiTheme="minorHAnsi" w:hAnsiTheme="minorHAnsi" w:cstheme="minorHAnsi"/>
          <w:sz w:val="18"/>
          <w:szCs w:val="18"/>
        </w:rPr>
        <w:t>.</w:t>
      </w:r>
    </w:p>
    <w:p w14:paraId="76D0B40B" w14:textId="77777777" w:rsidR="00B9489D" w:rsidRDefault="00B9489D" w:rsidP="00B9489D">
      <w:pPr>
        <w:spacing w:after="0" w:line="240" w:lineRule="exact"/>
        <w:ind w:hanging="567"/>
        <w:jc w:val="both"/>
        <w:rPr>
          <w:rFonts w:asciiTheme="minorHAnsi" w:hAnsiTheme="minorHAnsi" w:cstheme="minorHAnsi"/>
          <w:sz w:val="18"/>
          <w:szCs w:val="18"/>
        </w:rPr>
      </w:pPr>
    </w:p>
    <w:p w14:paraId="44D50ED5" w14:textId="77777777" w:rsidR="00B9489D" w:rsidRPr="005F45A3" w:rsidRDefault="00B9489D" w:rsidP="00B9489D">
      <w:pPr>
        <w:spacing w:after="0" w:line="240" w:lineRule="exact"/>
        <w:ind w:hanging="567"/>
        <w:jc w:val="both"/>
        <w:rPr>
          <w:rFonts w:asciiTheme="minorHAnsi" w:hAnsiTheme="minorHAnsi" w:cstheme="minorHAnsi"/>
          <w:sz w:val="18"/>
          <w:szCs w:val="18"/>
        </w:rPr>
      </w:pPr>
    </w:p>
    <w:p w14:paraId="2D375DA2" w14:textId="7266D4E7" w:rsidR="00B07C73" w:rsidRPr="005F45A3" w:rsidRDefault="00B07C73" w:rsidP="00295AC0">
      <w:pPr>
        <w:pStyle w:val="Texto"/>
        <w:spacing w:after="0" w:line="200" w:lineRule="exact"/>
        <w:ind w:left="426" w:hanging="436"/>
        <w:rPr>
          <w:rFonts w:asciiTheme="minorHAnsi" w:hAnsiTheme="minorHAnsi" w:cstheme="minorHAnsi"/>
          <w:b/>
          <w:sz w:val="20"/>
          <w:szCs w:val="18"/>
          <w:lang w:val="es-MX"/>
        </w:rPr>
      </w:pPr>
      <w:r w:rsidRPr="005F45A3">
        <w:rPr>
          <w:rFonts w:asciiTheme="minorHAnsi" w:hAnsiTheme="minorHAnsi" w:cstheme="minorHAnsi"/>
          <w:b/>
          <w:sz w:val="20"/>
          <w:szCs w:val="18"/>
          <w:lang w:val="es-MX"/>
        </w:rPr>
        <w:t>Información sobre la Deuda y el Reporte Analítico de la Deuda</w:t>
      </w:r>
    </w:p>
    <w:p w14:paraId="6E028C77" w14:textId="77777777" w:rsidR="00A16AD3" w:rsidRPr="005F45A3" w:rsidRDefault="00A16AD3" w:rsidP="00A16AD3">
      <w:pPr>
        <w:pStyle w:val="Texto"/>
        <w:spacing w:after="0" w:line="200" w:lineRule="exact"/>
        <w:ind w:left="720" w:firstLine="0"/>
        <w:rPr>
          <w:rFonts w:asciiTheme="minorHAnsi" w:hAnsiTheme="minorHAnsi" w:cstheme="minorHAnsi"/>
          <w:b/>
          <w:sz w:val="20"/>
          <w:szCs w:val="18"/>
          <w:lang w:val="es-MX"/>
        </w:rPr>
      </w:pPr>
    </w:p>
    <w:p w14:paraId="7C285D17" w14:textId="62C84A67" w:rsidR="00B07C73" w:rsidRPr="005F45A3" w:rsidRDefault="00B07C73" w:rsidP="00295AC0">
      <w:pPr>
        <w:pStyle w:val="Texto"/>
        <w:numPr>
          <w:ilvl w:val="0"/>
          <w:numId w:val="4"/>
        </w:numPr>
        <w:spacing w:after="0" w:line="240" w:lineRule="exact"/>
        <w:ind w:left="284"/>
        <w:rPr>
          <w:rFonts w:asciiTheme="minorHAnsi" w:hAnsiTheme="minorHAnsi" w:cstheme="minorHAnsi"/>
          <w:szCs w:val="18"/>
          <w:lang w:val="es-MX"/>
        </w:rPr>
      </w:pPr>
      <w:r w:rsidRPr="005F45A3">
        <w:rPr>
          <w:rFonts w:asciiTheme="minorHAnsi" w:hAnsiTheme="minorHAnsi" w:cstheme="minorHAnsi"/>
          <w:szCs w:val="18"/>
          <w:lang w:val="es-MX"/>
        </w:rPr>
        <w:t>Deuda Respecto al PIB</w:t>
      </w:r>
      <w:r w:rsidR="009325D7">
        <w:rPr>
          <w:rFonts w:asciiTheme="minorHAnsi" w:hAnsiTheme="minorHAnsi" w:cstheme="minorHAnsi"/>
          <w:szCs w:val="18"/>
          <w:lang w:val="es-MX"/>
        </w:rPr>
        <w:t>.</w:t>
      </w:r>
    </w:p>
    <w:p w14:paraId="2B94638A" w14:textId="77777777" w:rsidR="000C20BD" w:rsidRPr="005F45A3" w:rsidRDefault="000C20BD" w:rsidP="000C20BD">
      <w:pPr>
        <w:pStyle w:val="Texto"/>
        <w:spacing w:after="0" w:line="240" w:lineRule="exact"/>
        <w:ind w:left="720" w:firstLine="0"/>
        <w:rPr>
          <w:rFonts w:asciiTheme="minorHAnsi" w:hAnsiTheme="minorHAnsi" w:cstheme="minorHAnsi"/>
          <w:szCs w:val="18"/>
          <w:lang w:val="es-MX"/>
        </w:rPr>
      </w:pPr>
    </w:p>
    <w:tbl>
      <w:tblPr>
        <w:tblW w:w="6458" w:type="dxa"/>
        <w:tblCellMar>
          <w:left w:w="70" w:type="dxa"/>
          <w:right w:w="70" w:type="dxa"/>
        </w:tblCellMar>
        <w:tblLook w:val="04A0" w:firstRow="1" w:lastRow="0" w:firstColumn="1" w:lastColumn="0" w:noHBand="0" w:noVBand="1"/>
      </w:tblPr>
      <w:tblGrid>
        <w:gridCol w:w="1271"/>
        <w:gridCol w:w="2268"/>
        <w:gridCol w:w="1672"/>
        <w:gridCol w:w="1227"/>
        <w:gridCol w:w="20"/>
      </w:tblGrid>
      <w:tr w:rsidR="002472D3" w:rsidRPr="002472D3" w14:paraId="0751BFB6" w14:textId="77777777" w:rsidTr="00B43367">
        <w:trPr>
          <w:trHeight w:val="300"/>
        </w:trPr>
        <w:tc>
          <w:tcPr>
            <w:tcW w:w="6458" w:type="dxa"/>
            <w:gridSpan w:val="5"/>
            <w:tcBorders>
              <w:top w:val="single" w:sz="4" w:space="0" w:color="auto"/>
              <w:left w:val="single" w:sz="4" w:space="0" w:color="auto"/>
              <w:bottom w:val="single" w:sz="4" w:space="0" w:color="auto"/>
              <w:right w:val="single" w:sz="4" w:space="0" w:color="000000"/>
            </w:tcBorders>
            <w:shd w:val="clear" w:color="000000" w:fill="AB0033"/>
            <w:vAlign w:val="center"/>
            <w:hideMark/>
          </w:tcPr>
          <w:p w14:paraId="54421CA5" w14:textId="77777777" w:rsidR="002472D3" w:rsidRPr="002472D3" w:rsidRDefault="002472D3" w:rsidP="002472D3">
            <w:pPr>
              <w:spacing w:after="0" w:line="240" w:lineRule="auto"/>
              <w:jc w:val="center"/>
              <w:rPr>
                <w:rFonts w:eastAsia="Times New Roman" w:cs="Calibri"/>
                <w:b/>
                <w:bCs/>
                <w:color w:val="FFFFFF"/>
                <w:sz w:val="16"/>
                <w:szCs w:val="16"/>
                <w:lang w:eastAsia="es-MX"/>
              </w:rPr>
            </w:pPr>
            <w:r w:rsidRPr="002472D3">
              <w:rPr>
                <w:rFonts w:eastAsia="Times New Roman" w:cs="Calibri"/>
                <w:b/>
                <w:bCs/>
                <w:color w:val="FFFFFF"/>
                <w:sz w:val="16"/>
                <w:szCs w:val="16"/>
                <w:lang w:eastAsia="es-MX"/>
              </w:rPr>
              <w:t>Indicador: Deuda Respecto al PIB</w:t>
            </w:r>
          </w:p>
        </w:tc>
      </w:tr>
      <w:tr w:rsidR="002472D3" w:rsidRPr="002472D3" w14:paraId="066DFE21" w14:textId="77777777" w:rsidTr="00B43367">
        <w:trPr>
          <w:gridAfter w:val="1"/>
          <w:wAfter w:w="20" w:type="dxa"/>
          <w:trHeight w:val="290"/>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66344D75"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Año</w:t>
            </w:r>
          </w:p>
        </w:tc>
        <w:tc>
          <w:tcPr>
            <w:tcW w:w="2268" w:type="dxa"/>
            <w:tcBorders>
              <w:top w:val="nil"/>
              <w:left w:val="nil"/>
              <w:bottom w:val="single" w:sz="4" w:space="0" w:color="auto"/>
              <w:right w:val="single" w:sz="4" w:space="0" w:color="auto"/>
            </w:tcBorders>
            <w:shd w:val="clear" w:color="000000" w:fill="D9D9D9"/>
            <w:vAlign w:val="center"/>
            <w:hideMark/>
          </w:tcPr>
          <w:p w14:paraId="7F8C5F03"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Saldo de la Deuda</w:t>
            </w:r>
          </w:p>
        </w:tc>
        <w:tc>
          <w:tcPr>
            <w:tcW w:w="1672" w:type="dxa"/>
            <w:tcBorders>
              <w:top w:val="nil"/>
              <w:left w:val="nil"/>
              <w:bottom w:val="single" w:sz="4" w:space="0" w:color="auto"/>
              <w:right w:val="single" w:sz="4" w:space="0" w:color="auto"/>
            </w:tcBorders>
            <w:shd w:val="clear" w:color="000000" w:fill="D9D9D9"/>
            <w:noWrap/>
            <w:vAlign w:val="center"/>
            <w:hideMark/>
          </w:tcPr>
          <w:p w14:paraId="4725EA4E"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PIB</w:t>
            </w:r>
          </w:p>
        </w:tc>
        <w:tc>
          <w:tcPr>
            <w:tcW w:w="1227" w:type="dxa"/>
            <w:tcBorders>
              <w:top w:val="nil"/>
              <w:left w:val="nil"/>
              <w:bottom w:val="single" w:sz="4" w:space="0" w:color="auto"/>
              <w:right w:val="single" w:sz="4" w:space="0" w:color="auto"/>
            </w:tcBorders>
            <w:shd w:val="clear" w:color="000000" w:fill="D9D9D9"/>
            <w:noWrap/>
            <w:vAlign w:val="center"/>
            <w:hideMark/>
          </w:tcPr>
          <w:p w14:paraId="149A81B0" w14:textId="77777777" w:rsidR="002472D3" w:rsidRPr="002472D3" w:rsidRDefault="002472D3" w:rsidP="002472D3">
            <w:pPr>
              <w:spacing w:after="0" w:line="240" w:lineRule="auto"/>
              <w:jc w:val="right"/>
              <w:rPr>
                <w:rFonts w:eastAsia="Times New Roman" w:cs="Calibri"/>
                <w:b/>
                <w:bCs/>
                <w:color w:val="000000"/>
                <w:sz w:val="16"/>
                <w:szCs w:val="16"/>
                <w:lang w:eastAsia="es-MX"/>
              </w:rPr>
            </w:pPr>
            <w:r w:rsidRPr="002472D3">
              <w:rPr>
                <w:rFonts w:eastAsia="Times New Roman" w:cs="Calibri"/>
                <w:b/>
                <w:bCs/>
                <w:color w:val="000000"/>
                <w:sz w:val="16"/>
                <w:szCs w:val="16"/>
                <w:lang w:eastAsia="es-MX"/>
              </w:rPr>
              <w:t>Indicador</w:t>
            </w:r>
          </w:p>
        </w:tc>
      </w:tr>
      <w:tr w:rsidR="002472D3" w:rsidRPr="002472D3" w14:paraId="20D73305" w14:textId="77777777" w:rsidTr="00B43367">
        <w:trPr>
          <w:gridAfter w:val="1"/>
          <w:wAfter w:w="20" w:type="dxa"/>
          <w:trHeight w:val="29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44BAEC83"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2015</w:t>
            </w:r>
          </w:p>
        </w:tc>
        <w:tc>
          <w:tcPr>
            <w:tcW w:w="2268" w:type="dxa"/>
            <w:tcBorders>
              <w:top w:val="nil"/>
              <w:left w:val="nil"/>
              <w:bottom w:val="single" w:sz="4" w:space="0" w:color="auto"/>
              <w:right w:val="single" w:sz="4" w:space="0" w:color="auto"/>
            </w:tcBorders>
            <w:shd w:val="clear" w:color="000000" w:fill="FFFFFF"/>
            <w:noWrap/>
            <w:vAlign w:val="center"/>
            <w:hideMark/>
          </w:tcPr>
          <w:p w14:paraId="52104417"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11,337,341,446</w:t>
            </w:r>
          </w:p>
        </w:tc>
        <w:tc>
          <w:tcPr>
            <w:tcW w:w="1672" w:type="dxa"/>
            <w:tcBorders>
              <w:top w:val="nil"/>
              <w:left w:val="nil"/>
              <w:bottom w:val="single" w:sz="4" w:space="0" w:color="auto"/>
              <w:right w:val="single" w:sz="4" w:space="0" w:color="auto"/>
            </w:tcBorders>
            <w:shd w:val="clear" w:color="000000" w:fill="FFFFFF"/>
            <w:noWrap/>
            <w:vAlign w:val="center"/>
            <w:hideMark/>
          </w:tcPr>
          <w:p w14:paraId="551112C7"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 xml:space="preserve"> 413,829,000,000  </w:t>
            </w:r>
          </w:p>
        </w:tc>
        <w:tc>
          <w:tcPr>
            <w:tcW w:w="1227" w:type="dxa"/>
            <w:tcBorders>
              <w:top w:val="nil"/>
              <w:left w:val="nil"/>
              <w:bottom w:val="single" w:sz="4" w:space="0" w:color="auto"/>
              <w:right w:val="single" w:sz="4" w:space="0" w:color="auto"/>
            </w:tcBorders>
            <w:shd w:val="clear" w:color="auto" w:fill="auto"/>
            <w:noWrap/>
            <w:vAlign w:val="bottom"/>
            <w:hideMark/>
          </w:tcPr>
          <w:p w14:paraId="0B0A2FC4"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0.0274</w:t>
            </w:r>
          </w:p>
        </w:tc>
      </w:tr>
      <w:tr w:rsidR="002472D3" w:rsidRPr="002472D3" w14:paraId="53DA8E54" w14:textId="77777777" w:rsidTr="00B43367">
        <w:trPr>
          <w:gridAfter w:val="1"/>
          <w:wAfter w:w="20" w:type="dxa"/>
          <w:trHeight w:val="29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7ACCFEDC"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2016</w:t>
            </w:r>
          </w:p>
        </w:tc>
        <w:tc>
          <w:tcPr>
            <w:tcW w:w="2268" w:type="dxa"/>
            <w:tcBorders>
              <w:top w:val="nil"/>
              <w:left w:val="nil"/>
              <w:bottom w:val="single" w:sz="4" w:space="0" w:color="auto"/>
              <w:right w:val="single" w:sz="4" w:space="0" w:color="auto"/>
            </w:tcBorders>
            <w:shd w:val="clear" w:color="000000" w:fill="FFFFFF"/>
            <w:noWrap/>
            <w:vAlign w:val="center"/>
            <w:hideMark/>
          </w:tcPr>
          <w:p w14:paraId="255A3908"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11,833,696,945</w:t>
            </w:r>
          </w:p>
        </w:tc>
        <w:tc>
          <w:tcPr>
            <w:tcW w:w="1672" w:type="dxa"/>
            <w:tcBorders>
              <w:top w:val="nil"/>
              <w:left w:val="nil"/>
              <w:bottom w:val="single" w:sz="4" w:space="0" w:color="auto"/>
              <w:right w:val="single" w:sz="4" w:space="0" w:color="auto"/>
            </w:tcBorders>
            <w:shd w:val="clear" w:color="000000" w:fill="FFFFFF"/>
            <w:noWrap/>
            <w:vAlign w:val="center"/>
            <w:hideMark/>
          </w:tcPr>
          <w:p w14:paraId="114AAC2B"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423,214,900,000</w:t>
            </w:r>
          </w:p>
        </w:tc>
        <w:tc>
          <w:tcPr>
            <w:tcW w:w="1227" w:type="dxa"/>
            <w:tcBorders>
              <w:top w:val="nil"/>
              <w:left w:val="nil"/>
              <w:bottom w:val="single" w:sz="4" w:space="0" w:color="auto"/>
              <w:right w:val="single" w:sz="4" w:space="0" w:color="auto"/>
            </w:tcBorders>
            <w:shd w:val="clear" w:color="auto" w:fill="auto"/>
            <w:noWrap/>
            <w:vAlign w:val="bottom"/>
            <w:hideMark/>
          </w:tcPr>
          <w:p w14:paraId="78BBB34D"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0.0280</w:t>
            </w:r>
          </w:p>
        </w:tc>
      </w:tr>
      <w:tr w:rsidR="002472D3" w:rsidRPr="002472D3" w14:paraId="65CCC8F5" w14:textId="77777777" w:rsidTr="00B43367">
        <w:trPr>
          <w:gridAfter w:val="1"/>
          <w:wAfter w:w="20" w:type="dxa"/>
          <w:trHeight w:val="29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02930203"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2017</w:t>
            </w:r>
          </w:p>
        </w:tc>
        <w:tc>
          <w:tcPr>
            <w:tcW w:w="2268" w:type="dxa"/>
            <w:tcBorders>
              <w:top w:val="nil"/>
              <w:left w:val="nil"/>
              <w:bottom w:val="single" w:sz="4" w:space="0" w:color="auto"/>
              <w:right w:val="single" w:sz="4" w:space="0" w:color="auto"/>
            </w:tcBorders>
            <w:shd w:val="clear" w:color="000000" w:fill="FFFFFF"/>
            <w:noWrap/>
            <w:vAlign w:val="center"/>
            <w:hideMark/>
          </w:tcPr>
          <w:p w14:paraId="5CC0EA3B"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11,462,941,947</w:t>
            </w:r>
          </w:p>
        </w:tc>
        <w:tc>
          <w:tcPr>
            <w:tcW w:w="1672" w:type="dxa"/>
            <w:tcBorders>
              <w:top w:val="nil"/>
              <w:left w:val="nil"/>
              <w:bottom w:val="single" w:sz="4" w:space="0" w:color="auto"/>
              <w:right w:val="single" w:sz="4" w:space="0" w:color="auto"/>
            </w:tcBorders>
            <w:shd w:val="clear" w:color="000000" w:fill="FFFFFF"/>
            <w:noWrap/>
            <w:vAlign w:val="center"/>
            <w:hideMark/>
          </w:tcPr>
          <w:p w14:paraId="6FE6BBAA"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557,763,000,000</w:t>
            </w:r>
          </w:p>
        </w:tc>
        <w:tc>
          <w:tcPr>
            <w:tcW w:w="1227" w:type="dxa"/>
            <w:tcBorders>
              <w:top w:val="nil"/>
              <w:left w:val="nil"/>
              <w:bottom w:val="single" w:sz="4" w:space="0" w:color="auto"/>
              <w:right w:val="single" w:sz="4" w:space="0" w:color="auto"/>
            </w:tcBorders>
            <w:shd w:val="clear" w:color="auto" w:fill="auto"/>
            <w:noWrap/>
            <w:vAlign w:val="bottom"/>
            <w:hideMark/>
          </w:tcPr>
          <w:p w14:paraId="01BA5EA0"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0.0206</w:t>
            </w:r>
          </w:p>
        </w:tc>
      </w:tr>
      <w:tr w:rsidR="002472D3" w:rsidRPr="002472D3" w14:paraId="1C64D7E5" w14:textId="77777777" w:rsidTr="00B43367">
        <w:trPr>
          <w:gridAfter w:val="1"/>
          <w:wAfter w:w="20" w:type="dxa"/>
          <w:trHeight w:val="29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7C465EFB"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2018</w:t>
            </w:r>
          </w:p>
        </w:tc>
        <w:tc>
          <w:tcPr>
            <w:tcW w:w="2268" w:type="dxa"/>
            <w:tcBorders>
              <w:top w:val="nil"/>
              <w:left w:val="nil"/>
              <w:bottom w:val="single" w:sz="4" w:space="0" w:color="auto"/>
              <w:right w:val="single" w:sz="4" w:space="0" w:color="auto"/>
            </w:tcBorders>
            <w:shd w:val="clear" w:color="000000" w:fill="FFFFFF"/>
            <w:noWrap/>
            <w:vAlign w:val="center"/>
            <w:hideMark/>
          </w:tcPr>
          <w:p w14:paraId="32B6BD51"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11,582,032,979</w:t>
            </w:r>
          </w:p>
        </w:tc>
        <w:tc>
          <w:tcPr>
            <w:tcW w:w="1672" w:type="dxa"/>
            <w:tcBorders>
              <w:top w:val="nil"/>
              <w:left w:val="nil"/>
              <w:bottom w:val="single" w:sz="4" w:space="0" w:color="auto"/>
              <w:right w:val="single" w:sz="4" w:space="0" w:color="auto"/>
            </w:tcBorders>
            <w:shd w:val="clear" w:color="000000" w:fill="FFFFFF"/>
            <w:noWrap/>
            <w:vAlign w:val="center"/>
            <w:hideMark/>
          </w:tcPr>
          <w:p w14:paraId="2789A944"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607,890,000,000</w:t>
            </w:r>
          </w:p>
        </w:tc>
        <w:tc>
          <w:tcPr>
            <w:tcW w:w="1227" w:type="dxa"/>
            <w:tcBorders>
              <w:top w:val="nil"/>
              <w:left w:val="nil"/>
              <w:bottom w:val="single" w:sz="4" w:space="0" w:color="auto"/>
              <w:right w:val="single" w:sz="4" w:space="0" w:color="auto"/>
            </w:tcBorders>
            <w:shd w:val="clear" w:color="auto" w:fill="auto"/>
            <w:noWrap/>
            <w:vAlign w:val="bottom"/>
            <w:hideMark/>
          </w:tcPr>
          <w:p w14:paraId="672F4B33"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0.0191</w:t>
            </w:r>
          </w:p>
        </w:tc>
      </w:tr>
      <w:tr w:rsidR="002472D3" w:rsidRPr="002472D3" w14:paraId="52FCD1E8" w14:textId="77777777" w:rsidTr="00B43367">
        <w:trPr>
          <w:gridAfter w:val="1"/>
          <w:wAfter w:w="20" w:type="dxa"/>
          <w:trHeight w:val="29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63BB2309"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2019</w:t>
            </w:r>
          </w:p>
        </w:tc>
        <w:tc>
          <w:tcPr>
            <w:tcW w:w="2268" w:type="dxa"/>
            <w:tcBorders>
              <w:top w:val="nil"/>
              <w:left w:val="nil"/>
              <w:bottom w:val="single" w:sz="4" w:space="0" w:color="auto"/>
              <w:right w:val="single" w:sz="4" w:space="0" w:color="auto"/>
            </w:tcBorders>
            <w:shd w:val="clear" w:color="000000" w:fill="FFFFFF"/>
            <w:noWrap/>
            <w:vAlign w:val="center"/>
            <w:hideMark/>
          </w:tcPr>
          <w:p w14:paraId="1D3C0EFA"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14,416,115,884</w:t>
            </w:r>
          </w:p>
        </w:tc>
        <w:tc>
          <w:tcPr>
            <w:tcW w:w="1672" w:type="dxa"/>
            <w:tcBorders>
              <w:top w:val="nil"/>
              <w:left w:val="nil"/>
              <w:bottom w:val="single" w:sz="4" w:space="0" w:color="auto"/>
              <w:right w:val="single" w:sz="4" w:space="0" w:color="auto"/>
            </w:tcBorders>
            <w:shd w:val="clear" w:color="000000" w:fill="FFFFFF"/>
            <w:noWrap/>
            <w:vAlign w:val="center"/>
            <w:hideMark/>
          </w:tcPr>
          <w:p w14:paraId="24174638"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651,864,000,000</w:t>
            </w:r>
          </w:p>
        </w:tc>
        <w:tc>
          <w:tcPr>
            <w:tcW w:w="1227" w:type="dxa"/>
            <w:tcBorders>
              <w:top w:val="nil"/>
              <w:left w:val="nil"/>
              <w:bottom w:val="single" w:sz="4" w:space="0" w:color="auto"/>
              <w:right w:val="single" w:sz="4" w:space="0" w:color="auto"/>
            </w:tcBorders>
            <w:shd w:val="clear" w:color="auto" w:fill="auto"/>
            <w:noWrap/>
            <w:vAlign w:val="bottom"/>
            <w:hideMark/>
          </w:tcPr>
          <w:p w14:paraId="2BED8B11"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0.0221</w:t>
            </w:r>
          </w:p>
        </w:tc>
      </w:tr>
      <w:tr w:rsidR="002472D3" w:rsidRPr="002472D3" w14:paraId="78864490" w14:textId="77777777" w:rsidTr="00B43367">
        <w:trPr>
          <w:gridAfter w:val="1"/>
          <w:wAfter w:w="20" w:type="dxa"/>
          <w:trHeight w:val="29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480D9D1A"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2020</w:t>
            </w:r>
          </w:p>
        </w:tc>
        <w:tc>
          <w:tcPr>
            <w:tcW w:w="2268" w:type="dxa"/>
            <w:tcBorders>
              <w:top w:val="nil"/>
              <w:left w:val="nil"/>
              <w:bottom w:val="single" w:sz="4" w:space="0" w:color="auto"/>
              <w:right w:val="single" w:sz="4" w:space="0" w:color="auto"/>
            </w:tcBorders>
            <w:shd w:val="clear" w:color="000000" w:fill="FFFFFF"/>
            <w:noWrap/>
            <w:vAlign w:val="center"/>
            <w:hideMark/>
          </w:tcPr>
          <w:p w14:paraId="4D50D6E5"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14,020,190,971</w:t>
            </w:r>
          </w:p>
        </w:tc>
        <w:tc>
          <w:tcPr>
            <w:tcW w:w="1672" w:type="dxa"/>
            <w:tcBorders>
              <w:top w:val="nil"/>
              <w:left w:val="nil"/>
              <w:bottom w:val="single" w:sz="4" w:space="0" w:color="auto"/>
              <w:right w:val="single" w:sz="4" w:space="0" w:color="auto"/>
            </w:tcBorders>
            <w:shd w:val="clear" w:color="000000" w:fill="FFFFFF"/>
            <w:noWrap/>
            <w:vAlign w:val="center"/>
            <w:hideMark/>
          </w:tcPr>
          <w:p w14:paraId="3150F0F9"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709,991,000,000</w:t>
            </w:r>
          </w:p>
        </w:tc>
        <w:tc>
          <w:tcPr>
            <w:tcW w:w="1227" w:type="dxa"/>
            <w:tcBorders>
              <w:top w:val="nil"/>
              <w:left w:val="nil"/>
              <w:bottom w:val="single" w:sz="4" w:space="0" w:color="auto"/>
              <w:right w:val="single" w:sz="4" w:space="0" w:color="auto"/>
            </w:tcBorders>
            <w:shd w:val="clear" w:color="auto" w:fill="auto"/>
            <w:noWrap/>
            <w:vAlign w:val="bottom"/>
            <w:hideMark/>
          </w:tcPr>
          <w:p w14:paraId="09395BE0"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0.0197</w:t>
            </w:r>
          </w:p>
        </w:tc>
      </w:tr>
      <w:tr w:rsidR="002472D3" w:rsidRPr="002472D3" w14:paraId="4492FD51" w14:textId="77777777" w:rsidTr="00B43367">
        <w:trPr>
          <w:gridAfter w:val="1"/>
          <w:wAfter w:w="20" w:type="dxa"/>
          <w:trHeight w:val="29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52013E40"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2021</w:t>
            </w:r>
          </w:p>
        </w:tc>
        <w:tc>
          <w:tcPr>
            <w:tcW w:w="2268" w:type="dxa"/>
            <w:tcBorders>
              <w:top w:val="nil"/>
              <w:left w:val="nil"/>
              <w:bottom w:val="single" w:sz="4" w:space="0" w:color="auto"/>
              <w:right w:val="single" w:sz="4" w:space="0" w:color="auto"/>
            </w:tcBorders>
            <w:shd w:val="clear" w:color="000000" w:fill="FFFFFF"/>
            <w:noWrap/>
            <w:vAlign w:val="center"/>
            <w:hideMark/>
          </w:tcPr>
          <w:p w14:paraId="14BDF37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15,552,312,266</w:t>
            </w:r>
          </w:p>
        </w:tc>
        <w:tc>
          <w:tcPr>
            <w:tcW w:w="1672" w:type="dxa"/>
            <w:tcBorders>
              <w:top w:val="nil"/>
              <w:left w:val="nil"/>
              <w:bottom w:val="single" w:sz="4" w:space="0" w:color="auto"/>
              <w:right w:val="single" w:sz="4" w:space="0" w:color="auto"/>
            </w:tcBorders>
            <w:shd w:val="clear" w:color="000000" w:fill="FFFFFF"/>
            <w:noWrap/>
            <w:vAlign w:val="center"/>
            <w:hideMark/>
          </w:tcPr>
          <w:p w14:paraId="5633053C"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674,741,000,000</w:t>
            </w:r>
          </w:p>
        </w:tc>
        <w:tc>
          <w:tcPr>
            <w:tcW w:w="1227" w:type="dxa"/>
            <w:tcBorders>
              <w:top w:val="nil"/>
              <w:left w:val="nil"/>
              <w:bottom w:val="single" w:sz="4" w:space="0" w:color="auto"/>
              <w:right w:val="single" w:sz="4" w:space="0" w:color="auto"/>
            </w:tcBorders>
            <w:shd w:val="clear" w:color="auto" w:fill="auto"/>
            <w:noWrap/>
            <w:vAlign w:val="bottom"/>
            <w:hideMark/>
          </w:tcPr>
          <w:p w14:paraId="7E5CAE2D"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0.0230</w:t>
            </w:r>
          </w:p>
        </w:tc>
      </w:tr>
      <w:tr w:rsidR="002472D3" w:rsidRPr="002472D3" w14:paraId="60927B97" w14:textId="77777777" w:rsidTr="00B43367">
        <w:trPr>
          <w:gridAfter w:val="1"/>
          <w:wAfter w:w="20" w:type="dxa"/>
          <w:trHeight w:val="283"/>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560CE7C3"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2022</w:t>
            </w:r>
          </w:p>
        </w:tc>
        <w:tc>
          <w:tcPr>
            <w:tcW w:w="2268" w:type="dxa"/>
            <w:tcBorders>
              <w:top w:val="nil"/>
              <w:left w:val="nil"/>
              <w:bottom w:val="single" w:sz="4" w:space="0" w:color="auto"/>
              <w:right w:val="single" w:sz="4" w:space="0" w:color="auto"/>
            </w:tcBorders>
            <w:shd w:val="clear" w:color="000000" w:fill="FFFFFF"/>
            <w:noWrap/>
            <w:vAlign w:val="center"/>
            <w:hideMark/>
          </w:tcPr>
          <w:p w14:paraId="48240DCA"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15,833,324,062</w:t>
            </w:r>
          </w:p>
        </w:tc>
        <w:tc>
          <w:tcPr>
            <w:tcW w:w="1672" w:type="dxa"/>
            <w:tcBorders>
              <w:top w:val="nil"/>
              <w:left w:val="nil"/>
              <w:bottom w:val="single" w:sz="4" w:space="0" w:color="auto"/>
              <w:right w:val="single" w:sz="4" w:space="0" w:color="auto"/>
            </w:tcBorders>
            <w:shd w:val="clear" w:color="000000" w:fill="FFFFFF"/>
            <w:noWrap/>
            <w:vAlign w:val="center"/>
            <w:hideMark/>
          </w:tcPr>
          <w:p w14:paraId="2A31D214"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717,585,000,000</w:t>
            </w:r>
          </w:p>
        </w:tc>
        <w:tc>
          <w:tcPr>
            <w:tcW w:w="1227" w:type="dxa"/>
            <w:tcBorders>
              <w:top w:val="nil"/>
              <w:left w:val="nil"/>
              <w:bottom w:val="single" w:sz="4" w:space="0" w:color="auto"/>
              <w:right w:val="single" w:sz="4" w:space="0" w:color="auto"/>
            </w:tcBorders>
            <w:shd w:val="clear" w:color="auto" w:fill="auto"/>
            <w:noWrap/>
            <w:vAlign w:val="bottom"/>
            <w:hideMark/>
          </w:tcPr>
          <w:p w14:paraId="54551EFC"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0.0221</w:t>
            </w:r>
          </w:p>
        </w:tc>
      </w:tr>
    </w:tbl>
    <w:p w14:paraId="0544F69F" w14:textId="77777777" w:rsidR="00530E48" w:rsidRDefault="00530E48" w:rsidP="000C20BD">
      <w:pPr>
        <w:pStyle w:val="Texto"/>
        <w:spacing w:after="0" w:line="240" w:lineRule="exact"/>
        <w:ind w:left="720" w:firstLine="0"/>
        <w:rPr>
          <w:rFonts w:asciiTheme="minorHAnsi" w:hAnsiTheme="minorHAnsi" w:cstheme="minorHAnsi"/>
          <w:szCs w:val="18"/>
          <w:lang w:val="es-MX"/>
        </w:rPr>
      </w:pPr>
    </w:p>
    <w:p w14:paraId="41B5EA08" w14:textId="77777777" w:rsidR="00530E48" w:rsidRDefault="00530E48" w:rsidP="000C20BD">
      <w:pPr>
        <w:pStyle w:val="Texto"/>
        <w:spacing w:after="0" w:line="240" w:lineRule="exact"/>
        <w:ind w:left="720" w:firstLine="0"/>
        <w:rPr>
          <w:rFonts w:asciiTheme="minorHAnsi" w:hAnsiTheme="minorHAnsi" w:cstheme="minorHAnsi"/>
          <w:szCs w:val="18"/>
          <w:lang w:val="es-MX"/>
        </w:rPr>
      </w:pPr>
    </w:p>
    <w:p w14:paraId="33754C16" w14:textId="77777777" w:rsidR="00A9460E" w:rsidRPr="005F45A3" w:rsidRDefault="00A9460E" w:rsidP="00295AC0">
      <w:pPr>
        <w:pStyle w:val="Texto"/>
        <w:numPr>
          <w:ilvl w:val="0"/>
          <w:numId w:val="4"/>
        </w:numPr>
        <w:spacing w:after="0" w:line="240" w:lineRule="exact"/>
        <w:ind w:left="284"/>
        <w:rPr>
          <w:rFonts w:asciiTheme="minorHAnsi" w:hAnsiTheme="minorHAnsi" w:cstheme="minorHAnsi"/>
          <w:szCs w:val="18"/>
        </w:rPr>
      </w:pPr>
      <w:r w:rsidRPr="005F45A3">
        <w:rPr>
          <w:rFonts w:asciiTheme="minorHAnsi" w:hAnsiTheme="minorHAnsi" w:cstheme="minorHAnsi"/>
          <w:szCs w:val="18"/>
        </w:rPr>
        <w:lastRenderedPageBreak/>
        <w:t>Deuda Respecto a la Recaudación</w:t>
      </w:r>
    </w:p>
    <w:p w14:paraId="76EA490E" w14:textId="77777777" w:rsidR="00A9460E" w:rsidRPr="005F45A3" w:rsidRDefault="00A9460E" w:rsidP="000C20BD">
      <w:pPr>
        <w:pStyle w:val="Texto"/>
        <w:spacing w:after="0" w:line="240" w:lineRule="exact"/>
        <w:ind w:left="720" w:firstLine="0"/>
        <w:rPr>
          <w:rFonts w:asciiTheme="minorHAnsi" w:hAnsiTheme="minorHAnsi" w:cstheme="minorHAnsi"/>
          <w:szCs w:val="18"/>
          <w:lang w:val="es-MX"/>
        </w:rPr>
      </w:pPr>
    </w:p>
    <w:tbl>
      <w:tblPr>
        <w:tblW w:w="6290" w:type="dxa"/>
        <w:tblCellMar>
          <w:left w:w="70" w:type="dxa"/>
          <w:right w:w="70" w:type="dxa"/>
        </w:tblCellMar>
        <w:tblLook w:val="04A0" w:firstRow="1" w:lastRow="0" w:firstColumn="1" w:lastColumn="0" w:noHBand="0" w:noVBand="1"/>
      </w:tblPr>
      <w:tblGrid>
        <w:gridCol w:w="1129"/>
        <w:gridCol w:w="2268"/>
        <w:gridCol w:w="1560"/>
        <w:gridCol w:w="1321"/>
        <w:gridCol w:w="12"/>
      </w:tblGrid>
      <w:tr w:rsidR="002472D3" w:rsidRPr="002472D3" w14:paraId="388948F9" w14:textId="77777777" w:rsidTr="00B43367">
        <w:trPr>
          <w:trHeight w:val="300"/>
        </w:trPr>
        <w:tc>
          <w:tcPr>
            <w:tcW w:w="6290" w:type="dxa"/>
            <w:gridSpan w:val="5"/>
            <w:tcBorders>
              <w:top w:val="single" w:sz="4" w:space="0" w:color="auto"/>
              <w:left w:val="single" w:sz="4" w:space="0" w:color="auto"/>
              <w:bottom w:val="single" w:sz="4" w:space="0" w:color="auto"/>
              <w:right w:val="single" w:sz="4" w:space="0" w:color="000000"/>
            </w:tcBorders>
            <w:shd w:val="clear" w:color="000000" w:fill="AB0033"/>
            <w:vAlign w:val="center"/>
            <w:hideMark/>
          </w:tcPr>
          <w:p w14:paraId="2DF559F8" w14:textId="77777777" w:rsidR="002472D3" w:rsidRPr="002472D3" w:rsidRDefault="002472D3" w:rsidP="002472D3">
            <w:pPr>
              <w:spacing w:after="0" w:line="240" w:lineRule="auto"/>
              <w:jc w:val="center"/>
              <w:rPr>
                <w:rFonts w:eastAsia="Times New Roman" w:cs="Calibri"/>
                <w:b/>
                <w:bCs/>
                <w:color w:val="FFFFFF"/>
                <w:sz w:val="16"/>
                <w:szCs w:val="16"/>
                <w:lang w:eastAsia="es-MX"/>
              </w:rPr>
            </w:pPr>
            <w:r w:rsidRPr="002472D3">
              <w:rPr>
                <w:rFonts w:eastAsia="Times New Roman" w:cs="Calibri"/>
                <w:b/>
                <w:bCs/>
                <w:color w:val="FFFFFF"/>
                <w:sz w:val="16"/>
                <w:szCs w:val="16"/>
                <w:lang w:eastAsia="es-MX"/>
              </w:rPr>
              <w:t>Indicador: Deuda Respecto a la Recaudación</w:t>
            </w:r>
          </w:p>
        </w:tc>
      </w:tr>
      <w:tr w:rsidR="002472D3" w:rsidRPr="002472D3" w14:paraId="762F2331"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D9D9D9"/>
            <w:noWrap/>
            <w:vAlign w:val="center"/>
            <w:hideMark/>
          </w:tcPr>
          <w:p w14:paraId="05C1560C"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Año</w:t>
            </w:r>
          </w:p>
        </w:tc>
        <w:tc>
          <w:tcPr>
            <w:tcW w:w="2268" w:type="dxa"/>
            <w:tcBorders>
              <w:top w:val="nil"/>
              <w:left w:val="nil"/>
              <w:bottom w:val="single" w:sz="4" w:space="0" w:color="auto"/>
              <w:right w:val="single" w:sz="4" w:space="0" w:color="auto"/>
            </w:tcBorders>
            <w:shd w:val="clear" w:color="000000" w:fill="D9D9D9"/>
            <w:vAlign w:val="center"/>
            <w:hideMark/>
          </w:tcPr>
          <w:p w14:paraId="650EB8D0"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Saldo de la Deuda</w:t>
            </w:r>
          </w:p>
        </w:tc>
        <w:tc>
          <w:tcPr>
            <w:tcW w:w="1560" w:type="dxa"/>
            <w:tcBorders>
              <w:top w:val="nil"/>
              <w:left w:val="nil"/>
              <w:bottom w:val="single" w:sz="4" w:space="0" w:color="auto"/>
              <w:right w:val="single" w:sz="4" w:space="0" w:color="auto"/>
            </w:tcBorders>
            <w:shd w:val="clear" w:color="000000" w:fill="D9D9D9"/>
            <w:noWrap/>
            <w:vAlign w:val="center"/>
            <w:hideMark/>
          </w:tcPr>
          <w:p w14:paraId="00D4F515"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 xml:space="preserve">Recaudación </w:t>
            </w:r>
          </w:p>
        </w:tc>
        <w:tc>
          <w:tcPr>
            <w:tcW w:w="1321" w:type="dxa"/>
            <w:tcBorders>
              <w:top w:val="nil"/>
              <w:left w:val="nil"/>
              <w:bottom w:val="single" w:sz="4" w:space="0" w:color="auto"/>
              <w:right w:val="single" w:sz="4" w:space="0" w:color="auto"/>
            </w:tcBorders>
            <w:shd w:val="clear" w:color="000000" w:fill="D9D9D9"/>
            <w:noWrap/>
            <w:vAlign w:val="center"/>
            <w:hideMark/>
          </w:tcPr>
          <w:p w14:paraId="04CAE13A" w14:textId="77777777" w:rsidR="002472D3" w:rsidRPr="002472D3" w:rsidRDefault="002472D3" w:rsidP="002472D3">
            <w:pPr>
              <w:spacing w:after="0" w:line="240" w:lineRule="auto"/>
              <w:jc w:val="center"/>
              <w:rPr>
                <w:rFonts w:eastAsia="Times New Roman" w:cs="Calibri"/>
                <w:b/>
                <w:bCs/>
                <w:color w:val="000000"/>
                <w:sz w:val="16"/>
                <w:szCs w:val="16"/>
                <w:lang w:eastAsia="es-MX"/>
              </w:rPr>
            </w:pPr>
            <w:r w:rsidRPr="002472D3">
              <w:rPr>
                <w:rFonts w:eastAsia="Times New Roman" w:cs="Calibri"/>
                <w:b/>
                <w:bCs/>
                <w:color w:val="000000"/>
                <w:sz w:val="16"/>
                <w:szCs w:val="16"/>
                <w:lang w:eastAsia="es-MX"/>
              </w:rPr>
              <w:t xml:space="preserve">    Indicador</w:t>
            </w:r>
          </w:p>
        </w:tc>
      </w:tr>
      <w:tr w:rsidR="002472D3" w:rsidRPr="002472D3" w14:paraId="47A1824D"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9661230"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2015</w:t>
            </w:r>
          </w:p>
        </w:tc>
        <w:tc>
          <w:tcPr>
            <w:tcW w:w="2268" w:type="dxa"/>
            <w:tcBorders>
              <w:top w:val="nil"/>
              <w:left w:val="nil"/>
              <w:bottom w:val="single" w:sz="4" w:space="0" w:color="auto"/>
              <w:right w:val="single" w:sz="4" w:space="0" w:color="auto"/>
            </w:tcBorders>
            <w:shd w:val="clear" w:color="000000" w:fill="FFFFFF"/>
            <w:noWrap/>
            <w:vAlign w:val="center"/>
            <w:hideMark/>
          </w:tcPr>
          <w:p w14:paraId="2BD46792"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11,337,341,446</w:t>
            </w:r>
          </w:p>
        </w:tc>
        <w:tc>
          <w:tcPr>
            <w:tcW w:w="1560" w:type="dxa"/>
            <w:tcBorders>
              <w:top w:val="nil"/>
              <w:left w:val="nil"/>
              <w:bottom w:val="single" w:sz="4" w:space="0" w:color="auto"/>
              <w:right w:val="single" w:sz="4" w:space="0" w:color="auto"/>
            </w:tcBorders>
            <w:shd w:val="clear" w:color="000000" w:fill="FFFFFF"/>
            <w:noWrap/>
            <w:vAlign w:val="center"/>
            <w:hideMark/>
          </w:tcPr>
          <w:p w14:paraId="0E96255B"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5,332,511,930</w:t>
            </w:r>
          </w:p>
        </w:tc>
        <w:tc>
          <w:tcPr>
            <w:tcW w:w="1321" w:type="dxa"/>
            <w:tcBorders>
              <w:top w:val="nil"/>
              <w:left w:val="nil"/>
              <w:bottom w:val="single" w:sz="4" w:space="0" w:color="auto"/>
              <w:right w:val="single" w:sz="4" w:space="0" w:color="auto"/>
            </w:tcBorders>
            <w:shd w:val="clear" w:color="000000" w:fill="FFFFFF"/>
            <w:noWrap/>
            <w:vAlign w:val="center"/>
            <w:hideMark/>
          </w:tcPr>
          <w:p w14:paraId="3123DB51"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2.126</w:t>
            </w:r>
          </w:p>
        </w:tc>
      </w:tr>
      <w:tr w:rsidR="002472D3" w:rsidRPr="002472D3" w14:paraId="4E03FD67"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A108F94"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2016</w:t>
            </w:r>
          </w:p>
        </w:tc>
        <w:tc>
          <w:tcPr>
            <w:tcW w:w="2268" w:type="dxa"/>
            <w:tcBorders>
              <w:top w:val="nil"/>
              <w:left w:val="nil"/>
              <w:bottom w:val="single" w:sz="4" w:space="0" w:color="auto"/>
              <w:right w:val="single" w:sz="4" w:space="0" w:color="auto"/>
            </w:tcBorders>
            <w:shd w:val="clear" w:color="000000" w:fill="FFFFFF"/>
            <w:noWrap/>
            <w:vAlign w:val="center"/>
            <w:hideMark/>
          </w:tcPr>
          <w:p w14:paraId="0860DEC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11,833,696,945</w:t>
            </w:r>
          </w:p>
        </w:tc>
        <w:tc>
          <w:tcPr>
            <w:tcW w:w="1560" w:type="dxa"/>
            <w:tcBorders>
              <w:top w:val="nil"/>
              <w:left w:val="nil"/>
              <w:bottom w:val="single" w:sz="4" w:space="0" w:color="auto"/>
              <w:right w:val="single" w:sz="4" w:space="0" w:color="auto"/>
            </w:tcBorders>
            <w:shd w:val="clear" w:color="000000" w:fill="FFFFFF"/>
            <w:noWrap/>
            <w:vAlign w:val="center"/>
            <w:hideMark/>
          </w:tcPr>
          <w:p w14:paraId="07506DF7"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5,695,607,997</w:t>
            </w:r>
          </w:p>
        </w:tc>
        <w:tc>
          <w:tcPr>
            <w:tcW w:w="1321" w:type="dxa"/>
            <w:tcBorders>
              <w:top w:val="nil"/>
              <w:left w:val="nil"/>
              <w:bottom w:val="single" w:sz="4" w:space="0" w:color="auto"/>
              <w:right w:val="single" w:sz="4" w:space="0" w:color="auto"/>
            </w:tcBorders>
            <w:shd w:val="clear" w:color="000000" w:fill="FFFFFF"/>
            <w:noWrap/>
            <w:vAlign w:val="center"/>
            <w:hideMark/>
          </w:tcPr>
          <w:p w14:paraId="33974A23"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2.078</w:t>
            </w:r>
          </w:p>
        </w:tc>
      </w:tr>
      <w:tr w:rsidR="002472D3" w:rsidRPr="002472D3" w14:paraId="1CBD20EA"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A1D2659"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2017</w:t>
            </w:r>
          </w:p>
        </w:tc>
        <w:tc>
          <w:tcPr>
            <w:tcW w:w="2268" w:type="dxa"/>
            <w:tcBorders>
              <w:top w:val="nil"/>
              <w:left w:val="nil"/>
              <w:bottom w:val="single" w:sz="4" w:space="0" w:color="auto"/>
              <w:right w:val="single" w:sz="4" w:space="0" w:color="auto"/>
            </w:tcBorders>
            <w:shd w:val="clear" w:color="000000" w:fill="FFFFFF"/>
            <w:noWrap/>
            <w:vAlign w:val="center"/>
            <w:hideMark/>
          </w:tcPr>
          <w:p w14:paraId="1B54D437"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11,462,941,947</w:t>
            </w:r>
          </w:p>
        </w:tc>
        <w:tc>
          <w:tcPr>
            <w:tcW w:w="1560" w:type="dxa"/>
            <w:tcBorders>
              <w:top w:val="nil"/>
              <w:left w:val="nil"/>
              <w:bottom w:val="single" w:sz="4" w:space="0" w:color="auto"/>
              <w:right w:val="single" w:sz="4" w:space="0" w:color="auto"/>
            </w:tcBorders>
            <w:shd w:val="clear" w:color="000000" w:fill="FFFFFF"/>
            <w:noWrap/>
            <w:vAlign w:val="center"/>
            <w:hideMark/>
          </w:tcPr>
          <w:p w14:paraId="205DF815"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7,005,654,094</w:t>
            </w:r>
          </w:p>
        </w:tc>
        <w:tc>
          <w:tcPr>
            <w:tcW w:w="1321" w:type="dxa"/>
            <w:tcBorders>
              <w:top w:val="nil"/>
              <w:left w:val="nil"/>
              <w:bottom w:val="single" w:sz="4" w:space="0" w:color="auto"/>
              <w:right w:val="single" w:sz="4" w:space="0" w:color="auto"/>
            </w:tcBorders>
            <w:shd w:val="clear" w:color="000000" w:fill="FFFFFF"/>
            <w:noWrap/>
            <w:vAlign w:val="center"/>
            <w:hideMark/>
          </w:tcPr>
          <w:p w14:paraId="5002F6A6"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1.636</w:t>
            </w:r>
          </w:p>
        </w:tc>
      </w:tr>
      <w:tr w:rsidR="002472D3" w:rsidRPr="002472D3" w14:paraId="3B090F50"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EA465FC"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2018</w:t>
            </w:r>
          </w:p>
        </w:tc>
        <w:tc>
          <w:tcPr>
            <w:tcW w:w="2268" w:type="dxa"/>
            <w:tcBorders>
              <w:top w:val="nil"/>
              <w:left w:val="nil"/>
              <w:bottom w:val="single" w:sz="4" w:space="0" w:color="auto"/>
              <w:right w:val="single" w:sz="4" w:space="0" w:color="auto"/>
            </w:tcBorders>
            <w:shd w:val="clear" w:color="000000" w:fill="FFFFFF"/>
            <w:noWrap/>
            <w:vAlign w:val="center"/>
            <w:hideMark/>
          </w:tcPr>
          <w:p w14:paraId="23E93822"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11,582,032,979</w:t>
            </w:r>
          </w:p>
        </w:tc>
        <w:tc>
          <w:tcPr>
            <w:tcW w:w="1560" w:type="dxa"/>
            <w:tcBorders>
              <w:top w:val="nil"/>
              <w:left w:val="nil"/>
              <w:bottom w:val="single" w:sz="4" w:space="0" w:color="auto"/>
              <w:right w:val="single" w:sz="4" w:space="0" w:color="auto"/>
            </w:tcBorders>
            <w:shd w:val="clear" w:color="000000" w:fill="FFFFFF"/>
            <w:noWrap/>
            <w:vAlign w:val="center"/>
            <w:hideMark/>
          </w:tcPr>
          <w:p w14:paraId="451B440C"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6,693,584,312</w:t>
            </w:r>
          </w:p>
        </w:tc>
        <w:tc>
          <w:tcPr>
            <w:tcW w:w="1321" w:type="dxa"/>
            <w:tcBorders>
              <w:top w:val="nil"/>
              <w:left w:val="nil"/>
              <w:bottom w:val="single" w:sz="4" w:space="0" w:color="auto"/>
              <w:right w:val="single" w:sz="4" w:space="0" w:color="auto"/>
            </w:tcBorders>
            <w:shd w:val="clear" w:color="000000" w:fill="FFFFFF"/>
            <w:noWrap/>
            <w:vAlign w:val="center"/>
            <w:hideMark/>
          </w:tcPr>
          <w:p w14:paraId="420E5614"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1.730</w:t>
            </w:r>
          </w:p>
        </w:tc>
      </w:tr>
      <w:tr w:rsidR="002472D3" w:rsidRPr="002472D3" w14:paraId="578CFEBB"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59D45EE"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2019</w:t>
            </w:r>
          </w:p>
        </w:tc>
        <w:tc>
          <w:tcPr>
            <w:tcW w:w="2268" w:type="dxa"/>
            <w:tcBorders>
              <w:top w:val="nil"/>
              <w:left w:val="nil"/>
              <w:bottom w:val="single" w:sz="4" w:space="0" w:color="auto"/>
              <w:right w:val="single" w:sz="4" w:space="0" w:color="auto"/>
            </w:tcBorders>
            <w:shd w:val="clear" w:color="000000" w:fill="FFFFFF"/>
            <w:noWrap/>
            <w:vAlign w:val="center"/>
            <w:hideMark/>
          </w:tcPr>
          <w:p w14:paraId="5D909B71"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14,416,115,884</w:t>
            </w:r>
          </w:p>
        </w:tc>
        <w:tc>
          <w:tcPr>
            <w:tcW w:w="1560" w:type="dxa"/>
            <w:tcBorders>
              <w:top w:val="nil"/>
              <w:left w:val="nil"/>
              <w:bottom w:val="single" w:sz="4" w:space="0" w:color="auto"/>
              <w:right w:val="single" w:sz="4" w:space="0" w:color="auto"/>
            </w:tcBorders>
            <w:shd w:val="clear" w:color="000000" w:fill="FFFFFF"/>
            <w:noWrap/>
            <w:vAlign w:val="center"/>
            <w:hideMark/>
          </w:tcPr>
          <w:p w14:paraId="0FA8320B"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8,303,604,964</w:t>
            </w:r>
          </w:p>
        </w:tc>
        <w:tc>
          <w:tcPr>
            <w:tcW w:w="1321" w:type="dxa"/>
            <w:tcBorders>
              <w:top w:val="nil"/>
              <w:left w:val="nil"/>
              <w:bottom w:val="single" w:sz="4" w:space="0" w:color="auto"/>
              <w:right w:val="single" w:sz="4" w:space="0" w:color="auto"/>
            </w:tcBorders>
            <w:shd w:val="clear" w:color="000000" w:fill="FFFFFF"/>
            <w:noWrap/>
            <w:vAlign w:val="center"/>
            <w:hideMark/>
          </w:tcPr>
          <w:p w14:paraId="42948A5E"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1.736</w:t>
            </w:r>
          </w:p>
        </w:tc>
      </w:tr>
      <w:tr w:rsidR="002472D3" w:rsidRPr="002472D3" w14:paraId="4C783D46"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71529D1"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2020</w:t>
            </w:r>
          </w:p>
        </w:tc>
        <w:tc>
          <w:tcPr>
            <w:tcW w:w="2268" w:type="dxa"/>
            <w:tcBorders>
              <w:top w:val="nil"/>
              <w:left w:val="nil"/>
              <w:bottom w:val="single" w:sz="4" w:space="0" w:color="auto"/>
              <w:right w:val="single" w:sz="4" w:space="0" w:color="auto"/>
            </w:tcBorders>
            <w:shd w:val="clear" w:color="000000" w:fill="FFFFFF"/>
            <w:noWrap/>
            <w:vAlign w:val="center"/>
            <w:hideMark/>
          </w:tcPr>
          <w:p w14:paraId="61F2279E"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14,020,190,971</w:t>
            </w:r>
          </w:p>
        </w:tc>
        <w:tc>
          <w:tcPr>
            <w:tcW w:w="1560" w:type="dxa"/>
            <w:tcBorders>
              <w:top w:val="nil"/>
              <w:left w:val="nil"/>
              <w:bottom w:val="single" w:sz="4" w:space="0" w:color="auto"/>
              <w:right w:val="single" w:sz="4" w:space="0" w:color="auto"/>
            </w:tcBorders>
            <w:shd w:val="clear" w:color="000000" w:fill="FFFFFF"/>
            <w:noWrap/>
            <w:vAlign w:val="center"/>
            <w:hideMark/>
          </w:tcPr>
          <w:p w14:paraId="21E6B96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7,486,430,886</w:t>
            </w:r>
          </w:p>
        </w:tc>
        <w:tc>
          <w:tcPr>
            <w:tcW w:w="1321" w:type="dxa"/>
            <w:tcBorders>
              <w:top w:val="nil"/>
              <w:left w:val="nil"/>
              <w:bottom w:val="single" w:sz="4" w:space="0" w:color="auto"/>
              <w:right w:val="single" w:sz="4" w:space="0" w:color="auto"/>
            </w:tcBorders>
            <w:shd w:val="clear" w:color="000000" w:fill="FFFFFF"/>
            <w:noWrap/>
            <w:vAlign w:val="center"/>
            <w:hideMark/>
          </w:tcPr>
          <w:p w14:paraId="2B64936B"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1.873</w:t>
            </w:r>
          </w:p>
        </w:tc>
      </w:tr>
      <w:tr w:rsidR="002472D3" w:rsidRPr="002472D3" w14:paraId="5C3E781A"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BD37242"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2021</w:t>
            </w:r>
          </w:p>
        </w:tc>
        <w:tc>
          <w:tcPr>
            <w:tcW w:w="2268" w:type="dxa"/>
            <w:tcBorders>
              <w:top w:val="nil"/>
              <w:left w:val="nil"/>
              <w:bottom w:val="single" w:sz="4" w:space="0" w:color="auto"/>
              <w:right w:val="single" w:sz="4" w:space="0" w:color="auto"/>
            </w:tcBorders>
            <w:shd w:val="clear" w:color="000000" w:fill="FFFFFF"/>
            <w:noWrap/>
            <w:vAlign w:val="center"/>
            <w:hideMark/>
          </w:tcPr>
          <w:p w14:paraId="39D320EC"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15,552,312,266</w:t>
            </w:r>
          </w:p>
        </w:tc>
        <w:tc>
          <w:tcPr>
            <w:tcW w:w="1560" w:type="dxa"/>
            <w:tcBorders>
              <w:top w:val="nil"/>
              <w:left w:val="nil"/>
              <w:bottom w:val="single" w:sz="4" w:space="0" w:color="auto"/>
              <w:right w:val="single" w:sz="4" w:space="0" w:color="auto"/>
            </w:tcBorders>
            <w:shd w:val="clear" w:color="000000" w:fill="FFFFFF"/>
            <w:noWrap/>
            <w:vAlign w:val="center"/>
            <w:hideMark/>
          </w:tcPr>
          <w:p w14:paraId="73A2DA7E"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7,971,827,967</w:t>
            </w:r>
          </w:p>
        </w:tc>
        <w:tc>
          <w:tcPr>
            <w:tcW w:w="1321" w:type="dxa"/>
            <w:tcBorders>
              <w:top w:val="nil"/>
              <w:left w:val="nil"/>
              <w:bottom w:val="single" w:sz="4" w:space="0" w:color="auto"/>
              <w:right w:val="single" w:sz="4" w:space="0" w:color="auto"/>
            </w:tcBorders>
            <w:shd w:val="clear" w:color="000000" w:fill="FFFFFF"/>
            <w:noWrap/>
            <w:vAlign w:val="center"/>
            <w:hideMark/>
          </w:tcPr>
          <w:p w14:paraId="49A50F08"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1.951</w:t>
            </w:r>
          </w:p>
        </w:tc>
      </w:tr>
      <w:tr w:rsidR="002472D3" w:rsidRPr="002472D3" w14:paraId="231BDFD7" w14:textId="77777777" w:rsidTr="00B43367">
        <w:trPr>
          <w:gridAfter w:val="1"/>
          <w:wAfter w:w="12" w:type="dxa"/>
          <w:trHeight w:val="29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392613F" w14:textId="77777777" w:rsidR="002472D3" w:rsidRPr="002472D3" w:rsidRDefault="002472D3" w:rsidP="002472D3">
            <w:pPr>
              <w:spacing w:after="0" w:line="240" w:lineRule="auto"/>
              <w:jc w:val="center"/>
              <w:rPr>
                <w:rFonts w:eastAsia="Times New Roman" w:cs="Calibri"/>
                <w:color w:val="000000"/>
                <w:sz w:val="14"/>
                <w:szCs w:val="14"/>
                <w:lang w:eastAsia="es-MX"/>
              </w:rPr>
            </w:pPr>
            <w:r w:rsidRPr="002472D3">
              <w:rPr>
                <w:rFonts w:eastAsia="Times New Roman" w:cs="Calibri"/>
                <w:color w:val="000000"/>
                <w:sz w:val="14"/>
                <w:szCs w:val="14"/>
                <w:lang w:eastAsia="es-MX"/>
              </w:rPr>
              <w:t>2022</w:t>
            </w:r>
          </w:p>
        </w:tc>
        <w:tc>
          <w:tcPr>
            <w:tcW w:w="2268" w:type="dxa"/>
            <w:tcBorders>
              <w:top w:val="nil"/>
              <w:left w:val="nil"/>
              <w:bottom w:val="single" w:sz="4" w:space="0" w:color="auto"/>
              <w:right w:val="single" w:sz="4" w:space="0" w:color="auto"/>
            </w:tcBorders>
            <w:shd w:val="clear" w:color="000000" w:fill="FFFFFF"/>
            <w:noWrap/>
            <w:vAlign w:val="center"/>
            <w:hideMark/>
          </w:tcPr>
          <w:p w14:paraId="01A9ABF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15,833,324,062</w:t>
            </w:r>
          </w:p>
        </w:tc>
        <w:tc>
          <w:tcPr>
            <w:tcW w:w="1560" w:type="dxa"/>
            <w:tcBorders>
              <w:top w:val="nil"/>
              <w:left w:val="nil"/>
              <w:bottom w:val="single" w:sz="4" w:space="0" w:color="auto"/>
              <w:right w:val="single" w:sz="4" w:space="0" w:color="auto"/>
            </w:tcBorders>
            <w:shd w:val="clear" w:color="000000" w:fill="FFFFFF"/>
            <w:noWrap/>
            <w:vAlign w:val="center"/>
            <w:hideMark/>
          </w:tcPr>
          <w:p w14:paraId="6537FDA6"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9,445,961,212</w:t>
            </w:r>
          </w:p>
        </w:tc>
        <w:tc>
          <w:tcPr>
            <w:tcW w:w="1321" w:type="dxa"/>
            <w:tcBorders>
              <w:top w:val="nil"/>
              <w:left w:val="nil"/>
              <w:bottom w:val="single" w:sz="4" w:space="0" w:color="auto"/>
              <w:right w:val="single" w:sz="4" w:space="0" w:color="auto"/>
            </w:tcBorders>
            <w:shd w:val="clear" w:color="000000" w:fill="FFFFFF"/>
            <w:noWrap/>
            <w:vAlign w:val="center"/>
            <w:hideMark/>
          </w:tcPr>
          <w:p w14:paraId="300AA2FF" w14:textId="77777777" w:rsidR="002472D3" w:rsidRPr="002472D3" w:rsidRDefault="002472D3" w:rsidP="002472D3">
            <w:pPr>
              <w:spacing w:after="0" w:line="240" w:lineRule="auto"/>
              <w:jc w:val="right"/>
              <w:rPr>
                <w:rFonts w:eastAsia="Times New Roman" w:cs="Calibri"/>
                <w:color w:val="000000"/>
                <w:sz w:val="14"/>
                <w:szCs w:val="14"/>
                <w:lang w:eastAsia="es-MX"/>
              </w:rPr>
            </w:pPr>
            <w:r w:rsidRPr="002472D3">
              <w:rPr>
                <w:rFonts w:eastAsia="Times New Roman" w:cs="Calibri"/>
                <w:color w:val="000000"/>
                <w:sz w:val="14"/>
                <w:szCs w:val="14"/>
                <w:lang w:eastAsia="es-MX"/>
              </w:rPr>
              <w:t>1.676</w:t>
            </w:r>
          </w:p>
        </w:tc>
      </w:tr>
    </w:tbl>
    <w:p w14:paraId="11760E78" w14:textId="77777777" w:rsidR="000C20BD" w:rsidRPr="005F45A3" w:rsidRDefault="000C20BD" w:rsidP="000C20BD">
      <w:pPr>
        <w:pStyle w:val="Texto"/>
        <w:spacing w:after="0" w:line="240" w:lineRule="exact"/>
        <w:ind w:left="720" w:firstLine="0"/>
        <w:rPr>
          <w:rFonts w:asciiTheme="minorHAnsi" w:hAnsiTheme="minorHAnsi" w:cstheme="minorHAnsi"/>
          <w:szCs w:val="18"/>
          <w:lang w:val="es-MX"/>
        </w:rPr>
      </w:pPr>
    </w:p>
    <w:p w14:paraId="3E9E227A" w14:textId="77777777" w:rsidR="001C6A89" w:rsidRPr="005F45A3" w:rsidRDefault="001C6A89" w:rsidP="00B07C73">
      <w:pPr>
        <w:pStyle w:val="Texto"/>
        <w:spacing w:after="0" w:line="240" w:lineRule="exact"/>
        <w:rPr>
          <w:rFonts w:asciiTheme="minorHAnsi" w:hAnsiTheme="minorHAnsi" w:cstheme="minorHAnsi"/>
          <w:szCs w:val="18"/>
        </w:rPr>
      </w:pPr>
    </w:p>
    <w:p w14:paraId="5BD38103" w14:textId="274DCCCB" w:rsidR="00B07C73" w:rsidRDefault="00B07C73" w:rsidP="00295AC0">
      <w:pPr>
        <w:pStyle w:val="Texto"/>
        <w:numPr>
          <w:ilvl w:val="0"/>
          <w:numId w:val="4"/>
        </w:numPr>
        <w:tabs>
          <w:tab w:val="left" w:pos="360"/>
        </w:tabs>
        <w:spacing w:after="0" w:line="180" w:lineRule="exact"/>
        <w:ind w:hanging="720"/>
        <w:rPr>
          <w:rFonts w:asciiTheme="minorHAnsi" w:hAnsiTheme="minorHAnsi" w:cstheme="minorHAnsi"/>
          <w:szCs w:val="18"/>
        </w:rPr>
      </w:pPr>
      <w:r w:rsidRPr="005F45A3">
        <w:rPr>
          <w:rFonts w:asciiTheme="minorHAnsi" w:hAnsiTheme="minorHAnsi" w:cstheme="minorHAnsi"/>
          <w:szCs w:val="18"/>
        </w:rPr>
        <w:t>Acreedores, Registro y Autorizaciones de la Deuda Pública.</w:t>
      </w:r>
    </w:p>
    <w:p w14:paraId="6EB65DB0" w14:textId="77777777" w:rsidR="00526677" w:rsidRDefault="00526677" w:rsidP="00526677">
      <w:pPr>
        <w:pStyle w:val="Texto"/>
        <w:tabs>
          <w:tab w:val="left" w:pos="680"/>
        </w:tabs>
        <w:spacing w:after="0" w:line="180" w:lineRule="exact"/>
        <w:ind w:left="720" w:firstLine="0"/>
        <w:rPr>
          <w:rFonts w:asciiTheme="minorHAnsi" w:hAnsiTheme="minorHAnsi" w:cstheme="minorHAnsi"/>
          <w:szCs w:val="18"/>
        </w:rPr>
      </w:pPr>
    </w:p>
    <w:tbl>
      <w:tblPr>
        <w:tblW w:w="9969" w:type="dxa"/>
        <w:tblInd w:w="-5" w:type="dxa"/>
        <w:tblCellMar>
          <w:left w:w="70" w:type="dxa"/>
          <w:right w:w="70" w:type="dxa"/>
        </w:tblCellMar>
        <w:tblLook w:val="04A0" w:firstRow="1" w:lastRow="0" w:firstColumn="1" w:lastColumn="0" w:noHBand="0" w:noVBand="1"/>
      </w:tblPr>
      <w:tblGrid>
        <w:gridCol w:w="1054"/>
        <w:gridCol w:w="1125"/>
        <w:gridCol w:w="1019"/>
        <w:gridCol w:w="931"/>
        <w:gridCol w:w="931"/>
        <w:gridCol w:w="989"/>
        <w:gridCol w:w="1318"/>
        <w:gridCol w:w="1284"/>
        <w:gridCol w:w="1318"/>
      </w:tblGrid>
      <w:tr w:rsidR="001E4416" w:rsidRPr="001E4416" w14:paraId="7198A5EB" w14:textId="77777777" w:rsidTr="004C579E">
        <w:trPr>
          <w:trHeight w:val="1304"/>
        </w:trPr>
        <w:tc>
          <w:tcPr>
            <w:tcW w:w="1054"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5A768F39" w14:textId="77777777" w:rsidR="001E4416" w:rsidRPr="001E4416" w:rsidRDefault="001E4416" w:rsidP="001E4416">
            <w:pPr>
              <w:spacing w:after="0" w:line="240" w:lineRule="auto"/>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Acreedor</w:t>
            </w:r>
          </w:p>
        </w:tc>
        <w:tc>
          <w:tcPr>
            <w:tcW w:w="1125" w:type="dxa"/>
            <w:tcBorders>
              <w:top w:val="single" w:sz="4" w:space="0" w:color="auto"/>
              <w:left w:val="nil"/>
              <w:bottom w:val="single" w:sz="4" w:space="0" w:color="auto"/>
              <w:right w:val="single" w:sz="4" w:space="0" w:color="auto"/>
            </w:tcBorders>
            <w:shd w:val="clear" w:color="000000" w:fill="AB0033"/>
            <w:vAlign w:val="center"/>
            <w:hideMark/>
          </w:tcPr>
          <w:p w14:paraId="11615AB2"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Núm. Inscripción Registro de Empréstitos (SHCP Y SFG</w:t>
            </w:r>
          </w:p>
        </w:tc>
        <w:tc>
          <w:tcPr>
            <w:tcW w:w="1019" w:type="dxa"/>
            <w:tcBorders>
              <w:top w:val="single" w:sz="4" w:space="0" w:color="auto"/>
              <w:left w:val="nil"/>
              <w:bottom w:val="single" w:sz="4" w:space="0" w:color="auto"/>
              <w:right w:val="single" w:sz="4" w:space="0" w:color="auto"/>
            </w:tcBorders>
            <w:shd w:val="clear" w:color="000000" w:fill="AB0033"/>
            <w:vAlign w:val="center"/>
            <w:hideMark/>
          </w:tcPr>
          <w:p w14:paraId="5EE12219"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Fecha de  Inscripción Registro de Empréstitos (SHCP Y SFG</w:t>
            </w:r>
          </w:p>
        </w:tc>
        <w:tc>
          <w:tcPr>
            <w:tcW w:w="931" w:type="dxa"/>
            <w:tcBorders>
              <w:top w:val="single" w:sz="4" w:space="0" w:color="auto"/>
              <w:left w:val="nil"/>
              <w:bottom w:val="single" w:sz="4" w:space="0" w:color="auto"/>
              <w:right w:val="single" w:sz="4" w:space="0" w:color="auto"/>
            </w:tcBorders>
            <w:shd w:val="clear" w:color="000000" w:fill="AB0033"/>
            <w:vAlign w:val="center"/>
            <w:hideMark/>
          </w:tcPr>
          <w:p w14:paraId="7DE60533"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Número del Decreto del H. Congreso del Estado</w:t>
            </w:r>
          </w:p>
        </w:tc>
        <w:tc>
          <w:tcPr>
            <w:tcW w:w="931" w:type="dxa"/>
            <w:tcBorders>
              <w:top w:val="single" w:sz="4" w:space="0" w:color="auto"/>
              <w:left w:val="nil"/>
              <w:bottom w:val="single" w:sz="4" w:space="0" w:color="auto"/>
              <w:right w:val="single" w:sz="4" w:space="0" w:color="auto"/>
            </w:tcBorders>
            <w:shd w:val="clear" w:color="000000" w:fill="AB0033"/>
            <w:vAlign w:val="center"/>
            <w:hideMark/>
          </w:tcPr>
          <w:p w14:paraId="7C6279D9"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Fecha del  Decreto del      H. Congreso del Estado</w:t>
            </w:r>
          </w:p>
        </w:tc>
        <w:tc>
          <w:tcPr>
            <w:tcW w:w="989" w:type="dxa"/>
            <w:tcBorders>
              <w:top w:val="single" w:sz="4" w:space="0" w:color="auto"/>
              <w:left w:val="nil"/>
              <w:bottom w:val="single" w:sz="4" w:space="0" w:color="auto"/>
              <w:right w:val="single" w:sz="4" w:space="0" w:color="auto"/>
            </w:tcBorders>
            <w:shd w:val="clear" w:color="000000" w:fill="AB0033"/>
            <w:vAlign w:val="center"/>
            <w:hideMark/>
          </w:tcPr>
          <w:p w14:paraId="68E971A4"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Fecha de vencimiento</w:t>
            </w:r>
          </w:p>
        </w:tc>
        <w:tc>
          <w:tcPr>
            <w:tcW w:w="1318" w:type="dxa"/>
            <w:tcBorders>
              <w:top w:val="single" w:sz="4" w:space="0" w:color="auto"/>
              <w:left w:val="nil"/>
              <w:bottom w:val="single" w:sz="4" w:space="0" w:color="auto"/>
              <w:right w:val="single" w:sz="4" w:space="0" w:color="auto"/>
            </w:tcBorders>
            <w:shd w:val="clear" w:color="000000" w:fill="AB0033"/>
            <w:vAlign w:val="center"/>
            <w:hideMark/>
          </w:tcPr>
          <w:p w14:paraId="5EB98B80"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Monto Original Contratado</w:t>
            </w:r>
          </w:p>
        </w:tc>
        <w:tc>
          <w:tcPr>
            <w:tcW w:w="1284" w:type="dxa"/>
            <w:tcBorders>
              <w:top w:val="single" w:sz="4" w:space="0" w:color="auto"/>
              <w:left w:val="nil"/>
              <w:bottom w:val="single" w:sz="4" w:space="0" w:color="auto"/>
              <w:right w:val="single" w:sz="4" w:space="0" w:color="auto"/>
            </w:tcBorders>
            <w:shd w:val="clear" w:color="000000" w:fill="AB0033"/>
            <w:vAlign w:val="center"/>
            <w:hideMark/>
          </w:tcPr>
          <w:p w14:paraId="0F298F0F"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Monto Dispuesto</w:t>
            </w:r>
          </w:p>
        </w:tc>
        <w:tc>
          <w:tcPr>
            <w:tcW w:w="1318" w:type="dxa"/>
            <w:tcBorders>
              <w:top w:val="single" w:sz="4" w:space="0" w:color="auto"/>
              <w:left w:val="nil"/>
              <w:bottom w:val="single" w:sz="4" w:space="0" w:color="auto"/>
              <w:right w:val="single" w:sz="4" w:space="0" w:color="auto"/>
            </w:tcBorders>
            <w:shd w:val="clear" w:color="000000" w:fill="AB0033"/>
            <w:vAlign w:val="center"/>
            <w:hideMark/>
          </w:tcPr>
          <w:p w14:paraId="4861F8F5"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Saldo</w:t>
            </w:r>
          </w:p>
        </w:tc>
      </w:tr>
      <w:tr w:rsidR="001E4416" w:rsidRPr="001E4416" w14:paraId="00DCBDC6" w14:textId="77777777" w:rsidTr="004C579E">
        <w:trPr>
          <w:trHeight w:val="346"/>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08221D3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125" w:type="dxa"/>
            <w:tcBorders>
              <w:top w:val="nil"/>
              <w:left w:val="nil"/>
              <w:bottom w:val="single" w:sz="4" w:space="0" w:color="auto"/>
              <w:right w:val="single" w:sz="4" w:space="0" w:color="auto"/>
            </w:tcBorders>
            <w:shd w:val="clear" w:color="auto" w:fill="auto"/>
            <w:noWrap/>
            <w:vAlign w:val="bottom"/>
            <w:hideMark/>
          </w:tcPr>
          <w:p w14:paraId="1FC674C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029/2010</w:t>
            </w:r>
          </w:p>
        </w:tc>
        <w:tc>
          <w:tcPr>
            <w:tcW w:w="1019" w:type="dxa"/>
            <w:tcBorders>
              <w:top w:val="nil"/>
              <w:left w:val="nil"/>
              <w:bottom w:val="single" w:sz="4" w:space="0" w:color="auto"/>
              <w:right w:val="single" w:sz="4" w:space="0" w:color="auto"/>
            </w:tcBorders>
            <w:shd w:val="clear" w:color="auto" w:fill="auto"/>
            <w:noWrap/>
            <w:vAlign w:val="bottom"/>
            <w:hideMark/>
          </w:tcPr>
          <w:p w14:paraId="1B7BEFC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16/02/2010</w:t>
            </w:r>
          </w:p>
        </w:tc>
        <w:tc>
          <w:tcPr>
            <w:tcW w:w="931" w:type="dxa"/>
            <w:tcBorders>
              <w:top w:val="nil"/>
              <w:left w:val="nil"/>
              <w:bottom w:val="single" w:sz="4" w:space="0" w:color="auto"/>
              <w:right w:val="single" w:sz="4" w:space="0" w:color="auto"/>
            </w:tcBorders>
            <w:shd w:val="clear" w:color="auto" w:fill="auto"/>
            <w:noWrap/>
            <w:vAlign w:val="bottom"/>
            <w:hideMark/>
          </w:tcPr>
          <w:p w14:paraId="7CAAA98A" w14:textId="77777777" w:rsidR="001E4416" w:rsidRPr="001E4416" w:rsidRDefault="001E4416" w:rsidP="001E4416">
            <w:pPr>
              <w:spacing w:after="0" w:line="240" w:lineRule="auto"/>
              <w:jc w:val="center"/>
              <w:rPr>
                <w:rFonts w:asciiTheme="minorHAnsi" w:eastAsia="Times New Roman" w:hAnsiTheme="minorHAnsi" w:cstheme="minorHAnsi"/>
                <w:color w:val="000000"/>
                <w:sz w:val="14"/>
                <w:szCs w:val="14"/>
                <w:lang w:eastAsia="es-MX"/>
              </w:rPr>
            </w:pPr>
            <w:r w:rsidRPr="001E4416">
              <w:rPr>
                <w:rFonts w:asciiTheme="minorHAnsi" w:eastAsia="Times New Roman" w:hAnsiTheme="minorHAnsi" w:cstheme="minorHAnsi"/>
                <w:color w:val="000000"/>
                <w:sz w:val="14"/>
                <w:szCs w:val="14"/>
                <w:lang w:eastAsia="es-MX"/>
              </w:rPr>
              <w:t>LX1006</w:t>
            </w:r>
          </w:p>
        </w:tc>
        <w:tc>
          <w:tcPr>
            <w:tcW w:w="931" w:type="dxa"/>
            <w:tcBorders>
              <w:top w:val="nil"/>
              <w:left w:val="nil"/>
              <w:bottom w:val="single" w:sz="4" w:space="0" w:color="auto"/>
              <w:right w:val="single" w:sz="4" w:space="0" w:color="auto"/>
            </w:tcBorders>
            <w:shd w:val="clear" w:color="auto" w:fill="auto"/>
            <w:noWrap/>
            <w:vAlign w:val="bottom"/>
            <w:hideMark/>
          </w:tcPr>
          <w:p w14:paraId="3A3703D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17/12/2009</w:t>
            </w:r>
          </w:p>
        </w:tc>
        <w:tc>
          <w:tcPr>
            <w:tcW w:w="989" w:type="dxa"/>
            <w:tcBorders>
              <w:top w:val="nil"/>
              <w:left w:val="nil"/>
              <w:bottom w:val="single" w:sz="4" w:space="0" w:color="auto"/>
              <w:right w:val="single" w:sz="4" w:space="0" w:color="auto"/>
            </w:tcBorders>
            <w:shd w:val="clear" w:color="auto" w:fill="auto"/>
            <w:noWrap/>
            <w:vAlign w:val="bottom"/>
            <w:hideMark/>
          </w:tcPr>
          <w:p w14:paraId="6B9A96A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31/01/2030</w:t>
            </w:r>
          </w:p>
        </w:tc>
        <w:tc>
          <w:tcPr>
            <w:tcW w:w="1318" w:type="dxa"/>
            <w:tcBorders>
              <w:top w:val="nil"/>
              <w:left w:val="nil"/>
              <w:bottom w:val="single" w:sz="4" w:space="0" w:color="auto"/>
              <w:right w:val="single" w:sz="4" w:space="0" w:color="auto"/>
            </w:tcBorders>
            <w:shd w:val="clear" w:color="auto" w:fill="auto"/>
            <w:noWrap/>
            <w:vAlign w:val="bottom"/>
            <w:hideMark/>
          </w:tcPr>
          <w:p w14:paraId="24939A0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284" w:type="dxa"/>
            <w:tcBorders>
              <w:top w:val="nil"/>
              <w:left w:val="nil"/>
              <w:bottom w:val="single" w:sz="4" w:space="0" w:color="auto"/>
              <w:right w:val="single" w:sz="4" w:space="0" w:color="auto"/>
            </w:tcBorders>
            <w:shd w:val="clear" w:color="auto" w:fill="auto"/>
            <w:noWrap/>
            <w:vAlign w:val="bottom"/>
            <w:hideMark/>
          </w:tcPr>
          <w:p w14:paraId="4D88F27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318" w:type="dxa"/>
            <w:tcBorders>
              <w:top w:val="nil"/>
              <w:left w:val="nil"/>
              <w:bottom w:val="single" w:sz="4" w:space="0" w:color="auto"/>
              <w:right w:val="single" w:sz="4" w:space="0" w:color="auto"/>
            </w:tcBorders>
            <w:shd w:val="clear" w:color="000000" w:fill="FFFFFF"/>
            <w:noWrap/>
            <w:vAlign w:val="bottom"/>
            <w:hideMark/>
          </w:tcPr>
          <w:p w14:paraId="19CA4C4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389,194,155</w:t>
            </w:r>
          </w:p>
        </w:tc>
      </w:tr>
      <w:tr w:rsidR="001E4416" w:rsidRPr="001E4416" w14:paraId="63AC32BA"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2F690C1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125" w:type="dxa"/>
            <w:tcBorders>
              <w:top w:val="nil"/>
              <w:left w:val="nil"/>
              <w:bottom w:val="single" w:sz="4" w:space="0" w:color="auto"/>
              <w:right w:val="single" w:sz="4" w:space="0" w:color="auto"/>
            </w:tcBorders>
            <w:shd w:val="clear" w:color="auto" w:fill="auto"/>
            <w:noWrap/>
            <w:vAlign w:val="bottom"/>
            <w:hideMark/>
          </w:tcPr>
          <w:p w14:paraId="6C01291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223-FONAREC/2011</w:t>
            </w:r>
          </w:p>
        </w:tc>
        <w:tc>
          <w:tcPr>
            <w:tcW w:w="1019" w:type="dxa"/>
            <w:tcBorders>
              <w:top w:val="nil"/>
              <w:left w:val="nil"/>
              <w:bottom w:val="single" w:sz="4" w:space="0" w:color="auto"/>
              <w:right w:val="single" w:sz="4" w:space="0" w:color="auto"/>
            </w:tcBorders>
            <w:shd w:val="clear" w:color="auto" w:fill="auto"/>
            <w:noWrap/>
            <w:vAlign w:val="bottom"/>
            <w:hideMark/>
          </w:tcPr>
          <w:p w14:paraId="03933EA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11/07/2011</w:t>
            </w:r>
          </w:p>
        </w:tc>
        <w:tc>
          <w:tcPr>
            <w:tcW w:w="931" w:type="dxa"/>
            <w:tcBorders>
              <w:top w:val="nil"/>
              <w:left w:val="nil"/>
              <w:bottom w:val="single" w:sz="4" w:space="0" w:color="auto"/>
              <w:right w:val="single" w:sz="4" w:space="0" w:color="auto"/>
            </w:tcBorders>
            <w:shd w:val="clear" w:color="auto" w:fill="auto"/>
            <w:noWrap/>
            <w:vAlign w:val="bottom"/>
            <w:hideMark/>
          </w:tcPr>
          <w:p w14:paraId="42D83BC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LXI-38</w:t>
            </w:r>
          </w:p>
        </w:tc>
        <w:tc>
          <w:tcPr>
            <w:tcW w:w="931" w:type="dxa"/>
            <w:tcBorders>
              <w:top w:val="nil"/>
              <w:left w:val="nil"/>
              <w:bottom w:val="single" w:sz="4" w:space="0" w:color="auto"/>
              <w:right w:val="single" w:sz="4" w:space="0" w:color="auto"/>
            </w:tcBorders>
            <w:shd w:val="clear" w:color="auto" w:fill="auto"/>
            <w:noWrap/>
            <w:vAlign w:val="bottom"/>
            <w:hideMark/>
          </w:tcPr>
          <w:p w14:paraId="7C792AD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31/05/2011</w:t>
            </w:r>
          </w:p>
        </w:tc>
        <w:tc>
          <w:tcPr>
            <w:tcW w:w="989" w:type="dxa"/>
            <w:tcBorders>
              <w:top w:val="nil"/>
              <w:left w:val="nil"/>
              <w:bottom w:val="single" w:sz="4" w:space="0" w:color="auto"/>
              <w:right w:val="single" w:sz="4" w:space="0" w:color="auto"/>
            </w:tcBorders>
            <w:shd w:val="clear" w:color="auto" w:fill="auto"/>
            <w:noWrap/>
            <w:vAlign w:val="bottom"/>
            <w:hideMark/>
          </w:tcPr>
          <w:p w14:paraId="4F6D37C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29/07/2031</w:t>
            </w:r>
          </w:p>
        </w:tc>
        <w:tc>
          <w:tcPr>
            <w:tcW w:w="1318" w:type="dxa"/>
            <w:tcBorders>
              <w:top w:val="nil"/>
              <w:left w:val="nil"/>
              <w:bottom w:val="single" w:sz="4" w:space="0" w:color="auto"/>
              <w:right w:val="single" w:sz="4" w:space="0" w:color="auto"/>
            </w:tcBorders>
            <w:shd w:val="clear" w:color="auto" w:fill="auto"/>
            <w:noWrap/>
            <w:vAlign w:val="bottom"/>
            <w:hideMark/>
          </w:tcPr>
          <w:p w14:paraId="2C016D4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183,383,570</w:t>
            </w:r>
          </w:p>
        </w:tc>
        <w:tc>
          <w:tcPr>
            <w:tcW w:w="1284" w:type="dxa"/>
            <w:tcBorders>
              <w:top w:val="nil"/>
              <w:left w:val="nil"/>
              <w:bottom w:val="single" w:sz="4" w:space="0" w:color="auto"/>
              <w:right w:val="single" w:sz="4" w:space="0" w:color="auto"/>
            </w:tcBorders>
            <w:shd w:val="clear" w:color="auto" w:fill="auto"/>
            <w:noWrap/>
            <w:vAlign w:val="bottom"/>
            <w:hideMark/>
          </w:tcPr>
          <w:p w14:paraId="4DCA78DD"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164,159,265</w:t>
            </w:r>
          </w:p>
        </w:tc>
        <w:tc>
          <w:tcPr>
            <w:tcW w:w="1318" w:type="dxa"/>
            <w:tcBorders>
              <w:top w:val="nil"/>
              <w:left w:val="nil"/>
              <w:bottom w:val="single" w:sz="4" w:space="0" w:color="auto"/>
              <w:right w:val="single" w:sz="4" w:space="0" w:color="auto"/>
            </w:tcBorders>
            <w:shd w:val="clear" w:color="000000" w:fill="FFFFFF"/>
            <w:noWrap/>
            <w:vAlign w:val="bottom"/>
            <w:hideMark/>
          </w:tcPr>
          <w:p w14:paraId="6B8B8CF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84,929,337</w:t>
            </w:r>
          </w:p>
        </w:tc>
      </w:tr>
      <w:tr w:rsidR="001E4416" w:rsidRPr="001E4416" w14:paraId="673D30A6"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6022F69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125" w:type="dxa"/>
            <w:tcBorders>
              <w:top w:val="nil"/>
              <w:left w:val="nil"/>
              <w:bottom w:val="single" w:sz="4" w:space="0" w:color="auto"/>
              <w:right w:val="single" w:sz="4" w:space="0" w:color="auto"/>
            </w:tcBorders>
            <w:shd w:val="clear" w:color="auto" w:fill="auto"/>
            <w:noWrap/>
            <w:vAlign w:val="bottom"/>
            <w:hideMark/>
          </w:tcPr>
          <w:p w14:paraId="385AE3B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P28-0312028</w:t>
            </w:r>
          </w:p>
        </w:tc>
        <w:tc>
          <w:tcPr>
            <w:tcW w:w="1019" w:type="dxa"/>
            <w:tcBorders>
              <w:top w:val="nil"/>
              <w:left w:val="nil"/>
              <w:bottom w:val="single" w:sz="4" w:space="0" w:color="auto"/>
              <w:right w:val="single" w:sz="4" w:space="0" w:color="auto"/>
            </w:tcBorders>
            <w:shd w:val="clear" w:color="auto" w:fill="auto"/>
            <w:noWrap/>
            <w:vAlign w:val="bottom"/>
            <w:hideMark/>
          </w:tcPr>
          <w:p w14:paraId="11DE835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02/03/2012</w:t>
            </w:r>
          </w:p>
        </w:tc>
        <w:tc>
          <w:tcPr>
            <w:tcW w:w="931" w:type="dxa"/>
            <w:tcBorders>
              <w:top w:val="nil"/>
              <w:left w:val="nil"/>
              <w:bottom w:val="single" w:sz="4" w:space="0" w:color="auto"/>
              <w:right w:val="single" w:sz="4" w:space="0" w:color="auto"/>
            </w:tcBorders>
            <w:shd w:val="clear" w:color="auto" w:fill="auto"/>
            <w:noWrap/>
            <w:vAlign w:val="bottom"/>
            <w:hideMark/>
          </w:tcPr>
          <w:p w14:paraId="2060E89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LXI-173</w:t>
            </w:r>
          </w:p>
        </w:tc>
        <w:tc>
          <w:tcPr>
            <w:tcW w:w="931" w:type="dxa"/>
            <w:tcBorders>
              <w:top w:val="nil"/>
              <w:left w:val="nil"/>
              <w:bottom w:val="single" w:sz="4" w:space="0" w:color="auto"/>
              <w:right w:val="single" w:sz="4" w:space="0" w:color="auto"/>
            </w:tcBorders>
            <w:shd w:val="clear" w:color="auto" w:fill="auto"/>
            <w:noWrap/>
            <w:vAlign w:val="bottom"/>
            <w:hideMark/>
          </w:tcPr>
          <w:p w14:paraId="40C694E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07/12/2011</w:t>
            </w:r>
          </w:p>
        </w:tc>
        <w:tc>
          <w:tcPr>
            <w:tcW w:w="989" w:type="dxa"/>
            <w:tcBorders>
              <w:top w:val="nil"/>
              <w:left w:val="nil"/>
              <w:bottom w:val="single" w:sz="4" w:space="0" w:color="auto"/>
              <w:right w:val="single" w:sz="4" w:space="0" w:color="auto"/>
            </w:tcBorders>
            <w:shd w:val="clear" w:color="auto" w:fill="auto"/>
            <w:noWrap/>
            <w:vAlign w:val="bottom"/>
            <w:hideMark/>
          </w:tcPr>
          <w:p w14:paraId="1D4A814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25/05/2032</w:t>
            </w:r>
          </w:p>
        </w:tc>
        <w:tc>
          <w:tcPr>
            <w:tcW w:w="1318" w:type="dxa"/>
            <w:tcBorders>
              <w:top w:val="nil"/>
              <w:left w:val="nil"/>
              <w:bottom w:val="single" w:sz="4" w:space="0" w:color="auto"/>
              <w:right w:val="single" w:sz="4" w:space="0" w:color="auto"/>
            </w:tcBorders>
            <w:shd w:val="clear" w:color="auto" w:fill="auto"/>
            <w:noWrap/>
            <w:vAlign w:val="bottom"/>
            <w:hideMark/>
          </w:tcPr>
          <w:p w14:paraId="4E4DB50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187,112,637</w:t>
            </w:r>
          </w:p>
        </w:tc>
        <w:tc>
          <w:tcPr>
            <w:tcW w:w="1284" w:type="dxa"/>
            <w:tcBorders>
              <w:top w:val="nil"/>
              <w:left w:val="nil"/>
              <w:bottom w:val="single" w:sz="4" w:space="0" w:color="auto"/>
              <w:right w:val="single" w:sz="4" w:space="0" w:color="auto"/>
            </w:tcBorders>
            <w:shd w:val="clear" w:color="auto" w:fill="auto"/>
            <w:noWrap/>
            <w:vAlign w:val="bottom"/>
            <w:hideMark/>
          </w:tcPr>
          <w:p w14:paraId="16272856"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187,112,637</w:t>
            </w:r>
          </w:p>
        </w:tc>
        <w:tc>
          <w:tcPr>
            <w:tcW w:w="1318" w:type="dxa"/>
            <w:tcBorders>
              <w:top w:val="nil"/>
              <w:left w:val="nil"/>
              <w:bottom w:val="single" w:sz="4" w:space="0" w:color="auto"/>
              <w:right w:val="single" w:sz="4" w:space="0" w:color="auto"/>
            </w:tcBorders>
            <w:shd w:val="clear" w:color="000000" w:fill="FFFFFF"/>
            <w:noWrap/>
            <w:vAlign w:val="bottom"/>
            <w:hideMark/>
          </w:tcPr>
          <w:p w14:paraId="77432DB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96,804,480</w:t>
            </w:r>
          </w:p>
        </w:tc>
      </w:tr>
      <w:tr w:rsidR="001E4416" w:rsidRPr="001E4416" w14:paraId="064B8C5A"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31803DA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125" w:type="dxa"/>
            <w:tcBorders>
              <w:top w:val="nil"/>
              <w:left w:val="nil"/>
              <w:bottom w:val="single" w:sz="4" w:space="0" w:color="auto"/>
              <w:right w:val="single" w:sz="4" w:space="0" w:color="auto"/>
            </w:tcBorders>
            <w:shd w:val="clear" w:color="auto" w:fill="auto"/>
            <w:noWrap/>
            <w:vAlign w:val="bottom"/>
            <w:hideMark/>
          </w:tcPr>
          <w:p w14:paraId="1FC8FD7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P28-0314036</w:t>
            </w:r>
          </w:p>
        </w:tc>
        <w:tc>
          <w:tcPr>
            <w:tcW w:w="1019" w:type="dxa"/>
            <w:tcBorders>
              <w:top w:val="nil"/>
              <w:left w:val="nil"/>
              <w:bottom w:val="single" w:sz="4" w:space="0" w:color="auto"/>
              <w:right w:val="single" w:sz="4" w:space="0" w:color="auto"/>
            </w:tcBorders>
            <w:shd w:val="clear" w:color="auto" w:fill="auto"/>
            <w:noWrap/>
            <w:vAlign w:val="bottom"/>
            <w:hideMark/>
          </w:tcPr>
          <w:p w14:paraId="7CB1807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14/03/2014</w:t>
            </w:r>
          </w:p>
        </w:tc>
        <w:tc>
          <w:tcPr>
            <w:tcW w:w="931" w:type="dxa"/>
            <w:tcBorders>
              <w:top w:val="nil"/>
              <w:left w:val="nil"/>
              <w:bottom w:val="single" w:sz="4" w:space="0" w:color="auto"/>
              <w:right w:val="single" w:sz="4" w:space="0" w:color="auto"/>
            </w:tcBorders>
            <w:shd w:val="clear" w:color="auto" w:fill="auto"/>
            <w:noWrap/>
            <w:vAlign w:val="bottom"/>
            <w:hideMark/>
          </w:tcPr>
          <w:p w14:paraId="409B6B0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LXII-57</w:t>
            </w:r>
          </w:p>
        </w:tc>
        <w:tc>
          <w:tcPr>
            <w:tcW w:w="931" w:type="dxa"/>
            <w:tcBorders>
              <w:top w:val="nil"/>
              <w:left w:val="nil"/>
              <w:bottom w:val="single" w:sz="4" w:space="0" w:color="auto"/>
              <w:right w:val="single" w:sz="4" w:space="0" w:color="auto"/>
            </w:tcBorders>
            <w:shd w:val="clear" w:color="auto" w:fill="auto"/>
            <w:noWrap/>
            <w:vAlign w:val="bottom"/>
            <w:hideMark/>
          </w:tcPr>
          <w:p w14:paraId="256655D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17/12/2013</w:t>
            </w:r>
          </w:p>
        </w:tc>
        <w:tc>
          <w:tcPr>
            <w:tcW w:w="989" w:type="dxa"/>
            <w:tcBorders>
              <w:top w:val="nil"/>
              <w:left w:val="nil"/>
              <w:bottom w:val="single" w:sz="4" w:space="0" w:color="auto"/>
              <w:right w:val="single" w:sz="4" w:space="0" w:color="auto"/>
            </w:tcBorders>
            <w:shd w:val="clear" w:color="auto" w:fill="auto"/>
            <w:noWrap/>
            <w:vAlign w:val="bottom"/>
            <w:hideMark/>
          </w:tcPr>
          <w:p w14:paraId="61F818E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25/04/2024</w:t>
            </w:r>
          </w:p>
        </w:tc>
        <w:tc>
          <w:tcPr>
            <w:tcW w:w="1318" w:type="dxa"/>
            <w:tcBorders>
              <w:top w:val="nil"/>
              <w:left w:val="nil"/>
              <w:bottom w:val="single" w:sz="4" w:space="0" w:color="auto"/>
              <w:right w:val="single" w:sz="4" w:space="0" w:color="auto"/>
            </w:tcBorders>
            <w:shd w:val="clear" w:color="auto" w:fill="auto"/>
            <w:noWrap/>
            <w:vAlign w:val="bottom"/>
            <w:hideMark/>
          </w:tcPr>
          <w:p w14:paraId="05E15E06"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250,802,462</w:t>
            </w:r>
          </w:p>
        </w:tc>
        <w:tc>
          <w:tcPr>
            <w:tcW w:w="1284" w:type="dxa"/>
            <w:tcBorders>
              <w:top w:val="nil"/>
              <w:left w:val="nil"/>
              <w:bottom w:val="single" w:sz="4" w:space="0" w:color="auto"/>
              <w:right w:val="single" w:sz="4" w:space="0" w:color="auto"/>
            </w:tcBorders>
            <w:shd w:val="clear" w:color="auto" w:fill="auto"/>
            <w:noWrap/>
            <w:vAlign w:val="bottom"/>
            <w:hideMark/>
          </w:tcPr>
          <w:p w14:paraId="31E0AD7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234,553,668</w:t>
            </w:r>
          </w:p>
        </w:tc>
        <w:tc>
          <w:tcPr>
            <w:tcW w:w="1318" w:type="dxa"/>
            <w:tcBorders>
              <w:top w:val="nil"/>
              <w:left w:val="nil"/>
              <w:bottom w:val="single" w:sz="4" w:space="0" w:color="auto"/>
              <w:right w:val="single" w:sz="4" w:space="0" w:color="auto"/>
            </w:tcBorders>
            <w:shd w:val="clear" w:color="000000" w:fill="FFFFFF"/>
            <w:noWrap/>
            <w:vAlign w:val="bottom"/>
            <w:hideMark/>
          </w:tcPr>
          <w:p w14:paraId="136AE12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22,858,827</w:t>
            </w:r>
          </w:p>
        </w:tc>
      </w:tr>
      <w:tr w:rsidR="001E4416" w:rsidRPr="001E4416" w14:paraId="20CCFD15"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1B54189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125" w:type="dxa"/>
            <w:tcBorders>
              <w:top w:val="nil"/>
              <w:left w:val="nil"/>
              <w:bottom w:val="single" w:sz="4" w:space="0" w:color="auto"/>
              <w:right w:val="single" w:sz="4" w:space="0" w:color="auto"/>
            </w:tcBorders>
            <w:shd w:val="clear" w:color="auto" w:fill="auto"/>
            <w:noWrap/>
            <w:vAlign w:val="bottom"/>
            <w:hideMark/>
          </w:tcPr>
          <w:p w14:paraId="0440F03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P28-0315026</w:t>
            </w:r>
          </w:p>
        </w:tc>
        <w:tc>
          <w:tcPr>
            <w:tcW w:w="1019" w:type="dxa"/>
            <w:tcBorders>
              <w:top w:val="nil"/>
              <w:left w:val="nil"/>
              <w:bottom w:val="single" w:sz="4" w:space="0" w:color="auto"/>
              <w:right w:val="single" w:sz="4" w:space="0" w:color="auto"/>
            </w:tcBorders>
            <w:shd w:val="clear" w:color="auto" w:fill="auto"/>
            <w:noWrap/>
            <w:vAlign w:val="bottom"/>
            <w:hideMark/>
          </w:tcPr>
          <w:p w14:paraId="4A4B414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31/03/2015</w:t>
            </w:r>
          </w:p>
        </w:tc>
        <w:tc>
          <w:tcPr>
            <w:tcW w:w="931" w:type="dxa"/>
            <w:tcBorders>
              <w:top w:val="nil"/>
              <w:left w:val="nil"/>
              <w:bottom w:val="single" w:sz="4" w:space="0" w:color="auto"/>
              <w:right w:val="single" w:sz="4" w:space="0" w:color="auto"/>
            </w:tcBorders>
            <w:shd w:val="clear" w:color="auto" w:fill="auto"/>
            <w:noWrap/>
            <w:vAlign w:val="bottom"/>
            <w:hideMark/>
          </w:tcPr>
          <w:p w14:paraId="4413DA1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LXII-392</w:t>
            </w:r>
          </w:p>
        </w:tc>
        <w:tc>
          <w:tcPr>
            <w:tcW w:w="931" w:type="dxa"/>
            <w:tcBorders>
              <w:top w:val="nil"/>
              <w:left w:val="nil"/>
              <w:bottom w:val="single" w:sz="4" w:space="0" w:color="auto"/>
              <w:right w:val="single" w:sz="4" w:space="0" w:color="auto"/>
            </w:tcBorders>
            <w:shd w:val="clear" w:color="auto" w:fill="auto"/>
            <w:noWrap/>
            <w:vAlign w:val="bottom"/>
            <w:hideMark/>
          </w:tcPr>
          <w:p w14:paraId="48A399D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17/12/2014</w:t>
            </w:r>
          </w:p>
        </w:tc>
        <w:tc>
          <w:tcPr>
            <w:tcW w:w="989" w:type="dxa"/>
            <w:tcBorders>
              <w:top w:val="nil"/>
              <w:left w:val="nil"/>
              <w:bottom w:val="single" w:sz="4" w:space="0" w:color="auto"/>
              <w:right w:val="single" w:sz="4" w:space="0" w:color="auto"/>
            </w:tcBorders>
            <w:shd w:val="clear" w:color="auto" w:fill="auto"/>
            <w:noWrap/>
            <w:vAlign w:val="bottom"/>
            <w:hideMark/>
          </w:tcPr>
          <w:p w14:paraId="4752EC3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28/03/2025</w:t>
            </w:r>
          </w:p>
        </w:tc>
        <w:tc>
          <w:tcPr>
            <w:tcW w:w="1318" w:type="dxa"/>
            <w:tcBorders>
              <w:top w:val="nil"/>
              <w:left w:val="nil"/>
              <w:bottom w:val="single" w:sz="4" w:space="0" w:color="auto"/>
              <w:right w:val="single" w:sz="4" w:space="0" w:color="auto"/>
            </w:tcBorders>
            <w:shd w:val="clear" w:color="auto" w:fill="auto"/>
            <w:noWrap/>
            <w:vAlign w:val="bottom"/>
            <w:hideMark/>
          </w:tcPr>
          <w:p w14:paraId="533C922E"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113,990,000</w:t>
            </w:r>
          </w:p>
        </w:tc>
        <w:tc>
          <w:tcPr>
            <w:tcW w:w="1284" w:type="dxa"/>
            <w:tcBorders>
              <w:top w:val="nil"/>
              <w:left w:val="nil"/>
              <w:bottom w:val="single" w:sz="4" w:space="0" w:color="auto"/>
              <w:right w:val="single" w:sz="4" w:space="0" w:color="auto"/>
            </w:tcBorders>
            <w:shd w:val="clear" w:color="auto" w:fill="auto"/>
            <w:noWrap/>
            <w:vAlign w:val="bottom"/>
            <w:hideMark/>
          </w:tcPr>
          <w:p w14:paraId="55C0E24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90,815,811</w:t>
            </w:r>
          </w:p>
        </w:tc>
        <w:tc>
          <w:tcPr>
            <w:tcW w:w="1318" w:type="dxa"/>
            <w:tcBorders>
              <w:top w:val="nil"/>
              <w:left w:val="nil"/>
              <w:bottom w:val="single" w:sz="4" w:space="0" w:color="auto"/>
              <w:right w:val="single" w:sz="4" w:space="0" w:color="auto"/>
            </w:tcBorders>
            <w:shd w:val="clear" w:color="000000" w:fill="FFFFFF"/>
            <w:noWrap/>
            <w:vAlign w:val="bottom"/>
            <w:hideMark/>
          </w:tcPr>
          <w:p w14:paraId="63B48E8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21,828,938</w:t>
            </w:r>
          </w:p>
        </w:tc>
      </w:tr>
      <w:tr w:rsidR="001E4416" w:rsidRPr="001E4416" w14:paraId="2B3498D3"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7315C3E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125" w:type="dxa"/>
            <w:tcBorders>
              <w:top w:val="nil"/>
              <w:left w:val="nil"/>
              <w:bottom w:val="single" w:sz="4" w:space="0" w:color="auto"/>
              <w:right w:val="single" w:sz="4" w:space="0" w:color="auto"/>
            </w:tcBorders>
            <w:shd w:val="clear" w:color="auto" w:fill="auto"/>
            <w:noWrap/>
            <w:vAlign w:val="bottom"/>
            <w:hideMark/>
          </w:tcPr>
          <w:p w14:paraId="2509546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P28-1217126</w:t>
            </w:r>
          </w:p>
        </w:tc>
        <w:tc>
          <w:tcPr>
            <w:tcW w:w="1019" w:type="dxa"/>
            <w:tcBorders>
              <w:top w:val="nil"/>
              <w:left w:val="nil"/>
              <w:bottom w:val="single" w:sz="4" w:space="0" w:color="auto"/>
              <w:right w:val="single" w:sz="4" w:space="0" w:color="auto"/>
            </w:tcBorders>
            <w:shd w:val="clear" w:color="auto" w:fill="auto"/>
            <w:noWrap/>
            <w:vAlign w:val="bottom"/>
            <w:hideMark/>
          </w:tcPr>
          <w:p w14:paraId="71F6D09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19/12/2017</w:t>
            </w:r>
          </w:p>
        </w:tc>
        <w:tc>
          <w:tcPr>
            <w:tcW w:w="931" w:type="dxa"/>
            <w:tcBorders>
              <w:top w:val="nil"/>
              <w:left w:val="nil"/>
              <w:bottom w:val="single" w:sz="4" w:space="0" w:color="auto"/>
              <w:right w:val="single" w:sz="4" w:space="0" w:color="auto"/>
            </w:tcBorders>
            <w:shd w:val="clear" w:color="auto" w:fill="auto"/>
            <w:noWrap/>
            <w:vAlign w:val="bottom"/>
            <w:hideMark/>
          </w:tcPr>
          <w:p w14:paraId="24AD62B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931" w:type="dxa"/>
            <w:tcBorders>
              <w:top w:val="nil"/>
              <w:left w:val="nil"/>
              <w:bottom w:val="single" w:sz="4" w:space="0" w:color="auto"/>
              <w:right w:val="single" w:sz="4" w:space="0" w:color="auto"/>
            </w:tcBorders>
            <w:shd w:val="clear" w:color="auto" w:fill="auto"/>
            <w:noWrap/>
            <w:vAlign w:val="bottom"/>
            <w:hideMark/>
          </w:tcPr>
          <w:p w14:paraId="2AB1A88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bottom"/>
            <w:hideMark/>
          </w:tcPr>
          <w:p w14:paraId="7C9B21E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318" w:type="dxa"/>
            <w:tcBorders>
              <w:top w:val="nil"/>
              <w:left w:val="nil"/>
              <w:bottom w:val="single" w:sz="4" w:space="0" w:color="auto"/>
              <w:right w:val="single" w:sz="4" w:space="0" w:color="auto"/>
            </w:tcBorders>
            <w:shd w:val="clear" w:color="auto" w:fill="auto"/>
            <w:noWrap/>
            <w:vAlign w:val="bottom"/>
            <w:hideMark/>
          </w:tcPr>
          <w:p w14:paraId="6670731B"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284" w:type="dxa"/>
            <w:tcBorders>
              <w:top w:val="nil"/>
              <w:left w:val="nil"/>
              <w:bottom w:val="single" w:sz="4" w:space="0" w:color="auto"/>
              <w:right w:val="single" w:sz="4" w:space="0" w:color="auto"/>
            </w:tcBorders>
            <w:shd w:val="clear" w:color="auto" w:fill="auto"/>
            <w:noWrap/>
            <w:vAlign w:val="bottom"/>
            <w:hideMark/>
          </w:tcPr>
          <w:p w14:paraId="02FCCB1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318" w:type="dxa"/>
            <w:tcBorders>
              <w:top w:val="nil"/>
              <w:left w:val="nil"/>
              <w:bottom w:val="single" w:sz="4" w:space="0" w:color="auto"/>
              <w:right w:val="single" w:sz="4" w:space="0" w:color="auto"/>
            </w:tcBorders>
            <w:shd w:val="clear" w:color="000000" w:fill="FFFFFF"/>
            <w:noWrap/>
            <w:vAlign w:val="bottom"/>
            <w:hideMark/>
          </w:tcPr>
          <w:p w14:paraId="3707397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1,416,033,565</w:t>
            </w:r>
          </w:p>
        </w:tc>
      </w:tr>
      <w:tr w:rsidR="001E4416" w:rsidRPr="001E4416" w14:paraId="669874E1"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1BD7942C"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125" w:type="dxa"/>
            <w:tcBorders>
              <w:top w:val="nil"/>
              <w:left w:val="nil"/>
              <w:bottom w:val="single" w:sz="4" w:space="0" w:color="auto"/>
              <w:right w:val="single" w:sz="4" w:space="0" w:color="auto"/>
            </w:tcBorders>
            <w:shd w:val="clear" w:color="auto" w:fill="auto"/>
            <w:noWrap/>
            <w:vAlign w:val="bottom"/>
            <w:hideMark/>
          </w:tcPr>
          <w:p w14:paraId="385C145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P28-1217130</w:t>
            </w:r>
          </w:p>
        </w:tc>
        <w:tc>
          <w:tcPr>
            <w:tcW w:w="1019" w:type="dxa"/>
            <w:tcBorders>
              <w:top w:val="nil"/>
              <w:left w:val="nil"/>
              <w:bottom w:val="single" w:sz="4" w:space="0" w:color="auto"/>
              <w:right w:val="single" w:sz="4" w:space="0" w:color="auto"/>
            </w:tcBorders>
            <w:shd w:val="clear" w:color="auto" w:fill="auto"/>
            <w:noWrap/>
            <w:vAlign w:val="bottom"/>
            <w:hideMark/>
          </w:tcPr>
          <w:p w14:paraId="3F84CB2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27/12/2017</w:t>
            </w:r>
          </w:p>
        </w:tc>
        <w:tc>
          <w:tcPr>
            <w:tcW w:w="931" w:type="dxa"/>
            <w:tcBorders>
              <w:top w:val="nil"/>
              <w:left w:val="nil"/>
              <w:bottom w:val="single" w:sz="4" w:space="0" w:color="auto"/>
              <w:right w:val="single" w:sz="4" w:space="0" w:color="auto"/>
            </w:tcBorders>
            <w:shd w:val="clear" w:color="auto" w:fill="auto"/>
            <w:noWrap/>
            <w:vAlign w:val="bottom"/>
            <w:hideMark/>
          </w:tcPr>
          <w:p w14:paraId="6471B16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931" w:type="dxa"/>
            <w:tcBorders>
              <w:top w:val="nil"/>
              <w:left w:val="nil"/>
              <w:bottom w:val="single" w:sz="4" w:space="0" w:color="auto"/>
              <w:right w:val="single" w:sz="4" w:space="0" w:color="auto"/>
            </w:tcBorders>
            <w:shd w:val="clear" w:color="auto" w:fill="auto"/>
            <w:noWrap/>
            <w:vAlign w:val="bottom"/>
            <w:hideMark/>
          </w:tcPr>
          <w:p w14:paraId="78B0161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bottom"/>
            <w:hideMark/>
          </w:tcPr>
          <w:p w14:paraId="164C170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318" w:type="dxa"/>
            <w:tcBorders>
              <w:top w:val="nil"/>
              <w:left w:val="nil"/>
              <w:bottom w:val="single" w:sz="4" w:space="0" w:color="auto"/>
              <w:right w:val="single" w:sz="4" w:space="0" w:color="auto"/>
            </w:tcBorders>
            <w:shd w:val="clear" w:color="auto" w:fill="auto"/>
            <w:noWrap/>
            <w:vAlign w:val="bottom"/>
            <w:hideMark/>
          </w:tcPr>
          <w:p w14:paraId="001BEA2B"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1,539,000,000</w:t>
            </w:r>
          </w:p>
        </w:tc>
        <w:tc>
          <w:tcPr>
            <w:tcW w:w="1284" w:type="dxa"/>
            <w:tcBorders>
              <w:top w:val="nil"/>
              <w:left w:val="nil"/>
              <w:bottom w:val="single" w:sz="4" w:space="0" w:color="auto"/>
              <w:right w:val="single" w:sz="4" w:space="0" w:color="auto"/>
            </w:tcBorders>
            <w:shd w:val="clear" w:color="auto" w:fill="auto"/>
            <w:noWrap/>
            <w:vAlign w:val="bottom"/>
            <w:hideMark/>
          </w:tcPr>
          <w:p w14:paraId="49F334CF"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1,514,733,349</w:t>
            </w:r>
          </w:p>
        </w:tc>
        <w:tc>
          <w:tcPr>
            <w:tcW w:w="1318" w:type="dxa"/>
            <w:tcBorders>
              <w:top w:val="nil"/>
              <w:left w:val="nil"/>
              <w:bottom w:val="single" w:sz="4" w:space="0" w:color="auto"/>
              <w:right w:val="single" w:sz="4" w:space="0" w:color="auto"/>
            </w:tcBorders>
            <w:shd w:val="clear" w:color="000000" w:fill="FFFFFF"/>
            <w:noWrap/>
            <w:vAlign w:val="bottom"/>
            <w:hideMark/>
          </w:tcPr>
          <w:p w14:paraId="123DC41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1,422,778,512</w:t>
            </w:r>
          </w:p>
        </w:tc>
      </w:tr>
      <w:tr w:rsidR="001E4416" w:rsidRPr="001E4416" w14:paraId="0C74950B"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01C8C35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125" w:type="dxa"/>
            <w:tcBorders>
              <w:top w:val="nil"/>
              <w:left w:val="nil"/>
              <w:bottom w:val="single" w:sz="4" w:space="0" w:color="auto"/>
              <w:right w:val="single" w:sz="4" w:space="0" w:color="auto"/>
            </w:tcBorders>
            <w:shd w:val="clear" w:color="auto" w:fill="auto"/>
            <w:noWrap/>
            <w:vAlign w:val="bottom"/>
            <w:hideMark/>
          </w:tcPr>
          <w:p w14:paraId="0DFBA8A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P28-1217129</w:t>
            </w:r>
          </w:p>
        </w:tc>
        <w:tc>
          <w:tcPr>
            <w:tcW w:w="1019" w:type="dxa"/>
            <w:tcBorders>
              <w:top w:val="nil"/>
              <w:left w:val="nil"/>
              <w:bottom w:val="single" w:sz="4" w:space="0" w:color="auto"/>
              <w:right w:val="single" w:sz="4" w:space="0" w:color="auto"/>
            </w:tcBorders>
            <w:shd w:val="clear" w:color="auto" w:fill="auto"/>
            <w:noWrap/>
            <w:vAlign w:val="bottom"/>
            <w:hideMark/>
          </w:tcPr>
          <w:p w14:paraId="0A817DF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21/12/2017</w:t>
            </w:r>
          </w:p>
        </w:tc>
        <w:tc>
          <w:tcPr>
            <w:tcW w:w="931" w:type="dxa"/>
            <w:tcBorders>
              <w:top w:val="nil"/>
              <w:left w:val="nil"/>
              <w:bottom w:val="single" w:sz="4" w:space="0" w:color="auto"/>
              <w:right w:val="single" w:sz="4" w:space="0" w:color="auto"/>
            </w:tcBorders>
            <w:shd w:val="clear" w:color="auto" w:fill="auto"/>
            <w:noWrap/>
            <w:vAlign w:val="bottom"/>
            <w:hideMark/>
          </w:tcPr>
          <w:p w14:paraId="24CA23C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931" w:type="dxa"/>
            <w:tcBorders>
              <w:top w:val="nil"/>
              <w:left w:val="nil"/>
              <w:bottom w:val="single" w:sz="4" w:space="0" w:color="auto"/>
              <w:right w:val="single" w:sz="4" w:space="0" w:color="auto"/>
            </w:tcBorders>
            <w:shd w:val="clear" w:color="auto" w:fill="auto"/>
            <w:noWrap/>
            <w:vAlign w:val="bottom"/>
            <w:hideMark/>
          </w:tcPr>
          <w:p w14:paraId="79CC5CB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bottom"/>
            <w:hideMark/>
          </w:tcPr>
          <w:p w14:paraId="300DD23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318" w:type="dxa"/>
            <w:tcBorders>
              <w:top w:val="nil"/>
              <w:left w:val="nil"/>
              <w:bottom w:val="single" w:sz="4" w:space="0" w:color="auto"/>
              <w:right w:val="single" w:sz="4" w:space="0" w:color="auto"/>
            </w:tcBorders>
            <w:shd w:val="clear" w:color="auto" w:fill="auto"/>
            <w:noWrap/>
            <w:vAlign w:val="bottom"/>
            <w:hideMark/>
          </w:tcPr>
          <w:p w14:paraId="1D474E7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5,461,000,000</w:t>
            </w:r>
          </w:p>
        </w:tc>
        <w:tc>
          <w:tcPr>
            <w:tcW w:w="1284" w:type="dxa"/>
            <w:tcBorders>
              <w:top w:val="nil"/>
              <w:left w:val="nil"/>
              <w:bottom w:val="single" w:sz="4" w:space="0" w:color="auto"/>
              <w:right w:val="single" w:sz="4" w:space="0" w:color="auto"/>
            </w:tcBorders>
            <w:shd w:val="clear" w:color="auto" w:fill="auto"/>
            <w:noWrap/>
            <w:vAlign w:val="bottom"/>
            <w:hideMark/>
          </w:tcPr>
          <w:p w14:paraId="53992E8D"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5,461,000,000</w:t>
            </w:r>
          </w:p>
        </w:tc>
        <w:tc>
          <w:tcPr>
            <w:tcW w:w="1318" w:type="dxa"/>
            <w:tcBorders>
              <w:top w:val="nil"/>
              <w:left w:val="nil"/>
              <w:bottom w:val="single" w:sz="4" w:space="0" w:color="auto"/>
              <w:right w:val="single" w:sz="4" w:space="0" w:color="auto"/>
            </w:tcBorders>
            <w:shd w:val="clear" w:color="000000" w:fill="FFFFFF"/>
            <w:noWrap/>
            <w:vAlign w:val="bottom"/>
            <w:hideMark/>
          </w:tcPr>
          <w:p w14:paraId="369BA77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5,128,988,102</w:t>
            </w:r>
          </w:p>
        </w:tc>
      </w:tr>
      <w:tr w:rsidR="001E4416" w:rsidRPr="001E4416" w14:paraId="4C09A94B"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6F86706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SANTANDER</w:t>
            </w:r>
          </w:p>
        </w:tc>
        <w:tc>
          <w:tcPr>
            <w:tcW w:w="1125" w:type="dxa"/>
            <w:tcBorders>
              <w:top w:val="nil"/>
              <w:left w:val="nil"/>
              <w:bottom w:val="single" w:sz="4" w:space="0" w:color="auto"/>
              <w:right w:val="single" w:sz="4" w:space="0" w:color="auto"/>
            </w:tcBorders>
            <w:shd w:val="clear" w:color="auto" w:fill="auto"/>
            <w:noWrap/>
            <w:vAlign w:val="bottom"/>
            <w:hideMark/>
          </w:tcPr>
          <w:p w14:paraId="139416F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P28-0618061</w:t>
            </w:r>
          </w:p>
        </w:tc>
        <w:tc>
          <w:tcPr>
            <w:tcW w:w="1019" w:type="dxa"/>
            <w:tcBorders>
              <w:top w:val="nil"/>
              <w:left w:val="nil"/>
              <w:bottom w:val="single" w:sz="4" w:space="0" w:color="auto"/>
              <w:right w:val="single" w:sz="4" w:space="0" w:color="auto"/>
            </w:tcBorders>
            <w:shd w:val="clear" w:color="auto" w:fill="auto"/>
            <w:noWrap/>
            <w:vAlign w:val="bottom"/>
            <w:hideMark/>
          </w:tcPr>
          <w:p w14:paraId="33419D8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931" w:type="dxa"/>
            <w:tcBorders>
              <w:top w:val="nil"/>
              <w:left w:val="nil"/>
              <w:bottom w:val="single" w:sz="4" w:space="0" w:color="auto"/>
              <w:right w:val="single" w:sz="4" w:space="0" w:color="auto"/>
            </w:tcBorders>
            <w:shd w:val="clear" w:color="auto" w:fill="auto"/>
            <w:noWrap/>
            <w:vAlign w:val="bottom"/>
            <w:hideMark/>
          </w:tcPr>
          <w:p w14:paraId="77452CC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931" w:type="dxa"/>
            <w:tcBorders>
              <w:top w:val="nil"/>
              <w:left w:val="nil"/>
              <w:bottom w:val="single" w:sz="4" w:space="0" w:color="auto"/>
              <w:right w:val="single" w:sz="4" w:space="0" w:color="auto"/>
            </w:tcBorders>
            <w:shd w:val="clear" w:color="auto" w:fill="auto"/>
            <w:noWrap/>
            <w:vAlign w:val="bottom"/>
            <w:hideMark/>
          </w:tcPr>
          <w:p w14:paraId="33D43F0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bottom"/>
            <w:hideMark/>
          </w:tcPr>
          <w:p w14:paraId="70832DA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318" w:type="dxa"/>
            <w:tcBorders>
              <w:top w:val="nil"/>
              <w:left w:val="nil"/>
              <w:bottom w:val="single" w:sz="4" w:space="0" w:color="auto"/>
              <w:right w:val="single" w:sz="4" w:space="0" w:color="auto"/>
            </w:tcBorders>
            <w:shd w:val="clear" w:color="auto" w:fill="auto"/>
            <w:noWrap/>
            <w:vAlign w:val="bottom"/>
            <w:hideMark/>
          </w:tcPr>
          <w:p w14:paraId="737A993C"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1,650,000,000</w:t>
            </w:r>
          </w:p>
        </w:tc>
        <w:tc>
          <w:tcPr>
            <w:tcW w:w="1284" w:type="dxa"/>
            <w:tcBorders>
              <w:top w:val="nil"/>
              <w:left w:val="nil"/>
              <w:bottom w:val="single" w:sz="4" w:space="0" w:color="auto"/>
              <w:right w:val="single" w:sz="4" w:space="0" w:color="auto"/>
            </w:tcBorders>
            <w:shd w:val="clear" w:color="auto" w:fill="auto"/>
            <w:noWrap/>
            <w:vAlign w:val="bottom"/>
            <w:hideMark/>
          </w:tcPr>
          <w:p w14:paraId="41557687"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1,650,000,000</w:t>
            </w:r>
          </w:p>
        </w:tc>
        <w:tc>
          <w:tcPr>
            <w:tcW w:w="1318" w:type="dxa"/>
            <w:tcBorders>
              <w:top w:val="nil"/>
              <w:left w:val="nil"/>
              <w:bottom w:val="single" w:sz="4" w:space="0" w:color="auto"/>
              <w:right w:val="single" w:sz="4" w:space="0" w:color="auto"/>
            </w:tcBorders>
            <w:shd w:val="clear" w:color="000000" w:fill="FFFFFF"/>
            <w:noWrap/>
            <w:vAlign w:val="bottom"/>
            <w:hideMark/>
          </w:tcPr>
          <w:p w14:paraId="06B0E9E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1,582,935,385</w:t>
            </w:r>
          </w:p>
        </w:tc>
      </w:tr>
      <w:tr w:rsidR="001E4416" w:rsidRPr="001E4416" w14:paraId="6A433618"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29B0777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125" w:type="dxa"/>
            <w:tcBorders>
              <w:top w:val="nil"/>
              <w:left w:val="nil"/>
              <w:bottom w:val="single" w:sz="4" w:space="0" w:color="auto"/>
              <w:right w:val="single" w:sz="4" w:space="0" w:color="auto"/>
            </w:tcBorders>
            <w:shd w:val="clear" w:color="auto" w:fill="auto"/>
            <w:noWrap/>
            <w:vAlign w:val="bottom"/>
            <w:hideMark/>
          </w:tcPr>
          <w:p w14:paraId="71E2F1A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P28-0618060</w:t>
            </w:r>
          </w:p>
        </w:tc>
        <w:tc>
          <w:tcPr>
            <w:tcW w:w="1019" w:type="dxa"/>
            <w:tcBorders>
              <w:top w:val="nil"/>
              <w:left w:val="nil"/>
              <w:bottom w:val="single" w:sz="4" w:space="0" w:color="auto"/>
              <w:right w:val="single" w:sz="4" w:space="0" w:color="auto"/>
            </w:tcBorders>
            <w:shd w:val="clear" w:color="auto" w:fill="auto"/>
            <w:noWrap/>
            <w:vAlign w:val="bottom"/>
            <w:hideMark/>
          </w:tcPr>
          <w:p w14:paraId="2A5E92E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931" w:type="dxa"/>
            <w:tcBorders>
              <w:top w:val="nil"/>
              <w:left w:val="nil"/>
              <w:bottom w:val="single" w:sz="4" w:space="0" w:color="auto"/>
              <w:right w:val="single" w:sz="4" w:space="0" w:color="auto"/>
            </w:tcBorders>
            <w:shd w:val="clear" w:color="auto" w:fill="auto"/>
            <w:noWrap/>
            <w:vAlign w:val="bottom"/>
            <w:hideMark/>
          </w:tcPr>
          <w:p w14:paraId="09376B8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931" w:type="dxa"/>
            <w:tcBorders>
              <w:top w:val="nil"/>
              <w:left w:val="nil"/>
              <w:bottom w:val="single" w:sz="4" w:space="0" w:color="auto"/>
              <w:right w:val="single" w:sz="4" w:space="0" w:color="auto"/>
            </w:tcBorders>
            <w:shd w:val="clear" w:color="auto" w:fill="auto"/>
            <w:noWrap/>
            <w:vAlign w:val="bottom"/>
            <w:hideMark/>
          </w:tcPr>
          <w:p w14:paraId="2E252DA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bottom"/>
            <w:hideMark/>
          </w:tcPr>
          <w:p w14:paraId="6355331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318" w:type="dxa"/>
            <w:tcBorders>
              <w:top w:val="nil"/>
              <w:left w:val="nil"/>
              <w:bottom w:val="single" w:sz="4" w:space="0" w:color="auto"/>
              <w:right w:val="single" w:sz="4" w:space="0" w:color="auto"/>
            </w:tcBorders>
            <w:shd w:val="clear" w:color="auto" w:fill="auto"/>
            <w:noWrap/>
            <w:vAlign w:val="bottom"/>
            <w:hideMark/>
          </w:tcPr>
          <w:p w14:paraId="5694CD0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284" w:type="dxa"/>
            <w:tcBorders>
              <w:top w:val="nil"/>
              <w:left w:val="nil"/>
              <w:bottom w:val="single" w:sz="4" w:space="0" w:color="auto"/>
              <w:right w:val="single" w:sz="4" w:space="0" w:color="auto"/>
            </w:tcBorders>
            <w:shd w:val="clear" w:color="auto" w:fill="auto"/>
            <w:noWrap/>
            <w:vAlign w:val="bottom"/>
            <w:hideMark/>
          </w:tcPr>
          <w:p w14:paraId="258A1B5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318" w:type="dxa"/>
            <w:tcBorders>
              <w:top w:val="nil"/>
              <w:left w:val="nil"/>
              <w:bottom w:val="single" w:sz="4" w:space="0" w:color="auto"/>
              <w:right w:val="single" w:sz="4" w:space="0" w:color="auto"/>
            </w:tcBorders>
            <w:shd w:val="clear" w:color="000000" w:fill="FFFFFF"/>
            <w:noWrap/>
            <w:vAlign w:val="bottom"/>
            <w:hideMark/>
          </w:tcPr>
          <w:p w14:paraId="3E47F9B4"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959,231,502</w:t>
            </w:r>
          </w:p>
        </w:tc>
      </w:tr>
      <w:tr w:rsidR="001E4416" w:rsidRPr="001E4416" w14:paraId="514CA86B"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2F7F306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125" w:type="dxa"/>
            <w:tcBorders>
              <w:top w:val="nil"/>
              <w:left w:val="nil"/>
              <w:bottom w:val="single" w:sz="4" w:space="0" w:color="auto"/>
              <w:right w:val="single" w:sz="4" w:space="0" w:color="auto"/>
            </w:tcBorders>
            <w:shd w:val="clear" w:color="auto" w:fill="auto"/>
            <w:noWrap/>
            <w:vAlign w:val="bottom"/>
            <w:hideMark/>
          </w:tcPr>
          <w:p w14:paraId="3D70B8A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P28-0618059</w:t>
            </w:r>
          </w:p>
        </w:tc>
        <w:tc>
          <w:tcPr>
            <w:tcW w:w="1019" w:type="dxa"/>
            <w:tcBorders>
              <w:top w:val="nil"/>
              <w:left w:val="nil"/>
              <w:bottom w:val="single" w:sz="4" w:space="0" w:color="auto"/>
              <w:right w:val="single" w:sz="4" w:space="0" w:color="auto"/>
            </w:tcBorders>
            <w:shd w:val="clear" w:color="auto" w:fill="auto"/>
            <w:noWrap/>
            <w:vAlign w:val="bottom"/>
            <w:hideMark/>
          </w:tcPr>
          <w:p w14:paraId="2868EBA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25/06/2018</w:t>
            </w:r>
          </w:p>
        </w:tc>
        <w:tc>
          <w:tcPr>
            <w:tcW w:w="931" w:type="dxa"/>
            <w:tcBorders>
              <w:top w:val="nil"/>
              <w:left w:val="nil"/>
              <w:bottom w:val="single" w:sz="4" w:space="0" w:color="auto"/>
              <w:right w:val="single" w:sz="4" w:space="0" w:color="auto"/>
            </w:tcBorders>
            <w:shd w:val="clear" w:color="auto" w:fill="auto"/>
            <w:noWrap/>
            <w:vAlign w:val="bottom"/>
            <w:hideMark/>
          </w:tcPr>
          <w:p w14:paraId="5C266C9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LXIII-374</w:t>
            </w:r>
          </w:p>
        </w:tc>
        <w:tc>
          <w:tcPr>
            <w:tcW w:w="931" w:type="dxa"/>
            <w:tcBorders>
              <w:top w:val="nil"/>
              <w:left w:val="nil"/>
              <w:bottom w:val="single" w:sz="4" w:space="0" w:color="auto"/>
              <w:right w:val="single" w:sz="4" w:space="0" w:color="auto"/>
            </w:tcBorders>
            <w:shd w:val="clear" w:color="auto" w:fill="auto"/>
            <w:noWrap/>
            <w:vAlign w:val="bottom"/>
            <w:hideMark/>
          </w:tcPr>
          <w:p w14:paraId="491FE84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18/12/2017</w:t>
            </w:r>
          </w:p>
        </w:tc>
        <w:tc>
          <w:tcPr>
            <w:tcW w:w="989" w:type="dxa"/>
            <w:tcBorders>
              <w:top w:val="nil"/>
              <w:left w:val="nil"/>
              <w:bottom w:val="single" w:sz="4" w:space="0" w:color="auto"/>
              <w:right w:val="single" w:sz="4" w:space="0" w:color="auto"/>
            </w:tcBorders>
            <w:shd w:val="clear" w:color="auto" w:fill="auto"/>
            <w:noWrap/>
            <w:vAlign w:val="bottom"/>
            <w:hideMark/>
          </w:tcPr>
          <w:p w14:paraId="681E60A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318" w:type="dxa"/>
            <w:tcBorders>
              <w:top w:val="nil"/>
              <w:left w:val="nil"/>
              <w:bottom w:val="single" w:sz="4" w:space="0" w:color="auto"/>
              <w:right w:val="single" w:sz="4" w:space="0" w:color="auto"/>
            </w:tcBorders>
            <w:shd w:val="clear" w:color="auto" w:fill="auto"/>
            <w:noWrap/>
            <w:vAlign w:val="bottom"/>
            <w:hideMark/>
          </w:tcPr>
          <w:p w14:paraId="706DD7D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500,000,000</w:t>
            </w:r>
          </w:p>
        </w:tc>
        <w:tc>
          <w:tcPr>
            <w:tcW w:w="1284" w:type="dxa"/>
            <w:tcBorders>
              <w:top w:val="nil"/>
              <w:left w:val="nil"/>
              <w:bottom w:val="single" w:sz="4" w:space="0" w:color="auto"/>
              <w:right w:val="single" w:sz="4" w:space="0" w:color="auto"/>
            </w:tcBorders>
            <w:shd w:val="clear" w:color="auto" w:fill="auto"/>
            <w:noWrap/>
            <w:vAlign w:val="bottom"/>
            <w:hideMark/>
          </w:tcPr>
          <w:p w14:paraId="40FEBE7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497,341,556</w:t>
            </w:r>
          </w:p>
        </w:tc>
        <w:tc>
          <w:tcPr>
            <w:tcW w:w="1318" w:type="dxa"/>
            <w:tcBorders>
              <w:top w:val="nil"/>
              <w:left w:val="nil"/>
              <w:bottom w:val="single" w:sz="4" w:space="0" w:color="auto"/>
              <w:right w:val="single" w:sz="4" w:space="0" w:color="auto"/>
            </w:tcBorders>
            <w:shd w:val="clear" w:color="000000" w:fill="FFFFFF"/>
            <w:noWrap/>
            <w:vAlign w:val="bottom"/>
            <w:hideMark/>
          </w:tcPr>
          <w:p w14:paraId="07DD5684"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477,439,785</w:t>
            </w:r>
          </w:p>
        </w:tc>
      </w:tr>
      <w:tr w:rsidR="001E4416" w:rsidRPr="001E4416" w14:paraId="01E6D6A3"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04E5FFF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125" w:type="dxa"/>
            <w:tcBorders>
              <w:top w:val="nil"/>
              <w:left w:val="nil"/>
              <w:bottom w:val="single" w:sz="4" w:space="0" w:color="auto"/>
              <w:right w:val="single" w:sz="4" w:space="0" w:color="auto"/>
            </w:tcBorders>
            <w:shd w:val="clear" w:color="auto" w:fill="auto"/>
            <w:noWrap/>
            <w:vAlign w:val="bottom"/>
            <w:hideMark/>
          </w:tcPr>
          <w:p w14:paraId="069A751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P28-1118117</w:t>
            </w:r>
          </w:p>
        </w:tc>
        <w:tc>
          <w:tcPr>
            <w:tcW w:w="1019" w:type="dxa"/>
            <w:tcBorders>
              <w:top w:val="nil"/>
              <w:left w:val="nil"/>
              <w:bottom w:val="single" w:sz="4" w:space="0" w:color="auto"/>
              <w:right w:val="single" w:sz="4" w:space="0" w:color="auto"/>
            </w:tcBorders>
            <w:shd w:val="clear" w:color="auto" w:fill="auto"/>
            <w:noWrap/>
            <w:vAlign w:val="bottom"/>
            <w:hideMark/>
          </w:tcPr>
          <w:p w14:paraId="6E89ACB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29/11/2018</w:t>
            </w:r>
          </w:p>
        </w:tc>
        <w:tc>
          <w:tcPr>
            <w:tcW w:w="931" w:type="dxa"/>
            <w:tcBorders>
              <w:top w:val="nil"/>
              <w:left w:val="nil"/>
              <w:bottom w:val="single" w:sz="4" w:space="0" w:color="auto"/>
              <w:right w:val="single" w:sz="4" w:space="0" w:color="auto"/>
            </w:tcBorders>
            <w:shd w:val="clear" w:color="auto" w:fill="auto"/>
            <w:noWrap/>
            <w:vAlign w:val="bottom"/>
            <w:hideMark/>
          </w:tcPr>
          <w:p w14:paraId="32B3FABE"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LXIII-245</w:t>
            </w:r>
          </w:p>
        </w:tc>
        <w:tc>
          <w:tcPr>
            <w:tcW w:w="931" w:type="dxa"/>
            <w:tcBorders>
              <w:top w:val="nil"/>
              <w:left w:val="nil"/>
              <w:bottom w:val="single" w:sz="4" w:space="0" w:color="auto"/>
              <w:right w:val="single" w:sz="4" w:space="0" w:color="auto"/>
            </w:tcBorders>
            <w:shd w:val="clear" w:color="auto" w:fill="auto"/>
            <w:noWrap/>
            <w:vAlign w:val="bottom"/>
            <w:hideMark/>
          </w:tcPr>
          <w:p w14:paraId="3DA7141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14/09/2017</w:t>
            </w:r>
          </w:p>
        </w:tc>
        <w:tc>
          <w:tcPr>
            <w:tcW w:w="989" w:type="dxa"/>
            <w:tcBorders>
              <w:top w:val="nil"/>
              <w:left w:val="nil"/>
              <w:bottom w:val="single" w:sz="4" w:space="0" w:color="auto"/>
              <w:right w:val="single" w:sz="4" w:space="0" w:color="auto"/>
            </w:tcBorders>
            <w:shd w:val="clear" w:color="auto" w:fill="auto"/>
            <w:noWrap/>
            <w:vAlign w:val="bottom"/>
            <w:hideMark/>
          </w:tcPr>
          <w:p w14:paraId="4DBA20E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318" w:type="dxa"/>
            <w:tcBorders>
              <w:top w:val="nil"/>
              <w:left w:val="nil"/>
              <w:bottom w:val="single" w:sz="4" w:space="0" w:color="auto"/>
              <w:right w:val="single" w:sz="4" w:space="0" w:color="auto"/>
            </w:tcBorders>
            <w:shd w:val="clear" w:color="auto" w:fill="auto"/>
            <w:noWrap/>
            <w:vAlign w:val="bottom"/>
            <w:hideMark/>
          </w:tcPr>
          <w:p w14:paraId="788DFFE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994,864,167</w:t>
            </w:r>
          </w:p>
        </w:tc>
        <w:tc>
          <w:tcPr>
            <w:tcW w:w="1284" w:type="dxa"/>
            <w:tcBorders>
              <w:top w:val="nil"/>
              <w:left w:val="nil"/>
              <w:bottom w:val="single" w:sz="4" w:space="0" w:color="auto"/>
              <w:right w:val="single" w:sz="4" w:space="0" w:color="auto"/>
            </w:tcBorders>
            <w:shd w:val="clear" w:color="auto" w:fill="auto"/>
            <w:noWrap/>
            <w:vAlign w:val="bottom"/>
            <w:hideMark/>
          </w:tcPr>
          <w:p w14:paraId="7A9E6E7E"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993,495,125</w:t>
            </w:r>
          </w:p>
        </w:tc>
        <w:tc>
          <w:tcPr>
            <w:tcW w:w="1318" w:type="dxa"/>
            <w:tcBorders>
              <w:top w:val="nil"/>
              <w:left w:val="nil"/>
              <w:bottom w:val="single" w:sz="4" w:space="0" w:color="auto"/>
              <w:right w:val="single" w:sz="4" w:space="0" w:color="auto"/>
            </w:tcBorders>
            <w:shd w:val="clear" w:color="000000" w:fill="FFFFFF"/>
            <w:noWrap/>
            <w:vAlign w:val="bottom"/>
            <w:hideMark/>
          </w:tcPr>
          <w:p w14:paraId="2B01DF7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946,088,820</w:t>
            </w:r>
          </w:p>
        </w:tc>
      </w:tr>
      <w:tr w:rsidR="001E4416" w:rsidRPr="001E4416" w14:paraId="2D726FA6"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0FC4EF1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125" w:type="dxa"/>
            <w:tcBorders>
              <w:top w:val="nil"/>
              <w:left w:val="nil"/>
              <w:bottom w:val="single" w:sz="4" w:space="0" w:color="auto"/>
              <w:right w:val="single" w:sz="4" w:space="0" w:color="auto"/>
            </w:tcBorders>
            <w:shd w:val="clear" w:color="auto" w:fill="auto"/>
            <w:noWrap/>
            <w:vAlign w:val="bottom"/>
            <w:hideMark/>
          </w:tcPr>
          <w:p w14:paraId="111581A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P28-1018096</w:t>
            </w:r>
          </w:p>
        </w:tc>
        <w:tc>
          <w:tcPr>
            <w:tcW w:w="1019" w:type="dxa"/>
            <w:tcBorders>
              <w:top w:val="nil"/>
              <w:left w:val="nil"/>
              <w:bottom w:val="single" w:sz="4" w:space="0" w:color="auto"/>
              <w:right w:val="single" w:sz="4" w:space="0" w:color="auto"/>
            </w:tcBorders>
            <w:shd w:val="clear" w:color="auto" w:fill="auto"/>
            <w:noWrap/>
            <w:vAlign w:val="bottom"/>
            <w:hideMark/>
          </w:tcPr>
          <w:p w14:paraId="011BBFE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31/10/2018</w:t>
            </w:r>
          </w:p>
        </w:tc>
        <w:tc>
          <w:tcPr>
            <w:tcW w:w="931" w:type="dxa"/>
            <w:tcBorders>
              <w:top w:val="nil"/>
              <w:left w:val="nil"/>
              <w:bottom w:val="single" w:sz="4" w:space="0" w:color="auto"/>
              <w:right w:val="single" w:sz="4" w:space="0" w:color="auto"/>
            </w:tcBorders>
            <w:shd w:val="clear" w:color="auto" w:fill="auto"/>
            <w:noWrap/>
            <w:vAlign w:val="bottom"/>
            <w:hideMark/>
          </w:tcPr>
          <w:p w14:paraId="209DF1C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LXII-735</w:t>
            </w:r>
          </w:p>
        </w:tc>
        <w:tc>
          <w:tcPr>
            <w:tcW w:w="931" w:type="dxa"/>
            <w:tcBorders>
              <w:top w:val="nil"/>
              <w:left w:val="nil"/>
              <w:bottom w:val="single" w:sz="4" w:space="0" w:color="auto"/>
              <w:right w:val="single" w:sz="4" w:space="0" w:color="auto"/>
            </w:tcBorders>
            <w:shd w:val="clear" w:color="auto" w:fill="auto"/>
            <w:noWrap/>
            <w:vAlign w:val="bottom"/>
            <w:hideMark/>
          </w:tcPr>
          <w:p w14:paraId="66508E7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17/12/2015</w:t>
            </w:r>
          </w:p>
        </w:tc>
        <w:tc>
          <w:tcPr>
            <w:tcW w:w="989" w:type="dxa"/>
            <w:tcBorders>
              <w:top w:val="nil"/>
              <w:left w:val="nil"/>
              <w:bottom w:val="single" w:sz="4" w:space="0" w:color="auto"/>
              <w:right w:val="single" w:sz="4" w:space="0" w:color="auto"/>
            </w:tcBorders>
            <w:shd w:val="clear" w:color="auto" w:fill="auto"/>
            <w:noWrap/>
            <w:vAlign w:val="bottom"/>
            <w:hideMark/>
          </w:tcPr>
          <w:p w14:paraId="3B759121"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14/03/2031</w:t>
            </w:r>
          </w:p>
        </w:tc>
        <w:tc>
          <w:tcPr>
            <w:tcW w:w="1318" w:type="dxa"/>
            <w:tcBorders>
              <w:top w:val="nil"/>
              <w:left w:val="nil"/>
              <w:bottom w:val="single" w:sz="4" w:space="0" w:color="auto"/>
              <w:right w:val="single" w:sz="4" w:space="0" w:color="auto"/>
            </w:tcBorders>
            <w:shd w:val="clear" w:color="auto" w:fill="auto"/>
            <w:noWrap/>
            <w:vAlign w:val="bottom"/>
            <w:hideMark/>
          </w:tcPr>
          <w:p w14:paraId="284D7BC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968,347,530</w:t>
            </w:r>
          </w:p>
        </w:tc>
        <w:tc>
          <w:tcPr>
            <w:tcW w:w="1284" w:type="dxa"/>
            <w:tcBorders>
              <w:top w:val="nil"/>
              <w:left w:val="nil"/>
              <w:bottom w:val="single" w:sz="4" w:space="0" w:color="auto"/>
              <w:right w:val="single" w:sz="4" w:space="0" w:color="auto"/>
            </w:tcBorders>
            <w:shd w:val="clear" w:color="auto" w:fill="auto"/>
            <w:noWrap/>
            <w:vAlign w:val="bottom"/>
            <w:hideMark/>
          </w:tcPr>
          <w:p w14:paraId="3F9149A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962,004,023</w:t>
            </w:r>
          </w:p>
        </w:tc>
        <w:tc>
          <w:tcPr>
            <w:tcW w:w="1318" w:type="dxa"/>
            <w:tcBorders>
              <w:top w:val="nil"/>
              <w:left w:val="nil"/>
              <w:bottom w:val="single" w:sz="4" w:space="0" w:color="auto"/>
              <w:right w:val="single" w:sz="4" w:space="0" w:color="auto"/>
            </w:tcBorders>
            <w:shd w:val="clear" w:color="000000" w:fill="FFFFFF"/>
            <w:noWrap/>
            <w:vAlign w:val="bottom"/>
            <w:hideMark/>
          </w:tcPr>
          <w:p w14:paraId="43C3111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814,621,172</w:t>
            </w:r>
          </w:p>
        </w:tc>
      </w:tr>
      <w:tr w:rsidR="001E4416" w:rsidRPr="001E4416" w14:paraId="21E24895" w14:textId="77777777" w:rsidTr="004C579E">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1A320F2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125" w:type="dxa"/>
            <w:tcBorders>
              <w:top w:val="nil"/>
              <w:left w:val="nil"/>
              <w:bottom w:val="single" w:sz="4" w:space="0" w:color="auto"/>
              <w:right w:val="single" w:sz="4" w:space="0" w:color="auto"/>
            </w:tcBorders>
            <w:shd w:val="clear" w:color="auto" w:fill="auto"/>
            <w:noWrap/>
            <w:vAlign w:val="bottom"/>
            <w:hideMark/>
          </w:tcPr>
          <w:p w14:paraId="0D7CB2A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P28-1220101</w:t>
            </w:r>
          </w:p>
        </w:tc>
        <w:tc>
          <w:tcPr>
            <w:tcW w:w="1019" w:type="dxa"/>
            <w:tcBorders>
              <w:top w:val="nil"/>
              <w:left w:val="nil"/>
              <w:bottom w:val="single" w:sz="4" w:space="0" w:color="auto"/>
              <w:right w:val="single" w:sz="4" w:space="0" w:color="auto"/>
            </w:tcBorders>
            <w:shd w:val="clear" w:color="auto" w:fill="auto"/>
            <w:noWrap/>
            <w:vAlign w:val="bottom"/>
            <w:hideMark/>
          </w:tcPr>
          <w:p w14:paraId="03DD5AF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17/12/2020</w:t>
            </w:r>
          </w:p>
        </w:tc>
        <w:tc>
          <w:tcPr>
            <w:tcW w:w="931" w:type="dxa"/>
            <w:tcBorders>
              <w:top w:val="nil"/>
              <w:left w:val="nil"/>
              <w:bottom w:val="single" w:sz="4" w:space="0" w:color="auto"/>
              <w:right w:val="single" w:sz="4" w:space="0" w:color="auto"/>
            </w:tcBorders>
            <w:shd w:val="clear" w:color="auto" w:fill="auto"/>
            <w:noWrap/>
            <w:vAlign w:val="bottom"/>
            <w:hideMark/>
          </w:tcPr>
          <w:p w14:paraId="5DF7DACC"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LXIV-92</w:t>
            </w:r>
          </w:p>
        </w:tc>
        <w:tc>
          <w:tcPr>
            <w:tcW w:w="931" w:type="dxa"/>
            <w:tcBorders>
              <w:top w:val="nil"/>
              <w:left w:val="nil"/>
              <w:bottom w:val="single" w:sz="4" w:space="0" w:color="auto"/>
              <w:right w:val="single" w:sz="4" w:space="0" w:color="auto"/>
            </w:tcBorders>
            <w:shd w:val="clear" w:color="auto" w:fill="auto"/>
            <w:noWrap/>
            <w:vAlign w:val="bottom"/>
            <w:hideMark/>
          </w:tcPr>
          <w:p w14:paraId="0891A3D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14/04/2020</w:t>
            </w:r>
          </w:p>
        </w:tc>
        <w:tc>
          <w:tcPr>
            <w:tcW w:w="989" w:type="dxa"/>
            <w:tcBorders>
              <w:top w:val="nil"/>
              <w:left w:val="nil"/>
              <w:bottom w:val="single" w:sz="4" w:space="0" w:color="auto"/>
              <w:right w:val="single" w:sz="4" w:space="0" w:color="auto"/>
            </w:tcBorders>
            <w:shd w:val="clear" w:color="auto" w:fill="auto"/>
            <w:noWrap/>
            <w:vAlign w:val="bottom"/>
            <w:hideMark/>
          </w:tcPr>
          <w:p w14:paraId="56485AB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05/11/2040</w:t>
            </w:r>
          </w:p>
        </w:tc>
        <w:tc>
          <w:tcPr>
            <w:tcW w:w="1318" w:type="dxa"/>
            <w:tcBorders>
              <w:top w:val="nil"/>
              <w:left w:val="nil"/>
              <w:bottom w:val="single" w:sz="4" w:space="0" w:color="auto"/>
              <w:right w:val="single" w:sz="4" w:space="0" w:color="auto"/>
            </w:tcBorders>
            <w:shd w:val="clear" w:color="auto" w:fill="auto"/>
            <w:noWrap/>
            <w:vAlign w:val="bottom"/>
            <w:hideMark/>
          </w:tcPr>
          <w:p w14:paraId="30CDA50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284" w:type="dxa"/>
            <w:tcBorders>
              <w:top w:val="nil"/>
              <w:left w:val="nil"/>
              <w:bottom w:val="single" w:sz="4" w:space="0" w:color="auto"/>
              <w:right w:val="single" w:sz="4" w:space="0" w:color="auto"/>
            </w:tcBorders>
            <w:shd w:val="clear" w:color="auto" w:fill="auto"/>
            <w:noWrap/>
            <w:vAlign w:val="bottom"/>
            <w:hideMark/>
          </w:tcPr>
          <w:p w14:paraId="5C40E95D"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318" w:type="dxa"/>
            <w:tcBorders>
              <w:top w:val="nil"/>
              <w:left w:val="nil"/>
              <w:bottom w:val="single" w:sz="4" w:space="0" w:color="auto"/>
              <w:right w:val="single" w:sz="4" w:space="0" w:color="auto"/>
            </w:tcBorders>
            <w:shd w:val="clear" w:color="000000" w:fill="FFFFFF"/>
            <w:noWrap/>
            <w:vAlign w:val="bottom"/>
            <w:hideMark/>
          </w:tcPr>
          <w:p w14:paraId="41457D3C"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1,486,752,456</w:t>
            </w:r>
          </w:p>
        </w:tc>
      </w:tr>
      <w:tr w:rsidR="001E4416" w:rsidRPr="001E4416" w14:paraId="70762D5D" w14:textId="77777777" w:rsidTr="00B43367">
        <w:trPr>
          <w:trHeight w:val="335"/>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0107312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125" w:type="dxa"/>
            <w:tcBorders>
              <w:top w:val="nil"/>
              <w:left w:val="nil"/>
              <w:bottom w:val="single" w:sz="4" w:space="0" w:color="auto"/>
              <w:right w:val="single" w:sz="4" w:space="0" w:color="auto"/>
            </w:tcBorders>
            <w:shd w:val="clear" w:color="auto" w:fill="auto"/>
            <w:noWrap/>
            <w:vAlign w:val="bottom"/>
            <w:hideMark/>
          </w:tcPr>
          <w:p w14:paraId="0BF67C45"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P28 1021042</w:t>
            </w:r>
          </w:p>
        </w:tc>
        <w:tc>
          <w:tcPr>
            <w:tcW w:w="1019" w:type="dxa"/>
            <w:tcBorders>
              <w:top w:val="nil"/>
              <w:left w:val="nil"/>
              <w:bottom w:val="single" w:sz="4" w:space="0" w:color="auto"/>
              <w:right w:val="single" w:sz="4" w:space="0" w:color="auto"/>
            </w:tcBorders>
            <w:shd w:val="clear" w:color="auto" w:fill="auto"/>
            <w:noWrap/>
            <w:vAlign w:val="bottom"/>
            <w:hideMark/>
          </w:tcPr>
          <w:p w14:paraId="0A0A0C4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18/10/2021</w:t>
            </w:r>
          </w:p>
        </w:tc>
        <w:tc>
          <w:tcPr>
            <w:tcW w:w="931" w:type="dxa"/>
            <w:tcBorders>
              <w:top w:val="nil"/>
              <w:left w:val="nil"/>
              <w:bottom w:val="single" w:sz="4" w:space="0" w:color="auto"/>
              <w:right w:val="single" w:sz="4" w:space="0" w:color="auto"/>
            </w:tcBorders>
            <w:shd w:val="clear" w:color="auto" w:fill="auto"/>
            <w:noWrap/>
            <w:vAlign w:val="bottom"/>
            <w:hideMark/>
          </w:tcPr>
          <w:p w14:paraId="3E85E16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LXIV-92</w:t>
            </w:r>
          </w:p>
        </w:tc>
        <w:tc>
          <w:tcPr>
            <w:tcW w:w="931" w:type="dxa"/>
            <w:tcBorders>
              <w:top w:val="nil"/>
              <w:left w:val="nil"/>
              <w:bottom w:val="single" w:sz="4" w:space="0" w:color="auto"/>
              <w:right w:val="single" w:sz="4" w:space="0" w:color="auto"/>
            </w:tcBorders>
            <w:shd w:val="clear" w:color="auto" w:fill="auto"/>
            <w:noWrap/>
            <w:vAlign w:val="bottom"/>
            <w:hideMark/>
          </w:tcPr>
          <w:p w14:paraId="3124702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14/04/2020</w:t>
            </w:r>
          </w:p>
        </w:tc>
        <w:tc>
          <w:tcPr>
            <w:tcW w:w="989" w:type="dxa"/>
            <w:tcBorders>
              <w:top w:val="nil"/>
              <w:left w:val="nil"/>
              <w:bottom w:val="single" w:sz="4" w:space="0" w:color="auto"/>
              <w:right w:val="single" w:sz="4" w:space="0" w:color="auto"/>
            </w:tcBorders>
            <w:shd w:val="clear" w:color="auto" w:fill="auto"/>
            <w:noWrap/>
            <w:vAlign w:val="bottom"/>
            <w:hideMark/>
          </w:tcPr>
          <w:p w14:paraId="5DEED6B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17/09/2041</w:t>
            </w:r>
          </w:p>
        </w:tc>
        <w:tc>
          <w:tcPr>
            <w:tcW w:w="1318" w:type="dxa"/>
            <w:tcBorders>
              <w:top w:val="nil"/>
              <w:left w:val="nil"/>
              <w:bottom w:val="single" w:sz="4" w:space="0" w:color="auto"/>
              <w:right w:val="single" w:sz="4" w:space="0" w:color="auto"/>
            </w:tcBorders>
            <w:shd w:val="clear" w:color="auto" w:fill="auto"/>
            <w:noWrap/>
            <w:vAlign w:val="bottom"/>
            <w:hideMark/>
          </w:tcPr>
          <w:p w14:paraId="2EB008D1"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1,200,000,000</w:t>
            </w:r>
          </w:p>
        </w:tc>
        <w:tc>
          <w:tcPr>
            <w:tcW w:w="1284" w:type="dxa"/>
            <w:tcBorders>
              <w:top w:val="nil"/>
              <w:left w:val="nil"/>
              <w:bottom w:val="single" w:sz="4" w:space="0" w:color="auto"/>
              <w:right w:val="single" w:sz="4" w:space="0" w:color="auto"/>
            </w:tcBorders>
            <w:shd w:val="clear" w:color="auto" w:fill="auto"/>
            <w:noWrap/>
            <w:vAlign w:val="bottom"/>
            <w:hideMark/>
          </w:tcPr>
          <w:p w14:paraId="324F07B4"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985,000,000</w:t>
            </w:r>
          </w:p>
        </w:tc>
        <w:tc>
          <w:tcPr>
            <w:tcW w:w="1318" w:type="dxa"/>
            <w:tcBorders>
              <w:top w:val="nil"/>
              <w:left w:val="nil"/>
              <w:bottom w:val="single" w:sz="4" w:space="0" w:color="auto"/>
              <w:right w:val="single" w:sz="4" w:space="0" w:color="auto"/>
            </w:tcBorders>
            <w:shd w:val="clear" w:color="000000" w:fill="FFFFFF"/>
            <w:noWrap/>
            <w:vAlign w:val="bottom"/>
            <w:hideMark/>
          </w:tcPr>
          <w:p w14:paraId="1CE74CB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982,839,026</w:t>
            </w:r>
          </w:p>
        </w:tc>
      </w:tr>
      <w:tr w:rsidR="001E4416" w:rsidRPr="001E4416" w14:paraId="77B01436" w14:textId="77777777" w:rsidTr="00B43367">
        <w:trPr>
          <w:trHeight w:val="335"/>
        </w:trPr>
        <w:tc>
          <w:tcPr>
            <w:tcW w:w="6049" w:type="dxa"/>
            <w:gridSpan w:val="6"/>
            <w:tcBorders>
              <w:top w:val="single" w:sz="4" w:space="0" w:color="auto"/>
              <w:left w:val="single" w:sz="4" w:space="0" w:color="auto"/>
              <w:bottom w:val="single" w:sz="4" w:space="0" w:color="auto"/>
              <w:right w:val="single" w:sz="4" w:space="0" w:color="auto"/>
            </w:tcBorders>
            <w:shd w:val="clear" w:color="auto" w:fill="DDC9A3"/>
            <w:vAlign w:val="center"/>
            <w:hideMark/>
          </w:tcPr>
          <w:p w14:paraId="00B74DC9" w14:textId="77777777" w:rsidR="001E4416" w:rsidRPr="001E4416" w:rsidRDefault="001E4416" w:rsidP="001E4416">
            <w:pPr>
              <w:spacing w:after="0" w:line="240" w:lineRule="auto"/>
              <w:jc w:val="center"/>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TOTAL:</w:t>
            </w:r>
          </w:p>
        </w:tc>
        <w:tc>
          <w:tcPr>
            <w:tcW w:w="1318" w:type="dxa"/>
            <w:tcBorders>
              <w:top w:val="single" w:sz="4" w:space="0" w:color="auto"/>
              <w:left w:val="single" w:sz="4" w:space="0" w:color="auto"/>
              <w:bottom w:val="single" w:sz="4" w:space="0" w:color="auto"/>
              <w:right w:val="single" w:sz="4" w:space="0" w:color="auto"/>
            </w:tcBorders>
            <w:shd w:val="clear" w:color="auto" w:fill="DDC9A3"/>
            <w:vAlign w:val="center"/>
            <w:hideMark/>
          </w:tcPr>
          <w:p w14:paraId="132FDB62" w14:textId="77777777" w:rsidR="001E4416" w:rsidRPr="001E4416" w:rsidRDefault="001E4416" w:rsidP="001E4416">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18,048,500,367</w:t>
            </w:r>
          </w:p>
        </w:tc>
        <w:tc>
          <w:tcPr>
            <w:tcW w:w="1284" w:type="dxa"/>
            <w:tcBorders>
              <w:top w:val="single" w:sz="4" w:space="0" w:color="auto"/>
              <w:left w:val="single" w:sz="4" w:space="0" w:color="auto"/>
              <w:bottom w:val="single" w:sz="4" w:space="0" w:color="auto"/>
              <w:right w:val="single" w:sz="4" w:space="0" w:color="auto"/>
            </w:tcBorders>
            <w:shd w:val="clear" w:color="auto" w:fill="DDC9A3"/>
            <w:vAlign w:val="center"/>
            <w:hideMark/>
          </w:tcPr>
          <w:p w14:paraId="2DFFFD65" w14:textId="77777777" w:rsidR="001E4416" w:rsidRPr="001E4416" w:rsidRDefault="001E4416" w:rsidP="001E4416">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17,740,215,435</w:t>
            </w:r>
          </w:p>
        </w:tc>
        <w:tc>
          <w:tcPr>
            <w:tcW w:w="1318" w:type="dxa"/>
            <w:tcBorders>
              <w:top w:val="single" w:sz="4" w:space="0" w:color="auto"/>
              <w:left w:val="single" w:sz="4" w:space="0" w:color="auto"/>
              <w:bottom w:val="single" w:sz="4" w:space="0" w:color="auto"/>
              <w:right w:val="single" w:sz="4" w:space="0" w:color="auto"/>
            </w:tcBorders>
            <w:shd w:val="clear" w:color="auto" w:fill="DDC9A3"/>
            <w:vAlign w:val="center"/>
            <w:hideMark/>
          </w:tcPr>
          <w:p w14:paraId="50A8D2E9" w14:textId="77777777" w:rsidR="001E4416" w:rsidRPr="001E4416" w:rsidRDefault="001E4416" w:rsidP="001E4416">
            <w:pPr>
              <w:spacing w:after="0" w:line="240" w:lineRule="auto"/>
              <w:jc w:val="right"/>
              <w:rPr>
                <w:rFonts w:asciiTheme="minorHAnsi" w:eastAsia="Times New Roman" w:hAnsiTheme="minorHAnsi" w:cstheme="minorHAnsi"/>
                <w:b/>
                <w:bCs/>
                <w:sz w:val="16"/>
                <w:szCs w:val="16"/>
                <w:lang w:eastAsia="es-MX"/>
              </w:rPr>
            </w:pPr>
            <w:r w:rsidRPr="001E4416">
              <w:rPr>
                <w:rFonts w:asciiTheme="minorHAnsi" w:eastAsia="Times New Roman" w:hAnsiTheme="minorHAnsi" w:cstheme="minorHAnsi"/>
                <w:b/>
                <w:bCs/>
                <w:sz w:val="16"/>
                <w:szCs w:val="16"/>
                <w:lang w:eastAsia="es-MX"/>
              </w:rPr>
              <w:t>15,833,324,062</w:t>
            </w:r>
          </w:p>
        </w:tc>
      </w:tr>
    </w:tbl>
    <w:p w14:paraId="6F7F174F" w14:textId="77777777" w:rsidR="00C21C5A" w:rsidRPr="005F45A3" w:rsidRDefault="00C21C5A" w:rsidP="00C21C5A">
      <w:pPr>
        <w:pStyle w:val="Texto"/>
        <w:tabs>
          <w:tab w:val="left" w:pos="680"/>
        </w:tabs>
        <w:spacing w:after="0" w:line="240" w:lineRule="exact"/>
        <w:rPr>
          <w:rFonts w:asciiTheme="minorHAnsi" w:hAnsiTheme="minorHAnsi" w:cstheme="minorHAnsi"/>
          <w:szCs w:val="18"/>
        </w:rPr>
      </w:pPr>
    </w:p>
    <w:p w14:paraId="42E14249" w14:textId="77777777" w:rsidR="001E4416" w:rsidRDefault="001E4416" w:rsidP="007041A0">
      <w:pPr>
        <w:pStyle w:val="Texto"/>
        <w:tabs>
          <w:tab w:val="left" w:pos="680"/>
        </w:tabs>
        <w:spacing w:after="0" w:line="240" w:lineRule="exact"/>
        <w:rPr>
          <w:rFonts w:asciiTheme="minorHAnsi" w:hAnsiTheme="minorHAnsi" w:cstheme="minorHAnsi"/>
          <w:b/>
          <w:szCs w:val="18"/>
        </w:rPr>
      </w:pPr>
    </w:p>
    <w:p w14:paraId="56B8BCDD" w14:textId="77777777" w:rsidR="001E4416" w:rsidRDefault="001E4416" w:rsidP="007041A0">
      <w:pPr>
        <w:pStyle w:val="Texto"/>
        <w:tabs>
          <w:tab w:val="left" w:pos="680"/>
        </w:tabs>
        <w:spacing w:after="0" w:line="240" w:lineRule="exact"/>
        <w:rPr>
          <w:rFonts w:asciiTheme="minorHAnsi" w:hAnsiTheme="minorHAnsi" w:cstheme="minorHAnsi"/>
          <w:b/>
          <w:szCs w:val="18"/>
        </w:rPr>
      </w:pPr>
    </w:p>
    <w:p w14:paraId="40E0C112" w14:textId="77777777" w:rsidR="00B43367" w:rsidRDefault="00B43367" w:rsidP="00B43367">
      <w:pPr>
        <w:pStyle w:val="Texto"/>
        <w:tabs>
          <w:tab w:val="left" w:pos="680"/>
        </w:tabs>
        <w:spacing w:after="0" w:line="240" w:lineRule="exact"/>
        <w:ind w:firstLine="0"/>
        <w:rPr>
          <w:rFonts w:asciiTheme="minorHAnsi" w:hAnsiTheme="minorHAnsi" w:cstheme="minorHAnsi"/>
          <w:b/>
          <w:szCs w:val="18"/>
        </w:rPr>
      </w:pPr>
    </w:p>
    <w:p w14:paraId="5D820CDB" w14:textId="095B9500" w:rsidR="00295AC0" w:rsidRDefault="00B07C73" w:rsidP="00B43367">
      <w:pPr>
        <w:pStyle w:val="Texto"/>
        <w:tabs>
          <w:tab w:val="left" w:pos="680"/>
        </w:tabs>
        <w:spacing w:after="0" w:line="240" w:lineRule="exact"/>
        <w:ind w:firstLine="0"/>
        <w:rPr>
          <w:rFonts w:asciiTheme="minorHAnsi" w:hAnsiTheme="minorHAnsi" w:cstheme="minorHAnsi"/>
          <w:b/>
          <w:szCs w:val="18"/>
        </w:rPr>
      </w:pPr>
      <w:r w:rsidRPr="005F45A3">
        <w:rPr>
          <w:rFonts w:asciiTheme="minorHAnsi" w:hAnsiTheme="minorHAnsi" w:cstheme="minorHAnsi"/>
          <w:b/>
          <w:szCs w:val="18"/>
        </w:rPr>
        <w:lastRenderedPageBreak/>
        <w:t>Deuda por Instrumento Financiero, Tasas de Interés y Vencimiento</w:t>
      </w:r>
      <w:r w:rsidR="000C7859">
        <w:rPr>
          <w:rFonts w:asciiTheme="minorHAnsi" w:hAnsiTheme="minorHAnsi" w:cstheme="minorHAnsi"/>
          <w:b/>
          <w:szCs w:val="18"/>
        </w:rPr>
        <w:t xml:space="preserve">  </w:t>
      </w:r>
    </w:p>
    <w:p w14:paraId="196FE317" w14:textId="77777777" w:rsidR="00B43367" w:rsidRPr="000C7859" w:rsidRDefault="00B43367" w:rsidP="00B43367">
      <w:pPr>
        <w:pStyle w:val="Texto"/>
        <w:tabs>
          <w:tab w:val="left" w:pos="680"/>
        </w:tabs>
        <w:spacing w:after="0" w:line="240" w:lineRule="exact"/>
        <w:ind w:firstLine="0"/>
        <w:rPr>
          <w:rFonts w:asciiTheme="minorHAnsi" w:hAnsiTheme="minorHAnsi" w:cstheme="minorHAnsi"/>
          <w:b/>
          <w:sz w:val="10"/>
          <w:szCs w:val="18"/>
        </w:rPr>
      </w:pPr>
    </w:p>
    <w:p w14:paraId="2D440E06" w14:textId="434C3460" w:rsidR="00B07C73" w:rsidRPr="00295AC0" w:rsidRDefault="00B07C73" w:rsidP="007041A0">
      <w:pPr>
        <w:pStyle w:val="Texto"/>
        <w:tabs>
          <w:tab w:val="left" w:pos="680"/>
        </w:tabs>
        <w:spacing w:after="0" w:line="240" w:lineRule="exact"/>
        <w:rPr>
          <w:rFonts w:asciiTheme="minorHAnsi" w:hAnsiTheme="minorHAnsi" w:cstheme="minorHAnsi"/>
          <w:b/>
          <w:sz w:val="12"/>
          <w:szCs w:val="18"/>
        </w:rPr>
      </w:pPr>
      <w:r w:rsidRPr="00295AC0">
        <w:rPr>
          <w:rFonts w:asciiTheme="minorHAnsi" w:hAnsiTheme="minorHAnsi" w:cstheme="minorHAnsi"/>
          <w:b/>
          <w:sz w:val="12"/>
          <w:szCs w:val="18"/>
        </w:rPr>
        <w:t xml:space="preserve"> </w:t>
      </w:r>
    </w:p>
    <w:tbl>
      <w:tblPr>
        <w:tblW w:w="8789" w:type="dxa"/>
        <w:tblInd w:w="-5" w:type="dxa"/>
        <w:tblCellMar>
          <w:left w:w="70" w:type="dxa"/>
          <w:right w:w="70" w:type="dxa"/>
        </w:tblCellMar>
        <w:tblLook w:val="04A0" w:firstRow="1" w:lastRow="0" w:firstColumn="1" w:lastColumn="0" w:noHBand="0" w:noVBand="1"/>
      </w:tblPr>
      <w:tblGrid>
        <w:gridCol w:w="1232"/>
        <w:gridCol w:w="1242"/>
        <w:gridCol w:w="1242"/>
        <w:gridCol w:w="1241"/>
        <w:gridCol w:w="1233"/>
        <w:gridCol w:w="898"/>
        <w:gridCol w:w="1701"/>
      </w:tblGrid>
      <w:tr w:rsidR="001E4416" w:rsidRPr="001E4416" w14:paraId="1F252EFE" w14:textId="77777777" w:rsidTr="00B43367">
        <w:trPr>
          <w:trHeight w:val="641"/>
        </w:trPr>
        <w:tc>
          <w:tcPr>
            <w:tcW w:w="1232"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3568EFFA"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Acreedor</w:t>
            </w:r>
          </w:p>
        </w:tc>
        <w:tc>
          <w:tcPr>
            <w:tcW w:w="1242" w:type="dxa"/>
            <w:tcBorders>
              <w:top w:val="single" w:sz="4" w:space="0" w:color="auto"/>
              <w:left w:val="nil"/>
              <w:bottom w:val="single" w:sz="4" w:space="0" w:color="auto"/>
              <w:right w:val="single" w:sz="4" w:space="0" w:color="auto"/>
            </w:tcBorders>
            <w:shd w:val="clear" w:color="000000" w:fill="AB0033"/>
            <w:vAlign w:val="center"/>
            <w:hideMark/>
          </w:tcPr>
          <w:p w14:paraId="15CB11D4"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Importe Original contratado</w:t>
            </w:r>
          </w:p>
        </w:tc>
        <w:tc>
          <w:tcPr>
            <w:tcW w:w="1242" w:type="dxa"/>
            <w:tcBorders>
              <w:top w:val="single" w:sz="4" w:space="0" w:color="auto"/>
              <w:left w:val="nil"/>
              <w:bottom w:val="single" w:sz="4" w:space="0" w:color="auto"/>
              <w:right w:val="single" w:sz="4" w:space="0" w:color="auto"/>
            </w:tcBorders>
            <w:shd w:val="clear" w:color="000000" w:fill="AB0033"/>
            <w:vAlign w:val="center"/>
            <w:hideMark/>
          </w:tcPr>
          <w:p w14:paraId="2A77BAD9"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Saldo al 31 de Diciembre de 2022</w:t>
            </w:r>
          </w:p>
        </w:tc>
        <w:tc>
          <w:tcPr>
            <w:tcW w:w="1241" w:type="dxa"/>
            <w:tcBorders>
              <w:top w:val="single" w:sz="4" w:space="0" w:color="auto"/>
              <w:left w:val="nil"/>
              <w:bottom w:val="single" w:sz="4" w:space="0" w:color="auto"/>
              <w:right w:val="single" w:sz="4" w:space="0" w:color="auto"/>
            </w:tcBorders>
            <w:shd w:val="clear" w:color="000000" w:fill="AB0033"/>
            <w:vAlign w:val="center"/>
            <w:hideMark/>
          </w:tcPr>
          <w:p w14:paraId="4E47DF96"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Fecha de Vencimiento</w:t>
            </w:r>
          </w:p>
        </w:tc>
        <w:tc>
          <w:tcPr>
            <w:tcW w:w="1233" w:type="dxa"/>
            <w:tcBorders>
              <w:top w:val="single" w:sz="4" w:space="0" w:color="auto"/>
              <w:left w:val="nil"/>
              <w:bottom w:val="single" w:sz="4" w:space="0" w:color="auto"/>
              <w:right w:val="single" w:sz="4" w:space="0" w:color="auto"/>
            </w:tcBorders>
            <w:shd w:val="clear" w:color="000000" w:fill="AB0033"/>
            <w:vAlign w:val="center"/>
            <w:hideMark/>
          </w:tcPr>
          <w:p w14:paraId="365965A5"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Tasa de Interés de Referencia</w:t>
            </w:r>
          </w:p>
        </w:tc>
        <w:tc>
          <w:tcPr>
            <w:tcW w:w="898" w:type="dxa"/>
            <w:tcBorders>
              <w:top w:val="single" w:sz="4" w:space="0" w:color="auto"/>
              <w:left w:val="nil"/>
              <w:bottom w:val="single" w:sz="4" w:space="0" w:color="auto"/>
              <w:right w:val="single" w:sz="4" w:space="0" w:color="auto"/>
            </w:tcBorders>
            <w:shd w:val="clear" w:color="000000" w:fill="AB0033"/>
            <w:vAlign w:val="center"/>
            <w:hideMark/>
          </w:tcPr>
          <w:p w14:paraId="1E9D30DA"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Sobre tasa</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14:paraId="0F67E0BB" w14:textId="77777777" w:rsidR="001E4416" w:rsidRPr="001E4416" w:rsidRDefault="001E4416" w:rsidP="001E4416">
            <w:pPr>
              <w:spacing w:after="0" w:line="240" w:lineRule="auto"/>
              <w:jc w:val="center"/>
              <w:rPr>
                <w:rFonts w:asciiTheme="minorHAnsi" w:eastAsia="Times New Roman" w:hAnsiTheme="minorHAnsi" w:cstheme="minorHAnsi"/>
                <w:b/>
                <w:bCs/>
                <w:color w:val="FFFFFF"/>
                <w:sz w:val="16"/>
                <w:szCs w:val="16"/>
                <w:lang w:eastAsia="es-MX"/>
              </w:rPr>
            </w:pPr>
            <w:r w:rsidRPr="001E4416">
              <w:rPr>
                <w:rFonts w:asciiTheme="minorHAnsi" w:eastAsia="Times New Roman" w:hAnsiTheme="minorHAnsi" w:cstheme="minorHAnsi"/>
                <w:b/>
                <w:bCs/>
                <w:color w:val="FFFFFF"/>
                <w:sz w:val="16"/>
                <w:szCs w:val="16"/>
                <w:lang w:eastAsia="es-MX"/>
              </w:rPr>
              <w:t>Destino</w:t>
            </w:r>
          </w:p>
        </w:tc>
      </w:tr>
      <w:tr w:rsidR="001E4416" w:rsidRPr="001E4416" w14:paraId="2E712E6C"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70887D91"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242" w:type="dxa"/>
            <w:tcBorders>
              <w:top w:val="nil"/>
              <w:left w:val="nil"/>
              <w:bottom w:val="single" w:sz="4" w:space="0" w:color="auto"/>
              <w:right w:val="single" w:sz="4" w:space="0" w:color="auto"/>
            </w:tcBorders>
            <w:shd w:val="clear" w:color="000000" w:fill="FFFFFF"/>
            <w:noWrap/>
            <w:vAlign w:val="center"/>
            <w:hideMark/>
          </w:tcPr>
          <w:p w14:paraId="3F4625D4"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242" w:type="dxa"/>
            <w:tcBorders>
              <w:top w:val="nil"/>
              <w:left w:val="nil"/>
              <w:bottom w:val="single" w:sz="4" w:space="0" w:color="auto"/>
              <w:right w:val="single" w:sz="4" w:space="0" w:color="auto"/>
            </w:tcBorders>
            <w:shd w:val="clear" w:color="000000" w:fill="FFFFFF"/>
            <w:noWrap/>
            <w:vAlign w:val="center"/>
            <w:hideMark/>
          </w:tcPr>
          <w:p w14:paraId="0125FD2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389,194,155</w:t>
            </w:r>
          </w:p>
        </w:tc>
        <w:tc>
          <w:tcPr>
            <w:tcW w:w="1241" w:type="dxa"/>
            <w:tcBorders>
              <w:top w:val="nil"/>
              <w:left w:val="nil"/>
              <w:bottom w:val="single" w:sz="4" w:space="0" w:color="auto"/>
              <w:right w:val="single" w:sz="4" w:space="0" w:color="auto"/>
            </w:tcBorders>
            <w:shd w:val="clear" w:color="000000" w:fill="FFFFFF"/>
            <w:noWrap/>
            <w:vAlign w:val="center"/>
            <w:hideMark/>
          </w:tcPr>
          <w:p w14:paraId="296C769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31/01/2030</w:t>
            </w:r>
          </w:p>
        </w:tc>
        <w:tc>
          <w:tcPr>
            <w:tcW w:w="1233" w:type="dxa"/>
            <w:tcBorders>
              <w:top w:val="nil"/>
              <w:left w:val="nil"/>
              <w:bottom w:val="single" w:sz="4" w:space="0" w:color="auto"/>
              <w:right w:val="single" w:sz="4" w:space="0" w:color="auto"/>
            </w:tcBorders>
            <w:shd w:val="clear" w:color="000000" w:fill="FFFFFF"/>
            <w:vAlign w:val="center"/>
            <w:hideMark/>
          </w:tcPr>
          <w:p w14:paraId="410D4629"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35495BB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0.55</w:t>
            </w:r>
          </w:p>
        </w:tc>
        <w:tc>
          <w:tcPr>
            <w:tcW w:w="1701" w:type="dxa"/>
            <w:tcBorders>
              <w:top w:val="nil"/>
              <w:left w:val="nil"/>
              <w:bottom w:val="single" w:sz="4" w:space="0" w:color="auto"/>
              <w:right w:val="single" w:sz="4" w:space="0" w:color="auto"/>
            </w:tcBorders>
            <w:shd w:val="clear" w:color="000000" w:fill="FFFFFF"/>
            <w:vAlign w:val="center"/>
            <w:hideMark/>
          </w:tcPr>
          <w:p w14:paraId="5A4F475A"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3587D8D0" w14:textId="77777777" w:rsidTr="00B43367">
        <w:trPr>
          <w:trHeight w:val="427"/>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470EC032"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242" w:type="dxa"/>
            <w:tcBorders>
              <w:top w:val="nil"/>
              <w:left w:val="nil"/>
              <w:bottom w:val="single" w:sz="4" w:space="0" w:color="auto"/>
              <w:right w:val="single" w:sz="4" w:space="0" w:color="auto"/>
            </w:tcBorders>
            <w:shd w:val="clear" w:color="000000" w:fill="FFFFFF"/>
            <w:noWrap/>
            <w:vAlign w:val="center"/>
            <w:hideMark/>
          </w:tcPr>
          <w:p w14:paraId="1BF02BA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183,383,570</w:t>
            </w:r>
          </w:p>
        </w:tc>
        <w:tc>
          <w:tcPr>
            <w:tcW w:w="1242" w:type="dxa"/>
            <w:tcBorders>
              <w:top w:val="nil"/>
              <w:left w:val="nil"/>
              <w:bottom w:val="single" w:sz="4" w:space="0" w:color="auto"/>
              <w:right w:val="single" w:sz="4" w:space="0" w:color="auto"/>
            </w:tcBorders>
            <w:shd w:val="clear" w:color="000000" w:fill="FFFFFF"/>
            <w:noWrap/>
            <w:vAlign w:val="center"/>
            <w:hideMark/>
          </w:tcPr>
          <w:p w14:paraId="67C6CE26"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84,929,337</w:t>
            </w:r>
          </w:p>
        </w:tc>
        <w:tc>
          <w:tcPr>
            <w:tcW w:w="1241" w:type="dxa"/>
            <w:tcBorders>
              <w:top w:val="nil"/>
              <w:left w:val="nil"/>
              <w:bottom w:val="single" w:sz="4" w:space="0" w:color="auto"/>
              <w:right w:val="single" w:sz="4" w:space="0" w:color="auto"/>
            </w:tcBorders>
            <w:shd w:val="clear" w:color="000000" w:fill="FFFFFF"/>
            <w:noWrap/>
            <w:vAlign w:val="center"/>
            <w:hideMark/>
          </w:tcPr>
          <w:p w14:paraId="50DF820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29/07/2031</w:t>
            </w:r>
          </w:p>
        </w:tc>
        <w:tc>
          <w:tcPr>
            <w:tcW w:w="1233" w:type="dxa"/>
            <w:tcBorders>
              <w:top w:val="nil"/>
              <w:left w:val="nil"/>
              <w:bottom w:val="single" w:sz="4" w:space="0" w:color="auto"/>
              <w:right w:val="single" w:sz="4" w:space="0" w:color="auto"/>
            </w:tcBorders>
            <w:shd w:val="clear" w:color="000000" w:fill="FFFFFF"/>
            <w:vAlign w:val="center"/>
            <w:hideMark/>
          </w:tcPr>
          <w:p w14:paraId="298B90BF"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TASA BASE fija variable</w:t>
            </w:r>
          </w:p>
        </w:tc>
        <w:tc>
          <w:tcPr>
            <w:tcW w:w="898" w:type="dxa"/>
            <w:tcBorders>
              <w:top w:val="nil"/>
              <w:left w:val="nil"/>
              <w:bottom w:val="single" w:sz="4" w:space="0" w:color="auto"/>
              <w:right w:val="single" w:sz="4" w:space="0" w:color="auto"/>
            </w:tcBorders>
            <w:shd w:val="clear" w:color="000000" w:fill="FFFFFF"/>
            <w:vAlign w:val="center"/>
            <w:hideMark/>
          </w:tcPr>
          <w:p w14:paraId="6A3CB930"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0.75</w:t>
            </w:r>
          </w:p>
        </w:tc>
        <w:tc>
          <w:tcPr>
            <w:tcW w:w="1701" w:type="dxa"/>
            <w:tcBorders>
              <w:top w:val="nil"/>
              <w:left w:val="nil"/>
              <w:bottom w:val="single" w:sz="4" w:space="0" w:color="auto"/>
              <w:right w:val="single" w:sz="4" w:space="0" w:color="auto"/>
            </w:tcBorders>
            <w:shd w:val="clear" w:color="000000" w:fill="FFFFFF"/>
            <w:vAlign w:val="center"/>
            <w:hideMark/>
          </w:tcPr>
          <w:p w14:paraId="3699636B"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Productiva/FONDEN</w:t>
            </w:r>
          </w:p>
        </w:tc>
      </w:tr>
      <w:tr w:rsidR="001E4416" w:rsidRPr="001E4416" w14:paraId="4E1A5A2E" w14:textId="77777777" w:rsidTr="00B43367">
        <w:trPr>
          <w:trHeight w:val="441"/>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37956E57"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242" w:type="dxa"/>
            <w:tcBorders>
              <w:top w:val="nil"/>
              <w:left w:val="nil"/>
              <w:bottom w:val="single" w:sz="4" w:space="0" w:color="auto"/>
              <w:right w:val="single" w:sz="4" w:space="0" w:color="auto"/>
            </w:tcBorders>
            <w:shd w:val="clear" w:color="000000" w:fill="FFFFFF"/>
            <w:noWrap/>
            <w:vAlign w:val="center"/>
            <w:hideMark/>
          </w:tcPr>
          <w:p w14:paraId="7AB6E41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187,112,637</w:t>
            </w:r>
          </w:p>
        </w:tc>
        <w:tc>
          <w:tcPr>
            <w:tcW w:w="1242" w:type="dxa"/>
            <w:tcBorders>
              <w:top w:val="nil"/>
              <w:left w:val="nil"/>
              <w:bottom w:val="single" w:sz="4" w:space="0" w:color="auto"/>
              <w:right w:val="single" w:sz="4" w:space="0" w:color="auto"/>
            </w:tcBorders>
            <w:shd w:val="clear" w:color="000000" w:fill="FFFFFF"/>
            <w:noWrap/>
            <w:vAlign w:val="center"/>
            <w:hideMark/>
          </w:tcPr>
          <w:p w14:paraId="5558E9B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96,804,480</w:t>
            </w:r>
          </w:p>
        </w:tc>
        <w:tc>
          <w:tcPr>
            <w:tcW w:w="1241" w:type="dxa"/>
            <w:tcBorders>
              <w:top w:val="nil"/>
              <w:left w:val="nil"/>
              <w:bottom w:val="single" w:sz="4" w:space="0" w:color="auto"/>
              <w:right w:val="single" w:sz="4" w:space="0" w:color="auto"/>
            </w:tcBorders>
            <w:shd w:val="clear" w:color="000000" w:fill="FFFFFF"/>
            <w:noWrap/>
            <w:vAlign w:val="center"/>
            <w:hideMark/>
          </w:tcPr>
          <w:p w14:paraId="4F0B2DD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25/05/2032</w:t>
            </w:r>
          </w:p>
        </w:tc>
        <w:tc>
          <w:tcPr>
            <w:tcW w:w="1233" w:type="dxa"/>
            <w:tcBorders>
              <w:top w:val="nil"/>
              <w:left w:val="nil"/>
              <w:bottom w:val="single" w:sz="4" w:space="0" w:color="auto"/>
              <w:right w:val="single" w:sz="4" w:space="0" w:color="auto"/>
            </w:tcBorders>
            <w:shd w:val="clear" w:color="000000" w:fill="FFFFFF"/>
            <w:vAlign w:val="center"/>
            <w:hideMark/>
          </w:tcPr>
          <w:p w14:paraId="7AEB079E"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TASA BASE 7.67 %</w:t>
            </w:r>
          </w:p>
        </w:tc>
        <w:tc>
          <w:tcPr>
            <w:tcW w:w="898" w:type="dxa"/>
            <w:tcBorders>
              <w:top w:val="nil"/>
              <w:left w:val="nil"/>
              <w:bottom w:val="single" w:sz="4" w:space="0" w:color="auto"/>
              <w:right w:val="single" w:sz="4" w:space="0" w:color="auto"/>
            </w:tcBorders>
            <w:shd w:val="clear" w:color="000000" w:fill="FFFFFF"/>
            <w:vAlign w:val="center"/>
            <w:hideMark/>
          </w:tcPr>
          <w:p w14:paraId="2590292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0.81</w:t>
            </w:r>
          </w:p>
        </w:tc>
        <w:tc>
          <w:tcPr>
            <w:tcW w:w="1701" w:type="dxa"/>
            <w:tcBorders>
              <w:top w:val="nil"/>
              <w:left w:val="nil"/>
              <w:bottom w:val="single" w:sz="4" w:space="0" w:color="auto"/>
              <w:right w:val="single" w:sz="4" w:space="0" w:color="auto"/>
            </w:tcBorders>
            <w:shd w:val="clear" w:color="000000" w:fill="FFFFFF"/>
            <w:vAlign w:val="center"/>
            <w:hideMark/>
          </w:tcPr>
          <w:p w14:paraId="26881856"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Productiva/FONDEN</w:t>
            </w:r>
          </w:p>
        </w:tc>
      </w:tr>
      <w:tr w:rsidR="001E4416" w:rsidRPr="001E4416" w14:paraId="74849CF3"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640286BA"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242" w:type="dxa"/>
            <w:tcBorders>
              <w:top w:val="nil"/>
              <w:left w:val="nil"/>
              <w:bottom w:val="single" w:sz="4" w:space="0" w:color="auto"/>
              <w:right w:val="single" w:sz="4" w:space="0" w:color="auto"/>
            </w:tcBorders>
            <w:shd w:val="clear" w:color="000000" w:fill="FFFFFF"/>
            <w:noWrap/>
            <w:vAlign w:val="center"/>
            <w:hideMark/>
          </w:tcPr>
          <w:p w14:paraId="4FF77C9D"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250,802,462</w:t>
            </w:r>
          </w:p>
        </w:tc>
        <w:tc>
          <w:tcPr>
            <w:tcW w:w="1242" w:type="dxa"/>
            <w:tcBorders>
              <w:top w:val="nil"/>
              <w:left w:val="nil"/>
              <w:bottom w:val="single" w:sz="4" w:space="0" w:color="auto"/>
              <w:right w:val="single" w:sz="4" w:space="0" w:color="auto"/>
            </w:tcBorders>
            <w:shd w:val="clear" w:color="000000" w:fill="FFFFFF"/>
            <w:noWrap/>
            <w:vAlign w:val="center"/>
            <w:hideMark/>
          </w:tcPr>
          <w:p w14:paraId="64747437"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22,858,827</w:t>
            </w:r>
          </w:p>
        </w:tc>
        <w:tc>
          <w:tcPr>
            <w:tcW w:w="1241" w:type="dxa"/>
            <w:tcBorders>
              <w:top w:val="nil"/>
              <w:left w:val="nil"/>
              <w:bottom w:val="single" w:sz="4" w:space="0" w:color="auto"/>
              <w:right w:val="single" w:sz="4" w:space="0" w:color="auto"/>
            </w:tcBorders>
            <w:shd w:val="clear" w:color="000000" w:fill="FFFFFF"/>
            <w:noWrap/>
            <w:vAlign w:val="center"/>
            <w:hideMark/>
          </w:tcPr>
          <w:p w14:paraId="629B525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25/04/2024</w:t>
            </w:r>
          </w:p>
        </w:tc>
        <w:tc>
          <w:tcPr>
            <w:tcW w:w="1233" w:type="dxa"/>
            <w:tcBorders>
              <w:top w:val="nil"/>
              <w:left w:val="nil"/>
              <w:bottom w:val="single" w:sz="4" w:space="0" w:color="auto"/>
              <w:right w:val="single" w:sz="4" w:space="0" w:color="auto"/>
            </w:tcBorders>
            <w:shd w:val="clear" w:color="000000" w:fill="FFFFFF"/>
            <w:vAlign w:val="center"/>
            <w:hideMark/>
          </w:tcPr>
          <w:p w14:paraId="7BB3F208"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TIIE </w:t>
            </w:r>
          </w:p>
        </w:tc>
        <w:tc>
          <w:tcPr>
            <w:tcW w:w="898" w:type="dxa"/>
            <w:tcBorders>
              <w:top w:val="nil"/>
              <w:left w:val="nil"/>
              <w:bottom w:val="single" w:sz="4" w:space="0" w:color="auto"/>
              <w:right w:val="single" w:sz="4" w:space="0" w:color="auto"/>
            </w:tcBorders>
            <w:shd w:val="clear" w:color="000000" w:fill="FFFFFF"/>
            <w:vAlign w:val="center"/>
            <w:hideMark/>
          </w:tcPr>
          <w:p w14:paraId="41590FD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0.77</w:t>
            </w:r>
          </w:p>
        </w:tc>
        <w:tc>
          <w:tcPr>
            <w:tcW w:w="1701" w:type="dxa"/>
            <w:tcBorders>
              <w:top w:val="nil"/>
              <w:left w:val="nil"/>
              <w:bottom w:val="single" w:sz="4" w:space="0" w:color="auto"/>
              <w:right w:val="single" w:sz="4" w:space="0" w:color="auto"/>
            </w:tcBorders>
            <w:shd w:val="clear" w:color="000000" w:fill="FFFFFF"/>
            <w:vAlign w:val="center"/>
            <w:hideMark/>
          </w:tcPr>
          <w:p w14:paraId="10C1C3E3"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35BD9E57"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1E860D0B"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BANOBRAS</w:t>
            </w:r>
          </w:p>
        </w:tc>
        <w:tc>
          <w:tcPr>
            <w:tcW w:w="1242" w:type="dxa"/>
            <w:tcBorders>
              <w:top w:val="nil"/>
              <w:left w:val="nil"/>
              <w:bottom w:val="single" w:sz="4" w:space="0" w:color="auto"/>
              <w:right w:val="single" w:sz="4" w:space="0" w:color="auto"/>
            </w:tcBorders>
            <w:shd w:val="clear" w:color="000000" w:fill="FFFFFF"/>
            <w:noWrap/>
            <w:vAlign w:val="center"/>
            <w:hideMark/>
          </w:tcPr>
          <w:p w14:paraId="17AF0EB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113,990,000</w:t>
            </w:r>
          </w:p>
        </w:tc>
        <w:tc>
          <w:tcPr>
            <w:tcW w:w="1242" w:type="dxa"/>
            <w:tcBorders>
              <w:top w:val="nil"/>
              <w:left w:val="nil"/>
              <w:bottom w:val="single" w:sz="4" w:space="0" w:color="auto"/>
              <w:right w:val="single" w:sz="4" w:space="0" w:color="auto"/>
            </w:tcBorders>
            <w:shd w:val="clear" w:color="000000" w:fill="FFFFFF"/>
            <w:noWrap/>
            <w:vAlign w:val="center"/>
            <w:hideMark/>
          </w:tcPr>
          <w:p w14:paraId="31D4C41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21,828,938</w:t>
            </w:r>
          </w:p>
        </w:tc>
        <w:tc>
          <w:tcPr>
            <w:tcW w:w="1241" w:type="dxa"/>
            <w:tcBorders>
              <w:top w:val="nil"/>
              <w:left w:val="nil"/>
              <w:bottom w:val="single" w:sz="4" w:space="0" w:color="auto"/>
              <w:right w:val="single" w:sz="4" w:space="0" w:color="auto"/>
            </w:tcBorders>
            <w:shd w:val="clear" w:color="000000" w:fill="FFFFFF"/>
            <w:noWrap/>
            <w:vAlign w:val="center"/>
            <w:hideMark/>
          </w:tcPr>
          <w:p w14:paraId="4A73B45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28/03/2025</w:t>
            </w:r>
          </w:p>
        </w:tc>
        <w:tc>
          <w:tcPr>
            <w:tcW w:w="1233" w:type="dxa"/>
            <w:tcBorders>
              <w:top w:val="nil"/>
              <w:left w:val="nil"/>
              <w:bottom w:val="single" w:sz="4" w:space="0" w:color="auto"/>
              <w:right w:val="single" w:sz="4" w:space="0" w:color="auto"/>
            </w:tcBorders>
            <w:shd w:val="clear" w:color="000000" w:fill="FFFFFF"/>
            <w:vAlign w:val="center"/>
            <w:hideMark/>
          </w:tcPr>
          <w:p w14:paraId="53DA75D3"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TIIE </w:t>
            </w:r>
          </w:p>
        </w:tc>
        <w:tc>
          <w:tcPr>
            <w:tcW w:w="898" w:type="dxa"/>
            <w:tcBorders>
              <w:top w:val="nil"/>
              <w:left w:val="nil"/>
              <w:bottom w:val="single" w:sz="4" w:space="0" w:color="auto"/>
              <w:right w:val="single" w:sz="4" w:space="0" w:color="auto"/>
            </w:tcBorders>
            <w:shd w:val="clear" w:color="000000" w:fill="FFFFFF"/>
            <w:vAlign w:val="center"/>
            <w:hideMark/>
          </w:tcPr>
          <w:p w14:paraId="7EE7020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0.93</w:t>
            </w:r>
          </w:p>
        </w:tc>
        <w:tc>
          <w:tcPr>
            <w:tcW w:w="1701" w:type="dxa"/>
            <w:tcBorders>
              <w:top w:val="nil"/>
              <w:left w:val="nil"/>
              <w:bottom w:val="single" w:sz="4" w:space="0" w:color="auto"/>
              <w:right w:val="single" w:sz="4" w:space="0" w:color="auto"/>
            </w:tcBorders>
            <w:shd w:val="clear" w:color="000000" w:fill="FFFFFF"/>
            <w:vAlign w:val="center"/>
            <w:hideMark/>
          </w:tcPr>
          <w:p w14:paraId="7F45D9B3"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1CEF8924"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46704240"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242" w:type="dxa"/>
            <w:tcBorders>
              <w:top w:val="nil"/>
              <w:left w:val="nil"/>
              <w:bottom w:val="single" w:sz="4" w:space="0" w:color="auto"/>
              <w:right w:val="single" w:sz="4" w:space="0" w:color="auto"/>
            </w:tcBorders>
            <w:shd w:val="clear" w:color="000000" w:fill="FFFFFF"/>
            <w:noWrap/>
            <w:vAlign w:val="center"/>
            <w:hideMark/>
          </w:tcPr>
          <w:p w14:paraId="5BAA7880"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242" w:type="dxa"/>
            <w:tcBorders>
              <w:top w:val="nil"/>
              <w:left w:val="nil"/>
              <w:bottom w:val="single" w:sz="4" w:space="0" w:color="auto"/>
              <w:right w:val="single" w:sz="4" w:space="0" w:color="auto"/>
            </w:tcBorders>
            <w:shd w:val="clear" w:color="000000" w:fill="FFFFFF"/>
            <w:noWrap/>
            <w:vAlign w:val="center"/>
            <w:hideMark/>
          </w:tcPr>
          <w:p w14:paraId="35DDABE1"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1,416,033,565</w:t>
            </w:r>
          </w:p>
        </w:tc>
        <w:tc>
          <w:tcPr>
            <w:tcW w:w="1241" w:type="dxa"/>
            <w:tcBorders>
              <w:top w:val="nil"/>
              <w:left w:val="nil"/>
              <w:bottom w:val="single" w:sz="4" w:space="0" w:color="auto"/>
              <w:right w:val="single" w:sz="4" w:space="0" w:color="auto"/>
            </w:tcBorders>
            <w:shd w:val="clear" w:color="000000" w:fill="FFFFFF"/>
            <w:noWrap/>
            <w:vAlign w:val="center"/>
            <w:hideMark/>
          </w:tcPr>
          <w:p w14:paraId="1417A75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233" w:type="dxa"/>
            <w:tcBorders>
              <w:top w:val="nil"/>
              <w:left w:val="nil"/>
              <w:bottom w:val="single" w:sz="4" w:space="0" w:color="auto"/>
              <w:right w:val="single" w:sz="4" w:space="0" w:color="auto"/>
            </w:tcBorders>
            <w:shd w:val="clear" w:color="000000" w:fill="FFFFFF"/>
            <w:vAlign w:val="center"/>
            <w:hideMark/>
          </w:tcPr>
          <w:p w14:paraId="6A7C5F58"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40629487"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0.62</w:t>
            </w:r>
          </w:p>
        </w:tc>
        <w:tc>
          <w:tcPr>
            <w:tcW w:w="1701" w:type="dxa"/>
            <w:tcBorders>
              <w:top w:val="nil"/>
              <w:left w:val="nil"/>
              <w:bottom w:val="single" w:sz="4" w:space="0" w:color="auto"/>
              <w:right w:val="single" w:sz="4" w:space="0" w:color="auto"/>
            </w:tcBorders>
            <w:shd w:val="clear" w:color="000000" w:fill="FFFFFF"/>
            <w:vAlign w:val="center"/>
            <w:hideMark/>
          </w:tcPr>
          <w:p w14:paraId="20E8C58D"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Reestructura de Deuda</w:t>
            </w:r>
          </w:p>
        </w:tc>
      </w:tr>
      <w:tr w:rsidR="001E4416" w:rsidRPr="001E4416" w14:paraId="30E92FBE"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2C6CF888"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242" w:type="dxa"/>
            <w:tcBorders>
              <w:top w:val="nil"/>
              <w:left w:val="nil"/>
              <w:bottom w:val="single" w:sz="4" w:space="0" w:color="auto"/>
              <w:right w:val="single" w:sz="4" w:space="0" w:color="auto"/>
            </w:tcBorders>
            <w:shd w:val="clear" w:color="000000" w:fill="FFFFFF"/>
            <w:noWrap/>
            <w:vAlign w:val="center"/>
            <w:hideMark/>
          </w:tcPr>
          <w:p w14:paraId="6B8733B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1,539,000,000</w:t>
            </w:r>
          </w:p>
        </w:tc>
        <w:tc>
          <w:tcPr>
            <w:tcW w:w="1242" w:type="dxa"/>
            <w:tcBorders>
              <w:top w:val="nil"/>
              <w:left w:val="nil"/>
              <w:bottom w:val="single" w:sz="4" w:space="0" w:color="auto"/>
              <w:right w:val="single" w:sz="4" w:space="0" w:color="auto"/>
            </w:tcBorders>
            <w:shd w:val="clear" w:color="000000" w:fill="FFFFFF"/>
            <w:noWrap/>
            <w:vAlign w:val="center"/>
            <w:hideMark/>
          </w:tcPr>
          <w:p w14:paraId="3CD74001"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1,422,778,512</w:t>
            </w:r>
          </w:p>
        </w:tc>
        <w:tc>
          <w:tcPr>
            <w:tcW w:w="1241" w:type="dxa"/>
            <w:tcBorders>
              <w:top w:val="nil"/>
              <w:left w:val="nil"/>
              <w:bottom w:val="single" w:sz="4" w:space="0" w:color="auto"/>
              <w:right w:val="single" w:sz="4" w:space="0" w:color="auto"/>
            </w:tcBorders>
            <w:shd w:val="clear" w:color="000000" w:fill="FFFFFF"/>
            <w:noWrap/>
            <w:vAlign w:val="center"/>
            <w:hideMark/>
          </w:tcPr>
          <w:p w14:paraId="28BF4872"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233" w:type="dxa"/>
            <w:tcBorders>
              <w:top w:val="nil"/>
              <w:left w:val="nil"/>
              <w:bottom w:val="single" w:sz="4" w:space="0" w:color="auto"/>
              <w:right w:val="single" w:sz="4" w:space="0" w:color="auto"/>
            </w:tcBorders>
            <w:shd w:val="clear" w:color="000000" w:fill="FFFFFF"/>
            <w:vAlign w:val="center"/>
            <w:hideMark/>
          </w:tcPr>
          <w:p w14:paraId="4D4B0E56"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5371D9A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0.51</w:t>
            </w:r>
          </w:p>
        </w:tc>
        <w:tc>
          <w:tcPr>
            <w:tcW w:w="1701" w:type="dxa"/>
            <w:tcBorders>
              <w:top w:val="nil"/>
              <w:left w:val="nil"/>
              <w:bottom w:val="single" w:sz="4" w:space="0" w:color="auto"/>
              <w:right w:val="single" w:sz="4" w:space="0" w:color="auto"/>
            </w:tcBorders>
            <w:shd w:val="clear" w:color="000000" w:fill="FFFFFF"/>
            <w:vAlign w:val="center"/>
            <w:hideMark/>
          </w:tcPr>
          <w:p w14:paraId="51B892EB"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Reestructura de Deuda</w:t>
            </w:r>
          </w:p>
        </w:tc>
      </w:tr>
      <w:tr w:rsidR="001E4416" w:rsidRPr="001E4416" w14:paraId="3EAA0111"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7CD954DA"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242" w:type="dxa"/>
            <w:tcBorders>
              <w:top w:val="nil"/>
              <w:left w:val="nil"/>
              <w:bottom w:val="single" w:sz="4" w:space="0" w:color="auto"/>
              <w:right w:val="single" w:sz="4" w:space="0" w:color="auto"/>
            </w:tcBorders>
            <w:shd w:val="clear" w:color="000000" w:fill="FFFFFF"/>
            <w:noWrap/>
            <w:vAlign w:val="center"/>
            <w:hideMark/>
          </w:tcPr>
          <w:p w14:paraId="38991E51"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5,461,000,000</w:t>
            </w:r>
          </w:p>
        </w:tc>
        <w:tc>
          <w:tcPr>
            <w:tcW w:w="1242" w:type="dxa"/>
            <w:tcBorders>
              <w:top w:val="nil"/>
              <w:left w:val="nil"/>
              <w:bottom w:val="single" w:sz="4" w:space="0" w:color="auto"/>
              <w:right w:val="single" w:sz="4" w:space="0" w:color="auto"/>
            </w:tcBorders>
            <w:shd w:val="clear" w:color="000000" w:fill="FFFFFF"/>
            <w:noWrap/>
            <w:vAlign w:val="center"/>
            <w:hideMark/>
          </w:tcPr>
          <w:p w14:paraId="652CCB4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5,128,988,102</w:t>
            </w:r>
          </w:p>
        </w:tc>
        <w:tc>
          <w:tcPr>
            <w:tcW w:w="1241" w:type="dxa"/>
            <w:tcBorders>
              <w:top w:val="nil"/>
              <w:left w:val="nil"/>
              <w:bottom w:val="single" w:sz="4" w:space="0" w:color="auto"/>
              <w:right w:val="single" w:sz="4" w:space="0" w:color="auto"/>
            </w:tcBorders>
            <w:shd w:val="clear" w:color="000000" w:fill="FFFFFF"/>
            <w:noWrap/>
            <w:vAlign w:val="center"/>
            <w:hideMark/>
          </w:tcPr>
          <w:p w14:paraId="027FA2C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01/11/2037</w:t>
            </w:r>
          </w:p>
        </w:tc>
        <w:tc>
          <w:tcPr>
            <w:tcW w:w="1233" w:type="dxa"/>
            <w:tcBorders>
              <w:top w:val="nil"/>
              <w:left w:val="nil"/>
              <w:bottom w:val="single" w:sz="4" w:space="0" w:color="auto"/>
              <w:right w:val="single" w:sz="4" w:space="0" w:color="auto"/>
            </w:tcBorders>
            <w:shd w:val="clear" w:color="000000" w:fill="FFFFFF"/>
            <w:vAlign w:val="center"/>
            <w:hideMark/>
          </w:tcPr>
          <w:p w14:paraId="7593D440"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43428B0C"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0.61</w:t>
            </w:r>
          </w:p>
        </w:tc>
        <w:tc>
          <w:tcPr>
            <w:tcW w:w="1701" w:type="dxa"/>
            <w:tcBorders>
              <w:top w:val="nil"/>
              <w:left w:val="nil"/>
              <w:bottom w:val="single" w:sz="4" w:space="0" w:color="auto"/>
              <w:right w:val="single" w:sz="4" w:space="0" w:color="auto"/>
            </w:tcBorders>
            <w:shd w:val="clear" w:color="000000" w:fill="FFFFFF"/>
            <w:vAlign w:val="center"/>
            <w:hideMark/>
          </w:tcPr>
          <w:p w14:paraId="6ADD1636"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Reestructura de Deuda</w:t>
            </w:r>
          </w:p>
        </w:tc>
      </w:tr>
      <w:tr w:rsidR="001E4416" w:rsidRPr="001E4416" w14:paraId="17086158"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1AF7AEF0"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SANTANDER</w:t>
            </w:r>
          </w:p>
        </w:tc>
        <w:tc>
          <w:tcPr>
            <w:tcW w:w="1242" w:type="dxa"/>
            <w:tcBorders>
              <w:top w:val="nil"/>
              <w:left w:val="nil"/>
              <w:bottom w:val="single" w:sz="4" w:space="0" w:color="auto"/>
              <w:right w:val="single" w:sz="4" w:space="0" w:color="auto"/>
            </w:tcBorders>
            <w:shd w:val="clear" w:color="000000" w:fill="FFFFFF"/>
            <w:noWrap/>
            <w:vAlign w:val="center"/>
            <w:hideMark/>
          </w:tcPr>
          <w:p w14:paraId="2AFEE4C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1,650,000,000</w:t>
            </w:r>
          </w:p>
        </w:tc>
        <w:tc>
          <w:tcPr>
            <w:tcW w:w="1242" w:type="dxa"/>
            <w:tcBorders>
              <w:top w:val="nil"/>
              <w:left w:val="nil"/>
              <w:bottom w:val="single" w:sz="4" w:space="0" w:color="auto"/>
              <w:right w:val="single" w:sz="4" w:space="0" w:color="auto"/>
            </w:tcBorders>
            <w:shd w:val="clear" w:color="000000" w:fill="FFFFFF"/>
            <w:noWrap/>
            <w:vAlign w:val="center"/>
            <w:hideMark/>
          </w:tcPr>
          <w:p w14:paraId="0F9BC45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1,582,935,385</w:t>
            </w:r>
          </w:p>
        </w:tc>
        <w:tc>
          <w:tcPr>
            <w:tcW w:w="1241" w:type="dxa"/>
            <w:tcBorders>
              <w:top w:val="nil"/>
              <w:left w:val="nil"/>
              <w:bottom w:val="single" w:sz="4" w:space="0" w:color="auto"/>
              <w:right w:val="single" w:sz="4" w:space="0" w:color="auto"/>
            </w:tcBorders>
            <w:shd w:val="clear" w:color="000000" w:fill="FFFFFF"/>
            <w:noWrap/>
            <w:vAlign w:val="center"/>
            <w:hideMark/>
          </w:tcPr>
          <w:p w14:paraId="65C7345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233" w:type="dxa"/>
            <w:tcBorders>
              <w:top w:val="nil"/>
              <w:left w:val="nil"/>
              <w:bottom w:val="single" w:sz="4" w:space="0" w:color="auto"/>
              <w:right w:val="single" w:sz="4" w:space="0" w:color="auto"/>
            </w:tcBorders>
            <w:shd w:val="clear" w:color="000000" w:fill="FFFFFF"/>
            <w:vAlign w:val="center"/>
            <w:hideMark/>
          </w:tcPr>
          <w:p w14:paraId="262FAA13"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0D9C64C9"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0.71</w:t>
            </w:r>
          </w:p>
        </w:tc>
        <w:tc>
          <w:tcPr>
            <w:tcW w:w="1701" w:type="dxa"/>
            <w:tcBorders>
              <w:top w:val="nil"/>
              <w:left w:val="nil"/>
              <w:bottom w:val="single" w:sz="4" w:space="0" w:color="auto"/>
              <w:right w:val="single" w:sz="4" w:space="0" w:color="auto"/>
            </w:tcBorders>
            <w:shd w:val="clear" w:color="000000" w:fill="FFFFFF"/>
            <w:vAlign w:val="center"/>
            <w:hideMark/>
          </w:tcPr>
          <w:p w14:paraId="43D32A3E"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00574FD5"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378B381F"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BANAMEX</w:t>
            </w:r>
          </w:p>
        </w:tc>
        <w:tc>
          <w:tcPr>
            <w:tcW w:w="1242" w:type="dxa"/>
            <w:tcBorders>
              <w:top w:val="nil"/>
              <w:left w:val="nil"/>
              <w:bottom w:val="single" w:sz="4" w:space="0" w:color="auto"/>
              <w:right w:val="single" w:sz="4" w:space="0" w:color="auto"/>
            </w:tcBorders>
            <w:shd w:val="clear" w:color="000000" w:fill="FFFFFF"/>
            <w:noWrap/>
            <w:vAlign w:val="center"/>
            <w:hideMark/>
          </w:tcPr>
          <w:p w14:paraId="72F4DE37"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1,000,000,000</w:t>
            </w:r>
          </w:p>
        </w:tc>
        <w:tc>
          <w:tcPr>
            <w:tcW w:w="1242" w:type="dxa"/>
            <w:tcBorders>
              <w:top w:val="nil"/>
              <w:left w:val="nil"/>
              <w:bottom w:val="single" w:sz="4" w:space="0" w:color="auto"/>
              <w:right w:val="single" w:sz="4" w:space="0" w:color="auto"/>
            </w:tcBorders>
            <w:shd w:val="clear" w:color="000000" w:fill="FFFFFF"/>
            <w:noWrap/>
            <w:vAlign w:val="center"/>
            <w:hideMark/>
          </w:tcPr>
          <w:p w14:paraId="36FDE5D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959,231,502</w:t>
            </w:r>
          </w:p>
        </w:tc>
        <w:tc>
          <w:tcPr>
            <w:tcW w:w="1241" w:type="dxa"/>
            <w:tcBorders>
              <w:top w:val="nil"/>
              <w:left w:val="nil"/>
              <w:bottom w:val="single" w:sz="4" w:space="0" w:color="auto"/>
              <w:right w:val="single" w:sz="4" w:space="0" w:color="auto"/>
            </w:tcBorders>
            <w:shd w:val="clear" w:color="000000" w:fill="FFFFFF"/>
            <w:noWrap/>
            <w:vAlign w:val="center"/>
            <w:hideMark/>
          </w:tcPr>
          <w:p w14:paraId="4566EDF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233" w:type="dxa"/>
            <w:tcBorders>
              <w:top w:val="nil"/>
              <w:left w:val="nil"/>
              <w:bottom w:val="single" w:sz="4" w:space="0" w:color="auto"/>
              <w:right w:val="single" w:sz="4" w:space="0" w:color="auto"/>
            </w:tcBorders>
            <w:shd w:val="clear" w:color="000000" w:fill="FFFFFF"/>
            <w:vAlign w:val="center"/>
            <w:hideMark/>
          </w:tcPr>
          <w:p w14:paraId="18C4623F"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40F9B6D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0.62</w:t>
            </w:r>
          </w:p>
        </w:tc>
        <w:tc>
          <w:tcPr>
            <w:tcW w:w="1701" w:type="dxa"/>
            <w:tcBorders>
              <w:top w:val="nil"/>
              <w:left w:val="nil"/>
              <w:bottom w:val="single" w:sz="4" w:space="0" w:color="auto"/>
              <w:right w:val="single" w:sz="4" w:space="0" w:color="auto"/>
            </w:tcBorders>
            <w:shd w:val="clear" w:color="000000" w:fill="FFFFFF"/>
            <w:vAlign w:val="center"/>
            <w:hideMark/>
          </w:tcPr>
          <w:p w14:paraId="46E95464"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11A00F68"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309E4724"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242" w:type="dxa"/>
            <w:tcBorders>
              <w:top w:val="nil"/>
              <w:left w:val="nil"/>
              <w:bottom w:val="single" w:sz="4" w:space="0" w:color="auto"/>
              <w:right w:val="single" w:sz="4" w:space="0" w:color="auto"/>
            </w:tcBorders>
            <w:shd w:val="clear" w:color="000000" w:fill="FFFFFF"/>
            <w:noWrap/>
            <w:vAlign w:val="center"/>
            <w:hideMark/>
          </w:tcPr>
          <w:p w14:paraId="431C02BA"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500,000,000</w:t>
            </w:r>
          </w:p>
        </w:tc>
        <w:tc>
          <w:tcPr>
            <w:tcW w:w="1242" w:type="dxa"/>
            <w:tcBorders>
              <w:top w:val="nil"/>
              <w:left w:val="nil"/>
              <w:bottom w:val="single" w:sz="4" w:space="0" w:color="auto"/>
              <w:right w:val="single" w:sz="4" w:space="0" w:color="auto"/>
            </w:tcBorders>
            <w:shd w:val="clear" w:color="000000" w:fill="FFFFFF"/>
            <w:noWrap/>
            <w:vAlign w:val="center"/>
            <w:hideMark/>
          </w:tcPr>
          <w:p w14:paraId="24A168D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477,439,785</w:t>
            </w:r>
          </w:p>
        </w:tc>
        <w:tc>
          <w:tcPr>
            <w:tcW w:w="1241" w:type="dxa"/>
            <w:tcBorders>
              <w:top w:val="nil"/>
              <w:left w:val="nil"/>
              <w:bottom w:val="single" w:sz="4" w:space="0" w:color="auto"/>
              <w:right w:val="single" w:sz="4" w:space="0" w:color="auto"/>
            </w:tcBorders>
            <w:shd w:val="clear" w:color="000000" w:fill="FFFFFF"/>
            <w:noWrap/>
            <w:vAlign w:val="center"/>
            <w:hideMark/>
          </w:tcPr>
          <w:p w14:paraId="5F40070D"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28/02/2038</w:t>
            </w:r>
          </w:p>
        </w:tc>
        <w:tc>
          <w:tcPr>
            <w:tcW w:w="1233" w:type="dxa"/>
            <w:tcBorders>
              <w:top w:val="nil"/>
              <w:left w:val="nil"/>
              <w:bottom w:val="single" w:sz="4" w:space="0" w:color="auto"/>
              <w:right w:val="single" w:sz="4" w:space="0" w:color="auto"/>
            </w:tcBorders>
            <w:shd w:val="clear" w:color="000000" w:fill="FFFFFF"/>
            <w:vAlign w:val="center"/>
            <w:hideMark/>
          </w:tcPr>
          <w:p w14:paraId="365B5CBC"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6A01580F"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0.48</w:t>
            </w:r>
          </w:p>
        </w:tc>
        <w:tc>
          <w:tcPr>
            <w:tcW w:w="1701" w:type="dxa"/>
            <w:tcBorders>
              <w:top w:val="nil"/>
              <w:left w:val="nil"/>
              <w:bottom w:val="single" w:sz="4" w:space="0" w:color="auto"/>
              <w:right w:val="single" w:sz="4" w:space="0" w:color="auto"/>
            </w:tcBorders>
            <w:shd w:val="clear" w:color="000000" w:fill="FFFFFF"/>
            <w:vAlign w:val="center"/>
            <w:hideMark/>
          </w:tcPr>
          <w:p w14:paraId="509C2764"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368D560E"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447BC7B9"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242" w:type="dxa"/>
            <w:tcBorders>
              <w:top w:val="nil"/>
              <w:left w:val="nil"/>
              <w:bottom w:val="single" w:sz="4" w:space="0" w:color="auto"/>
              <w:right w:val="single" w:sz="4" w:space="0" w:color="auto"/>
            </w:tcBorders>
            <w:shd w:val="clear" w:color="000000" w:fill="FFFFFF"/>
            <w:noWrap/>
            <w:vAlign w:val="center"/>
            <w:hideMark/>
          </w:tcPr>
          <w:p w14:paraId="5BA9CDDC"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968,347,530</w:t>
            </w:r>
          </w:p>
        </w:tc>
        <w:tc>
          <w:tcPr>
            <w:tcW w:w="1242" w:type="dxa"/>
            <w:tcBorders>
              <w:top w:val="nil"/>
              <w:left w:val="nil"/>
              <w:bottom w:val="single" w:sz="4" w:space="0" w:color="auto"/>
              <w:right w:val="single" w:sz="4" w:space="0" w:color="auto"/>
            </w:tcBorders>
            <w:shd w:val="clear" w:color="000000" w:fill="FFFFFF"/>
            <w:noWrap/>
            <w:vAlign w:val="center"/>
            <w:hideMark/>
          </w:tcPr>
          <w:p w14:paraId="1C4B5FF8"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814,621,172</w:t>
            </w:r>
          </w:p>
        </w:tc>
        <w:tc>
          <w:tcPr>
            <w:tcW w:w="1241" w:type="dxa"/>
            <w:tcBorders>
              <w:top w:val="nil"/>
              <w:left w:val="nil"/>
              <w:bottom w:val="single" w:sz="4" w:space="0" w:color="auto"/>
              <w:right w:val="single" w:sz="4" w:space="0" w:color="auto"/>
            </w:tcBorders>
            <w:shd w:val="clear" w:color="000000" w:fill="FFFFFF"/>
            <w:noWrap/>
            <w:vAlign w:val="center"/>
            <w:hideMark/>
          </w:tcPr>
          <w:p w14:paraId="12AD67E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14/03/2031</w:t>
            </w:r>
          </w:p>
        </w:tc>
        <w:tc>
          <w:tcPr>
            <w:tcW w:w="1233" w:type="dxa"/>
            <w:tcBorders>
              <w:top w:val="nil"/>
              <w:left w:val="nil"/>
              <w:bottom w:val="single" w:sz="4" w:space="0" w:color="auto"/>
              <w:right w:val="single" w:sz="4" w:space="0" w:color="auto"/>
            </w:tcBorders>
            <w:shd w:val="clear" w:color="000000" w:fill="FFFFFF"/>
            <w:vAlign w:val="center"/>
            <w:hideMark/>
          </w:tcPr>
          <w:p w14:paraId="2178460A"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1E23B2C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0.52</w:t>
            </w:r>
          </w:p>
        </w:tc>
        <w:tc>
          <w:tcPr>
            <w:tcW w:w="1701" w:type="dxa"/>
            <w:tcBorders>
              <w:top w:val="nil"/>
              <w:left w:val="nil"/>
              <w:bottom w:val="single" w:sz="4" w:space="0" w:color="auto"/>
              <w:right w:val="single" w:sz="4" w:space="0" w:color="auto"/>
            </w:tcBorders>
            <w:shd w:val="clear" w:color="000000" w:fill="FFFFFF"/>
            <w:vAlign w:val="center"/>
            <w:hideMark/>
          </w:tcPr>
          <w:p w14:paraId="5A8EE252"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Refinanciamiento</w:t>
            </w:r>
          </w:p>
        </w:tc>
      </w:tr>
      <w:tr w:rsidR="001E4416" w:rsidRPr="001E4416" w14:paraId="6865AF82"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672B30FF"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BANCOMER </w:t>
            </w:r>
          </w:p>
        </w:tc>
        <w:tc>
          <w:tcPr>
            <w:tcW w:w="1242" w:type="dxa"/>
            <w:tcBorders>
              <w:top w:val="nil"/>
              <w:left w:val="nil"/>
              <w:bottom w:val="single" w:sz="4" w:space="0" w:color="auto"/>
              <w:right w:val="single" w:sz="4" w:space="0" w:color="auto"/>
            </w:tcBorders>
            <w:shd w:val="clear" w:color="000000" w:fill="FFFFFF"/>
            <w:noWrap/>
            <w:vAlign w:val="center"/>
            <w:hideMark/>
          </w:tcPr>
          <w:p w14:paraId="7F03A5A3"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994,864,167</w:t>
            </w:r>
          </w:p>
        </w:tc>
        <w:tc>
          <w:tcPr>
            <w:tcW w:w="1242" w:type="dxa"/>
            <w:tcBorders>
              <w:top w:val="nil"/>
              <w:left w:val="nil"/>
              <w:bottom w:val="single" w:sz="4" w:space="0" w:color="auto"/>
              <w:right w:val="single" w:sz="4" w:space="0" w:color="auto"/>
            </w:tcBorders>
            <w:shd w:val="clear" w:color="000000" w:fill="FFFFFF"/>
            <w:noWrap/>
            <w:vAlign w:val="center"/>
            <w:hideMark/>
          </w:tcPr>
          <w:p w14:paraId="49F659D9"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946,088,820</w:t>
            </w:r>
          </w:p>
        </w:tc>
        <w:tc>
          <w:tcPr>
            <w:tcW w:w="1241" w:type="dxa"/>
            <w:tcBorders>
              <w:top w:val="nil"/>
              <w:left w:val="nil"/>
              <w:bottom w:val="single" w:sz="4" w:space="0" w:color="auto"/>
              <w:right w:val="single" w:sz="4" w:space="0" w:color="auto"/>
            </w:tcBorders>
            <w:shd w:val="clear" w:color="000000" w:fill="FFFFFF"/>
            <w:noWrap/>
            <w:vAlign w:val="center"/>
            <w:hideMark/>
          </w:tcPr>
          <w:p w14:paraId="0AE1A896"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13/11/2037</w:t>
            </w:r>
          </w:p>
        </w:tc>
        <w:tc>
          <w:tcPr>
            <w:tcW w:w="1233" w:type="dxa"/>
            <w:tcBorders>
              <w:top w:val="nil"/>
              <w:left w:val="nil"/>
              <w:bottom w:val="single" w:sz="4" w:space="0" w:color="auto"/>
              <w:right w:val="single" w:sz="4" w:space="0" w:color="auto"/>
            </w:tcBorders>
            <w:shd w:val="clear" w:color="000000" w:fill="FFFFFF"/>
            <w:vAlign w:val="center"/>
            <w:hideMark/>
          </w:tcPr>
          <w:p w14:paraId="0E0D324D"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2B4F631B"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0.52</w:t>
            </w:r>
          </w:p>
        </w:tc>
        <w:tc>
          <w:tcPr>
            <w:tcW w:w="1701" w:type="dxa"/>
            <w:tcBorders>
              <w:top w:val="nil"/>
              <w:left w:val="nil"/>
              <w:bottom w:val="single" w:sz="4" w:space="0" w:color="auto"/>
              <w:right w:val="single" w:sz="4" w:space="0" w:color="auto"/>
            </w:tcBorders>
            <w:shd w:val="clear" w:color="000000" w:fill="FFFFFF"/>
            <w:vAlign w:val="center"/>
            <w:hideMark/>
          </w:tcPr>
          <w:p w14:paraId="1F99BFF4"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Refinanciamiento</w:t>
            </w:r>
          </w:p>
        </w:tc>
      </w:tr>
      <w:tr w:rsidR="001E4416" w:rsidRPr="001E4416" w14:paraId="3F0CB7A6" w14:textId="77777777" w:rsidTr="00B43367">
        <w:trPr>
          <w:trHeight w:val="349"/>
        </w:trPr>
        <w:tc>
          <w:tcPr>
            <w:tcW w:w="1232" w:type="dxa"/>
            <w:tcBorders>
              <w:top w:val="nil"/>
              <w:left w:val="single" w:sz="4" w:space="0" w:color="auto"/>
              <w:bottom w:val="single" w:sz="4" w:space="0" w:color="auto"/>
              <w:right w:val="single" w:sz="4" w:space="0" w:color="auto"/>
            </w:tcBorders>
            <w:shd w:val="clear" w:color="000000" w:fill="FFFFFF"/>
            <w:noWrap/>
            <w:vAlign w:val="center"/>
            <w:hideMark/>
          </w:tcPr>
          <w:p w14:paraId="200AED17"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 xml:space="preserve">BANORTE </w:t>
            </w:r>
          </w:p>
        </w:tc>
        <w:tc>
          <w:tcPr>
            <w:tcW w:w="1242" w:type="dxa"/>
            <w:tcBorders>
              <w:top w:val="nil"/>
              <w:left w:val="nil"/>
              <w:bottom w:val="single" w:sz="4" w:space="0" w:color="auto"/>
              <w:right w:val="single" w:sz="4" w:space="0" w:color="auto"/>
            </w:tcBorders>
            <w:shd w:val="clear" w:color="000000" w:fill="FFFFFF"/>
            <w:noWrap/>
            <w:vAlign w:val="center"/>
            <w:hideMark/>
          </w:tcPr>
          <w:p w14:paraId="5E363D2E"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1,500,000,000</w:t>
            </w:r>
          </w:p>
        </w:tc>
        <w:tc>
          <w:tcPr>
            <w:tcW w:w="1242" w:type="dxa"/>
            <w:tcBorders>
              <w:top w:val="nil"/>
              <w:left w:val="nil"/>
              <w:bottom w:val="single" w:sz="4" w:space="0" w:color="auto"/>
              <w:right w:val="single" w:sz="4" w:space="0" w:color="auto"/>
            </w:tcBorders>
            <w:shd w:val="clear" w:color="000000" w:fill="FFFFFF"/>
            <w:noWrap/>
            <w:vAlign w:val="center"/>
            <w:hideMark/>
          </w:tcPr>
          <w:p w14:paraId="61D605E5"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1,486,752,456</w:t>
            </w:r>
          </w:p>
        </w:tc>
        <w:tc>
          <w:tcPr>
            <w:tcW w:w="1241" w:type="dxa"/>
            <w:tcBorders>
              <w:top w:val="nil"/>
              <w:left w:val="nil"/>
              <w:bottom w:val="single" w:sz="4" w:space="0" w:color="auto"/>
              <w:right w:val="single" w:sz="4" w:space="0" w:color="auto"/>
            </w:tcBorders>
            <w:shd w:val="clear" w:color="000000" w:fill="FFFFFF"/>
            <w:noWrap/>
            <w:vAlign w:val="center"/>
            <w:hideMark/>
          </w:tcPr>
          <w:p w14:paraId="6AAD0984"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17/12/2040</w:t>
            </w:r>
          </w:p>
        </w:tc>
        <w:tc>
          <w:tcPr>
            <w:tcW w:w="1233" w:type="dxa"/>
            <w:tcBorders>
              <w:top w:val="nil"/>
              <w:left w:val="nil"/>
              <w:bottom w:val="single" w:sz="4" w:space="0" w:color="auto"/>
              <w:right w:val="single" w:sz="4" w:space="0" w:color="auto"/>
            </w:tcBorders>
            <w:shd w:val="clear" w:color="000000" w:fill="FFFFFF"/>
            <w:vAlign w:val="center"/>
            <w:hideMark/>
          </w:tcPr>
          <w:p w14:paraId="0B52F94E"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single" w:sz="4" w:space="0" w:color="auto"/>
              <w:right w:val="single" w:sz="4" w:space="0" w:color="auto"/>
            </w:tcBorders>
            <w:shd w:val="clear" w:color="000000" w:fill="FFFFFF"/>
            <w:vAlign w:val="center"/>
            <w:hideMark/>
          </w:tcPr>
          <w:p w14:paraId="0932CB7A"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1.65</w:t>
            </w:r>
          </w:p>
        </w:tc>
        <w:tc>
          <w:tcPr>
            <w:tcW w:w="1701" w:type="dxa"/>
            <w:tcBorders>
              <w:top w:val="nil"/>
              <w:left w:val="nil"/>
              <w:bottom w:val="single" w:sz="4" w:space="0" w:color="auto"/>
              <w:right w:val="single" w:sz="4" w:space="0" w:color="auto"/>
            </w:tcBorders>
            <w:shd w:val="clear" w:color="000000" w:fill="FFFFFF"/>
            <w:vAlign w:val="center"/>
            <w:hideMark/>
          </w:tcPr>
          <w:p w14:paraId="7CB4CC40"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651499A0" w14:textId="77777777" w:rsidTr="00B43367">
        <w:trPr>
          <w:trHeight w:val="349"/>
        </w:trPr>
        <w:tc>
          <w:tcPr>
            <w:tcW w:w="1232" w:type="dxa"/>
            <w:tcBorders>
              <w:top w:val="nil"/>
              <w:left w:val="single" w:sz="4" w:space="0" w:color="auto"/>
              <w:bottom w:val="nil"/>
              <w:right w:val="single" w:sz="4" w:space="0" w:color="auto"/>
            </w:tcBorders>
            <w:shd w:val="clear" w:color="000000" w:fill="FFFFFF"/>
            <w:noWrap/>
            <w:vAlign w:val="center"/>
            <w:hideMark/>
          </w:tcPr>
          <w:p w14:paraId="65EE33A5"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BANORTE</w:t>
            </w:r>
          </w:p>
        </w:tc>
        <w:tc>
          <w:tcPr>
            <w:tcW w:w="1242" w:type="dxa"/>
            <w:tcBorders>
              <w:top w:val="nil"/>
              <w:left w:val="nil"/>
              <w:bottom w:val="nil"/>
              <w:right w:val="single" w:sz="4" w:space="0" w:color="auto"/>
            </w:tcBorders>
            <w:shd w:val="clear" w:color="000000" w:fill="FFFFFF"/>
            <w:noWrap/>
            <w:vAlign w:val="center"/>
            <w:hideMark/>
          </w:tcPr>
          <w:p w14:paraId="7E4020B2"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1,200,000,000</w:t>
            </w:r>
          </w:p>
        </w:tc>
        <w:tc>
          <w:tcPr>
            <w:tcW w:w="1242" w:type="dxa"/>
            <w:tcBorders>
              <w:top w:val="nil"/>
              <w:left w:val="nil"/>
              <w:bottom w:val="nil"/>
              <w:right w:val="single" w:sz="4" w:space="0" w:color="auto"/>
            </w:tcBorders>
            <w:shd w:val="clear" w:color="000000" w:fill="FFFFFF"/>
            <w:noWrap/>
            <w:vAlign w:val="center"/>
            <w:hideMark/>
          </w:tcPr>
          <w:p w14:paraId="7D33521C" w14:textId="77777777" w:rsidR="001E4416" w:rsidRPr="001E4416" w:rsidRDefault="001E4416" w:rsidP="001E4416">
            <w:pPr>
              <w:spacing w:after="0" w:line="240" w:lineRule="auto"/>
              <w:jc w:val="right"/>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982,839,026</w:t>
            </w:r>
          </w:p>
        </w:tc>
        <w:tc>
          <w:tcPr>
            <w:tcW w:w="1241" w:type="dxa"/>
            <w:tcBorders>
              <w:top w:val="nil"/>
              <w:left w:val="nil"/>
              <w:bottom w:val="nil"/>
              <w:right w:val="single" w:sz="4" w:space="0" w:color="auto"/>
            </w:tcBorders>
            <w:shd w:val="clear" w:color="000000" w:fill="FFFFFF"/>
            <w:noWrap/>
            <w:vAlign w:val="center"/>
            <w:hideMark/>
          </w:tcPr>
          <w:p w14:paraId="34E1E958"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17/09/2041</w:t>
            </w:r>
          </w:p>
        </w:tc>
        <w:tc>
          <w:tcPr>
            <w:tcW w:w="1233" w:type="dxa"/>
            <w:tcBorders>
              <w:top w:val="nil"/>
              <w:left w:val="nil"/>
              <w:bottom w:val="nil"/>
              <w:right w:val="single" w:sz="4" w:space="0" w:color="auto"/>
            </w:tcBorders>
            <w:shd w:val="clear" w:color="000000" w:fill="FFFFFF"/>
            <w:vAlign w:val="center"/>
            <w:hideMark/>
          </w:tcPr>
          <w:p w14:paraId="59C1A178"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TIIE</w:t>
            </w:r>
          </w:p>
        </w:tc>
        <w:tc>
          <w:tcPr>
            <w:tcW w:w="898" w:type="dxa"/>
            <w:tcBorders>
              <w:top w:val="nil"/>
              <w:left w:val="nil"/>
              <w:bottom w:val="nil"/>
              <w:right w:val="single" w:sz="4" w:space="0" w:color="auto"/>
            </w:tcBorders>
            <w:shd w:val="clear" w:color="000000" w:fill="FFFFFF"/>
            <w:vAlign w:val="center"/>
            <w:hideMark/>
          </w:tcPr>
          <w:p w14:paraId="745C63E3" w14:textId="77777777" w:rsidR="001E4416" w:rsidRPr="001E4416" w:rsidRDefault="001E4416" w:rsidP="001E4416">
            <w:pPr>
              <w:spacing w:after="0" w:line="240" w:lineRule="auto"/>
              <w:jc w:val="center"/>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1.75</w:t>
            </w:r>
          </w:p>
        </w:tc>
        <w:tc>
          <w:tcPr>
            <w:tcW w:w="1701" w:type="dxa"/>
            <w:tcBorders>
              <w:top w:val="nil"/>
              <w:left w:val="nil"/>
              <w:bottom w:val="nil"/>
              <w:right w:val="single" w:sz="4" w:space="0" w:color="auto"/>
            </w:tcBorders>
            <w:shd w:val="clear" w:color="000000" w:fill="FFFFFF"/>
            <w:vAlign w:val="center"/>
            <w:hideMark/>
          </w:tcPr>
          <w:p w14:paraId="1770FFDE" w14:textId="77777777" w:rsidR="001E4416" w:rsidRPr="001E4416" w:rsidRDefault="001E4416" w:rsidP="001E4416">
            <w:pPr>
              <w:spacing w:after="0" w:line="240" w:lineRule="auto"/>
              <w:rPr>
                <w:rFonts w:asciiTheme="minorHAnsi" w:eastAsia="Times New Roman" w:hAnsiTheme="minorHAnsi" w:cstheme="minorHAnsi"/>
                <w:color w:val="222B35"/>
                <w:sz w:val="14"/>
                <w:szCs w:val="14"/>
                <w:lang w:eastAsia="es-MX"/>
              </w:rPr>
            </w:pPr>
            <w:r w:rsidRPr="001E4416">
              <w:rPr>
                <w:rFonts w:asciiTheme="minorHAnsi" w:eastAsia="Times New Roman" w:hAnsiTheme="minorHAnsi" w:cstheme="minorHAnsi"/>
                <w:color w:val="222B35"/>
                <w:sz w:val="14"/>
                <w:szCs w:val="14"/>
                <w:lang w:eastAsia="es-MX"/>
              </w:rPr>
              <w:t>Inversión Pública Productiva</w:t>
            </w:r>
          </w:p>
        </w:tc>
      </w:tr>
      <w:tr w:rsidR="001E4416" w:rsidRPr="001E4416" w14:paraId="7B1DD780" w14:textId="77777777" w:rsidTr="00B43367">
        <w:trPr>
          <w:trHeight w:val="305"/>
        </w:trPr>
        <w:tc>
          <w:tcPr>
            <w:tcW w:w="1232" w:type="dxa"/>
            <w:tcBorders>
              <w:top w:val="single" w:sz="8" w:space="0" w:color="auto"/>
              <w:left w:val="single" w:sz="8" w:space="0" w:color="auto"/>
              <w:bottom w:val="single" w:sz="8" w:space="0" w:color="auto"/>
              <w:right w:val="single" w:sz="8" w:space="0" w:color="auto"/>
            </w:tcBorders>
            <w:shd w:val="clear" w:color="auto" w:fill="DDC9A3"/>
            <w:noWrap/>
            <w:vAlign w:val="center"/>
            <w:hideMark/>
          </w:tcPr>
          <w:p w14:paraId="62566EE2" w14:textId="77777777" w:rsidR="001E4416" w:rsidRPr="001E4416" w:rsidRDefault="001E4416" w:rsidP="001E4416">
            <w:pPr>
              <w:spacing w:after="0" w:line="240" w:lineRule="auto"/>
              <w:rPr>
                <w:rFonts w:asciiTheme="minorHAnsi" w:eastAsia="Times New Roman" w:hAnsiTheme="minorHAnsi" w:cstheme="minorHAnsi"/>
                <w:b/>
                <w:bCs/>
                <w:color w:val="222B35"/>
                <w:sz w:val="14"/>
                <w:szCs w:val="14"/>
                <w:lang w:eastAsia="es-MX"/>
              </w:rPr>
            </w:pPr>
            <w:r w:rsidRPr="001E4416">
              <w:rPr>
                <w:rFonts w:asciiTheme="minorHAnsi" w:eastAsia="Times New Roman" w:hAnsiTheme="minorHAnsi" w:cstheme="minorHAnsi"/>
                <w:b/>
                <w:bCs/>
                <w:color w:val="222B35"/>
                <w:sz w:val="14"/>
                <w:szCs w:val="14"/>
                <w:lang w:eastAsia="es-MX"/>
              </w:rPr>
              <w:t>TOTALES</w:t>
            </w:r>
          </w:p>
        </w:tc>
        <w:tc>
          <w:tcPr>
            <w:tcW w:w="1242" w:type="dxa"/>
            <w:tcBorders>
              <w:top w:val="single" w:sz="8" w:space="0" w:color="auto"/>
              <w:left w:val="nil"/>
              <w:bottom w:val="single" w:sz="8" w:space="0" w:color="auto"/>
              <w:right w:val="single" w:sz="8" w:space="0" w:color="auto"/>
            </w:tcBorders>
            <w:shd w:val="clear" w:color="auto" w:fill="DDC9A3"/>
            <w:noWrap/>
            <w:vAlign w:val="center"/>
            <w:hideMark/>
          </w:tcPr>
          <w:p w14:paraId="28E8B330" w14:textId="77777777" w:rsidR="001E4416" w:rsidRPr="001E4416" w:rsidRDefault="001E4416" w:rsidP="001E4416">
            <w:pPr>
              <w:spacing w:after="0" w:line="240" w:lineRule="auto"/>
              <w:jc w:val="right"/>
              <w:rPr>
                <w:rFonts w:asciiTheme="minorHAnsi" w:eastAsia="Times New Roman" w:hAnsiTheme="minorHAnsi" w:cstheme="minorHAnsi"/>
                <w:b/>
                <w:bCs/>
                <w:color w:val="222B35"/>
                <w:sz w:val="14"/>
                <w:szCs w:val="14"/>
                <w:lang w:eastAsia="es-MX"/>
              </w:rPr>
            </w:pPr>
            <w:r w:rsidRPr="001E4416">
              <w:rPr>
                <w:rFonts w:asciiTheme="minorHAnsi" w:eastAsia="Times New Roman" w:hAnsiTheme="minorHAnsi" w:cstheme="minorHAnsi"/>
                <w:b/>
                <w:bCs/>
                <w:color w:val="222B35"/>
                <w:sz w:val="14"/>
                <w:szCs w:val="14"/>
                <w:lang w:eastAsia="es-MX"/>
              </w:rPr>
              <w:t>18,048,500,366</w:t>
            </w:r>
          </w:p>
        </w:tc>
        <w:tc>
          <w:tcPr>
            <w:tcW w:w="1242" w:type="dxa"/>
            <w:tcBorders>
              <w:top w:val="single" w:sz="8" w:space="0" w:color="auto"/>
              <w:left w:val="nil"/>
              <w:bottom w:val="single" w:sz="8" w:space="0" w:color="auto"/>
              <w:right w:val="single" w:sz="8" w:space="0" w:color="auto"/>
            </w:tcBorders>
            <w:shd w:val="clear" w:color="auto" w:fill="DDC9A3"/>
            <w:noWrap/>
            <w:vAlign w:val="center"/>
            <w:hideMark/>
          </w:tcPr>
          <w:p w14:paraId="022EFF2D" w14:textId="77777777" w:rsidR="001E4416" w:rsidRPr="001E4416" w:rsidRDefault="001E4416" w:rsidP="001E4416">
            <w:pPr>
              <w:spacing w:after="0" w:line="240" w:lineRule="auto"/>
              <w:jc w:val="right"/>
              <w:rPr>
                <w:rFonts w:asciiTheme="minorHAnsi" w:eastAsia="Times New Roman" w:hAnsiTheme="minorHAnsi" w:cstheme="minorHAnsi"/>
                <w:b/>
                <w:bCs/>
                <w:color w:val="222B35"/>
                <w:sz w:val="14"/>
                <w:szCs w:val="14"/>
                <w:lang w:eastAsia="es-MX"/>
              </w:rPr>
            </w:pPr>
            <w:r w:rsidRPr="001E4416">
              <w:rPr>
                <w:rFonts w:asciiTheme="minorHAnsi" w:eastAsia="Times New Roman" w:hAnsiTheme="minorHAnsi" w:cstheme="minorHAnsi"/>
                <w:b/>
                <w:bCs/>
                <w:color w:val="222B35"/>
                <w:sz w:val="14"/>
                <w:szCs w:val="14"/>
                <w:lang w:eastAsia="es-MX"/>
              </w:rPr>
              <w:t>15,833,324,062</w:t>
            </w:r>
          </w:p>
        </w:tc>
        <w:tc>
          <w:tcPr>
            <w:tcW w:w="5073" w:type="dxa"/>
            <w:gridSpan w:val="4"/>
            <w:tcBorders>
              <w:top w:val="single" w:sz="8" w:space="0" w:color="auto"/>
              <w:left w:val="nil"/>
              <w:bottom w:val="single" w:sz="8" w:space="0" w:color="auto"/>
              <w:right w:val="single" w:sz="8" w:space="0" w:color="000000"/>
            </w:tcBorders>
            <w:shd w:val="clear" w:color="auto" w:fill="DDC9A3"/>
            <w:noWrap/>
            <w:vAlign w:val="center"/>
            <w:hideMark/>
          </w:tcPr>
          <w:p w14:paraId="60000071" w14:textId="77777777" w:rsidR="001E4416" w:rsidRPr="001E4416" w:rsidRDefault="001E4416" w:rsidP="001E4416">
            <w:pPr>
              <w:spacing w:after="0" w:line="240" w:lineRule="auto"/>
              <w:jc w:val="center"/>
              <w:rPr>
                <w:rFonts w:asciiTheme="minorHAnsi" w:eastAsia="Times New Roman" w:hAnsiTheme="minorHAnsi" w:cstheme="minorHAnsi"/>
                <w:b/>
                <w:bCs/>
                <w:i/>
                <w:iCs/>
                <w:color w:val="222B35"/>
                <w:sz w:val="14"/>
                <w:szCs w:val="14"/>
                <w:lang w:eastAsia="es-MX"/>
              </w:rPr>
            </w:pPr>
            <w:r w:rsidRPr="001E4416">
              <w:rPr>
                <w:rFonts w:asciiTheme="minorHAnsi" w:eastAsia="Times New Roman" w:hAnsiTheme="minorHAnsi" w:cstheme="minorHAnsi"/>
                <w:b/>
                <w:bCs/>
                <w:i/>
                <w:iCs/>
                <w:color w:val="222B35"/>
                <w:sz w:val="14"/>
                <w:szCs w:val="14"/>
                <w:lang w:eastAsia="es-MX"/>
              </w:rPr>
              <w:t> </w:t>
            </w:r>
          </w:p>
        </w:tc>
      </w:tr>
    </w:tbl>
    <w:p w14:paraId="7F6ED918" w14:textId="77777777" w:rsidR="001E4416" w:rsidRPr="001E4416" w:rsidRDefault="001E4416" w:rsidP="00B07C73">
      <w:pPr>
        <w:pStyle w:val="INCISO"/>
        <w:spacing w:after="0" w:line="240" w:lineRule="exact"/>
        <w:ind w:left="0" w:firstLine="0"/>
        <w:rPr>
          <w:rFonts w:asciiTheme="minorHAnsi" w:hAnsiTheme="minorHAnsi" w:cstheme="minorHAnsi"/>
          <w:b/>
          <w:lang w:val="es-MX"/>
        </w:rPr>
      </w:pPr>
    </w:p>
    <w:p w14:paraId="5A8B7C02" w14:textId="77777777" w:rsidR="001E4416" w:rsidRDefault="001E4416" w:rsidP="00B07C73">
      <w:pPr>
        <w:pStyle w:val="INCISO"/>
        <w:spacing w:after="0" w:line="240" w:lineRule="exact"/>
        <w:ind w:left="0" w:firstLine="0"/>
        <w:rPr>
          <w:rFonts w:asciiTheme="minorHAnsi" w:hAnsiTheme="minorHAnsi" w:cstheme="minorHAnsi"/>
          <w:b/>
          <w:lang w:val="es-MX"/>
        </w:rPr>
      </w:pPr>
    </w:p>
    <w:p w14:paraId="47291B58" w14:textId="77777777" w:rsidR="00B43367" w:rsidRDefault="00B07C73" w:rsidP="00B43367">
      <w:pPr>
        <w:pStyle w:val="INCISO"/>
        <w:spacing w:after="0" w:line="240" w:lineRule="exact"/>
        <w:ind w:left="0" w:firstLine="0"/>
        <w:rPr>
          <w:rFonts w:asciiTheme="minorHAnsi" w:hAnsiTheme="minorHAnsi" w:cstheme="minorHAnsi"/>
          <w:b/>
          <w:lang w:val="es-MX"/>
        </w:rPr>
      </w:pPr>
      <w:r w:rsidRPr="005F45A3">
        <w:rPr>
          <w:rFonts w:asciiTheme="minorHAnsi" w:hAnsiTheme="minorHAnsi" w:cstheme="minorHAnsi"/>
          <w:b/>
          <w:lang w:val="es-MX"/>
        </w:rPr>
        <w:t xml:space="preserve"> </w:t>
      </w:r>
    </w:p>
    <w:p w14:paraId="2BE1E941" w14:textId="77777777" w:rsidR="00B43367" w:rsidRDefault="00B43367" w:rsidP="00B43367">
      <w:pPr>
        <w:pStyle w:val="INCISO"/>
        <w:spacing w:after="0" w:line="240" w:lineRule="exact"/>
        <w:ind w:left="0" w:firstLine="0"/>
        <w:rPr>
          <w:rFonts w:asciiTheme="minorHAnsi" w:hAnsiTheme="minorHAnsi" w:cstheme="minorHAnsi"/>
          <w:b/>
          <w:lang w:val="es-MX"/>
        </w:rPr>
      </w:pPr>
    </w:p>
    <w:p w14:paraId="60924647" w14:textId="77777777" w:rsidR="00B43367" w:rsidRDefault="00B43367" w:rsidP="00B43367">
      <w:pPr>
        <w:pStyle w:val="INCISO"/>
        <w:spacing w:after="0" w:line="240" w:lineRule="exact"/>
        <w:ind w:left="0" w:firstLine="0"/>
        <w:rPr>
          <w:rFonts w:asciiTheme="minorHAnsi" w:hAnsiTheme="minorHAnsi" w:cstheme="minorHAnsi"/>
          <w:b/>
          <w:lang w:val="es-MX"/>
        </w:rPr>
      </w:pPr>
    </w:p>
    <w:p w14:paraId="7BD35FB9" w14:textId="77777777" w:rsidR="00B43367" w:rsidRDefault="00B43367" w:rsidP="00B43367">
      <w:pPr>
        <w:pStyle w:val="INCISO"/>
        <w:spacing w:after="0" w:line="240" w:lineRule="exact"/>
        <w:ind w:left="0" w:firstLine="0"/>
        <w:rPr>
          <w:rFonts w:asciiTheme="minorHAnsi" w:hAnsiTheme="minorHAnsi" w:cstheme="minorHAnsi"/>
          <w:b/>
          <w:lang w:val="es-MX"/>
        </w:rPr>
      </w:pPr>
    </w:p>
    <w:p w14:paraId="2CBE0B26" w14:textId="77777777" w:rsidR="00B43367" w:rsidRDefault="00B43367" w:rsidP="00B43367">
      <w:pPr>
        <w:pStyle w:val="INCISO"/>
        <w:spacing w:after="0" w:line="240" w:lineRule="exact"/>
        <w:ind w:left="0" w:firstLine="0"/>
        <w:rPr>
          <w:rFonts w:asciiTheme="minorHAnsi" w:hAnsiTheme="minorHAnsi" w:cstheme="minorHAnsi"/>
          <w:b/>
          <w:lang w:val="es-MX"/>
        </w:rPr>
      </w:pPr>
    </w:p>
    <w:p w14:paraId="556C7287" w14:textId="77777777" w:rsidR="00B43367" w:rsidRDefault="00B43367" w:rsidP="00B43367">
      <w:pPr>
        <w:pStyle w:val="INCISO"/>
        <w:spacing w:after="0" w:line="240" w:lineRule="exact"/>
        <w:ind w:left="0" w:firstLine="0"/>
        <w:rPr>
          <w:rFonts w:asciiTheme="minorHAnsi" w:hAnsiTheme="minorHAnsi" w:cstheme="minorHAnsi"/>
          <w:b/>
          <w:lang w:val="es-MX"/>
        </w:rPr>
      </w:pPr>
    </w:p>
    <w:p w14:paraId="0FE1F11F" w14:textId="77777777" w:rsidR="00B43367" w:rsidRDefault="00B43367" w:rsidP="00B43367">
      <w:pPr>
        <w:pStyle w:val="INCISO"/>
        <w:spacing w:after="0" w:line="240" w:lineRule="exact"/>
        <w:ind w:left="0" w:firstLine="0"/>
        <w:rPr>
          <w:rFonts w:asciiTheme="minorHAnsi" w:hAnsiTheme="minorHAnsi" w:cstheme="minorHAnsi"/>
          <w:b/>
          <w:lang w:val="es-MX"/>
        </w:rPr>
      </w:pPr>
    </w:p>
    <w:p w14:paraId="3686CCDD" w14:textId="77777777" w:rsidR="00B43367" w:rsidRDefault="00B43367" w:rsidP="00B43367">
      <w:pPr>
        <w:pStyle w:val="INCISO"/>
        <w:spacing w:after="0" w:line="240" w:lineRule="exact"/>
        <w:ind w:left="0" w:firstLine="0"/>
        <w:rPr>
          <w:rFonts w:asciiTheme="minorHAnsi" w:hAnsiTheme="minorHAnsi" w:cstheme="minorHAnsi"/>
          <w:b/>
          <w:lang w:val="es-MX"/>
        </w:rPr>
      </w:pPr>
    </w:p>
    <w:p w14:paraId="348CCB5A" w14:textId="77777777" w:rsidR="00A438A4" w:rsidRDefault="00A438A4" w:rsidP="00B43367">
      <w:pPr>
        <w:pStyle w:val="INCISO"/>
        <w:spacing w:after="0" w:line="240" w:lineRule="exact"/>
        <w:ind w:left="0" w:firstLine="0"/>
        <w:rPr>
          <w:rFonts w:asciiTheme="minorHAnsi" w:hAnsiTheme="minorHAnsi" w:cstheme="minorHAnsi"/>
          <w:b/>
          <w:lang w:val="es-MX"/>
        </w:rPr>
      </w:pPr>
    </w:p>
    <w:p w14:paraId="186216D0" w14:textId="77777777" w:rsidR="00A438A4" w:rsidRDefault="00A438A4" w:rsidP="00B43367">
      <w:pPr>
        <w:pStyle w:val="INCISO"/>
        <w:spacing w:after="0" w:line="240" w:lineRule="exact"/>
        <w:ind w:left="0" w:firstLine="0"/>
        <w:rPr>
          <w:rFonts w:asciiTheme="minorHAnsi" w:hAnsiTheme="minorHAnsi" w:cstheme="minorHAnsi"/>
          <w:b/>
          <w:lang w:val="es-MX"/>
        </w:rPr>
      </w:pPr>
    </w:p>
    <w:p w14:paraId="55B664EB" w14:textId="77777777" w:rsidR="00B43367" w:rsidRDefault="00B43367" w:rsidP="00B43367">
      <w:pPr>
        <w:pStyle w:val="INCISO"/>
        <w:spacing w:after="0" w:line="240" w:lineRule="exact"/>
        <w:ind w:left="0" w:firstLine="0"/>
        <w:rPr>
          <w:rFonts w:asciiTheme="minorHAnsi" w:hAnsiTheme="minorHAnsi" w:cstheme="minorHAnsi"/>
          <w:b/>
          <w:lang w:val="es-MX"/>
        </w:rPr>
      </w:pPr>
    </w:p>
    <w:p w14:paraId="2E199A4A" w14:textId="77777777" w:rsidR="00B43367" w:rsidRDefault="00B43367" w:rsidP="00B43367">
      <w:pPr>
        <w:pStyle w:val="INCISO"/>
        <w:spacing w:after="0" w:line="240" w:lineRule="exact"/>
        <w:ind w:left="0" w:firstLine="0"/>
        <w:rPr>
          <w:rFonts w:asciiTheme="minorHAnsi" w:hAnsiTheme="minorHAnsi" w:cstheme="minorHAnsi"/>
          <w:b/>
          <w:lang w:val="es-MX"/>
        </w:rPr>
      </w:pPr>
    </w:p>
    <w:p w14:paraId="7F3565A7" w14:textId="77777777" w:rsidR="00B43367" w:rsidRDefault="00B43367" w:rsidP="00B43367">
      <w:pPr>
        <w:pStyle w:val="INCISO"/>
        <w:spacing w:after="0" w:line="240" w:lineRule="exact"/>
        <w:ind w:left="0" w:firstLine="0"/>
        <w:rPr>
          <w:rFonts w:asciiTheme="minorHAnsi" w:hAnsiTheme="minorHAnsi" w:cstheme="minorHAnsi"/>
          <w:b/>
          <w:lang w:val="es-MX"/>
        </w:rPr>
      </w:pPr>
    </w:p>
    <w:p w14:paraId="42435012" w14:textId="77777777" w:rsidR="00B43367" w:rsidRDefault="00B43367" w:rsidP="00B43367">
      <w:pPr>
        <w:pStyle w:val="INCISO"/>
        <w:spacing w:after="0" w:line="240" w:lineRule="exact"/>
        <w:ind w:left="0" w:firstLine="0"/>
        <w:rPr>
          <w:rFonts w:asciiTheme="minorHAnsi" w:hAnsiTheme="minorHAnsi" w:cstheme="minorHAnsi"/>
          <w:b/>
          <w:lang w:val="es-MX"/>
        </w:rPr>
      </w:pPr>
    </w:p>
    <w:p w14:paraId="298C8EBA" w14:textId="77777777" w:rsidR="00B43367" w:rsidRDefault="00B43367" w:rsidP="00B43367">
      <w:pPr>
        <w:pStyle w:val="INCISO"/>
        <w:spacing w:after="0" w:line="240" w:lineRule="exact"/>
        <w:ind w:left="0" w:firstLine="0"/>
        <w:rPr>
          <w:rFonts w:asciiTheme="minorHAnsi" w:hAnsiTheme="minorHAnsi" w:cstheme="minorHAnsi"/>
          <w:b/>
          <w:lang w:val="es-MX"/>
        </w:rPr>
      </w:pPr>
    </w:p>
    <w:p w14:paraId="59FCA769" w14:textId="77777777" w:rsidR="00B43367" w:rsidRDefault="00B43367" w:rsidP="00B43367">
      <w:pPr>
        <w:pStyle w:val="INCISO"/>
        <w:spacing w:after="0" w:line="240" w:lineRule="exact"/>
        <w:ind w:left="0" w:firstLine="0"/>
        <w:rPr>
          <w:rFonts w:asciiTheme="minorHAnsi" w:hAnsiTheme="minorHAnsi" w:cstheme="minorHAnsi"/>
          <w:b/>
          <w:lang w:val="es-MX"/>
        </w:rPr>
      </w:pPr>
    </w:p>
    <w:p w14:paraId="7D0BD64E" w14:textId="77777777" w:rsidR="00B43367" w:rsidRDefault="00B43367" w:rsidP="00B43367">
      <w:pPr>
        <w:pStyle w:val="INCISO"/>
        <w:spacing w:after="0" w:line="240" w:lineRule="exact"/>
        <w:ind w:left="0" w:firstLine="0"/>
        <w:rPr>
          <w:rFonts w:asciiTheme="minorHAnsi" w:hAnsiTheme="minorHAnsi" w:cstheme="minorHAnsi"/>
          <w:b/>
          <w:lang w:val="es-MX"/>
        </w:rPr>
      </w:pPr>
    </w:p>
    <w:p w14:paraId="345140FC" w14:textId="77777777" w:rsidR="00B43367" w:rsidRDefault="00B43367" w:rsidP="00B43367">
      <w:pPr>
        <w:pStyle w:val="INCISO"/>
        <w:spacing w:after="0" w:line="240" w:lineRule="exact"/>
        <w:ind w:left="0" w:firstLine="0"/>
        <w:rPr>
          <w:rFonts w:asciiTheme="minorHAnsi" w:hAnsiTheme="minorHAnsi" w:cstheme="minorHAnsi"/>
          <w:b/>
          <w:lang w:val="es-MX"/>
        </w:rPr>
      </w:pPr>
    </w:p>
    <w:p w14:paraId="42DF21CD" w14:textId="4A297A9A" w:rsidR="00B07C73" w:rsidRPr="005F45A3" w:rsidRDefault="00B07C73" w:rsidP="00B43367">
      <w:pPr>
        <w:pStyle w:val="INCISO"/>
        <w:spacing w:after="0" w:line="240" w:lineRule="exact"/>
        <w:ind w:left="0" w:firstLine="0"/>
        <w:rPr>
          <w:rFonts w:asciiTheme="minorHAnsi" w:hAnsiTheme="minorHAnsi" w:cstheme="minorHAnsi"/>
          <w:b/>
          <w:lang w:val="es-MX"/>
        </w:rPr>
      </w:pPr>
      <w:r w:rsidRPr="005F45A3">
        <w:rPr>
          <w:rFonts w:asciiTheme="minorHAnsi" w:hAnsiTheme="minorHAnsi" w:cstheme="minorHAnsi"/>
          <w:b/>
          <w:lang w:val="es-MX"/>
        </w:rPr>
        <w:lastRenderedPageBreak/>
        <w:t>Pago de la Deuda Pública (Amortización, Intereses, Comisiones).</w:t>
      </w:r>
    </w:p>
    <w:p w14:paraId="05209037" w14:textId="77777777" w:rsidR="00795B7D" w:rsidRPr="005F45A3" w:rsidRDefault="00795B7D" w:rsidP="00B07C73">
      <w:pPr>
        <w:pStyle w:val="INCISO"/>
        <w:spacing w:after="0" w:line="240" w:lineRule="exact"/>
        <w:ind w:left="0" w:firstLine="0"/>
        <w:rPr>
          <w:rFonts w:asciiTheme="minorHAnsi" w:hAnsiTheme="minorHAnsi" w:cstheme="minorHAnsi"/>
          <w:b/>
          <w:lang w:val="es-MX"/>
        </w:rPr>
      </w:pPr>
    </w:p>
    <w:tbl>
      <w:tblPr>
        <w:tblW w:w="9382" w:type="dxa"/>
        <w:tblCellMar>
          <w:left w:w="70" w:type="dxa"/>
          <w:right w:w="70" w:type="dxa"/>
        </w:tblCellMar>
        <w:tblLook w:val="04A0" w:firstRow="1" w:lastRow="0" w:firstColumn="1" w:lastColumn="0" w:noHBand="0" w:noVBand="1"/>
      </w:tblPr>
      <w:tblGrid>
        <w:gridCol w:w="1413"/>
        <w:gridCol w:w="1380"/>
        <w:gridCol w:w="1280"/>
        <w:gridCol w:w="1309"/>
        <w:gridCol w:w="1400"/>
        <w:gridCol w:w="1420"/>
        <w:gridCol w:w="1180"/>
      </w:tblGrid>
      <w:tr w:rsidR="004C579E" w:rsidRPr="004C579E" w14:paraId="641EAFFC" w14:textId="77777777" w:rsidTr="00B43367">
        <w:trPr>
          <w:trHeight w:val="740"/>
        </w:trPr>
        <w:tc>
          <w:tcPr>
            <w:tcW w:w="1413"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3D95BF3" w14:textId="77777777" w:rsidR="004C579E" w:rsidRPr="004C579E" w:rsidRDefault="004C579E" w:rsidP="004C579E">
            <w:pPr>
              <w:spacing w:after="0" w:line="240" w:lineRule="auto"/>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ACREEDOR</w:t>
            </w:r>
          </w:p>
        </w:tc>
        <w:tc>
          <w:tcPr>
            <w:tcW w:w="1380" w:type="dxa"/>
            <w:tcBorders>
              <w:top w:val="single" w:sz="4" w:space="0" w:color="auto"/>
              <w:left w:val="nil"/>
              <w:bottom w:val="single" w:sz="4" w:space="0" w:color="auto"/>
              <w:right w:val="single" w:sz="4" w:space="0" w:color="auto"/>
            </w:tcBorders>
            <w:shd w:val="clear" w:color="000000" w:fill="AB0033"/>
            <w:vAlign w:val="center"/>
            <w:hideMark/>
          </w:tcPr>
          <w:p w14:paraId="64A938E4"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Saldo al 31 de Diciembre de 2021</w:t>
            </w:r>
          </w:p>
        </w:tc>
        <w:tc>
          <w:tcPr>
            <w:tcW w:w="1280" w:type="dxa"/>
            <w:tcBorders>
              <w:top w:val="single" w:sz="4" w:space="0" w:color="auto"/>
              <w:left w:val="nil"/>
              <w:bottom w:val="single" w:sz="4" w:space="0" w:color="auto"/>
              <w:right w:val="single" w:sz="4" w:space="0" w:color="auto"/>
            </w:tcBorders>
            <w:shd w:val="clear" w:color="000000" w:fill="AB0033"/>
            <w:vAlign w:val="center"/>
            <w:hideMark/>
          </w:tcPr>
          <w:p w14:paraId="4AF864D6"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Disposiciones</w:t>
            </w:r>
          </w:p>
        </w:tc>
        <w:tc>
          <w:tcPr>
            <w:tcW w:w="1309" w:type="dxa"/>
            <w:tcBorders>
              <w:top w:val="single" w:sz="4" w:space="0" w:color="auto"/>
              <w:left w:val="nil"/>
              <w:bottom w:val="single" w:sz="4" w:space="0" w:color="auto"/>
              <w:right w:val="single" w:sz="4" w:space="0" w:color="auto"/>
            </w:tcBorders>
            <w:shd w:val="clear" w:color="000000" w:fill="AB0033"/>
            <w:vAlign w:val="center"/>
            <w:hideMark/>
          </w:tcPr>
          <w:p w14:paraId="36412FB3"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Amortizaciones</w:t>
            </w:r>
          </w:p>
        </w:tc>
        <w:tc>
          <w:tcPr>
            <w:tcW w:w="1400" w:type="dxa"/>
            <w:tcBorders>
              <w:top w:val="single" w:sz="4" w:space="0" w:color="auto"/>
              <w:left w:val="nil"/>
              <w:bottom w:val="single" w:sz="4" w:space="0" w:color="auto"/>
              <w:right w:val="single" w:sz="4" w:space="0" w:color="auto"/>
            </w:tcBorders>
            <w:shd w:val="clear" w:color="000000" w:fill="AB0033"/>
            <w:vAlign w:val="center"/>
            <w:hideMark/>
          </w:tcPr>
          <w:p w14:paraId="7DCFA437"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Saldo al 31 de Diciembre de 2022</w:t>
            </w:r>
          </w:p>
        </w:tc>
        <w:tc>
          <w:tcPr>
            <w:tcW w:w="1420" w:type="dxa"/>
            <w:tcBorders>
              <w:top w:val="single" w:sz="4" w:space="0" w:color="auto"/>
              <w:left w:val="nil"/>
              <w:bottom w:val="single" w:sz="4" w:space="0" w:color="auto"/>
              <w:right w:val="single" w:sz="4" w:space="0" w:color="auto"/>
            </w:tcBorders>
            <w:shd w:val="clear" w:color="000000" w:fill="AB0033"/>
            <w:vAlign w:val="center"/>
            <w:hideMark/>
          </w:tcPr>
          <w:p w14:paraId="21DBC90B"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Intereses</w:t>
            </w:r>
          </w:p>
        </w:tc>
        <w:tc>
          <w:tcPr>
            <w:tcW w:w="1180" w:type="dxa"/>
            <w:tcBorders>
              <w:top w:val="single" w:sz="4" w:space="0" w:color="auto"/>
              <w:left w:val="nil"/>
              <w:bottom w:val="single" w:sz="4" w:space="0" w:color="auto"/>
              <w:right w:val="single" w:sz="4" w:space="0" w:color="auto"/>
            </w:tcBorders>
            <w:shd w:val="clear" w:color="000000" w:fill="AB0033"/>
            <w:vAlign w:val="center"/>
            <w:hideMark/>
          </w:tcPr>
          <w:p w14:paraId="07BC769A" w14:textId="77777777" w:rsidR="004C579E" w:rsidRPr="004C579E" w:rsidRDefault="004C579E" w:rsidP="004C579E">
            <w:pPr>
              <w:spacing w:after="0" w:line="240" w:lineRule="auto"/>
              <w:jc w:val="center"/>
              <w:rPr>
                <w:rFonts w:asciiTheme="minorHAnsi" w:eastAsia="Times New Roman" w:hAnsiTheme="minorHAnsi" w:cstheme="minorHAnsi"/>
                <w:b/>
                <w:bCs/>
                <w:color w:val="FFFFFF"/>
                <w:sz w:val="16"/>
                <w:szCs w:val="16"/>
                <w:lang w:eastAsia="es-MX"/>
              </w:rPr>
            </w:pPr>
            <w:r w:rsidRPr="004C579E">
              <w:rPr>
                <w:rFonts w:asciiTheme="minorHAnsi" w:eastAsia="Times New Roman" w:hAnsiTheme="minorHAnsi" w:cstheme="minorHAnsi"/>
                <w:b/>
                <w:bCs/>
                <w:color w:val="FFFFFF"/>
                <w:sz w:val="16"/>
                <w:szCs w:val="16"/>
                <w:lang w:eastAsia="es-MX"/>
              </w:rPr>
              <w:t>Costo SWAP</w:t>
            </w:r>
          </w:p>
        </w:tc>
      </w:tr>
      <w:tr w:rsidR="004C579E" w:rsidRPr="004C579E" w14:paraId="429A7ED7"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8523FAD"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1'000  MDP</w:t>
            </w:r>
          </w:p>
        </w:tc>
        <w:tc>
          <w:tcPr>
            <w:tcW w:w="1380" w:type="dxa"/>
            <w:tcBorders>
              <w:top w:val="nil"/>
              <w:left w:val="nil"/>
              <w:bottom w:val="single" w:sz="4" w:space="0" w:color="auto"/>
              <w:right w:val="single" w:sz="4" w:space="0" w:color="auto"/>
            </w:tcBorders>
            <w:shd w:val="clear" w:color="auto" w:fill="auto"/>
            <w:noWrap/>
            <w:vAlign w:val="center"/>
            <w:hideMark/>
          </w:tcPr>
          <w:p w14:paraId="56617D4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444,139,215</w:t>
            </w:r>
          </w:p>
        </w:tc>
        <w:tc>
          <w:tcPr>
            <w:tcW w:w="1280" w:type="dxa"/>
            <w:tcBorders>
              <w:top w:val="nil"/>
              <w:left w:val="nil"/>
              <w:bottom w:val="single" w:sz="4" w:space="0" w:color="auto"/>
              <w:right w:val="single" w:sz="4" w:space="0" w:color="auto"/>
            </w:tcBorders>
            <w:shd w:val="clear" w:color="auto" w:fill="auto"/>
            <w:noWrap/>
            <w:vAlign w:val="center"/>
            <w:hideMark/>
          </w:tcPr>
          <w:p w14:paraId="750F034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5BFE6EE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54,945,060</w:t>
            </w:r>
          </w:p>
        </w:tc>
        <w:tc>
          <w:tcPr>
            <w:tcW w:w="1400" w:type="dxa"/>
            <w:tcBorders>
              <w:top w:val="nil"/>
              <w:left w:val="nil"/>
              <w:bottom w:val="single" w:sz="4" w:space="0" w:color="auto"/>
              <w:right w:val="single" w:sz="4" w:space="0" w:color="auto"/>
            </w:tcBorders>
            <w:shd w:val="clear" w:color="000000" w:fill="FFFFFF"/>
            <w:noWrap/>
            <w:vAlign w:val="center"/>
            <w:hideMark/>
          </w:tcPr>
          <w:p w14:paraId="4AF143CC"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389,194,155</w:t>
            </w:r>
          </w:p>
        </w:tc>
        <w:tc>
          <w:tcPr>
            <w:tcW w:w="1420" w:type="dxa"/>
            <w:tcBorders>
              <w:top w:val="nil"/>
              <w:left w:val="nil"/>
              <w:bottom w:val="single" w:sz="4" w:space="0" w:color="auto"/>
              <w:right w:val="single" w:sz="4" w:space="0" w:color="auto"/>
            </w:tcBorders>
            <w:shd w:val="clear" w:color="auto" w:fill="auto"/>
            <w:noWrap/>
            <w:vAlign w:val="center"/>
            <w:hideMark/>
          </w:tcPr>
          <w:p w14:paraId="24C2C593"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35,022,561</w:t>
            </w:r>
          </w:p>
        </w:tc>
        <w:tc>
          <w:tcPr>
            <w:tcW w:w="1180" w:type="dxa"/>
            <w:tcBorders>
              <w:top w:val="nil"/>
              <w:left w:val="nil"/>
              <w:bottom w:val="single" w:sz="4" w:space="0" w:color="auto"/>
              <w:right w:val="single" w:sz="4" w:space="0" w:color="auto"/>
            </w:tcBorders>
            <w:shd w:val="clear" w:color="auto" w:fill="auto"/>
            <w:noWrap/>
            <w:vAlign w:val="center"/>
            <w:hideMark/>
          </w:tcPr>
          <w:p w14:paraId="5F22516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20DF14B9"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C00D972"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183 MDP</w:t>
            </w:r>
          </w:p>
        </w:tc>
        <w:tc>
          <w:tcPr>
            <w:tcW w:w="1380" w:type="dxa"/>
            <w:tcBorders>
              <w:top w:val="nil"/>
              <w:left w:val="nil"/>
              <w:bottom w:val="single" w:sz="4" w:space="0" w:color="auto"/>
              <w:right w:val="single" w:sz="4" w:space="0" w:color="auto"/>
            </w:tcBorders>
            <w:shd w:val="clear" w:color="auto" w:fill="auto"/>
            <w:noWrap/>
            <w:vAlign w:val="center"/>
            <w:hideMark/>
          </w:tcPr>
          <w:p w14:paraId="07A2AE0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91,078,520</w:t>
            </w:r>
          </w:p>
        </w:tc>
        <w:tc>
          <w:tcPr>
            <w:tcW w:w="1280" w:type="dxa"/>
            <w:tcBorders>
              <w:top w:val="nil"/>
              <w:left w:val="nil"/>
              <w:bottom w:val="single" w:sz="4" w:space="0" w:color="auto"/>
              <w:right w:val="single" w:sz="4" w:space="0" w:color="auto"/>
            </w:tcBorders>
            <w:shd w:val="clear" w:color="auto" w:fill="auto"/>
            <w:noWrap/>
            <w:vAlign w:val="center"/>
            <w:hideMark/>
          </w:tcPr>
          <w:p w14:paraId="06FA09B3"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152C76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6,149,183</w:t>
            </w:r>
          </w:p>
        </w:tc>
        <w:tc>
          <w:tcPr>
            <w:tcW w:w="1400" w:type="dxa"/>
            <w:tcBorders>
              <w:top w:val="nil"/>
              <w:left w:val="nil"/>
              <w:bottom w:val="single" w:sz="4" w:space="0" w:color="auto"/>
              <w:right w:val="single" w:sz="4" w:space="0" w:color="auto"/>
            </w:tcBorders>
            <w:shd w:val="clear" w:color="000000" w:fill="FFFFFF"/>
            <w:noWrap/>
            <w:vAlign w:val="center"/>
            <w:hideMark/>
          </w:tcPr>
          <w:p w14:paraId="1FB7CCA6"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84,929,337</w:t>
            </w:r>
          </w:p>
        </w:tc>
        <w:tc>
          <w:tcPr>
            <w:tcW w:w="1420" w:type="dxa"/>
            <w:tcBorders>
              <w:top w:val="nil"/>
              <w:left w:val="nil"/>
              <w:bottom w:val="single" w:sz="4" w:space="0" w:color="auto"/>
              <w:right w:val="single" w:sz="4" w:space="0" w:color="auto"/>
            </w:tcBorders>
            <w:shd w:val="clear" w:color="auto" w:fill="auto"/>
            <w:noWrap/>
            <w:vAlign w:val="center"/>
            <w:hideMark/>
          </w:tcPr>
          <w:p w14:paraId="6932D22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14,173,234</w:t>
            </w:r>
          </w:p>
        </w:tc>
        <w:tc>
          <w:tcPr>
            <w:tcW w:w="1180" w:type="dxa"/>
            <w:tcBorders>
              <w:top w:val="nil"/>
              <w:left w:val="nil"/>
              <w:bottom w:val="single" w:sz="4" w:space="0" w:color="auto"/>
              <w:right w:val="single" w:sz="4" w:space="0" w:color="auto"/>
            </w:tcBorders>
            <w:shd w:val="clear" w:color="auto" w:fill="auto"/>
            <w:noWrap/>
            <w:vAlign w:val="center"/>
            <w:hideMark/>
          </w:tcPr>
          <w:p w14:paraId="5DB5C1F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428B49FC"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92AB794"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187 MDP</w:t>
            </w:r>
          </w:p>
        </w:tc>
        <w:tc>
          <w:tcPr>
            <w:tcW w:w="1380" w:type="dxa"/>
            <w:tcBorders>
              <w:top w:val="nil"/>
              <w:left w:val="nil"/>
              <w:bottom w:val="single" w:sz="4" w:space="0" w:color="auto"/>
              <w:right w:val="single" w:sz="4" w:space="0" w:color="auto"/>
            </w:tcBorders>
            <w:shd w:val="clear" w:color="auto" w:fill="auto"/>
            <w:noWrap/>
            <w:vAlign w:val="center"/>
            <w:hideMark/>
          </w:tcPr>
          <w:p w14:paraId="66D16F5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103,813,465</w:t>
            </w:r>
          </w:p>
        </w:tc>
        <w:tc>
          <w:tcPr>
            <w:tcW w:w="1280" w:type="dxa"/>
            <w:tcBorders>
              <w:top w:val="nil"/>
              <w:left w:val="nil"/>
              <w:bottom w:val="single" w:sz="4" w:space="0" w:color="auto"/>
              <w:right w:val="single" w:sz="4" w:space="0" w:color="auto"/>
            </w:tcBorders>
            <w:shd w:val="clear" w:color="auto" w:fill="auto"/>
            <w:noWrap/>
            <w:vAlign w:val="center"/>
            <w:hideMark/>
          </w:tcPr>
          <w:p w14:paraId="0BA9873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01B539A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7,008,985</w:t>
            </w:r>
          </w:p>
        </w:tc>
        <w:tc>
          <w:tcPr>
            <w:tcW w:w="1400" w:type="dxa"/>
            <w:tcBorders>
              <w:top w:val="nil"/>
              <w:left w:val="nil"/>
              <w:bottom w:val="single" w:sz="4" w:space="0" w:color="auto"/>
              <w:right w:val="single" w:sz="4" w:space="0" w:color="auto"/>
            </w:tcBorders>
            <w:shd w:val="clear" w:color="000000" w:fill="FFFFFF"/>
            <w:noWrap/>
            <w:vAlign w:val="center"/>
            <w:hideMark/>
          </w:tcPr>
          <w:p w14:paraId="20725C85"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96,804,480</w:t>
            </w:r>
          </w:p>
        </w:tc>
        <w:tc>
          <w:tcPr>
            <w:tcW w:w="1420" w:type="dxa"/>
            <w:tcBorders>
              <w:top w:val="nil"/>
              <w:left w:val="nil"/>
              <w:bottom w:val="single" w:sz="4" w:space="0" w:color="auto"/>
              <w:right w:val="single" w:sz="4" w:space="0" w:color="auto"/>
            </w:tcBorders>
            <w:shd w:val="clear" w:color="auto" w:fill="auto"/>
            <w:noWrap/>
            <w:vAlign w:val="center"/>
            <w:hideMark/>
          </w:tcPr>
          <w:p w14:paraId="5E54166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16,139,504</w:t>
            </w:r>
          </w:p>
        </w:tc>
        <w:tc>
          <w:tcPr>
            <w:tcW w:w="1180" w:type="dxa"/>
            <w:tcBorders>
              <w:top w:val="nil"/>
              <w:left w:val="nil"/>
              <w:bottom w:val="single" w:sz="4" w:space="0" w:color="auto"/>
              <w:right w:val="single" w:sz="4" w:space="0" w:color="auto"/>
            </w:tcBorders>
            <w:shd w:val="clear" w:color="auto" w:fill="auto"/>
            <w:noWrap/>
            <w:vAlign w:val="center"/>
            <w:hideMark/>
          </w:tcPr>
          <w:p w14:paraId="5AEC9E8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08CA18AA"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4A21C50"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250 MDP</w:t>
            </w:r>
          </w:p>
        </w:tc>
        <w:tc>
          <w:tcPr>
            <w:tcW w:w="1380" w:type="dxa"/>
            <w:tcBorders>
              <w:top w:val="nil"/>
              <w:left w:val="nil"/>
              <w:bottom w:val="single" w:sz="4" w:space="0" w:color="auto"/>
              <w:right w:val="single" w:sz="4" w:space="0" w:color="auto"/>
            </w:tcBorders>
            <w:shd w:val="clear" w:color="auto" w:fill="auto"/>
            <w:noWrap/>
            <w:vAlign w:val="center"/>
            <w:hideMark/>
          </w:tcPr>
          <w:p w14:paraId="0A252C1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40,002,947</w:t>
            </w:r>
          </w:p>
        </w:tc>
        <w:tc>
          <w:tcPr>
            <w:tcW w:w="1280" w:type="dxa"/>
            <w:tcBorders>
              <w:top w:val="nil"/>
              <w:left w:val="nil"/>
              <w:bottom w:val="single" w:sz="4" w:space="0" w:color="auto"/>
              <w:right w:val="single" w:sz="4" w:space="0" w:color="auto"/>
            </w:tcBorders>
            <w:shd w:val="clear" w:color="auto" w:fill="auto"/>
            <w:noWrap/>
            <w:vAlign w:val="center"/>
            <w:hideMark/>
          </w:tcPr>
          <w:p w14:paraId="4F1A228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38ABBEF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17,144,120</w:t>
            </w:r>
          </w:p>
        </w:tc>
        <w:tc>
          <w:tcPr>
            <w:tcW w:w="1400" w:type="dxa"/>
            <w:tcBorders>
              <w:top w:val="nil"/>
              <w:left w:val="nil"/>
              <w:bottom w:val="single" w:sz="4" w:space="0" w:color="auto"/>
              <w:right w:val="single" w:sz="4" w:space="0" w:color="auto"/>
            </w:tcBorders>
            <w:shd w:val="clear" w:color="000000" w:fill="FFFFFF"/>
            <w:noWrap/>
            <w:vAlign w:val="center"/>
            <w:hideMark/>
          </w:tcPr>
          <w:p w14:paraId="2FCA7B86"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22,858,827</w:t>
            </w:r>
          </w:p>
        </w:tc>
        <w:tc>
          <w:tcPr>
            <w:tcW w:w="1420" w:type="dxa"/>
            <w:tcBorders>
              <w:top w:val="nil"/>
              <w:left w:val="nil"/>
              <w:bottom w:val="single" w:sz="4" w:space="0" w:color="auto"/>
              <w:right w:val="single" w:sz="4" w:space="0" w:color="auto"/>
            </w:tcBorders>
            <w:shd w:val="clear" w:color="auto" w:fill="auto"/>
            <w:noWrap/>
            <w:vAlign w:val="center"/>
            <w:hideMark/>
          </w:tcPr>
          <w:p w14:paraId="05F1A37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2,640,141</w:t>
            </w:r>
          </w:p>
        </w:tc>
        <w:tc>
          <w:tcPr>
            <w:tcW w:w="1180" w:type="dxa"/>
            <w:tcBorders>
              <w:top w:val="nil"/>
              <w:left w:val="nil"/>
              <w:bottom w:val="single" w:sz="4" w:space="0" w:color="auto"/>
              <w:right w:val="single" w:sz="4" w:space="0" w:color="auto"/>
            </w:tcBorders>
            <w:shd w:val="clear" w:color="auto" w:fill="auto"/>
            <w:noWrap/>
            <w:vAlign w:val="center"/>
            <w:hideMark/>
          </w:tcPr>
          <w:p w14:paraId="2217DEC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58129CF2"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C20F737"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BANOBRAS 113 MDP</w:t>
            </w:r>
          </w:p>
        </w:tc>
        <w:tc>
          <w:tcPr>
            <w:tcW w:w="1380" w:type="dxa"/>
            <w:tcBorders>
              <w:top w:val="nil"/>
              <w:left w:val="nil"/>
              <w:bottom w:val="single" w:sz="4" w:space="0" w:color="auto"/>
              <w:right w:val="single" w:sz="4" w:space="0" w:color="auto"/>
            </w:tcBorders>
            <w:shd w:val="clear" w:color="auto" w:fill="auto"/>
            <w:noWrap/>
            <w:vAlign w:val="center"/>
            <w:hideMark/>
          </w:tcPr>
          <w:p w14:paraId="27B8E16F"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31,530,688</w:t>
            </w:r>
          </w:p>
        </w:tc>
        <w:tc>
          <w:tcPr>
            <w:tcW w:w="1280" w:type="dxa"/>
            <w:tcBorders>
              <w:top w:val="nil"/>
              <w:left w:val="nil"/>
              <w:bottom w:val="single" w:sz="4" w:space="0" w:color="auto"/>
              <w:right w:val="single" w:sz="4" w:space="0" w:color="auto"/>
            </w:tcBorders>
            <w:shd w:val="clear" w:color="auto" w:fill="auto"/>
            <w:noWrap/>
            <w:vAlign w:val="center"/>
            <w:hideMark/>
          </w:tcPr>
          <w:p w14:paraId="7AAD1AB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5DE7C66F"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9,701,750</w:t>
            </w:r>
          </w:p>
        </w:tc>
        <w:tc>
          <w:tcPr>
            <w:tcW w:w="1400" w:type="dxa"/>
            <w:tcBorders>
              <w:top w:val="nil"/>
              <w:left w:val="nil"/>
              <w:bottom w:val="single" w:sz="4" w:space="0" w:color="auto"/>
              <w:right w:val="single" w:sz="4" w:space="0" w:color="auto"/>
            </w:tcBorders>
            <w:shd w:val="clear" w:color="000000" w:fill="FFFFFF"/>
            <w:noWrap/>
            <w:vAlign w:val="center"/>
            <w:hideMark/>
          </w:tcPr>
          <w:p w14:paraId="1FB4813E"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21,828,938</w:t>
            </w:r>
          </w:p>
        </w:tc>
        <w:tc>
          <w:tcPr>
            <w:tcW w:w="1420" w:type="dxa"/>
            <w:tcBorders>
              <w:top w:val="nil"/>
              <w:left w:val="nil"/>
              <w:bottom w:val="single" w:sz="4" w:space="0" w:color="auto"/>
              <w:right w:val="single" w:sz="4" w:space="0" w:color="auto"/>
            </w:tcBorders>
            <w:shd w:val="clear" w:color="auto" w:fill="auto"/>
            <w:noWrap/>
            <w:vAlign w:val="center"/>
            <w:hideMark/>
          </w:tcPr>
          <w:p w14:paraId="6ACEF71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2,309,670</w:t>
            </w:r>
          </w:p>
        </w:tc>
        <w:tc>
          <w:tcPr>
            <w:tcW w:w="1180" w:type="dxa"/>
            <w:tcBorders>
              <w:top w:val="nil"/>
              <w:left w:val="nil"/>
              <w:bottom w:val="single" w:sz="4" w:space="0" w:color="auto"/>
              <w:right w:val="single" w:sz="4" w:space="0" w:color="auto"/>
            </w:tcBorders>
            <w:shd w:val="clear" w:color="auto" w:fill="auto"/>
            <w:noWrap/>
            <w:vAlign w:val="center"/>
            <w:hideMark/>
          </w:tcPr>
          <w:p w14:paraId="20EA502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11F06517"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D1BDE82"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BANAMEX 1'500 MDP</w:t>
            </w:r>
          </w:p>
        </w:tc>
        <w:tc>
          <w:tcPr>
            <w:tcW w:w="1380" w:type="dxa"/>
            <w:tcBorders>
              <w:top w:val="nil"/>
              <w:left w:val="nil"/>
              <w:bottom w:val="single" w:sz="4" w:space="0" w:color="auto"/>
              <w:right w:val="single" w:sz="4" w:space="0" w:color="auto"/>
            </w:tcBorders>
            <w:shd w:val="clear" w:color="auto" w:fill="auto"/>
            <w:noWrap/>
            <w:vAlign w:val="center"/>
            <w:hideMark/>
          </w:tcPr>
          <w:p w14:paraId="1133FEF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1,438,388,993</w:t>
            </w:r>
          </w:p>
        </w:tc>
        <w:tc>
          <w:tcPr>
            <w:tcW w:w="1280" w:type="dxa"/>
            <w:tcBorders>
              <w:top w:val="nil"/>
              <w:left w:val="nil"/>
              <w:bottom w:val="single" w:sz="4" w:space="0" w:color="auto"/>
              <w:right w:val="single" w:sz="4" w:space="0" w:color="auto"/>
            </w:tcBorders>
            <w:shd w:val="clear" w:color="auto" w:fill="auto"/>
            <w:noWrap/>
            <w:vAlign w:val="center"/>
            <w:hideMark/>
          </w:tcPr>
          <w:p w14:paraId="12C90620"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4FCBC8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22,355,427</w:t>
            </w:r>
          </w:p>
        </w:tc>
        <w:tc>
          <w:tcPr>
            <w:tcW w:w="1400" w:type="dxa"/>
            <w:tcBorders>
              <w:top w:val="nil"/>
              <w:left w:val="nil"/>
              <w:bottom w:val="single" w:sz="4" w:space="0" w:color="auto"/>
              <w:right w:val="single" w:sz="4" w:space="0" w:color="auto"/>
            </w:tcBorders>
            <w:shd w:val="clear" w:color="000000" w:fill="FFFFFF"/>
            <w:noWrap/>
            <w:vAlign w:val="center"/>
            <w:hideMark/>
          </w:tcPr>
          <w:p w14:paraId="2ED9B57A"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1,416,033,566</w:t>
            </w:r>
          </w:p>
        </w:tc>
        <w:tc>
          <w:tcPr>
            <w:tcW w:w="1420" w:type="dxa"/>
            <w:tcBorders>
              <w:top w:val="nil"/>
              <w:left w:val="nil"/>
              <w:bottom w:val="single" w:sz="4" w:space="0" w:color="auto"/>
              <w:right w:val="single" w:sz="4" w:space="0" w:color="auto"/>
            </w:tcBorders>
            <w:shd w:val="clear" w:color="auto" w:fill="auto"/>
            <w:noWrap/>
            <w:vAlign w:val="center"/>
            <w:hideMark/>
          </w:tcPr>
          <w:p w14:paraId="7113DDC3"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107,962,649</w:t>
            </w:r>
          </w:p>
        </w:tc>
        <w:tc>
          <w:tcPr>
            <w:tcW w:w="1180" w:type="dxa"/>
            <w:tcBorders>
              <w:top w:val="nil"/>
              <w:left w:val="nil"/>
              <w:bottom w:val="single" w:sz="4" w:space="0" w:color="auto"/>
              <w:right w:val="single" w:sz="4" w:space="0" w:color="auto"/>
            </w:tcBorders>
            <w:shd w:val="clear" w:color="auto" w:fill="auto"/>
            <w:noWrap/>
            <w:vAlign w:val="center"/>
            <w:hideMark/>
          </w:tcPr>
          <w:p w14:paraId="222F76E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6,405,305</w:t>
            </w:r>
          </w:p>
        </w:tc>
      </w:tr>
      <w:tr w:rsidR="004C579E" w:rsidRPr="004C579E" w14:paraId="5498F896"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E62E48B"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BANORTE1'539 MDP</w:t>
            </w:r>
          </w:p>
        </w:tc>
        <w:tc>
          <w:tcPr>
            <w:tcW w:w="1380" w:type="dxa"/>
            <w:tcBorders>
              <w:top w:val="nil"/>
              <w:left w:val="nil"/>
              <w:bottom w:val="single" w:sz="4" w:space="0" w:color="auto"/>
              <w:right w:val="single" w:sz="4" w:space="0" w:color="auto"/>
            </w:tcBorders>
            <w:shd w:val="clear" w:color="auto" w:fill="auto"/>
            <w:noWrap/>
            <w:vAlign w:val="center"/>
            <w:hideMark/>
          </w:tcPr>
          <w:p w14:paraId="42E6836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1,445,367,563</w:t>
            </w:r>
          </w:p>
        </w:tc>
        <w:tc>
          <w:tcPr>
            <w:tcW w:w="1280" w:type="dxa"/>
            <w:tcBorders>
              <w:top w:val="nil"/>
              <w:left w:val="nil"/>
              <w:bottom w:val="single" w:sz="4" w:space="0" w:color="auto"/>
              <w:right w:val="single" w:sz="4" w:space="0" w:color="auto"/>
            </w:tcBorders>
            <w:shd w:val="clear" w:color="auto" w:fill="auto"/>
            <w:noWrap/>
            <w:vAlign w:val="center"/>
            <w:hideMark/>
          </w:tcPr>
          <w:p w14:paraId="204B2D1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7F0E2AD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22,589,051</w:t>
            </w:r>
          </w:p>
        </w:tc>
        <w:tc>
          <w:tcPr>
            <w:tcW w:w="1400" w:type="dxa"/>
            <w:tcBorders>
              <w:top w:val="nil"/>
              <w:left w:val="nil"/>
              <w:bottom w:val="single" w:sz="4" w:space="0" w:color="auto"/>
              <w:right w:val="single" w:sz="4" w:space="0" w:color="auto"/>
            </w:tcBorders>
            <w:shd w:val="clear" w:color="000000" w:fill="FFFFFF"/>
            <w:noWrap/>
            <w:vAlign w:val="center"/>
            <w:hideMark/>
          </w:tcPr>
          <w:p w14:paraId="5D8F5A1E"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1,422,778,512</w:t>
            </w:r>
          </w:p>
        </w:tc>
        <w:tc>
          <w:tcPr>
            <w:tcW w:w="1420" w:type="dxa"/>
            <w:tcBorders>
              <w:top w:val="nil"/>
              <w:left w:val="nil"/>
              <w:bottom w:val="single" w:sz="4" w:space="0" w:color="auto"/>
              <w:right w:val="single" w:sz="4" w:space="0" w:color="auto"/>
            </w:tcBorders>
            <w:shd w:val="clear" w:color="auto" w:fill="auto"/>
            <w:noWrap/>
            <w:vAlign w:val="center"/>
            <w:hideMark/>
          </w:tcPr>
          <w:p w14:paraId="5F81183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88,648,303</w:t>
            </w:r>
          </w:p>
        </w:tc>
        <w:tc>
          <w:tcPr>
            <w:tcW w:w="1180" w:type="dxa"/>
            <w:tcBorders>
              <w:top w:val="nil"/>
              <w:left w:val="nil"/>
              <w:bottom w:val="single" w:sz="4" w:space="0" w:color="auto"/>
              <w:right w:val="single" w:sz="4" w:space="0" w:color="auto"/>
            </w:tcBorders>
            <w:shd w:val="clear" w:color="auto" w:fill="auto"/>
            <w:noWrap/>
            <w:vAlign w:val="center"/>
            <w:hideMark/>
          </w:tcPr>
          <w:p w14:paraId="768B2F0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364,808</w:t>
            </w:r>
          </w:p>
        </w:tc>
      </w:tr>
      <w:tr w:rsidR="004C579E" w:rsidRPr="004C579E" w14:paraId="5C245B62"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B857DDE"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BANORTE5'461 MDP</w:t>
            </w:r>
          </w:p>
        </w:tc>
        <w:tc>
          <w:tcPr>
            <w:tcW w:w="1380" w:type="dxa"/>
            <w:tcBorders>
              <w:top w:val="nil"/>
              <w:left w:val="nil"/>
              <w:bottom w:val="single" w:sz="4" w:space="0" w:color="auto"/>
              <w:right w:val="single" w:sz="4" w:space="0" w:color="auto"/>
            </w:tcBorders>
            <w:shd w:val="clear" w:color="auto" w:fill="auto"/>
            <w:noWrap/>
            <w:vAlign w:val="center"/>
            <w:hideMark/>
          </w:tcPr>
          <w:p w14:paraId="1B3A6C4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5,210,427,391</w:t>
            </w:r>
          </w:p>
        </w:tc>
        <w:tc>
          <w:tcPr>
            <w:tcW w:w="1280" w:type="dxa"/>
            <w:tcBorders>
              <w:top w:val="nil"/>
              <w:left w:val="nil"/>
              <w:bottom w:val="single" w:sz="4" w:space="0" w:color="auto"/>
              <w:right w:val="single" w:sz="4" w:space="0" w:color="auto"/>
            </w:tcBorders>
            <w:shd w:val="clear" w:color="auto" w:fill="auto"/>
            <w:noWrap/>
            <w:vAlign w:val="center"/>
            <w:hideMark/>
          </w:tcPr>
          <w:p w14:paraId="2B59270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163B10B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81,439,290</w:t>
            </w:r>
          </w:p>
        </w:tc>
        <w:tc>
          <w:tcPr>
            <w:tcW w:w="1400" w:type="dxa"/>
            <w:tcBorders>
              <w:top w:val="nil"/>
              <w:left w:val="nil"/>
              <w:bottom w:val="single" w:sz="4" w:space="0" w:color="auto"/>
              <w:right w:val="single" w:sz="4" w:space="0" w:color="auto"/>
            </w:tcBorders>
            <w:shd w:val="clear" w:color="000000" w:fill="FFFFFF"/>
            <w:noWrap/>
            <w:vAlign w:val="center"/>
            <w:hideMark/>
          </w:tcPr>
          <w:p w14:paraId="72FCCF6F"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5,128,988,101</w:t>
            </w:r>
          </w:p>
        </w:tc>
        <w:tc>
          <w:tcPr>
            <w:tcW w:w="1420" w:type="dxa"/>
            <w:tcBorders>
              <w:top w:val="nil"/>
              <w:left w:val="nil"/>
              <w:bottom w:val="single" w:sz="4" w:space="0" w:color="auto"/>
              <w:right w:val="single" w:sz="4" w:space="0" w:color="auto"/>
            </w:tcBorders>
            <w:shd w:val="clear" w:color="auto" w:fill="auto"/>
            <w:noWrap/>
            <w:vAlign w:val="center"/>
            <w:hideMark/>
          </w:tcPr>
          <w:p w14:paraId="67AED3CD"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324,815,359</w:t>
            </w:r>
          </w:p>
        </w:tc>
        <w:tc>
          <w:tcPr>
            <w:tcW w:w="1180" w:type="dxa"/>
            <w:tcBorders>
              <w:top w:val="nil"/>
              <w:left w:val="nil"/>
              <w:bottom w:val="single" w:sz="4" w:space="0" w:color="auto"/>
              <w:right w:val="single" w:sz="4" w:space="0" w:color="auto"/>
            </w:tcBorders>
            <w:shd w:val="clear" w:color="auto" w:fill="auto"/>
            <w:noWrap/>
            <w:vAlign w:val="center"/>
            <w:hideMark/>
          </w:tcPr>
          <w:p w14:paraId="390050B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1,315,102</w:t>
            </w:r>
          </w:p>
        </w:tc>
      </w:tr>
      <w:tr w:rsidR="004C579E" w:rsidRPr="004C579E" w14:paraId="1B930512"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9D2AA92"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SANTANDER 1'650 MDP</w:t>
            </w:r>
          </w:p>
        </w:tc>
        <w:tc>
          <w:tcPr>
            <w:tcW w:w="1380" w:type="dxa"/>
            <w:tcBorders>
              <w:top w:val="nil"/>
              <w:left w:val="nil"/>
              <w:bottom w:val="single" w:sz="4" w:space="0" w:color="auto"/>
              <w:right w:val="single" w:sz="4" w:space="0" w:color="auto"/>
            </w:tcBorders>
            <w:shd w:val="clear" w:color="auto" w:fill="auto"/>
            <w:noWrap/>
            <w:vAlign w:val="center"/>
            <w:hideMark/>
          </w:tcPr>
          <w:p w14:paraId="21E6996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1,606,814,182</w:t>
            </w:r>
          </w:p>
        </w:tc>
        <w:tc>
          <w:tcPr>
            <w:tcW w:w="1280" w:type="dxa"/>
            <w:tcBorders>
              <w:top w:val="nil"/>
              <w:left w:val="nil"/>
              <w:bottom w:val="single" w:sz="4" w:space="0" w:color="auto"/>
              <w:right w:val="single" w:sz="4" w:space="0" w:color="auto"/>
            </w:tcBorders>
            <w:shd w:val="clear" w:color="auto" w:fill="auto"/>
            <w:noWrap/>
            <w:vAlign w:val="center"/>
            <w:hideMark/>
          </w:tcPr>
          <w:p w14:paraId="2698C424"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DA94EE0"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23,878,797</w:t>
            </w:r>
          </w:p>
        </w:tc>
        <w:tc>
          <w:tcPr>
            <w:tcW w:w="1400" w:type="dxa"/>
            <w:tcBorders>
              <w:top w:val="nil"/>
              <w:left w:val="nil"/>
              <w:bottom w:val="single" w:sz="4" w:space="0" w:color="auto"/>
              <w:right w:val="single" w:sz="4" w:space="0" w:color="auto"/>
            </w:tcBorders>
            <w:shd w:val="clear" w:color="000000" w:fill="FFFFFF"/>
            <w:noWrap/>
            <w:vAlign w:val="center"/>
            <w:hideMark/>
          </w:tcPr>
          <w:p w14:paraId="7343D13F"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1,582,935,385</w:t>
            </w:r>
          </w:p>
        </w:tc>
        <w:tc>
          <w:tcPr>
            <w:tcW w:w="1420" w:type="dxa"/>
            <w:tcBorders>
              <w:top w:val="nil"/>
              <w:left w:val="nil"/>
              <w:bottom w:val="single" w:sz="4" w:space="0" w:color="auto"/>
              <w:right w:val="single" w:sz="4" w:space="0" w:color="auto"/>
            </w:tcBorders>
            <w:shd w:val="clear" w:color="auto" w:fill="auto"/>
            <w:noWrap/>
            <w:vAlign w:val="center"/>
            <w:hideMark/>
          </w:tcPr>
          <w:p w14:paraId="0BBF50F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117,225,509</w:t>
            </w:r>
          </w:p>
        </w:tc>
        <w:tc>
          <w:tcPr>
            <w:tcW w:w="1180" w:type="dxa"/>
            <w:tcBorders>
              <w:top w:val="nil"/>
              <w:left w:val="nil"/>
              <w:bottom w:val="single" w:sz="4" w:space="0" w:color="auto"/>
              <w:right w:val="single" w:sz="4" w:space="0" w:color="auto"/>
            </w:tcBorders>
            <w:shd w:val="clear" w:color="auto" w:fill="auto"/>
            <w:noWrap/>
            <w:vAlign w:val="center"/>
            <w:hideMark/>
          </w:tcPr>
          <w:p w14:paraId="459260A9"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4,146,691</w:t>
            </w:r>
          </w:p>
        </w:tc>
      </w:tr>
      <w:tr w:rsidR="004C579E" w:rsidRPr="004C579E" w14:paraId="56FEDF32"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2363690"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BANAMEX 1'000 MDP</w:t>
            </w:r>
          </w:p>
        </w:tc>
        <w:tc>
          <w:tcPr>
            <w:tcW w:w="1380" w:type="dxa"/>
            <w:tcBorders>
              <w:top w:val="nil"/>
              <w:left w:val="nil"/>
              <w:bottom w:val="single" w:sz="4" w:space="0" w:color="auto"/>
              <w:right w:val="single" w:sz="4" w:space="0" w:color="auto"/>
            </w:tcBorders>
            <w:shd w:val="clear" w:color="auto" w:fill="auto"/>
            <w:noWrap/>
            <w:vAlign w:val="center"/>
            <w:hideMark/>
          </w:tcPr>
          <w:p w14:paraId="24D826E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973,739,027</w:t>
            </w:r>
          </w:p>
        </w:tc>
        <w:tc>
          <w:tcPr>
            <w:tcW w:w="1280" w:type="dxa"/>
            <w:tcBorders>
              <w:top w:val="nil"/>
              <w:left w:val="nil"/>
              <w:bottom w:val="single" w:sz="4" w:space="0" w:color="auto"/>
              <w:right w:val="single" w:sz="4" w:space="0" w:color="auto"/>
            </w:tcBorders>
            <w:shd w:val="clear" w:color="auto" w:fill="auto"/>
            <w:noWrap/>
            <w:vAlign w:val="center"/>
            <w:hideMark/>
          </w:tcPr>
          <w:p w14:paraId="135937A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60B98D7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14,507,525</w:t>
            </w:r>
          </w:p>
        </w:tc>
        <w:tc>
          <w:tcPr>
            <w:tcW w:w="1400" w:type="dxa"/>
            <w:tcBorders>
              <w:top w:val="nil"/>
              <w:left w:val="nil"/>
              <w:bottom w:val="single" w:sz="4" w:space="0" w:color="auto"/>
              <w:right w:val="single" w:sz="4" w:space="0" w:color="auto"/>
            </w:tcBorders>
            <w:shd w:val="clear" w:color="000000" w:fill="FFFFFF"/>
            <w:noWrap/>
            <w:vAlign w:val="center"/>
            <w:hideMark/>
          </w:tcPr>
          <w:p w14:paraId="4974C8C0"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959,231,502</w:t>
            </w:r>
          </w:p>
        </w:tc>
        <w:tc>
          <w:tcPr>
            <w:tcW w:w="1420" w:type="dxa"/>
            <w:tcBorders>
              <w:top w:val="nil"/>
              <w:left w:val="nil"/>
              <w:bottom w:val="single" w:sz="4" w:space="0" w:color="auto"/>
              <w:right w:val="single" w:sz="4" w:space="0" w:color="auto"/>
            </w:tcBorders>
            <w:shd w:val="clear" w:color="auto" w:fill="auto"/>
            <w:noWrap/>
            <w:vAlign w:val="center"/>
            <w:hideMark/>
          </w:tcPr>
          <w:p w14:paraId="20464245"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70,177,108</w:t>
            </w:r>
          </w:p>
        </w:tc>
        <w:tc>
          <w:tcPr>
            <w:tcW w:w="1180" w:type="dxa"/>
            <w:tcBorders>
              <w:top w:val="nil"/>
              <w:left w:val="nil"/>
              <w:bottom w:val="single" w:sz="4" w:space="0" w:color="auto"/>
              <w:right w:val="single" w:sz="4" w:space="0" w:color="auto"/>
            </w:tcBorders>
            <w:shd w:val="clear" w:color="auto" w:fill="auto"/>
            <w:noWrap/>
            <w:vAlign w:val="center"/>
            <w:hideMark/>
          </w:tcPr>
          <w:p w14:paraId="426926B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1,856,542</w:t>
            </w:r>
          </w:p>
        </w:tc>
      </w:tr>
      <w:tr w:rsidR="004C579E" w:rsidRPr="004C579E" w14:paraId="62D54D68"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AC55B28"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500 MDP</w:t>
            </w:r>
          </w:p>
        </w:tc>
        <w:tc>
          <w:tcPr>
            <w:tcW w:w="1380" w:type="dxa"/>
            <w:tcBorders>
              <w:top w:val="nil"/>
              <w:left w:val="nil"/>
              <w:bottom w:val="single" w:sz="4" w:space="0" w:color="auto"/>
              <w:right w:val="single" w:sz="4" w:space="0" w:color="auto"/>
            </w:tcBorders>
            <w:shd w:val="clear" w:color="auto" w:fill="auto"/>
            <w:noWrap/>
            <w:vAlign w:val="center"/>
            <w:hideMark/>
          </w:tcPr>
          <w:p w14:paraId="5046C6C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484,660,637</w:t>
            </w:r>
          </w:p>
        </w:tc>
        <w:tc>
          <w:tcPr>
            <w:tcW w:w="1280" w:type="dxa"/>
            <w:tcBorders>
              <w:top w:val="nil"/>
              <w:left w:val="nil"/>
              <w:bottom w:val="single" w:sz="4" w:space="0" w:color="auto"/>
              <w:right w:val="single" w:sz="4" w:space="0" w:color="auto"/>
            </w:tcBorders>
            <w:shd w:val="clear" w:color="auto" w:fill="auto"/>
            <w:noWrap/>
            <w:vAlign w:val="center"/>
            <w:hideMark/>
          </w:tcPr>
          <w:p w14:paraId="4644917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F8C6B06"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7,220,853</w:t>
            </w:r>
          </w:p>
        </w:tc>
        <w:tc>
          <w:tcPr>
            <w:tcW w:w="1400" w:type="dxa"/>
            <w:tcBorders>
              <w:top w:val="nil"/>
              <w:left w:val="nil"/>
              <w:bottom w:val="single" w:sz="4" w:space="0" w:color="auto"/>
              <w:right w:val="single" w:sz="4" w:space="0" w:color="auto"/>
            </w:tcBorders>
            <w:shd w:val="clear" w:color="000000" w:fill="FFFFFF"/>
            <w:noWrap/>
            <w:vAlign w:val="center"/>
            <w:hideMark/>
          </w:tcPr>
          <w:p w14:paraId="58F2B040"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477,439,784</w:t>
            </w:r>
          </w:p>
        </w:tc>
        <w:tc>
          <w:tcPr>
            <w:tcW w:w="1420" w:type="dxa"/>
            <w:tcBorders>
              <w:top w:val="nil"/>
              <w:left w:val="nil"/>
              <w:bottom w:val="single" w:sz="4" w:space="0" w:color="auto"/>
              <w:right w:val="single" w:sz="4" w:space="0" w:color="auto"/>
            </w:tcBorders>
            <w:shd w:val="clear" w:color="auto" w:fill="auto"/>
            <w:noWrap/>
            <w:vAlign w:val="center"/>
            <w:hideMark/>
          </w:tcPr>
          <w:p w14:paraId="716076B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34,727,579</w:t>
            </w:r>
          </w:p>
        </w:tc>
        <w:tc>
          <w:tcPr>
            <w:tcW w:w="1180" w:type="dxa"/>
            <w:tcBorders>
              <w:top w:val="nil"/>
              <w:left w:val="nil"/>
              <w:bottom w:val="single" w:sz="4" w:space="0" w:color="auto"/>
              <w:right w:val="single" w:sz="4" w:space="0" w:color="auto"/>
            </w:tcBorders>
            <w:shd w:val="clear" w:color="auto" w:fill="auto"/>
            <w:noWrap/>
            <w:vAlign w:val="center"/>
            <w:hideMark/>
          </w:tcPr>
          <w:p w14:paraId="1CB83BA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1,139,640</w:t>
            </w:r>
          </w:p>
        </w:tc>
      </w:tr>
      <w:tr w:rsidR="004C579E" w:rsidRPr="004C579E" w14:paraId="495052D8"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C078385"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968 MDP</w:t>
            </w:r>
          </w:p>
        </w:tc>
        <w:tc>
          <w:tcPr>
            <w:tcW w:w="1380" w:type="dxa"/>
            <w:tcBorders>
              <w:top w:val="nil"/>
              <w:left w:val="nil"/>
              <w:bottom w:val="single" w:sz="4" w:space="0" w:color="auto"/>
              <w:right w:val="single" w:sz="4" w:space="0" w:color="auto"/>
            </w:tcBorders>
            <w:shd w:val="clear" w:color="auto" w:fill="auto"/>
            <w:noWrap/>
            <w:vAlign w:val="center"/>
            <w:hideMark/>
          </w:tcPr>
          <w:p w14:paraId="374D5F0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859,746,173</w:t>
            </w:r>
          </w:p>
        </w:tc>
        <w:tc>
          <w:tcPr>
            <w:tcW w:w="1280" w:type="dxa"/>
            <w:tcBorders>
              <w:top w:val="nil"/>
              <w:left w:val="nil"/>
              <w:bottom w:val="single" w:sz="4" w:space="0" w:color="auto"/>
              <w:right w:val="single" w:sz="4" w:space="0" w:color="auto"/>
            </w:tcBorders>
            <w:shd w:val="clear" w:color="auto" w:fill="auto"/>
            <w:noWrap/>
            <w:vAlign w:val="center"/>
            <w:hideMark/>
          </w:tcPr>
          <w:p w14:paraId="2E42937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B1FF780"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45,125,001</w:t>
            </w:r>
          </w:p>
        </w:tc>
        <w:tc>
          <w:tcPr>
            <w:tcW w:w="1400" w:type="dxa"/>
            <w:tcBorders>
              <w:top w:val="nil"/>
              <w:left w:val="nil"/>
              <w:bottom w:val="single" w:sz="4" w:space="0" w:color="auto"/>
              <w:right w:val="single" w:sz="4" w:space="0" w:color="auto"/>
            </w:tcBorders>
            <w:shd w:val="clear" w:color="000000" w:fill="FFFFFF"/>
            <w:noWrap/>
            <w:vAlign w:val="center"/>
            <w:hideMark/>
          </w:tcPr>
          <w:p w14:paraId="2466B6FA"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814,621,172</w:t>
            </w:r>
          </w:p>
        </w:tc>
        <w:tc>
          <w:tcPr>
            <w:tcW w:w="1420" w:type="dxa"/>
            <w:tcBorders>
              <w:top w:val="nil"/>
              <w:left w:val="nil"/>
              <w:bottom w:val="single" w:sz="4" w:space="0" w:color="auto"/>
              <w:right w:val="single" w:sz="4" w:space="0" w:color="auto"/>
            </w:tcBorders>
            <w:shd w:val="clear" w:color="auto" w:fill="auto"/>
            <w:noWrap/>
            <w:vAlign w:val="center"/>
            <w:hideMark/>
          </w:tcPr>
          <w:p w14:paraId="1386679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68,093,611</w:t>
            </w:r>
          </w:p>
        </w:tc>
        <w:tc>
          <w:tcPr>
            <w:tcW w:w="1180" w:type="dxa"/>
            <w:tcBorders>
              <w:top w:val="nil"/>
              <w:left w:val="nil"/>
              <w:bottom w:val="single" w:sz="4" w:space="0" w:color="auto"/>
              <w:right w:val="single" w:sz="4" w:space="0" w:color="auto"/>
            </w:tcBorders>
            <w:shd w:val="clear" w:color="auto" w:fill="auto"/>
            <w:noWrap/>
            <w:vAlign w:val="center"/>
            <w:hideMark/>
          </w:tcPr>
          <w:p w14:paraId="2641E73A"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184E6A94"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986F9D8"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BANCOMER  994 MDP</w:t>
            </w:r>
          </w:p>
        </w:tc>
        <w:tc>
          <w:tcPr>
            <w:tcW w:w="1380" w:type="dxa"/>
            <w:tcBorders>
              <w:top w:val="nil"/>
              <w:left w:val="nil"/>
              <w:bottom w:val="single" w:sz="4" w:space="0" w:color="auto"/>
              <w:right w:val="single" w:sz="4" w:space="0" w:color="auto"/>
            </w:tcBorders>
            <w:shd w:val="clear" w:color="auto" w:fill="auto"/>
            <w:noWrap/>
            <w:vAlign w:val="center"/>
            <w:hideMark/>
          </w:tcPr>
          <w:p w14:paraId="3A2B90F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960,603,463</w:t>
            </w:r>
          </w:p>
        </w:tc>
        <w:tc>
          <w:tcPr>
            <w:tcW w:w="1280" w:type="dxa"/>
            <w:tcBorders>
              <w:top w:val="nil"/>
              <w:left w:val="nil"/>
              <w:bottom w:val="single" w:sz="4" w:space="0" w:color="auto"/>
              <w:right w:val="single" w:sz="4" w:space="0" w:color="auto"/>
            </w:tcBorders>
            <w:shd w:val="clear" w:color="auto" w:fill="auto"/>
            <w:noWrap/>
            <w:vAlign w:val="center"/>
            <w:hideMark/>
          </w:tcPr>
          <w:p w14:paraId="3465F24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c>
          <w:tcPr>
            <w:tcW w:w="1309" w:type="dxa"/>
            <w:tcBorders>
              <w:top w:val="nil"/>
              <w:left w:val="nil"/>
              <w:bottom w:val="single" w:sz="4" w:space="0" w:color="auto"/>
              <w:right w:val="single" w:sz="4" w:space="0" w:color="auto"/>
            </w:tcBorders>
            <w:shd w:val="clear" w:color="auto" w:fill="auto"/>
            <w:noWrap/>
            <w:vAlign w:val="center"/>
            <w:hideMark/>
          </w:tcPr>
          <w:p w14:paraId="460B983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14,514,644</w:t>
            </w:r>
          </w:p>
        </w:tc>
        <w:tc>
          <w:tcPr>
            <w:tcW w:w="1400" w:type="dxa"/>
            <w:tcBorders>
              <w:top w:val="nil"/>
              <w:left w:val="nil"/>
              <w:bottom w:val="single" w:sz="4" w:space="0" w:color="auto"/>
              <w:right w:val="single" w:sz="4" w:space="0" w:color="auto"/>
            </w:tcBorders>
            <w:shd w:val="clear" w:color="000000" w:fill="FFFFFF"/>
            <w:noWrap/>
            <w:vAlign w:val="center"/>
            <w:hideMark/>
          </w:tcPr>
          <w:p w14:paraId="45DBE97F"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946,088,819</w:t>
            </w:r>
          </w:p>
        </w:tc>
        <w:tc>
          <w:tcPr>
            <w:tcW w:w="1420" w:type="dxa"/>
            <w:tcBorders>
              <w:top w:val="nil"/>
              <w:left w:val="nil"/>
              <w:bottom w:val="single" w:sz="4" w:space="0" w:color="auto"/>
              <w:right w:val="single" w:sz="4" w:space="0" w:color="auto"/>
            </w:tcBorders>
            <w:shd w:val="clear" w:color="auto" w:fill="auto"/>
            <w:noWrap/>
            <w:vAlign w:val="center"/>
            <w:hideMark/>
          </w:tcPr>
          <w:p w14:paraId="209993B7"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79,245,042</w:t>
            </w:r>
          </w:p>
        </w:tc>
        <w:tc>
          <w:tcPr>
            <w:tcW w:w="1180" w:type="dxa"/>
            <w:tcBorders>
              <w:top w:val="nil"/>
              <w:left w:val="nil"/>
              <w:bottom w:val="single" w:sz="4" w:space="0" w:color="auto"/>
              <w:right w:val="single" w:sz="4" w:space="0" w:color="auto"/>
            </w:tcBorders>
            <w:shd w:val="clear" w:color="auto" w:fill="auto"/>
            <w:noWrap/>
            <w:vAlign w:val="center"/>
            <w:hideMark/>
          </w:tcPr>
          <w:p w14:paraId="3EC4A082"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0</w:t>
            </w:r>
          </w:p>
        </w:tc>
      </w:tr>
      <w:tr w:rsidR="004C579E" w:rsidRPr="004C579E" w14:paraId="5944106B"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35B70F5"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 1'500 MDP</w:t>
            </w:r>
          </w:p>
        </w:tc>
        <w:tc>
          <w:tcPr>
            <w:tcW w:w="1380" w:type="dxa"/>
            <w:tcBorders>
              <w:top w:val="nil"/>
              <w:left w:val="nil"/>
              <w:bottom w:val="single" w:sz="4" w:space="0" w:color="auto"/>
              <w:right w:val="single" w:sz="4" w:space="0" w:color="auto"/>
            </w:tcBorders>
            <w:shd w:val="clear" w:color="auto" w:fill="auto"/>
            <w:noWrap/>
            <w:vAlign w:val="center"/>
            <w:hideMark/>
          </w:tcPr>
          <w:p w14:paraId="36091B8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1,500,000,000</w:t>
            </w:r>
          </w:p>
        </w:tc>
        <w:tc>
          <w:tcPr>
            <w:tcW w:w="1280" w:type="dxa"/>
            <w:tcBorders>
              <w:top w:val="nil"/>
              <w:left w:val="nil"/>
              <w:bottom w:val="single" w:sz="4" w:space="0" w:color="auto"/>
              <w:right w:val="single" w:sz="4" w:space="0" w:color="auto"/>
            </w:tcBorders>
            <w:shd w:val="clear" w:color="auto" w:fill="auto"/>
            <w:noWrap/>
            <w:vAlign w:val="center"/>
            <w:hideMark/>
          </w:tcPr>
          <w:p w14:paraId="1671F08C"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 </w:t>
            </w:r>
          </w:p>
        </w:tc>
        <w:tc>
          <w:tcPr>
            <w:tcW w:w="1309" w:type="dxa"/>
            <w:tcBorders>
              <w:top w:val="nil"/>
              <w:left w:val="nil"/>
              <w:bottom w:val="single" w:sz="4" w:space="0" w:color="auto"/>
              <w:right w:val="single" w:sz="4" w:space="0" w:color="auto"/>
            </w:tcBorders>
            <w:shd w:val="clear" w:color="auto" w:fill="auto"/>
            <w:noWrap/>
            <w:vAlign w:val="center"/>
            <w:hideMark/>
          </w:tcPr>
          <w:p w14:paraId="2C25F0EB"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13,247,544</w:t>
            </w:r>
          </w:p>
        </w:tc>
        <w:tc>
          <w:tcPr>
            <w:tcW w:w="1400" w:type="dxa"/>
            <w:tcBorders>
              <w:top w:val="nil"/>
              <w:left w:val="nil"/>
              <w:bottom w:val="single" w:sz="4" w:space="0" w:color="auto"/>
              <w:right w:val="single" w:sz="4" w:space="0" w:color="auto"/>
            </w:tcBorders>
            <w:shd w:val="clear" w:color="000000" w:fill="FFFFFF"/>
            <w:noWrap/>
            <w:vAlign w:val="center"/>
            <w:hideMark/>
          </w:tcPr>
          <w:p w14:paraId="46983AD7"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1,486,752,456</w:t>
            </w:r>
          </w:p>
        </w:tc>
        <w:tc>
          <w:tcPr>
            <w:tcW w:w="1420" w:type="dxa"/>
            <w:tcBorders>
              <w:top w:val="nil"/>
              <w:left w:val="nil"/>
              <w:bottom w:val="single" w:sz="4" w:space="0" w:color="auto"/>
              <w:right w:val="single" w:sz="4" w:space="0" w:color="auto"/>
            </w:tcBorders>
            <w:shd w:val="clear" w:color="auto" w:fill="auto"/>
            <w:noWrap/>
            <w:vAlign w:val="center"/>
            <w:hideMark/>
          </w:tcPr>
          <w:p w14:paraId="5916314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115,973,720</w:t>
            </w:r>
          </w:p>
        </w:tc>
        <w:tc>
          <w:tcPr>
            <w:tcW w:w="1180" w:type="dxa"/>
            <w:tcBorders>
              <w:top w:val="nil"/>
              <w:left w:val="nil"/>
              <w:bottom w:val="single" w:sz="4" w:space="0" w:color="auto"/>
              <w:right w:val="single" w:sz="4" w:space="0" w:color="auto"/>
            </w:tcBorders>
            <w:shd w:val="clear" w:color="auto" w:fill="auto"/>
            <w:noWrap/>
            <w:vAlign w:val="center"/>
            <w:hideMark/>
          </w:tcPr>
          <w:p w14:paraId="436D7591"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132,749</w:t>
            </w:r>
          </w:p>
        </w:tc>
      </w:tr>
      <w:tr w:rsidR="004C579E" w:rsidRPr="004C579E" w14:paraId="5EC775F8" w14:textId="77777777" w:rsidTr="00B43367">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336C36C" w14:textId="77777777" w:rsidR="004C579E" w:rsidRPr="004C579E" w:rsidRDefault="004C579E" w:rsidP="004C579E">
            <w:pPr>
              <w:spacing w:after="0" w:line="240" w:lineRule="auto"/>
              <w:rPr>
                <w:rFonts w:asciiTheme="minorHAnsi" w:eastAsia="Times New Roman" w:hAnsiTheme="minorHAnsi" w:cstheme="minorHAnsi"/>
                <w:color w:val="000000"/>
                <w:sz w:val="12"/>
                <w:szCs w:val="12"/>
                <w:lang w:eastAsia="es-MX"/>
              </w:rPr>
            </w:pPr>
            <w:r w:rsidRPr="004C579E">
              <w:rPr>
                <w:rFonts w:asciiTheme="minorHAnsi" w:eastAsia="Times New Roman" w:hAnsiTheme="minorHAnsi" w:cstheme="minorHAnsi"/>
                <w:color w:val="000000"/>
                <w:sz w:val="12"/>
                <w:szCs w:val="12"/>
                <w:lang w:eastAsia="es-MX"/>
              </w:rPr>
              <w:t>BANORTE 1'200 MDP</w:t>
            </w:r>
          </w:p>
        </w:tc>
        <w:tc>
          <w:tcPr>
            <w:tcW w:w="1380" w:type="dxa"/>
            <w:tcBorders>
              <w:top w:val="nil"/>
              <w:left w:val="nil"/>
              <w:bottom w:val="single" w:sz="4" w:space="0" w:color="auto"/>
              <w:right w:val="single" w:sz="4" w:space="0" w:color="auto"/>
            </w:tcBorders>
            <w:shd w:val="clear" w:color="auto" w:fill="auto"/>
            <w:noWrap/>
            <w:vAlign w:val="center"/>
            <w:hideMark/>
          </w:tcPr>
          <w:p w14:paraId="06F3C4F4"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362,000,000</w:t>
            </w:r>
          </w:p>
        </w:tc>
        <w:tc>
          <w:tcPr>
            <w:tcW w:w="1280" w:type="dxa"/>
            <w:tcBorders>
              <w:top w:val="nil"/>
              <w:left w:val="nil"/>
              <w:bottom w:val="single" w:sz="4" w:space="0" w:color="auto"/>
              <w:right w:val="single" w:sz="4" w:space="0" w:color="auto"/>
            </w:tcBorders>
            <w:shd w:val="clear" w:color="auto" w:fill="auto"/>
            <w:noWrap/>
            <w:vAlign w:val="center"/>
            <w:hideMark/>
          </w:tcPr>
          <w:p w14:paraId="50D77964"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623,000,000</w:t>
            </w:r>
          </w:p>
        </w:tc>
        <w:tc>
          <w:tcPr>
            <w:tcW w:w="1309" w:type="dxa"/>
            <w:tcBorders>
              <w:top w:val="nil"/>
              <w:left w:val="nil"/>
              <w:bottom w:val="single" w:sz="4" w:space="0" w:color="auto"/>
              <w:right w:val="single" w:sz="4" w:space="0" w:color="auto"/>
            </w:tcBorders>
            <w:shd w:val="clear" w:color="auto" w:fill="auto"/>
            <w:noWrap/>
            <w:vAlign w:val="center"/>
            <w:hideMark/>
          </w:tcPr>
          <w:p w14:paraId="7558C65E"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2,160,974</w:t>
            </w:r>
          </w:p>
        </w:tc>
        <w:tc>
          <w:tcPr>
            <w:tcW w:w="1400" w:type="dxa"/>
            <w:tcBorders>
              <w:top w:val="nil"/>
              <w:left w:val="nil"/>
              <w:bottom w:val="single" w:sz="4" w:space="0" w:color="auto"/>
              <w:right w:val="single" w:sz="4" w:space="0" w:color="auto"/>
            </w:tcBorders>
            <w:shd w:val="clear" w:color="000000" w:fill="FFFFFF"/>
            <w:noWrap/>
            <w:vAlign w:val="center"/>
            <w:hideMark/>
          </w:tcPr>
          <w:p w14:paraId="69BF0A91" w14:textId="77777777" w:rsidR="004C579E" w:rsidRPr="004C579E" w:rsidRDefault="004C579E" w:rsidP="004C579E">
            <w:pPr>
              <w:spacing w:after="0" w:line="240" w:lineRule="auto"/>
              <w:jc w:val="right"/>
              <w:rPr>
                <w:rFonts w:asciiTheme="minorHAnsi" w:eastAsia="Times New Roman" w:hAnsiTheme="minorHAnsi" w:cstheme="minorHAnsi"/>
                <w:color w:val="222B35"/>
                <w:sz w:val="14"/>
                <w:szCs w:val="14"/>
                <w:lang w:eastAsia="es-MX"/>
              </w:rPr>
            </w:pPr>
            <w:r w:rsidRPr="004C579E">
              <w:rPr>
                <w:rFonts w:asciiTheme="minorHAnsi" w:eastAsia="Times New Roman" w:hAnsiTheme="minorHAnsi" w:cstheme="minorHAnsi"/>
                <w:color w:val="222B35"/>
                <w:sz w:val="14"/>
                <w:szCs w:val="14"/>
                <w:lang w:eastAsia="es-MX"/>
              </w:rPr>
              <w:t>982,839,026</w:t>
            </w:r>
          </w:p>
        </w:tc>
        <w:tc>
          <w:tcPr>
            <w:tcW w:w="1420" w:type="dxa"/>
            <w:tcBorders>
              <w:top w:val="nil"/>
              <w:left w:val="nil"/>
              <w:bottom w:val="single" w:sz="4" w:space="0" w:color="auto"/>
              <w:right w:val="single" w:sz="4" w:space="0" w:color="auto"/>
            </w:tcBorders>
            <w:shd w:val="clear" w:color="auto" w:fill="auto"/>
            <w:noWrap/>
            <w:vAlign w:val="center"/>
            <w:hideMark/>
          </w:tcPr>
          <w:p w14:paraId="610557C8"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82,789,053</w:t>
            </w:r>
          </w:p>
        </w:tc>
        <w:tc>
          <w:tcPr>
            <w:tcW w:w="1180" w:type="dxa"/>
            <w:tcBorders>
              <w:top w:val="nil"/>
              <w:left w:val="nil"/>
              <w:bottom w:val="single" w:sz="4" w:space="0" w:color="auto"/>
              <w:right w:val="single" w:sz="4" w:space="0" w:color="auto"/>
            </w:tcBorders>
            <w:shd w:val="clear" w:color="auto" w:fill="auto"/>
            <w:noWrap/>
            <w:vAlign w:val="center"/>
            <w:hideMark/>
          </w:tcPr>
          <w:p w14:paraId="25057E35" w14:textId="77777777" w:rsidR="004C579E" w:rsidRPr="004C579E" w:rsidRDefault="004C579E" w:rsidP="004C579E">
            <w:pPr>
              <w:spacing w:after="0" w:line="240" w:lineRule="auto"/>
              <w:jc w:val="right"/>
              <w:rPr>
                <w:rFonts w:asciiTheme="minorHAnsi" w:eastAsia="Times New Roman" w:hAnsiTheme="minorHAnsi" w:cstheme="minorHAnsi"/>
                <w:color w:val="000000"/>
                <w:sz w:val="14"/>
                <w:szCs w:val="14"/>
                <w:lang w:eastAsia="es-MX"/>
              </w:rPr>
            </w:pPr>
            <w:r w:rsidRPr="004C579E">
              <w:rPr>
                <w:rFonts w:asciiTheme="minorHAnsi" w:eastAsia="Times New Roman" w:hAnsiTheme="minorHAnsi" w:cstheme="minorHAnsi"/>
                <w:color w:val="000000"/>
                <w:sz w:val="14"/>
                <w:szCs w:val="14"/>
                <w:lang w:eastAsia="es-MX"/>
              </w:rPr>
              <w:t>6,534,646</w:t>
            </w:r>
          </w:p>
        </w:tc>
      </w:tr>
      <w:tr w:rsidR="004C579E" w:rsidRPr="004C579E" w14:paraId="51F46015" w14:textId="77777777" w:rsidTr="00B43367">
        <w:trPr>
          <w:trHeight w:val="390"/>
        </w:trPr>
        <w:tc>
          <w:tcPr>
            <w:tcW w:w="1413" w:type="dxa"/>
            <w:tcBorders>
              <w:top w:val="nil"/>
              <w:left w:val="single" w:sz="4" w:space="0" w:color="auto"/>
              <w:bottom w:val="single" w:sz="4" w:space="0" w:color="auto"/>
              <w:right w:val="single" w:sz="4" w:space="0" w:color="auto"/>
            </w:tcBorders>
            <w:shd w:val="clear" w:color="000000" w:fill="DDC9A3"/>
            <w:noWrap/>
            <w:vAlign w:val="center"/>
            <w:hideMark/>
          </w:tcPr>
          <w:p w14:paraId="25058635" w14:textId="77777777" w:rsidR="004C579E" w:rsidRPr="004C579E" w:rsidRDefault="004C579E" w:rsidP="004C579E">
            <w:pPr>
              <w:spacing w:after="0" w:line="240" w:lineRule="auto"/>
              <w:rPr>
                <w:rFonts w:asciiTheme="minorHAnsi" w:eastAsia="Times New Roman" w:hAnsiTheme="minorHAnsi" w:cstheme="minorHAnsi"/>
                <w:b/>
                <w:bCs/>
                <w:color w:val="000000"/>
                <w:sz w:val="13"/>
                <w:szCs w:val="13"/>
                <w:lang w:eastAsia="es-MX"/>
              </w:rPr>
            </w:pPr>
            <w:r w:rsidRPr="004C579E">
              <w:rPr>
                <w:rFonts w:asciiTheme="minorHAnsi" w:eastAsia="Times New Roman" w:hAnsiTheme="minorHAnsi" w:cstheme="minorHAnsi"/>
                <w:b/>
                <w:bCs/>
                <w:color w:val="000000"/>
                <w:sz w:val="13"/>
                <w:szCs w:val="13"/>
                <w:lang w:eastAsia="es-MX"/>
              </w:rPr>
              <w:t>TOTALES</w:t>
            </w:r>
          </w:p>
        </w:tc>
        <w:tc>
          <w:tcPr>
            <w:tcW w:w="1380" w:type="dxa"/>
            <w:tcBorders>
              <w:top w:val="nil"/>
              <w:left w:val="nil"/>
              <w:bottom w:val="single" w:sz="4" w:space="0" w:color="auto"/>
              <w:right w:val="single" w:sz="4" w:space="0" w:color="auto"/>
            </w:tcBorders>
            <w:shd w:val="clear" w:color="000000" w:fill="DDC9A3"/>
            <w:vAlign w:val="center"/>
            <w:hideMark/>
          </w:tcPr>
          <w:p w14:paraId="5FFA744C"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15,552,312,266</w:t>
            </w:r>
          </w:p>
        </w:tc>
        <w:tc>
          <w:tcPr>
            <w:tcW w:w="1280" w:type="dxa"/>
            <w:tcBorders>
              <w:top w:val="nil"/>
              <w:left w:val="nil"/>
              <w:bottom w:val="single" w:sz="4" w:space="0" w:color="auto"/>
              <w:right w:val="single" w:sz="4" w:space="0" w:color="auto"/>
            </w:tcBorders>
            <w:shd w:val="clear" w:color="000000" w:fill="DDC9A3"/>
            <w:vAlign w:val="center"/>
            <w:hideMark/>
          </w:tcPr>
          <w:p w14:paraId="264C67AB"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623,000,000</w:t>
            </w:r>
          </w:p>
        </w:tc>
        <w:tc>
          <w:tcPr>
            <w:tcW w:w="1309" w:type="dxa"/>
            <w:tcBorders>
              <w:top w:val="nil"/>
              <w:left w:val="nil"/>
              <w:bottom w:val="single" w:sz="4" w:space="0" w:color="auto"/>
              <w:right w:val="single" w:sz="4" w:space="0" w:color="auto"/>
            </w:tcBorders>
            <w:shd w:val="clear" w:color="000000" w:fill="DDC9A3"/>
            <w:vAlign w:val="center"/>
            <w:hideMark/>
          </w:tcPr>
          <w:p w14:paraId="5C31DFB7"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341,988,204</w:t>
            </w:r>
          </w:p>
        </w:tc>
        <w:tc>
          <w:tcPr>
            <w:tcW w:w="1400" w:type="dxa"/>
            <w:tcBorders>
              <w:top w:val="nil"/>
              <w:left w:val="nil"/>
              <w:bottom w:val="single" w:sz="4" w:space="0" w:color="auto"/>
              <w:right w:val="single" w:sz="4" w:space="0" w:color="auto"/>
            </w:tcBorders>
            <w:shd w:val="clear" w:color="000000" w:fill="DDC9A3"/>
            <w:vAlign w:val="center"/>
            <w:hideMark/>
          </w:tcPr>
          <w:p w14:paraId="00604C19"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15,833,324,062</w:t>
            </w:r>
          </w:p>
        </w:tc>
        <w:tc>
          <w:tcPr>
            <w:tcW w:w="1420" w:type="dxa"/>
            <w:tcBorders>
              <w:top w:val="nil"/>
              <w:left w:val="nil"/>
              <w:bottom w:val="single" w:sz="4" w:space="0" w:color="auto"/>
              <w:right w:val="single" w:sz="4" w:space="0" w:color="auto"/>
            </w:tcBorders>
            <w:shd w:val="clear" w:color="000000" w:fill="DDC9A3"/>
            <w:vAlign w:val="center"/>
            <w:hideMark/>
          </w:tcPr>
          <w:p w14:paraId="0953FBAE"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1,159,943,043</w:t>
            </w:r>
          </w:p>
        </w:tc>
        <w:tc>
          <w:tcPr>
            <w:tcW w:w="1180" w:type="dxa"/>
            <w:tcBorders>
              <w:top w:val="nil"/>
              <w:left w:val="nil"/>
              <w:bottom w:val="single" w:sz="4" w:space="0" w:color="auto"/>
              <w:right w:val="single" w:sz="4" w:space="0" w:color="auto"/>
            </w:tcBorders>
            <w:shd w:val="clear" w:color="000000" w:fill="DDC9A3"/>
            <w:vAlign w:val="center"/>
            <w:hideMark/>
          </w:tcPr>
          <w:p w14:paraId="75EAF636" w14:textId="77777777" w:rsidR="004C579E" w:rsidRPr="004C579E" w:rsidRDefault="004C579E" w:rsidP="004C579E">
            <w:pPr>
              <w:spacing w:after="0" w:line="240" w:lineRule="auto"/>
              <w:jc w:val="right"/>
              <w:rPr>
                <w:rFonts w:asciiTheme="minorHAnsi" w:eastAsia="Times New Roman" w:hAnsiTheme="minorHAnsi" w:cstheme="minorHAnsi"/>
                <w:b/>
                <w:bCs/>
                <w:color w:val="000000"/>
                <w:sz w:val="14"/>
                <w:szCs w:val="14"/>
                <w:lang w:eastAsia="es-MX"/>
              </w:rPr>
            </w:pPr>
            <w:r w:rsidRPr="004C579E">
              <w:rPr>
                <w:rFonts w:asciiTheme="minorHAnsi" w:eastAsia="Times New Roman" w:hAnsiTheme="minorHAnsi" w:cstheme="minorHAnsi"/>
                <w:b/>
                <w:bCs/>
                <w:color w:val="000000"/>
                <w:sz w:val="14"/>
                <w:szCs w:val="14"/>
                <w:lang w:eastAsia="es-MX"/>
              </w:rPr>
              <w:t>21,895,483</w:t>
            </w:r>
          </w:p>
        </w:tc>
      </w:tr>
    </w:tbl>
    <w:p w14:paraId="6451C5AC" w14:textId="77777777" w:rsidR="00795B7D" w:rsidRPr="005F45A3" w:rsidRDefault="00795B7D" w:rsidP="00B07C73">
      <w:pPr>
        <w:pStyle w:val="INCISO"/>
        <w:spacing w:after="0" w:line="240" w:lineRule="exact"/>
        <w:ind w:left="0" w:firstLine="0"/>
        <w:rPr>
          <w:rFonts w:asciiTheme="minorHAnsi" w:hAnsiTheme="minorHAnsi" w:cstheme="minorHAnsi"/>
          <w:b/>
          <w:lang w:val="es-MX"/>
        </w:rPr>
      </w:pPr>
    </w:p>
    <w:p w14:paraId="30193692" w14:textId="77777777" w:rsidR="00B07C73" w:rsidRPr="005F45A3" w:rsidRDefault="00B07C73" w:rsidP="00B07C73">
      <w:pPr>
        <w:pStyle w:val="INCISO"/>
        <w:spacing w:after="0" w:line="240" w:lineRule="exact"/>
        <w:ind w:left="0" w:firstLine="0"/>
        <w:rPr>
          <w:rFonts w:asciiTheme="minorHAnsi" w:hAnsiTheme="minorHAnsi" w:cstheme="minorHAnsi"/>
          <w:b/>
          <w:lang w:val="es-MX"/>
        </w:rPr>
      </w:pPr>
    </w:p>
    <w:p w14:paraId="524F45C5" w14:textId="0A938281" w:rsidR="00B07C73" w:rsidRPr="005F45A3" w:rsidRDefault="00B07C73" w:rsidP="00B07C73">
      <w:pPr>
        <w:tabs>
          <w:tab w:val="left" w:pos="829"/>
          <w:tab w:val="left" w:pos="945"/>
        </w:tabs>
        <w:rPr>
          <w:rFonts w:asciiTheme="minorHAnsi" w:eastAsia="Times New Roman" w:hAnsiTheme="minorHAnsi" w:cstheme="minorHAnsi"/>
          <w:b/>
          <w:sz w:val="18"/>
          <w:szCs w:val="18"/>
          <w:lang w:val="es-ES" w:eastAsia="es-ES"/>
        </w:rPr>
      </w:pPr>
      <w:r w:rsidRPr="005F45A3">
        <w:rPr>
          <w:rFonts w:asciiTheme="minorHAnsi" w:eastAsia="Times New Roman" w:hAnsiTheme="minorHAnsi" w:cstheme="minorHAnsi"/>
          <w:b/>
          <w:sz w:val="18"/>
          <w:szCs w:val="18"/>
          <w:lang w:val="es-ES" w:eastAsia="es-ES"/>
        </w:rPr>
        <w:t xml:space="preserve"> Resumen de pago de amortizaciones e intereses de</w:t>
      </w:r>
      <w:r w:rsidR="00BD0E8E" w:rsidRPr="005F45A3">
        <w:rPr>
          <w:rFonts w:asciiTheme="minorHAnsi" w:eastAsia="Times New Roman" w:hAnsiTheme="minorHAnsi" w:cstheme="minorHAnsi"/>
          <w:b/>
          <w:sz w:val="18"/>
          <w:szCs w:val="18"/>
          <w:lang w:val="es-ES" w:eastAsia="es-ES"/>
        </w:rPr>
        <w:t xml:space="preserve"> la Deuda con Recurso FAFEF 2022</w:t>
      </w:r>
    </w:p>
    <w:tbl>
      <w:tblPr>
        <w:tblW w:w="9805" w:type="dxa"/>
        <w:tblCellMar>
          <w:left w:w="70" w:type="dxa"/>
          <w:right w:w="70" w:type="dxa"/>
        </w:tblCellMar>
        <w:tblLook w:val="04A0" w:firstRow="1" w:lastRow="0" w:firstColumn="1" w:lastColumn="0" w:noHBand="0" w:noVBand="1"/>
      </w:tblPr>
      <w:tblGrid>
        <w:gridCol w:w="2504"/>
        <w:gridCol w:w="1314"/>
        <w:gridCol w:w="1134"/>
        <w:gridCol w:w="1150"/>
        <w:gridCol w:w="1206"/>
        <w:gridCol w:w="1325"/>
        <w:gridCol w:w="1153"/>
        <w:gridCol w:w="19"/>
      </w:tblGrid>
      <w:tr w:rsidR="00314530" w:rsidRPr="00314530" w14:paraId="70D16B91" w14:textId="77777777" w:rsidTr="00B43367">
        <w:trPr>
          <w:trHeight w:val="522"/>
        </w:trPr>
        <w:tc>
          <w:tcPr>
            <w:tcW w:w="9805" w:type="dxa"/>
            <w:gridSpan w:val="8"/>
            <w:tcBorders>
              <w:top w:val="single" w:sz="8" w:space="0" w:color="auto"/>
              <w:left w:val="single" w:sz="8" w:space="0" w:color="auto"/>
              <w:bottom w:val="single" w:sz="8" w:space="0" w:color="auto"/>
              <w:right w:val="single" w:sz="8" w:space="0" w:color="auto"/>
            </w:tcBorders>
            <w:shd w:val="clear" w:color="000000" w:fill="AB0033"/>
            <w:vAlign w:val="center"/>
            <w:hideMark/>
          </w:tcPr>
          <w:p w14:paraId="12415E75" w14:textId="77777777" w:rsidR="00314530" w:rsidRPr="00314530" w:rsidRDefault="00314530" w:rsidP="00314530">
            <w:pPr>
              <w:spacing w:after="0" w:line="240" w:lineRule="auto"/>
              <w:jc w:val="center"/>
              <w:rPr>
                <w:rFonts w:ascii="Helvetica" w:eastAsia="Times New Roman" w:hAnsi="Helvetica" w:cs="Helvetica"/>
                <w:b/>
                <w:bCs/>
                <w:color w:val="FFFFFF"/>
                <w:sz w:val="16"/>
                <w:szCs w:val="16"/>
                <w:lang w:eastAsia="es-MX"/>
              </w:rPr>
            </w:pPr>
            <w:r w:rsidRPr="00314530">
              <w:rPr>
                <w:rFonts w:ascii="Helvetica" w:eastAsia="Times New Roman" w:hAnsi="Helvetica" w:cs="Helvetica"/>
                <w:b/>
                <w:bCs/>
                <w:color w:val="FFFFFF"/>
                <w:sz w:val="16"/>
                <w:szCs w:val="16"/>
                <w:lang w:eastAsia="es-MX"/>
              </w:rPr>
              <w:t>Total de Amortizaciones a los Créditos con Recurso FAFEF  y Recurso Estatal</w:t>
            </w:r>
          </w:p>
        </w:tc>
      </w:tr>
      <w:tr w:rsidR="00314530" w:rsidRPr="00B43367" w14:paraId="264491B6" w14:textId="77777777" w:rsidTr="00B43367">
        <w:trPr>
          <w:gridAfter w:val="1"/>
          <w:wAfter w:w="19" w:type="dxa"/>
          <w:trHeight w:val="409"/>
        </w:trPr>
        <w:tc>
          <w:tcPr>
            <w:tcW w:w="2504" w:type="dxa"/>
            <w:tcBorders>
              <w:top w:val="nil"/>
              <w:left w:val="single" w:sz="8" w:space="0" w:color="auto"/>
              <w:bottom w:val="single" w:sz="8" w:space="0" w:color="auto"/>
              <w:right w:val="single" w:sz="8" w:space="0" w:color="auto"/>
            </w:tcBorders>
            <w:shd w:val="clear" w:color="000000" w:fill="D9D9D9"/>
            <w:vAlign w:val="center"/>
            <w:hideMark/>
          </w:tcPr>
          <w:p w14:paraId="2D189B4E"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Concepto</w:t>
            </w:r>
          </w:p>
        </w:tc>
        <w:tc>
          <w:tcPr>
            <w:tcW w:w="1314" w:type="dxa"/>
            <w:tcBorders>
              <w:top w:val="nil"/>
              <w:left w:val="nil"/>
              <w:bottom w:val="single" w:sz="8" w:space="0" w:color="auto"/>
              <w:right w:val="single" w:sz="8" w:space="0" w:color="auto"/>
            </w:tcBorders>
            <w:shd w:val="clear" w:color="000000" w:fill="D9D9D9"/>
            <w:vAlign w:val="center"/>
            <w:hideMark/>
          </w:tcPr>
          <w:p w14:paraId="240ABC1B"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Saldo al 31 de Diciembre de 2021</w:t>
            </w:r>
          </w:p>
        </w:tc>
        <w:tc>
          <w:tcPr>
            <w:tcW w:w="1134" w:type="dxa"/>
            <w:tcBorders>
              <w:top w:val="nil"/>
              <w:left w:val="nil"/>
              <w:bottom w:val="single" w:sz="8" w:space="0" w:color="auto"/>
              <w:right w:val="single" w:sz="8" w:space="0" w:color="auto"/>
            </w:tcBorders>
            <w:shd w:val="clear" w:color="000000" w:fill="D9D9D9"/>
            <w:vAlign w:val="center"/>
            <w:hideMark/>
          </w:tcPr>
          <w:p w14:paraId="4ADF1733"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Disposiciones</w:t>
            </w:r>
          </w:p>
        </w:tc>
        <w:tc>
          <w:tcPr>
            <w:tcW w:w="1150" w:type="dxa"/>
            <w:tcBorders>
              <w:top w:val="nil"/>
              <w:left w:val="nil"/>
              <w:bottom w:val="single" w:sz="8" w:space="0" w:color="auto"/>
              <w:right w:val="single" w:sz="8" w:space="0" w:color="auto"/>
            </w:tcBorders>
            <w:shd w:val="clear" w:color="000000" w:fill="D9D9D9"/>
            <w:vAlign w:val="center"/>
            <w:hideMark/>
          </w:tcPr>
          <w:p w14:paraId="6B89CCA0"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Amortizaciones</w:t>
            </w:r>
          </w:p>
        </w:tc>
        <w:tc>
          <w:tcPr>
            <w:tcW w:w="1206" w:type="dxa"/>
            <w:tcBorders>
              <w:top w:val="nil"/>
              <w:left w:val="nil"/>
              <w:bottom w:val="single" w:sz="8" w:space="0" w:color="auto"/>
              <w:right w:val="single" w:sz="8" w:space="0" w:color="auto"/>
            </w:tcBorders>
            <w:shd w:val="clear" w:color="000000" w:fill="D9D9D9"/>
            <w:vAlign w:val="center"/>
            <w:hideMark/>
          </w:tcPr>
          <w:p w14:paraId="207C12CF"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Intereses</w:t>
            </w:r>
          </w:p>
        </w:tc>
        <w:tc>
          <w:tcPr>
            <w:tcW w:w="1325" w:type="dxa"/>
            <w:tcBorders>
              <w:top w:val="nil"/>
              <w:left w:val="nil"/>
              <w:bottom w:val="single" w:sz="8" w:space="0" w:color="auto"/>
              <w:right w:val="nil"/>
            </w:tcBorders>
            <w:shd w:val="clear" w:color="000000" w:fill="D9D9D9"/>
            <w:vAlign w:val="center"/>
            <w:hideMark/>
          </w:tcPr>
          <w:p w14:paraId="52EA4C44"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Saldo al 31 de Diciembre de 2022</w:t>
            </w:r>
          </w:p>
        </w:tc>
        <w:tc>
          <w:tcPr>
            <w:tcW w:w="1153" w:type="dxa"/>
            <w:tcBorders>
              <w:top w:val="nil"/>
              <w:left w:val="single" w:sz="8" w:space="0" w:color="auto"/>
              <w:bottom w:val="single" w:sz="8" w:space="0" w:color="auto"/>
              <w:right w:val="single" w:sz="8" w:space="0" w:color="auto"/>
            </w:tcBorders>
            <w:shd w:val="clear" w:color="000000" w:fill="D9D9D9"/>
            <w:vAlign w:val="center"/>
            <w:hideMark/>
          </w:tcPr>
          <w:p w14:paraId="017CA7F8" w14:textId="77777777" w:rsidR="00314530" w:rsidRPr="00B43367" w:rsidRDefault="00314530" w:rsidP="00314530">
            <w:pPr>
              <w:spacing w:after="0" w:line="240" w:lineRule="auto"/>
              <w:jc w:val="center"/>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Porcentaje pagado con Recurso FAFEF de cada rubro</w:t>
            </w:r>
          </w:p>
        </w:tc>
      </w:tr>
      <w:tr w:rsidR="00314530" w:rsidRPr="00B43367" w14:paraId="6108279A" w14:textId="77777777" w:rsidTr="00B43367">
        <w:trPr>
          <w:gridAfter w:val="1"/>
          <w:wAfter w:w="19" w:type="dxa"/>
          <w:trHeight w:val="273"/>
        </w:trPr>
        <w:tc>
          <w:tcPr>
            <w:tcW w:w="2504" w:type="dxa"/>
            <w:tcBorders>
              <w:top w:val="nil"/>
              <w:left w:val="single" w:sz="8" w:space="0" w:color="auto"/>
              <w:bottom w:val="nil"/>
              <w:right w:val="nil"/>
            </w:tcBorders>
            <w:shd w:val="clear" w:color="000000" w:fill="FFFFFF"/>
            <w:noWrap/>
            <w:vAlign w:val="center"/>
            <w:hideMark/>
          </w:tcPr>
          <w:p w14:paraId="2F96CAF0" w14:textId="77777777" w:rsidR="00314530" w:rsidRPr="00B43367" w:rsidRDefault="00314530" w:rsidP="00314530">
            <w:pPr>
              <w:spacing w:after="0" w:line="240" w:lineRule="auto"/>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xml:space="preserve">Deuda Pública </w:t>
            </w:r>
          </w:p>
        </w:tc>
        <w:tc>
          <w:tcPr>
            <w:tcW w:w="1314" w:type="dxa"/>
            <w:tcBorders>
              <w:top w:val="nil"/>
              <w:left w:val="single" w:sz="8" w:space="0" w:color="auto"/>
              <w:bottom w:val="nil"/>
              <w:right w:val="single" w:sz="8" w:space="0" w:color="auto"/>
            </w:tcBorders>
            <w:shd w:val="clear" w:color="000000" w:fill="FFFFFF"/>
            <w:noWrap/>
            <w:vAlign w:val="center"/>
            <w:hideMark/>
          </w:tcPr>
          <w:p w14:paraId="46F413AB"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15,552,312,266</w:t>
            </w:r>
          </w:p>
        </w:tc>
        <w:tc>
          <w:tcPr>
            <w:tcW w:w="1134" w:type="dxa"/>
            <w:tcBorders>
              <w:top w:val="nil"/>
              <w:left w:val="nil"/>
              <w:bottom w:val="nil"/>
              <w:right w:val="nil"/>
            </w:tcBorders>
            <w:shd w:val="clear" w:color="000000" w:fill="FFFFFF"/>
            <w:noWrap/>
            <w:vAlign w:val="center"/>
            <w:hideMark/>
          </w:tcPr>
          <w:p w14:paraId="1CA36B57"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623,000,000</w:t>
            </w:r>
          </w:p>
        </w:tc>
        <w:tc>
          <w:tcPr>
            <w:tcW w:w="1150" w:type="dxa"/>
            <w:tcBorders>
              <w:top w:val="nil"/>
              <w:left w:val="single" w:sz="8" w:space="0" w:color="auto"/>
              <w:bottom w:val="nil"/>
              <w:right w:val="single" w:sz="8" w:space="0" w:color="auto"/>
            </w:tcBorders>
            <w:shd w:val="clear" w:color="000000" w:fill="FFFFFF"/>
            <w:noWrap/>
            <w:vAlign w:val="center"/>
            <w:hideMark/>
          </w:tcPr>
          <w:p w14:paraId="4459AD17"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w:t>
            </w:r>
          </w:p>
        </w:tc>
        <w:tc>
          <w:tcPr>
            <w:tcW w:w="1206" w:type="dxa"/>
            <w:tcBorders>
              <w:top w:val="nil"/>
              <w:left w:val="nil"/>
              <w:bottom w:val="nil"/>
              <w:right w:val="single" w:sz="8" w:space="0" w:color="auto"/>
            </w:tcBorders>
            <w:shd w:val="clear" w:color="000000" w:fill="FFFFFF"/>
            <w:noWrap/>
            <w:vAlign w:val="center"/>
            <w:hideMark/>
          </w:tcPr>
          <w:p w14:paraId="3F5225F2"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w:t>
            </w:r>
          </w:p>
        </w:tc>
        <w:tc>
          <w:tcPr>
            <w:tcW w:w="1325" w:type="dxa"/>
            <w:tcBorders>
              <w:top w:val="nil"/>
              <w:left w:val="nil"/>
              <w:bottom w:val="nil"/>
              <w:right w:val="single" w:sz="8" w:space="0" w:color="auto"/>
            </w:tcBorders>
            <w:shd w:val="clear" w:color="000000" w:fill="FFFFFF"/>
            <w:noWrap/>
            <w:vAlign w:val="center"/>
            <w:hideMark/>
          </w:tcPr>
          <w:p w14:paraId="4D867F8B"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16,175,312,266</w:t>
            </w:r>
          </w:p>
        </w:tc>
        <w:tc>
          <w:tcPr>
            <w:tcW w:w="1153" w:type="dxa"/>
            <w:tcBorders>
              <w:top w:val="nil"/>
              <w:left w:val="nil"/>
              <w:bottom w:val="nil"/>
              <w:right w:val="single" w:sz="8" w:space="0" w:color="auto"/>
            </w:tcBorders>
            <w:shd w:val="clear" w:color="000000" w:fill="FFFFFF"/>
            <w:noWrap/>
            <w:vAlign w:val="center"/>
            <w:hideMark/>
          </w:tcPr>
          <w:p w14:paraId="3BD7CE0A"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w:t>
            </w:r>
          </w:p>
        </w:tc>
      </w:tr>
      <w:tr w:rsidR="00314530" w:rsidRPr="00B43367" w14:paraId="747BEE46" w14:textId="77777777" w:rsidTr="00B43367">
        <w:trPr>
          <w:gridAfter w:val="1"/>
          <w:wAfter w:w="19" w:type="dxa"/>
          <w:trHeight w:val="273"/>
        </w:trPr>
        <w:tc>
          <w:tcPr>
            <w:tcW w:w="2504" w:type="dxa"/>
            <w:tcBorders>
              <w:top w:val="nil"/>
              <w:left w:val="single" w:sz="8" w:space="0" w:color="auto"/>
              <w:bottom w:val="nil"/>
              <w:right w:val="nil"/>
            </w:tcBorders>
            <w:shd w:val="clear" w:color="000000" w:fill="FFFFFF"/>
            <w:noWrap/>
            <w:vAlign w:val="center"/>
            <w:hideMark/>
          </w:tcPr>
          <w:p w14:paraId="10E43436" w14:textId="77777777" w:rsidR="00314530" w:rsidRPr="00B43367" w:rsidRDefault="00314530" w:rsidP="00314530">
            <w:pPr>
              <w:spacing w:after="0" w:line="240" w:lineRule="auto"/>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AMORTIZACIONES:</w:t>
            </w:r>
          </w:p>
        </w:tc>
        <w:tc>
          <w:tcPr>
            <w:tcW w:w="1314" w:type="dxa"/>
            <w:tcBorders>
              <w:top w:val="nil"/>
              <w:left w:val="single" w:sz="8" w:space="0" w:color="auto"/>
              <w:bottom w:val="nil"/>
              <w:right w:val="single" w:sz="8" w:space="0" w:color="auto"/>
            </w:tcBorders>
            <w:shd w:val="clear" w:color="000000" w:fill="FFFFFF"/>
            <w:noWrap/>
            <w:vAlign w:val="center"/>
            <w:hideMark/>
          </w:tcPr>
          <w:p w14:paraId="1DB3B95C"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nil"/>
              <w:left w:val="nil"/>
              <w:bottom w:val="nil"/>
              <w:right w:val="nil"/>
            </w:tcBorders>
            <w:shd w:val="clear" w:color="000000" w:fill="FFFFFF"/>
            <w:noWrap/>
            <w:vAlign w:val="center"/>
            <w:hideMark/>
          </w:tcPr>
          <w:p w14:paraId="12DACBAD"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nil"/>
              <w:left w:val="single" w:sz="8" w:space="0" w:color="auto"/>
              <w:bottom w:val="nil"/>
              <w:right w:val="single" w:sz="8" w:space="0" w:color="auto"/>
            </w:tcBorders>
            <w:shd w:val="clear" w:color="000000" w:fill="FFFFFF"/>
            <w:noWrap/>
            <w:vAlign w:val="center"/>
            <w:hideMark/>
          </w:tcPr>
          <w:p w14:paraId="6EC469BC" w14:textId="77777777" w:rsidR="00314530" w:rsidRPr="00B43367" w:rsidRDefault="00314530" w:rsidP="00314530">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206" w:type="dxa"/>
            <w:tcBorders>
              <w:top w:val="nil"/>
              <w:left w:val="nil"/>
              <w:bottom w:val="nil"/>
              <w:right w:val="single" w:sz="8" w:space="0" w:color="auto"/>
            </w:tcBorders>
            <w:shd w:val="clear" w:color="000000" w:fill="FFFFFF"/>
            <w:vAlign w:val="center"/>
            <w:hideMark/>
          </w:tcPr>
          <w:p w14:paraId="001952DA"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325" w:type="dxa"/>
            <w:tcBorders>
              <w:top w:val="nil"/>
              <w:left w:val="nil"/>
              <w:bottom w:val="nil"/>
              <w:right w:val="single" w:sz="8" w:space="0" w:color="auto"/>
            </w:tcBorders>
            <w:shd w:val="clear" w:color="000000" w:fill="FFFFFF"/>
            <w:noWrap/>
            <w:vAlign w:val="center"/>
            <w:hideMark/>
          </w:tcPr>
          <w:p w14:paraId="668C2AEB"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0</w:t>
            </w:r>
          </w:p>
        </w:tc>
        <w:tc>
          <w:tcPr>
            <w:tcW w:w="1153" w:type="dxa"/>
            <w:tcBorders>
              <w:top w:val="nil"/>
              <w:left w:val="nil"/>
              <w:bottom w:val="nil"/>
              <w:right w:val="single" w:sz="8" w:space="0" w:color="auto"/>
            </w:tcBorders>
            <w:shd w:val="clear" w:color="000000" w:fill="FFFFFF"/>
            <w:noWrap/>
            <w:vAlign w:val="center"/>
            <w:hideMark/>
          </w:tcPr>
          <w:p w14:paraId="2A575C48"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r>
      <w:tr w:rsidR="00314530" w:rsidRPr="00B43367" w14:paraId="082CB984" w14:textId="77777777" w:rsidTr="00B43367">
        <w:trPr>
          <w:gridAfter w:val="1"/>
          <w:wAfter w:w="19" w:type="dxa"/>
          <w:trHeight w:val="273"/>
        </w:trPr>
        <w:tc>
          <w:tcPr>
            <w:tcW w:w="2504" w:type="dxa"/>
            <w:tcBorders>
              <w:top w:val="nil"/>
              <w:left w:val="single" w:sz="8" w:space="0" w:color="auto"/>
              <w:bottom w:val="nil"/>
              <w:right w:val="nil"/>
            </w:tcBorders>
            <w:shd w:val="clear" w:color="000000" w:fill="FFFFFF"/>
            <w:noWrap/>
            <w:vAlign w:val="center"/>
            <w:hideMark/>
          </w:tcPr>
          <w:p w14:paraId="5170F581" w14:textId="77777777" w:rsidR="00314530" w:rsidRPr="00B43367" w:rsidRDefault="00314530" w:rsidP="00314530">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Recurso Federal FAFEF</w:t>
            </w:r>
          </w:p>
        </w:tc>
        <w:tc>
          <w:tcPr>
            <w:tcW w:w="1314" w:type="dxa"/>
            <w:tcBorders>
              <w:top w:val="nil"/>
              <w:left w:val="single" w:sz="8" w:space="0" w:color="auto"/>
              <w:bottom w:val="nil"/>
              <w:right w:val="single" w:sz="8" w:space="0" w:color="auto"/>
            </w:tcBorders>
            <w:shd w:val="clear" w:color="000000" w:fill="FFFFFF"/>
            <w:noWrap/>
            <w:vAlign w:val="center"/>
            <w:hideMark/>
          </w:tcPr>
          <w:p w14:paraId="75873C4A"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nil"/>
              <w:left w:val="nil"/>
              <w:bottom w:val="nil"/>
              <w:right w:val="nil"/>
            </w:tcBorders>
            <w:shd w:val="clear" w:color="000000" w:fill="FFFFFF"/>
            <w:noWrap/>
            <w:vAlign w:val="center"/>
            <w:hideMark/>
          </w:tcPr>
          <w:p w14:paraId="6020C856"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nil"/>
              <w:left w:val="single" w:sz="8" w:space="0" w:color="auto"/>
              <w:bottom w:val="nil"/>
              <w:right w:val="single" w:sz="8" w:space="0" w:color="auto"/>
            </w:tcBorders>
            <w:shd w:val="clear" w:color="000000" w:fill="FFFFFF"/>
            <w:noWrap/>
            <w:vAlign w:val="center"/>
            <w:hideMark/>
          </w:tcPr>
          <w:p w14:paraId="64B262FB"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66,974,657</w:t>
            </w:r>
          </w:p>
        </w:tc>
        <w:tc>
          <w:tcPr>
            <w:tcW w:w="1206" w:type="dxa"/>
            <w:tcBorders>
              <w:top w:val="nil"/>
              <w:left w:val="nil"/>
              <w:bottom w:val="nil"/>
              <w:right w:val="single" w:sz="8" w:space="0" w:color="auto"/>
            </w:tcBorders>
            <w:shd w:val="clear" w:color="000000" w:fill="FFFFFF"/>
            <w:noWrap/>
            <w:vAlign w:val="center"/>
            <w:hideMark/>
          </w:tcPr>
          <w:p w14:paraId="2A8C2BEC"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325" w:type="dxa"/>
            <w:tcBorders>
              <w:top w:val="nil"/>
              <w:left w:val="nil"/>
              <w:bottom w:val="nil"/>
              <w:right w:val="single" w:sz="8" w:space="0" w:color="auto"/>
            </w:tcBorders>
            <w:shd w:val="clear" w:color="000000" w:fill="FFFFFF"/>
            <w:noWrap/>
            <w:vAlign w:val="center"/>
            <w:hideMark/>
          </w:tcPr>
          <w:p w14:paraId="5E7DD66C"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66,974,657</w:t>
            </w:r>
          </w:p>
        </w:tc>
        <w:tc>
          <w:tcPr>
            <w:tcW w:w="1153" w:type="dxa"/>
            <w:tcBorders>
              <w:top w:val="nil"/>
              <w:left w:val="nil"/>
              <w:bottom w:val="nil"/>
              <w:right w:val="single" w:sz="8" w:space="0" w:color="auto"/>
            </w:tcBorders>
            <w:shd w:val="clear" w:color="000000" w:fill="FFFFFF"/>
            <w:noWrap/>
            <w:vAlign w:val="center"/>
            <w:hideMark/>
          </w:tcPr>
          <w:p w14:paraId="1C97D756"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19.58%</w:t>
            </w:r>
          </w:p>
        </w:tc>
      </w:tr>
      <w:tr w:rsidR="00314530" w:rsidRPr="00B43367" w14:paraId="3ECF241E" w14:textId="77777777" w:rsidTr="00B43367">
        <w:trPr>
          <w:gridAfter w:val="1"/>
          <w:wAfter w:w="19" w:type="dxa"/>
          <w:trHeight w:val="273"/>
        </w:trPr>
        <w:tc>
          <w:tcPr>
            <w:tcW w:w="2504" w:type="dxa"/>
            <w:tcBorders>
              <w:top w:val="nil"/>
              <w:left w:val="single" w:sz="8" w:space="0" w:color="auto"/>
              <w:bottom w:val="nil"/>
              <w:right w:val="nil"/>
            </w:tcBorders>
            <w:shd w:val="clear" w:color="000000" w:fill="FFFFFF"/>
            <w:noWrap/>
            <w:vAlign w:val="center"/>
            <w:hideMark/>
          </w:tcPr>
          <w:p w14:paraId="36D5A411" w14:textId="77777777" w:rsidR="00314530" w:rsidRPr="00B43367" w:rsidRDefault="00314530" w:rsidP="00314530">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Recursos Estatales</w:t>
            </w:r>
          </w:p>
        </w:tc>
        <w:tc>
          <w:tcPr>
            <w:tcW w:w="1314" w:type="dxa"/>
            <w:tcBorders>
              <w:top w:val="nil"/>
              <w:left w:val="single" w:sz="8" w:space="0" w:color="auto"/>
              <w:bottom w:val="nil"/>
              <w:right w:val="single" w:sz="8" w:space="0" w:color="auto"/>
            </w:tcBorders>
            <w:shd w:val="clear" w:color="000000" w:fill="FFFFFF"/>
            <w:noWrap/>
            <w:vAlign w:val="center"/>
            <w:hideMark/>
          </w:tcPr>
          <w:p w14:paraId="3D03F2F9"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nil"/>
              <w:left w:val="nil"/>
              <w:bottom w:val="nil"/>
              <w:right w:val="nil"/>
            </w:tcBorders>
            <w:shd w:val="clear" w:color="000000" w:fill="FFFFFF"/>
            <w:noWrap/>
            <w:vAlign w:val="center"/>
            <w:hideMark/>
          </w:tcPr>
          <w:p w14:paraId="5B8D0948"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nil"/>
              <w:left w:val="single" w:sz="8" w:space="0" w:color="auto"/>
              <w:bottom w:val="nil"/>
              <w:right w:val="single" w:sz="8" w:space="0" w:color="auto"/>
            </w:tcBorders>
            <w:shd w:val="clear" w:color="000000" w:fill="FFFFFF"/>
            <w:noWrap/>
            <w:vAlign w:val="center"/>
            <w:hideMark/>
          </w:tcPr>
          <w:p w14:paraId="4CA9EC4B"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275,013,547</w:t>
            </w:r>
          </w:p>
        </w:tc>
        <w:tc>
          <w:tcPr>
            <w:tcW w:w="1206" w:type="dxa"/>
            <w:tcBorders>
              <w:top w:val="nil"/>
              <w:left w:val="nil"/>
              <w:bottom w:val="nil"/>
              <w:right w:val="single" w:sz="8" w:space="0" w:color="auto"/>
            </w:tcBorders>
            <w:shd w:val="clear" w:color="000000" w:fill="FFFFFF"/>
            <w:noWrap/>
            <w:vAlign w:val="center"/>
            <w:hideMark/>
          </w:tcPr>
          <w:p w14:paraId="2DDACA9F"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325" w:type="dxa"/>
            <w:tcBorders>
              <w:top w:val="nil"/>
              <w:left w:val="nil"/>
              <w:bottom w:val="nil"/>
              <w:right w:val="single" w:sz="8" w:space="0" w:color="auto"/>
            </w:tcBorders>
            <w:shd w:val="clear" w:color="000000" w:fill="FFFFFF"/>
            <w:noWrap/>
            <w:vAlign w:val="center"/>
            <w:hideMark/>
          </w:tcPr>
          <w:p w14:paraId="3D9BF347"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275,013,547</w:t>
            </w:r>
          </w:p>
        </w:tc>
        <w:tc>
          <w:tcPr>
            <w:tcW w:w="1153" w:type="dxa"/>
            <w:tcBorders>
              <w:top w:val="nil"/>
              <w:left w:val="nil"/>
              <w:bottom w:val="nil"/>
              <w:right w:val="single" w:sz="8" w:space="0" w:color="auto"/>
            </w:tcBorders>
            <w:shd w:val="clear" w:color="000000" w:fill="FFFFFF"/>
            <w:noWrap/>
            <w:vAlign w:val="center"/>
            <w:hideMark/>
          </w:tcPr>
          <w:p w14:paraId="22D0C981"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r>
      <w:tr w:rsidR="00314530" w:rsidRPr="00B43367" w14:paraId="3C1372AE" w14:textId="77777777" w:rsidTr="00B43367">
        <w:trPr>
          <w:gridAfter w:val="1"/>
          <w:wAfter w:w="19" w:type="dxa"/>
          <w:trHeight w:val="273"/>
        </w:trPr>
        <w:tc>
          <w:tcPr>
            <w:tcW w:w="2504" w:type="dxa"/>
            <w:tcBorders>
              <w:top w:val="nil"/>
              <w:left w:val="single" w:sz="8" w:space="0" w:color="auto"/>
              <w:bottom w:val="nil"/>
              <w:right w:val="nil"/>
            </w:tcBorders>
            <w:shd w:val="clear" w:color="000000" w:fill="FFFFFF"/>
            <w:noWrap/>
            <w:vAlign w:val="center"/>
            <w:hideMark/>
          </w:tcPr>
          <w:p w14:paraId="2BA96CF7" w14:textId="77777777" w:rsidR="00314530" w:rsidRPr="00B43367" w:rsidRDefault="00314530" w:rsidP="00314530">
            <w:pPr>
              <w:spacing w:after="0" w:line="240" w:lineRule="auto"/>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INTERESES,GASTOS Y COMISIONES</w:t>
            </w:r>
          </w:p>
        </w:tc>
        <w:tc>
          <w:tcPr>
            <w:tcW w:w="1314" w:type="dxa"/>
            <w:tcBorders>
              <w:top w:val="nil"/>
              <w:left w:val="single" w:sz="8" w:space="0" w:color="auto"/>
              <w:bottom w:val="nil"/>
              <w:right w:val="single" w:sz="8" w:space="0" w:color="auto"/>
            </w:tcBorders>
            <w:shd w:val="clear" w:color="000000" w:fill="FFFFFF"/>
            <w:noWrap/>
            <w:vAlign w:val="center"/>
            <w:hideMark/>
          </w:tcPr>
          <w:p w14:paraId="1DC5FFF2" w14:textId="77777777" w:rsidR="00314530" w:rsidRPr="00B43367" w:rsidRDefault="00314530" w:rsidP="00314530">
            <w:pPr>
              <w:spacing w:after="0" w:line="240" w:lineRule="auto"/>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 </w:t>
            </w:r>
          </w:p>
        </w:tc>
        <w:tc>
          <w:tcPr>
            <w:tcW w:w="1134" w:type="dxa"/>
            <w:tcBorders>
              <w:top w:val="nil"/>
              <w:left w:val="nil"/>
              <w:bottom w:val="nil"/>
              <w:right w:val="nil"/>
            </w:tcBorders>
            <w:shd w:val="clear" w:color="000000" w:fill="FFFFFF"/>
            <w:noWrap/>
            <w:vAlign w:val="center"/>
            <w:hideMark/>
          </w:tcPr>
          <w:p w14:paraId="4FF8B3F1"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nil"/>
              <w:left w:val="single" w:sz="8" w:space="0" w:color="auto"/>
              <w:bottom w:val="nil"/>
              <w:right w:val="single" w:sz="8" w:space="0" w:color="auto"/>
            </w:tcBorders>
            <w:shd w:val="clear" w:color="000000" w:fill="FFFFFF"/>
            <w:noWrap/>
            <w:vAlign w:val="center"/>
            <w:hideMark/>
          </w:tcPr>
          <w:p w14:paraId="131BF3E7"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206" w:type="dxa"/>
            <w:tcBorders>
              <w:top w:val="nil"/>
              <w:left w:val="nil"/>
              <w:bottom w:val="nil"/>
              <w:right w:val="single" w:sz="8" w:space="0" w:color="auto"/>
            </w:tcBorders>
            <w:shd w:val="clear" w:color="000000" w:fill="FFFFFF"/>
            <w:noWrap/>
            <w:vAlign w:val="center"/>
            <w:hideMark/>
          </w:tcPr>
          <w:p w14:paraId="3268A61B"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325" w:type="dxa"/>
            <w:tcBorders>
              <w:top w:val="nil"/>
              <w:left w:val="nil"/>
              <w:bottom w:val="nil"/>
              <w:right w:val="single" w:sz="8" w:space="0" w:color="auto"/>
            </w:tcBorders>
            <w:shd w:val="clear" w:color="000000" w:fill="FFFFFF"/>
            <w:noWrap/>
            <w:vAlign w:val="center"/>
            <w:hideMark/>
          </w:tcPr>
          <w:p w14:paraId="73B934B2"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0</w:t>
            </w:r>
          </w:p>
        </w:tc>
        <w:tc>
          <w:tcPr>
            <w:tcW w:w="1153" w:type="dxa"/>
            <w:tcBorders>
              <w:top w:val="nil"/>
              <w:left w:val="nil"/>
              <w:bottom w:val="nil"/>
              <w:right w:val="single" w:sz="8" w:space="0" w:color="auto"/>
            </w:tcBorders>
            <w:shd w:val="clear" w:color="000000" w:fill="FFFFFF"/>
            <w:noWrap/>
            <w:vAlign w:val="center"/>
            <w:hideMark/>
          </w:tcPr>
          <w:p w14:paraId="2327772B"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r>
      <w:tr w:rsidR="00314530" w:rsidRPr="00B43367" w14:paraId="18FF0104" w14:textId="77777777" w:rsidTr="00B43367">
        <w:trPr>
          <w:gridAfter w:val="1"/>
          <w:wAfter w:w="19" w:type="dxa"/>
          <w:trHeight w:val="273"/>
        </w:trPr>
        <w:tc>
          <w:tcPr>
            <w:tcW w:w="2504" w:type="dxa"/>
            <w:tcBorders>
              <w:top w:val="nil"/>
              <w:left w:val="single" w:sz="8" w:space="0" w:color="auto"/>
              <w:bottom w:val="nil"/>
              <w:right w:val="nil"/>
            </w:tcBorders>
            <w:shd w:val="clear" w:color="000000" w:fill="FFFFFF"/>
            <w:noWrap/>
            <w:vAlign w:val="center"/>
            <w:hideMark/>
          </w:tcPr>
          <w:p w14:paraId="512350AE" w14:textId="662D399C" w:rsidR="00314530" w:rsidRPr="00B43367" w:rsidRDefault="00314530" w:rsidP="00405167">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xml:space="preserve">Intereses </w:t>
            </w:r>
            <w:r w:rsidR="00405167" w:rsidRPr="00B43367">
              <w:rPr>
                <w:rFonts w:asciiTheme="minorHAnsi" w:eastAsia="Times New Roman" w:hAnsiTheme="minorHAnsi" w:cstheme="minorHAnsi"/>
                <w:color w:val="000000"/>
                <w:sz w:val="15"/>
                <w:szCs w:val="15"/>
                <w:lang w:eastAsia="es-MX"/>
              </w:rPr>
              <w:t xml:space="preserve">pagados con recurso </w:t>
            </w:r>
            <w:r w:rsidRPr="00B43367">
              <w:rPr>
                <w:rFonts w:asciiTheme="minorHAnsi" w:eastAsia="Times New Roman" w:hAnsiTheme="minorHAnsi" w:cstheme="minorHAnsi"/>
                <w:color w:val="000000"/>
                <w:sz w:val="15"/>
                <w:szCs w:val="15"/>
                <w:lang w:eastAsia="es-MX"/>
              </w:rPr>
              <w:t xml:space="preserve">FAFEF </w:t>
            </w:r>
          </w:p>
        </w:tc>
        <w:tc>
          <w:tcPr>
            <w:tcW w:w="1314" w:type="dxa"/>
            <w:tcBorders>
              <w:top w:val="nil"/>
              <w:left w:val="single" w:sz="8" w:space="0" w:color="auto"/>
              <w:bottom w:val="nil"/>
              <w:right w:val="single" w:sz="8" w:space="0" w:color="auto"/>
            </w:tcBorders>
            <w:shd w:val="clear" w:color="000000" w:fill="FFFFFF"/>
            <w:noWrap/>
            <w:vAlign w:val="center"/>
            <w:hideMark/>
          </w:tcPr>
          <w:p w14:paraId="52DB0A63"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nil"/>
              <w:left w:val="nil"/>
              <w:bottom w:val="nil"/>
              <w:right w:val="nil"/>
            </w:tcBorders>
            <w:shd w:val="clear" w:color="000000" w:fill="FFFFFF"/>
            <w:noWrap/>
            <w:vAlign w:val="center"/>
            <w:hideMark/>
          </w:tcPr>
          <w:p w14:paraId="382A5660"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nil"/>
              <w:left w:val="single" w:sz="8" w:space="0" w:color="auto"/>
              <w:bottom w:val="nil"/>
              <w:right w:val="single" w:sz="8" w:space="0" w:color="auto"/>
            </w:tcBorders>
            <w:shd w:val="clear" w:color="000000" w:fill="FFFFFF"/>
            <w:noWrap/>
            <w:vAlign w:val="center"/>
            <w:hideMark/>
          </w:tcPr>
          <w:p w14:paraId="4B40759E"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206" w:type="dxa"/>
            <w:tcBorders>
              <w:top w:val="nil"/>
              <w:left w:val="nil"/>
              <w:bottom w:val="nil"/>
              <w:right w:val="single" w:sz="8" w:space="0" w:color="auto"/>
            </w:tcBorders>
            <w:shd w:val="clear" w:color="000000" w:fill="FFFFFF"/>
            <w:noWrap/>
            <w:vAlign w:val="center"/>
            <w:hideMark/>
          </w:tcPr>
          <w:p w14:paraId="02ED18F3"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245,679,542</w:t>
            </w:r>
          </w:p>
        </w:tc>
        <w:tc>
          <w:tcPr>
            <w:tcW w:w="1325" w:type="dxa"/>
            <w:tcBorders>
              <w:top w:val="nil"/>
              <w:left w:val="nil"/>
              <w:bottom w:val="nil"/>
              <w:right w:val="single" w:sz="8" w:space="0" w:color="auto"/>
            </w:tcBorders>
            <w:shd w:val="clear" w:color="000000" w:fill="FFFFFF"/>
            <w:noWrap/>
            <w:vAlign w:val="center"/>
            <w:hideMark/>
          </w:tcPr>
          <w:p w14:paraId="5CE2E0FE"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0</w:t>
            </w:r>
          </w:p>
        </w:tc>
        <w:tc>
          <w:tcPr>
            <w:tcW w:w="1153" w:type="dxa"/>
            <w:tcBorders>
              <w:top w:val="nil"/>
              <w:left w:val="nil"/>
              <w:bottom w:val="nil"/>
              <w:right w:val="single" w:sz="8" w:space="0" w:color="auto"/>
            </w:tcBorders>
            <w:shd w:val="clear" w:color="000000" w:fill="FFFFFF"/>
            <w:noWrap/>
            <w:vAlign w:val="center"/>
            <w:hideMark/>
          </w:tcPr>
          <w:p w14:paraId="06DE4B64" w14:textId="089BD138" w:rsidR="00314530" w:rsidRPr="00B43367" w:rsidRDefault="00810897"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21.18</w:t>
            </w:r>
            <w:r w:rsidR="00314530" w:rsidRPr="00B43367">
              <w:rPr>
                <w:rFonts w:asciiTheme="minorHAnsi" w:eastAsia="Times New Roman" w:hAnsiTheme="minorHAnsi" w:cstheme="minorHAnsi"/>
                <w:color w:val="000000"/>
                <w:sz w:val="15"/>
                <w:szCs w:val="15"/>
                <w:lang w:eastAsia="es-MX"/>
              </w:rPr>
              <w:t>%</w:t>
            </w:r>
          </w:p>
        </w:tc>
      </w:tr>
      <w:tr w:rsidR="00314530" w:rsidRPr="00B43367" w14:paraId="45EF4EBE" w14:textId="77777777" w:rsidTr="00B43367">
        <w:trPr>
          <w:gridAfter w:val="1"/>
          <w:wAfter w:w="19" w:type="dxa"/>
          <w:trHeight w:val="273"/>
        </w:trPr>
        <w:tc>
          <w:tcPr>
            <w:tcW w:w="2504" w:type="dxa"/>
            <w:tcBorders>
              <w:top w:val="nil"/>
              <w:left w:val="single" w:sz="8" w:space="0" w:color="auto"/>
              <w:bottom w:val="nil"/>
              <w:right w:val="nil"/>
            </w:tcBorders>
            <w:shd w:val="clear" w:color="000000" w:fill="FFFFFF"/>
            <w:noWrap/>
            <w:vAlign w:val="center"/>
            <w:hideMark/>
          </w:tcPr>
          <w:p w14:paraId="09D6A716" w14:textId="003F0F6F" w:rsidR="00314530" w:rsidRPr="00B43367" w:rsidRDefault="00314530" w:rsidP="00405167">
            <w:pPr>
              <w:spacing w:after="0" w:line="240" w:lineRule="auto"/>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xml:space="preserve">Intereses </w:t>
            </w:r>
            <w:r w:rsidR="00405167" w:rsidRPr="00B43367">
              <w:rPr>
                <w:rFonts w:asciiTheme="minorHAnsi" w:eastAsia="Times New Roman" w:hAnsiTheme="minorHAnsi" w:cstheme="minorHAnsi"/>
                <w:color w:val="000000"/>
                <w:sz w:val="15"/>
                <w:szCs w:val="15"/>
                <w:lang w:eastAsia="es-MX"/>
              </w:rPr>
              <w:t xml:space="preserve">pagados con </w:t>
            </w:r>
            <w:proofErr w:type="spellStart"/>
            <w:r w:rsidRPr="00B43367">
              <w:rPr>
                <w:rFonts w:asciiTheme="minorHAnsi" w:eastAsia="Times New Roman" w:hAnsiTheme="minorHAnsi" w:cstheme="minorHAnsi"/>
                <w:color w:val="000000"/>
                <w:sz w:val="15"/>
                <w:szCs w:val="15"/>
                <w:lang w:eastAsia="es-MX"/>
              </w:rPr>
              <w:t>ecurso</w:t>
            </w:r>
            <w:proofErr w:type="spellEnd"/>
            <w:r w:rsidRPr="00B43367">
              <w:rPr>
                <w:rFonts w:asciiTheme="minorHAnsi" w:eastAsia="Times New Roman" w:hAnsiTheme="minorHAnsi" w:cstheme="minorHAnsi"/>
                <w:color w:val="000000"/>
                <w:sz w:val="15"/>
                <w:szCs w:val="15"/>
                <w:lang w:eastAsia="es-MX"/>
              </w:rPr>
              <w:t xml:space="preserve"> Estatal</w:t>
            </w:r>
          </w:p>
        </w:tc>
        <w:tc>
          <w:tcPr>
            <w:tcW w:w="1314" w:type="dxa"/>
            <w:tcBorders>
              <w:top w:val="nil"/>
              <w:left w:val="single" w:sz="8" w:space="0" w:color="auto"/>
              <w:bottom w:val="nil"/>
              <w:right w:val="single" w:sz="8" w:space="0" w:color="auto"/>
            </w:tcBorders>
            <w:shd w:val="clear" w:color="000000" w:fill="FFFFFF"/>
            <w:noWrap/>
            <w:vAlign w:val="center"/>
            <w:hideMark/>
          </w:tcPr>
          <w:p w14:paraId="0AD4A60D"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34" w:type="dxa"/>
            <w:tcBorders>
              <w:top w:val="nil"/>
              <w:left w:val="nil"/>
              <w:bottom w:val="nil"/>
              <w:right w:val="nil"/>
            </w:tcBorders>
            <w:shd w:val="clear" w:color="000000" w:fill="FFFFFF"/>
            <w:noWrap/>
            <w:vAlign w:val="center"/>
            <w:hideMark/>
          </w:tcPr>
          <w:p w14:paraId="1AF2F6E6"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150" w:type="dxa"/>
            <w:tcBorders>
              <w:top w:val="nil"/>
              <w:left w:val="single" w:sz="8" w:space="0" w:color="auto"/>
              <w:bottom w:val="nil"/>
              <w:right w:val="single" w:sz="8" w:space="0" w:color="auto"/>
            </w:tcBorders>
            <w:shd w:val="clear" w:color="000000" w:fill="FFFFFF"/>
            <w:noWrap/>
            <w:vAlign w:val="center"/>
            <w:hideMark/>
          </w:tcPr>
          <w:p w14:paraId="75F6958A"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c>
          <w:tcPr>
            <w:tcW w:w="1206" w:type="dxa"/>
            <w:tcBorders>
              <w:top w:val="nil"/>
              <w:left w:val="nil"/>
              <w:bottom w:val="nil"/>
              <w:right w:val="single" w:sz="8" w:space="0" w:color="auto"/>
            </w:tcBorders>
            <w:shd w:val="clear" w:color="000000" w:fill="FFFFFF"/>
            <w:noWrap/>
            <w:vAlign w:val="center"/>
            <w:hideMark/>
          </w:tcPr>
          <w:p w14:paraId="0FD3D3FC"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914,263,501</w:t>
            </w:r>
          </w:p>
        </w:tc>
        <w:tc>
          <w:tcPr>
            <w:tcW w:w="1325" w:type="dxa"/>
            <w:tcBorders>
              <w:top w:val="nil"/>
              <w:left w:val="nil"/>
              <w:bottom w:val="nil"/>
              <w:right w:val="single" w:sz="8" w:space="0" w:color="auto"/>
            </w:tcBorders>
            <w:shd w:val="clear" w:color="000000" w:fill="FFFFFF"/>
            <w:noWrap/>
            <w:vAlign w:val="center"/>
            <w:hideMark/>
          </w:tcPr>
          <w:p w14:paraId="4C781FF8"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5"/>
                <w:szCs w:val="15"/>
                <w:lang w:eastAsia="es-MX"/>
              </w:rPr>
            </w:pPr>
            <w:r w:rsidRPr="00B43367">
              <w:rPr>
                <w:rFonts w:asciiTheme="minorHAnsi" w:eastAsia="Times New Roman" w:hAnsiTheme="minorHAnsi" w:cstheme="minorHAnsi"/>
                <w:b/>
                <w:bCs/>
                <w:color w:val="000000"/>
                <w:sz w:val="15"/>
                <w:szCs w:val="15"/>
                <w:lang w:eastAsia="es-MX"/>
              </w:rPr>
              <w:t>0</w:t>
            </w:r>
          </w:p>
        </w:tc>
        <w:tc>
          <w:tcPr>
            <w:tcW w:w="1153" w:type="dxa"/>
            <w:tcBorders>
              <w:top w:val="nil"/>
              <w:left w:val="nil"/>
              <w:bottom w:val="nil"/>
              <w:right w:val="single" w:sz="8" w:space="0" w:color="auto"/>
            </w:tcBorders>
            <w:shd w:val="clear" w:color="000000" w:fill="FFFFFF"/>
            <w:noWrap/>
            <w:vAlign w:val="center"/>
            <w:hideMark/>
          </w:tcPr>
          <w:p w14:paraId="376F5A7D" w14:textId="77777777" w:rsidR="00314530" w:rsidRPr="00B43367" w:rsidRDefault="00314530" w:rsidP="00314530">
            <w:pPr>
              <w:spacing w:after="0" w:line="240" w:lineRule="auto"/>
              <w:jc w:val="right"/>
              <w:rPr>
                <w:rFonts w:asciiTheme="minorHAnsi" w:eastAsia="Times New Roman" w:hAnsiTheme="minorHAnsi" w:cstheme="minorHAnsi"/>
                <w:color w:val="000000"/>
                <w:sz w:val="15"/>
                <w:szCs w:val="15"/>
                <w:lang w:eastAsia="es-MX"/>
              </w:rPr>
            </w:pPr>
            <w:r w:rsidRPr="00B43367">
              <w:rPr>
                <w:rFonts w:asciiTheme="minorHAnsi" w:eastAsia="Times New Roman" w:hAnsiTheme="minorHAnsi" w:cstheme="minorHAnsi"/>
                <w:color w:val="000000"/>
                <w:sz w:val="15"/>
                <w:szCs w:val="15"/>
                <w:lang w:eastAsia="es-MX"/>
              </w:rPr>
              <w:t> </w:t>
            </w:r>
          </w:p>
        </w:tc>
      </w:tr>
      <w:tr w:rsidR="00314530" w:rsidRPr="00B43367" w14:paraId="572E5775" w14:textId="77777777" w:rsidTr="00B43367">
        <w:trPr>
          <w:gridAfter w:val="1"/>
          <w:wAfter w:w="19" w:type="dxa"/>
          <w:trHeight w:val="317"/>
        </w:trPr>
        <w:tc>
          <w:tcPr>
            <w:tcW w:w="2504" w:type="dxa"/>
            <w:tcBorders>
              <w:top w:val="single" w:sz="4" w:space="0" w:color="auto"/>
              <w:left w:val="single" w:sz="4" w:space="0" w:color="auto"/>
              <w:bottom w:val="single" w:sz="4" w:space="0" w:color="auto"/>
              <w:right w:val="single" w:sz="4" w:space="0" w:color="auto"/>
            </w:tcBorders>
            <w:shd w:val="clear" w:color="000000" w:fill="DDC9A3"/>
            <w:noWrap/>
            <w:vAlign w:val="center"/>
            <w:hideMark/>
          </w:tcPr>
          <w:p w14:paraId="08ACA6FE" w14:textId="77777777" w:rsidR="00314530" w:rsidRPr="00B43367" w:rsidRDefault="00314530" w:rsidP="00314530">
            <w:pPr>
              <w:spacing w:after="0" w:line="240" w:lineRule="auto"/>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Totales</w:t>
            </w:r>
          </w:p>
        </w:tc>
        <w:tc>
          <w:tcPr>
            <w:tcW w:w="1314" w:type="dxa"/>
            <w:tcBorders>
              <w:top w:val="single" w:sz="4" w:space="0" w:color="auto"/>
              <w:left w:val="nil"/>
              <w:bottom w:val="single" w:sz="4" w:space="0" w:color="auto"/>
              <w:right w:val="single" w:sz="4" w:space="0" w:color="auto"/>
            </w:tcBorders>
            <w:shd w:val="clear" w:color="000000" w:fill="DDC9A3"/>
            <w:noWrap/>
            <w:vAlign w:val="center"/>
            <w:hideMark/>
          </w:tcPr>
          <w:p w14:paraId="628F1B30"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15,552,312,266</w:t>
            </w:r>
          </w:p>
        </w:tc>
        <w:tc>
          <w:tcPr>
            <w:tcW w:w="1134" w:type="dxa"/>
            <w:tcBorders>
              <w:top w:val="single" w:sz="4" w:space="0" w:color="auto"/>
              <w:left w:val="nil"/>
              <w:bottom w:val="single" w:sz="4" w:space="0" w:color="auto"/>
              <w:right w:val="single" w:sz="4" w:space="0" w:color="auto"/>
            </w:tcBorders>
            <w:shd w:val="clear" w:color="000000" w:fill="DDC9A3"/>
            <w:noWrap/>
            <w:vAlign w:val="center"/>
            <w:hideMark/>
          </w:tcPr>
          <w:p w14:paraId="2712F421"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623,000,000</w:t>
            </w:r>
          </w:p>
        </w:tc>
        <w:tc>
          <w:tcPr>
            <w:tcW w:w="1150" w:type="dxa"/>
            <w:tcBorders>
              <w:top w:val="single" w:sz="4" w:space="0" w:color="auto"/>
              <w:left w:val="nil"/>
              <w:bottom w:val="single" w:sz="4" w:space="0" w:color="auto"/>
              <w:right w:val="single" w:sz="4" w:space="0" w:color="auto"/>
            </w:tcBorders>
            <w:shd w:val="clear" w:color="000000" w:fill="DDC9A3"/>
            <w:noWrap/>
            <w:vAlign w:val="center"/>
            <w:hideMark/>
          </w:tcPr>
          <w:p w14:paraId="1D2C5ADA"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341,988,204</w:t>
            </w:r>
          </w:p>
        </w:tc>
        <w:tc>
          <w:tcPr>
            <w:tcW w:w="1206" w:type="dxa"/>
            <w:tcBorders>
              <w:top w:val="single" w:sz="4" w:space="0" w:color="auto"/>
              <w:left w:val="nil"/>
              <w:bottom w:val="single" w:sz="4" w:space="0" w:color="auto"/>
              <w:right w:val="single" w:sz="4" w:space="0" w:color="auto"/>
            </w:tcBorders>
            <w:shd w:val="clear" w:color="000000" w:fill="DDC9A3"/>
            <w:noWrap/>
            <w:vAlign w:val="center"/>
            <w:hideMark/>
          </w:tcPr>
          <w:p w14:paraId="49A60DE6"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1,159,943,043</w:t>
            </w:r>
          </w:p>
        </w:tc>
        <w:tc>
          <w:tcPr>
            <w:tcW w:w="1325" w:type="dxa"/>
            <w:tcBorders>
              <w:top w:val="single" w:sz="4" w:space="0" w:color="auto"/>
              <w:left w:val="nil"/>
              <w:bottom w:val="single" w:sz="4" w:space="0" w:color="auto"/>
              <w:right w:val="single" w:sz="4" w:space="0" w:color="auto"/>
            </w:tcBorders>
            <w:shd w:val="clear" w:color="000000" w:fill="DDC9A3"/>
            <w:noWrap/>
            <w:vAlign w:val="center"/>
            <w:hideMark/>
          </w:tcPr>
          <w:p w14:paraId="02700CF2"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15,833,324,062</w:t>
            </w:r>
          </w:p>
        </w:tc>
        <w:tc>
          <w:tcPr>
            <w:tcW w:w="1153" w:type="dxa"/>
            <w:tcBorders>
              <w:top w:val="single" w:sz="4" w:space="0" w:color="auto"/>
              <w:left w:val="nil"/>
              <w:bottom w:val="single" w:sz="4" w:space="0" w:color="auto"/>
              <w:right w:val="single" w:sz="4" w:space="0" w:color="auto"/>
            </w:tcBorders>
            <w:shd w:val="clear" w:color="000000" w:fill="DDC9A3"/>
            <w:noWrap/>
            <w:vAlign w:val="center"/>
            <w:hideMark/>
          </w:tcPr>
          <w:p w14:paraId="1FAD51F8" w14:textId="77777777" w:rsidR="00314530" w:rsidRPr="00B43367" w:rsidRDefault="00314530" w:rsidP="00314530">
            <w:pPr>
              <w:spacing w:after="0" w:line="240" w:lineRule="auto"/>
              <w:jc w:val="right"/>
              <w:rPr>
                <w:rFonts w:asciiTheme="minorHAnsi" w:eastAsia="Times New Roman" w:hAnsiTheme="minorHAnsi" w:cstheme="minorHAnsi"/>
                <w:b/>
                <w:bCs/>
                <w:color w:val="000000"/>
                <w:sz w:val="16"/>
                <w:szCs w:val="15"/>
                <w:lang w:eastAsia="es-MX"/>
              </w:rPr>
            </w:pPr>
            <w:r w:rsidRPr="00B43367">
              <w:rPr>
                <w:rFonts w:asciiTheme="minorHAnsi" w:eastAsia="Times New Roman" w:hAnsiTheme="minorHAnsi" w:cstheme="minorHAnsi"/>
                <w:b/>
                <w:bCs/>
                <w:color w:val="000000"/>
                <w:sz w:val="16"/>
                <w:szCs w:val="15"/>
                <w:lang w:eastAsia="es-MX"/>
              </w:rPr>
              <w:t> </w:t>
            </w:r>
          </w:p>
        </w:tc>
      </w:tr>
    </w:tbl>
    <w:p w14:paraId="73476230" w14:textId="77777777" w:rsidR="005C6B51" w:rsidRPr="005F45A3" w:rsidRDefault="005C6B51" w:rsidP="00B07C73">
      <w:pPr>
        <w:tabs>
          <w:tab w:val="left" w:pos="829"/>
          <w:tab w:val="left" w:pos="945"/>
        </w:tabs>
        <w:rPr>
          <w:rFonts w:asciiTheme="minorHAnsi" w:eastAsia="Times New Roman" w:hAnsiTheme="minorHAnsi" w:cstheme="minorHAnsi"/>
          <w:b/>
          <w:sz w:val="18"/>
          <w:szCs w:val="18"/>
          <w:lang w:val="es-ES" w:eastAsia="es-ES"/>
        </w:rPr>
      </w:pPr>
    </w:p>
    <w:p w14:paraId="148ECB58" w14:textId="2D35ED14" w:rsidR="005C6B51" w:rsidRPr="005F45A3" w:rsidRDefault="005C6B51" w:rsidP="00B07C73">
      <w:pPr>
        <w:tabs>
          <w:tab w:val="left" w:pos="829"/>
          <w:tab w:val="left" w:pos="945"/>
        </w:tabs>
        <w:rPr>
          <w:rFonts w:asciiTheme="minorHAnsi" w:eastAsia="Times New Roman" w:hAnsiTheme="minorHAnsi" w:cstheme="minorHAnsi"/>
          <w:b/>
          <w:sz w:val="18"/>
          <w:szCs w:val="18"/>
          <w:lang w:val="es-ES" w:eastAsia="es-ES"/>
        </w:rPr>
      </w:pPr>
    </w:p>
    <w:p w14:paraId="08D4EF09" w14:textId="77777777" w:rsidR="00F256D9" w:rsidRPr="005F45A3" w:rsidRDefault="00F256D9" w:rsidP="00B07C73">
      <w:pPr>
        <w:tabs>
          <w:tab w:val="left" w:pos="829"/>
          <w:tab w:val="left" w:pos="945"/>
        </w:tabs>
        <w:rPr>
          <w:rFonts w:asciiTheme="minorHAnsi" w:eastAsia="Times New Roman" w:hAnsiTheme="minorHAnsi" w:cstheme="minorHAnsi"/>
          <w:b/>
          <w:sz w:val="18"/>
          <w:szCs w:val="18"/>
          <w:lang w:val="es-ES" w:eastAsia="es-ES"/>
        </w:rPr>
      </w:pPr>
    </w:p>
    <w:p w14:paraId="451BA4D8" w14:textId="77777777" w:rsidR="005C6B51" w:rsidRPr="005F45A3" w:rsidRDefault="005C6B51" w:rsidP="00B07C73">
      <w:pPr>
        <w:tabs>
          <w:tab w:val="left" w:pos="829"/>
          <w:tab w:val="left" w:pos="945"/>
        </w:tabs>
        <w:rPr>
          <w:rFonts w:asciiTheme="minorHAnsi" w:eastAsia="Times New Roman" w:hAnsiTheme="minorHAnsi" w:cstheme="minorHAnsi"/>
          <w:b/>
          <w:sz w:val="18"/>
          <w:szCs w:val="18"/>
          <w:lang w:val="es-ES" w:eastAsia="es-ES"/>
        </w:rPr>
      </w:pPr>
    </w:p>
    <w:p w14:paraId="508FBCF2" w14:textId="6346FEF0" w:rsidR="00B07C73" w:rsidRPr="005F45A3" w:rsidRDefault="00B07C73" w:rsidP="000C7859">
      <w:pPr>
        <w:pStyle w:val="Texto"/>
        <w:numPr>
          <w:ilvl w:val="0"/>
          <w:numId w:val="40"/>
        </w:numPr>
        <w:spacing w:after="0" w:line="240" w:lineRule="exact"/>
        <w:ind w:left="284"/>
        <w:rPr>
          <w:rFonts w:asciiTheme="minorHAnsi" w:hAnsiTheme="minorHAnsi" w:cstheme="minorHAnsi"/>
          <w:b/>
          <w:szCs w:val="18"/>
          <w:lang w:val="es-MX"/>
        </w:rPr>
      </w:pPr>
      <w:r w:rsidRPr="005F45A3">
        <w:rPr>
          <w:rFonts w:asciiTheme="minorHAnsi" w:hAnsiTheme="minorHAnsi" w:cstheme="minorHAnsi"/>
          <w:b/>
          <w:szCs w:val="18"/>
          <w:lang w:val="es-MX"/>
        </w:rPr>
        <w:lastRenderedPageBreak/>
        <w:t>Calificaciones Otorgadas:</w:t>
      </w:r>
    </w:p>
    <w:p w14:paraId="35AF2B42" w14:textId="36B3D0B5" w:rsidR="00F256D9" w:rsidRDefault="00F256D9" w:rsidP="00F256D9">
      <w:pPr>
        <w:pStyle w:val="Texto"/>
        <w:spacing w:after="0" w:line="240" w:lineRule="exact"/>
        <w:rPr>
          <w:rFonts w:asciiTheme="minorHAnsi" w:hAnsiTheme="minorHAnsi" w:cstheme="minorHAnsi"/>
          <w:b/>
          <w:szCs w:val="18"/>
          <w:lang w:val="es-MX"/>
        </w:rPr>
      </w:pPr>
    </w:p>
    <w:tbl>
      <w:tblPr>
        <w:tblW w:w="6200" w:type="dxa"/>
        <w:tblCellMar>
          <w:left w:w="70" w:type="dxa"/>
          <w:right w:w="70" w:type="dxa"/>
        </w:tblCellMar>
        <w:tblLook w:val="04A0" w:firstRow="1" w:lastRow="0" w:firstColumn="1" w:lastColumn="0" w:noHBand="0" w:noVBand="1"/>
      </w:tblPr>
      <w:tblGrid>
        <w:gridCol w:w="1380"/>
        <w:gridCol w:w="3040"/>
        <w:gridCol w:w="1780"/>
      </w:tblGrid>
      <w:tr w:rsidR="00A1018A" w:rsidRPr="00A1018A" w14:paraId="060ABE16" w14:textId="77777777" w:rsidTr="000C7859">
        <w:trPr>
          <w:trHeight w:val="420"/>
        </w:trPr>
        <w:tc>
          <w:tcPr>
            <w:tcW w:w="1380" w:type="dxa"/>
            <w:tcBorders>
              <w:top w:val="single" w:sz="4" w:space="0" w:color="auto"/>
              <w:left w:val="single" w:sz="4" w:space="0" w:color="auto"/>
              <w:bottom w:val="single" w:sz="4" w:space="0" w:color="auto"/>
              <w:right w:val="single" w:sz="4" w:space="0" w:color="auto"/>
            </w:tcBorders>
            <w:shd w:val="clear" w:color="000000" w:fill="AB0033"/>
            <w:vAlign w:val="center"/>
            <w:hideMark/>
          </w:tcPr>
          <w:p w14:paraId="2A15FFE3"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Calificadora</w:t>
            </w:r>
          </w:p>
        </w:tc>
        <w:tc>
          <w:tcPr>
            <w:tcW w:w="3040" w:type="dxa"/>
            <w:tcBorders>
              <w:top w:val="single" w:sz="4" w:space="0" w:color="auto"/>
              <w:left w:val="nil"/>
              <w:bottom w:val="single" w:sz="4" w:space="0" w:color="auto"/>
              <w:right w:val="single" w:sz="4" w:space="0" w:color="auto"/>
            </w:tcBorders>
            <w:shd w:val="clear" w:color="000000" w:fill="AB0033"/>
            <w:vAlign w:val="center"/>
            <w:hideMark/>
          </w:tcPr>
          <w:p w14:paraId="29067B29"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Concepto</w:t>
            </w:r>
          </w:p>
        </w:tc>
        <w:tc>
          <w:tcPr>
            <w:tcW w:w="1780" w:type="dxa"/>
            <w:tcBorders>
              <w:top w:val="single" w:sz="4" w:space="0" w:color="auto"/>
              <w:left w:val="nil"/>
              <w:bottom w:val="single" w:sz="4" w:space="0" w:color="auto"/>
              <w:right w:val="single" w:sz="4" w:space="0" w:color="auto"/>
            </w:tcBorders>
            <w:shd w:val="clear" w:color="000000" w:fill="AB0033"/>
            <w:vAlign w:val="center"/>
            <w:hideMark/>
          </w:tcPr>
          <w:p w14:paraId="78AFA99C" w14:textId="77777777" w:rsidR="00A1018A" w:rsidRPr="00A1018A" w:rsidRDefault="00A1018A" w:rsidP="00A1018A">
            <w:pPr>
              <w:spacing w:after="0" w:line="240" w:lineRule="auto"/>
              <w:jc w:val="center"/>
              <w:rPr>
                <w:rFonts w:eastAsia="Times New Roman" w:cs="Calibri"/>
                <w:b/>
                <w:bCs/>
                <w:color w:val="FFFFFF"/>
                <w:sz w:val="18"/>
                <w:szCs w:val="18"/>
                <w:lang w:eastAsia="es-MX"/>
              </w:rPr>
            </w:pPr>
            <w:r w:rsidRPr="00A1018A">
              <w:rPr>
                <w:rFonts w:eastAsia="Times New Roman" w:cs="Calibri"/>
                <w:b/>
                <w:bCs/>
                <w:color w:val="FFFFFF"/>
                <w:sz w:val="18"/>
                <w:szCs w:val="18"/>
                <w:lang w:eastAsia="es-MX"/>
              </w:rPr>
              <w:t>Calificación</w:t>
            </w:r>
          </w:p>
        </w:tc>
      </w:tr>
      <w:tr w:rsidR="00A1018A" w:rsidRPr="00A1018A" w14:paraId="62B1CC66"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652B019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3DE824F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Gobierno del Estado de Tamaulipas</w:t>
            </w:r>
          </w:p>
        </w:tc>
        <w:tc>
          <w:tcPr>
            <w:tcW w:w="1780" w:type="dxa"/>
            <w:tcBorders>
              <w:top w:val="nil"/>
              <w:left w:val="nil"/>
              <w:bottom w:val="single" w:sz="4" w:space="0" w:color="auto"/>
              <w:right w:val="single" w:sz="4" w:space="0" w:color="auto"/>
            </w:tcBorders>
            <w:shd w:val="clear" w:color="000000" w:fill="FFFFFF"/>
            <w:noWrap/>
            <w:vAlign w:val="center"/>
            <w:hideMark/>
          </w:tcPr>
          <w:p w14:paraId="0DDFEDC8"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BBB+</w:t>
            </w:r>
          </w:p>
        </w:tc>
      </w:tr>
      <w:tr w:rsidR="00A1018A" w:rsidRPr="00A1018A" w14:paraId="21F88840"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59FB4E7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8FE8DF7"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Banorte 2017- 5,461 </w:t>
            </w:r>
            <w:proofErr w:type="spellStart"/>
            <w:r w:rsidRPr="00A1018A">
              <w:rPr>
                <w:rFonts w:eastAsia="Times New Roman" w:cs="Calibri"/>
                <w:color w:val="000000"/>
                <w:sz w:val="14"/>
                <w:szCs w:val="14"/>
                <w:lang w:eastAsia="es-MX"/>
              </w:rPr>
              <w:t>mdp</w:t>
            </w:r>
            <w:proofErr w:type="spellEnd"/>
            <w:r w:rsidRPr="00A1018A">
              <w:rPr>
                <w:rFonts w:eastAsia="Times New Roman" w:cs="Calibri"/>
                <w:color w:val="000000"/>
                <w:sz w:val="14"/>
                <w:szCs w:val="14"/>
                <w:lang w:eastAsia="es-MX"/>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789908E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60318132"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568FC768"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64E1B78C"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Banorte 2017, 1,539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424B5CB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5FC7AB70"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6636406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auto" w:fill="auto"/>
            <w:noWrap/>
            <w:vAlign w:val="center"/>
            <w:hideMark/>
          </w:tcPr>
          <w:p w14:paraId="4A512561"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BBVA 2017, 994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14:paraId="2613C70B"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18C81CD"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0A08DB9B"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0DD7CB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Banamex  2017, 1,500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1C061CD3"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4C358776"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765C635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515B366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Santander 2018, 1,650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3343D455"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4DF7116"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3C9A97C1" w14:textId="77777777" w:rsidR="00A1018A" w:rsidRPr="00A1018A" w:rsidRDefault="00A1018A" w:rsidP="00A1018A">
            <w:pPr>
              <w:spacing w:after="0" w:line="240" w:lineRule="auto"/>
              <w:jc w:val="center"/>
              <w:rPr>
                <w:rFonts w:eastAsia="Times New Roman" w:cs="Calibri"/>
                <w:b/>
                <w:bCs/>
                <w:color w:val="000000"/>
                <w:sz w:val="14"/>
                <w:szCs w:val="14"/>
                <w:lang w:eastAsia="es-MX"/>
              </w:rPr>
            </w:pPr>
            <w:proofErr w:type="spellStart"/>
            <w:r w:rsidRPr="00A1018A">
              <w:rPr>
                <w:rFonts w:eastAsia="Times New Roman" w:cs="Calibri"/>
                <w:b/>
                <w:bCs/>
                <w:color w:val="000000"/>
                <w:sz w:val="14"/>
                <w:szCs w:val="14"/>
                <w:lang w:eastAsia="es-MX"/>
              </w:rPr>
              <w:t>Fitch</w:t>
            </w:r>
            <w:proofErr w:type="spellEnd"/>
            <w:r w:rsidRPr="00A1018A">
              <w:rPr>
                <w:rFonts w:eastAsia="Times New Roman" w:cs="Calibri"/>
                <w:b/>
                <w:bCs/>
                <w:color w:val="000000"/>
                <w:sz w:val="14"/>
                <w:szCs w:val="14"/>
                <w:lang w:eastAsia="es-MX"/>
              </w:rPr>
              <w:t xml:space="preserve"> Ratings</w:t>
            </w:r>
          </w:p>
        </w:tc>
        <w:tc>
          <w:tcPr>
            <w:tcW w:w="3040" w:type="dxa"/>
            <w:tcBorders>
              <w:top w:val="nil"/>
              <w:left w:val="nil"/>
              <w:bottom w:val="single" w:sz="4" w:space="0" w:color="auto"/>
              <w:right w:val="single" w:sz="4" w:space="0" w:color="auto"/>
            </w:tcBorders>
            <w:shd w:val="clear" w:color="000000" w:fill="FFFFFF"/>
            <w:noWrap/>
            <w:vAlign w:val="center"/>
            <w:hideMark/>
          </w:tcPr>
          <w:p w14:paraId="11BC9172"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BBVA 2018, 500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0A247D16"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301A01A"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7B02266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C87BC85"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Banamex 2018 1,000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1E580D44"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7A23F2A4"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6067DA56"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0B300DBB"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BBVA 150 </w:t>
            </w:r>
            <w:proofErr w:type="spellStart"/>
            <w:r w:rsidRPr="00A1018A">
              <w:rPr>
                <w:rFonts w:eastAsia="Times New Roman" w:cs="Calibri"/>
                <w:color w:val="000000"/>
                <w:sz w:val="14"/>
                <w:szCs w:val="14"/>
                <w:lang w:eastAsia="es-MX"/>
              </w:rPr>
              <w:t>mdp</w:t>
            </w:r>
            <w:proofErr w:type="spellEnd"/>
            <w:r w:rsidRPr="00A1018A">
              <w:rPr>
                <w:rFonts w:eastAsia="Times New Roman" w:cs="Calibri"/>
                <w:color w:val="000000"/>
                <w:sz w:val="14"/>
                <w:szCs w:val="14"/>
                <w:lang w:eastAsia="es-MX"/>
              </w:rPr>
              <w:t xml:space="preserve"> (ITAVU)</w:t>
            </w:r>
          </w:p>
        </w:tc>
        <w:tc>
          <w:tcPr>
            <w:tcW w:w="1780" w:type="dxa"/>
            <w:tcBorders>
              <w:top w:val="nil"/>
              <w:left w:val="nil"/>
              <w:bottom w:val="single" w:sz="4" w:space="0" w:color="auto"/>
              <w:right w:val="single" w:sz="4" w:space="0" w:color="auto"/>
            </w:tcBorders>
            <w:shd w:val="clear" w:color="000000" w:fill="FFFFFF"/>
            <w:noWrap/>
            <w:vAlign w:val="center"/>
            <w:hideMark/>
          </w:tcPr>
          <w:p w14:paraId="4D8B7568"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w:t>
            </w:r>
          </w:p>
        </w:tc>
      </w:tr>
      <w:tr w:rsidR="00A1018A" w:rsidRPr="00A1018A" w14:paraId="3A18DA5C"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502071F1"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07C007D7"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BBVA 2010, 724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6CF97C0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A1F8D53"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667DDAF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0545B330"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BBVA 2016, 968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5DF7E52B"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C3F6ECD"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777D4F70"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D5D74E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Banorte 2020 1,500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255B57A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665418F5"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688A77F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232992E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Banorte 2020 1,200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0CF67786"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A04CABC" w14:textId="77777777" w:rsidTr="000C7859">
        <w:trPr>
          <w:trHeight w:val="300"/>
        </w:trPr>
        <w:tc>
          <w:tcPr>
            <w:tcW w:w="1380" w:type="dxa"/>
            <w:tcBorders>
              <w:top w:val="single" w:sz="4" w:space="0" w:color="auto"/>
              <w:left w:val="single" w:sz="4" w:space="0" w:color="auto"/>
              <w:bottom w:val="single" w:sz="4" w:space="0" w:color="auto"/>
            </w:tcBorders>
            <w:shd w:val="clear" w:color="000000" w:fill="FFFFFF"/>
            <w:noWrap/>
            <w:vAlign w:val="center"/>
            <w:hideMark/>
          </w:tcPr>
          <w:p w14:paraId="434E6192"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w:t>
            </w:r>
          </w:p>
        </w:tc>
        <w:tc>
          <w:tcPr>
            <w:tcW w:w="3040" w:type="dxa"/>
            <w:tcBorders>
              <w:top w:val="single" w:sz="4" w:space="0" w:color="auto"/>
              <w:bottom w:val="single" w:sz="4" w:space="0" w:color="auto"/>
            </w:tcBorders>
            <w:shd w:val="clear" w:color="000000" w:fill="FFFFFF"/>
            <w:noWrap/>
            <w:vAlign w:val="center"/>
            <w:hideMark/>
          </w:tcPr>
          <w:p w14:paraId="3101ED77" w14:textId="77777777" w:rsidR="00A1018A" w:rsidRPr="00A1018A" w:rsidRDefault="00A1018A" w:rsidP="00A1018A">
            <w:pPr>
              <w:spacing w:after="0" w:line="240" w:lineRule="auto"/>
              <w:jc w:val="center"/>
              <w:rPr>
                <w:rFonts w:eastAsia="Times New Roman" w:cs="Calibri"/>
                <w:color w:val="000000"/>
                <w:sz w:val="14"/>
                <w:szCs w:val="14"/>
                <w:lang w:eastAsia="es-MX"/>
              </w:rPr>
            </w:pPr>
            <w:r w:rsidRPr="00A1018A">
              <w:rPr>
                <w:rFonts w:eastAsia="Times New Roman" w:cs="Calibri"/>
                <w:color w:val="000000"/>
                <w:sz w:val="14"/>
                <w:szCs w:val="14"/>
                <w:lang w:eastAsia="es-MX"/>
              </w:rPr>
              <w:t> </w:t>
            </w:r>
          </w:p>
        </w:tc>
        <w:tc>
          <w:tcPr>
            <w:tcW w:w="1780" w:type="dxa"/>
            <w:tcBorders>
              <w:top w:val="single" w:sz="4" w:space="0" w:color="auto"/>
              <w:bottom w:val="single" w:sz="4" w:space="0" w:color="auto"/>
              <w:right w:val="single" w:sz="4" w:space="0" w:color="auto"/>
            </w:tcBorders>
            <w:shd w:val="clear" w:color="auto" w:fill="auto"/>
            <w:vAlign w:val="center"/>
            <w:hideMark/>
          </w:tcPr>
          <w:p w14:paraId="31FFB663"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w:t>
            </w:r>
          </w:p>
        </w:tc>
      </w:tr>
      <w:tr w:rsidR="00A1018A" w:rsidRPr="00A1018A" w14:paraId="4E0BB7C0"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64E24ECF"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58F64419"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Gobierno del Estado de Tamaulipas</w:t>
            </w:r>
          </w:p>
        </w:tc>
        <w:tc>
          <w:tcPr>
            <w:tcW w:w="1780" w:type="dxa"/>
            <w:tcBorders>
              <w:top w:val="nil"/>
              <w:left w:val="nil"/>
              <w:bottom w:val="single" w:sz="4" w:space="0" w:color="auto"/>
              <w:right w:val="single" w:sz="4" w:space="0" w:color="auto"/>
            </w:tcBorders>
            <w:shd w:val="clear" w:color="000000" w:fill="FFFFFF"/>
            <w:noWrap/>
            <w:vAlign w:val="center"/>
            <w:hideMark/>
          </w:tcPr>
          <w:p w14:paraId="7A9F584F"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w:t>
            </w:r>
          </w:p>
        </w:tc>
      </w:tr>
      <w:tr w:rsidR="00A1018A" w:rsidRPr="00A1018A" w14:paraId="170BD5AD"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32950DB4"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1B3B7AC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BBVA 2016, 968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53E1C33D"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F57C619"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3C111182"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75D982E3"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Banorte 2017 - 5,461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347F366D"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5718A51F"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35576009"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740C0086"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Banorte 2017- 1,539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0B7D0AEC"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5F3B2E69"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6783889A"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HR</w:t>
            </w:r>
          </w:p>
        </w:tc>
        <w:tc>
          <w:tcPr>
            <w:tcW w:w="3040" w:type="dxa"/>
            <w:tcBorders>
              <w:top w:val="nil"/>
              <w:left w:val="nil"/>
              <w:bottom w:val="single" w:sz="4" w:space="0" w:color="auto"/>
              <w:right w:val="single" w:sz="4" w:space="0" w:color="auto"/>
            </w:tcBorders>
            <w:shd w:val="clear" w:color="000000" w:fill="FFFFFF"/>
            <w:noWrap/>
            <w:vAlign w:val="center"/>
            <w:hideMark/>
          </w:tcPr>
          <w:p w14:paraId="3C1C5CD4"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BBVA 2017, 994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27220589"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7F592756"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7C706395"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7EA94B7A"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BBVA 2010, 724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3FC18D5E"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3BEA0E22"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1A47066E"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31CE6AED"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Santander 2018, 1,650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56E8CC14"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0AAC43FD"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1D2CF34A"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607E158E"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Crédito BBVA 2018, 500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600DC0DA"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AAA</w:t>
            </w:r>
          </w:p>
        </w:tc>
      </w:tr>
      <w:tr w:rsidR="00A1018A" w:rsidRPr="00A1018A" w14:paraId="479382E1" w14:textId="77777777" w:rsidTr="000C7859">
        <w:trPr>
          <w:trHeight w:val="300"/>
        </w:trPr>
        <w:tc>
          <w:tcPr>
            <w:tcW w:w="1380" w:type="dxa"/>
            <w:tcBorders>
              <w:top w:val="nil"/>
              <w:left w:val="single" w:sz="4" w:space="0" w:color="auto"/>
              <w:bottom w:val="nil"/>
              <w:right w:val="single" w:sz="4" w:space="0" w:color="auto"/>
            </w:tcBorders>
            <w:shd w:val="clear" w:color="000000" w:fill="FFFFFF"/>
            <w:noWrap/>
            <w:vAlign w:val="center"/>
            <w:hideMark/>
          </w:tcPr>
          <w:p w14:paraId="0DB8FDC1"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0CEB9B79"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Banorte 2020 1,500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45B839F0"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r w:rsidR="00A1018A" w:rsidRPr="00A1018A" w14:paraId="40AE4174" w14:textId="77777777" w:rsidTr="000C7859">
        <w:trPr>
          <w:trHeight w:val="30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0110D1A7" w14:textId="77777777" w:rsidR="00A1018A" w:rsidRPr="00A1018A" w:rsidRDefault="00A1018A" w:rsidP="00A1018A">
            <w:pPr>
              <w:spacing w:after="0" w:line="240" w:lineRule="auto"/>
              <w:rPr>
                <w:rFonts w:eastAsia="Times New Roman" w:cs="Calibri"/>
                <w:b/>
                <w:bCs/>
                <w:color w:val="000000"/>
                <w:sz w:val="14"/>
                <w:szCs w:val="14"/>
                <w:lang w:eastAsia="es-MX"/>
              </w:rPr>
            </w:pPr>
            <w:r w:rsidRPr="00A1018A">
              <w:rPr>
                <w:rFonts w:eastAsia="Times New Roman" w:cs="Calibri"/>
                <w:b/>
                <w:bCs/>
                <w:color w:val="000000"/>
                <w:sz w:val="14"/>
                <w:szCs w:val="14"/>
                <w:lang w:eastAsia="es-MX"/>
              </w:rPr>
              <w:t> </w:t>
            </w:r>
          </w:p>
        </w:tc>
        <w:tc>
          <w:tcPr>
            <w:tcW w:w="3040" w:type="dxa"/>
            <w:tcBorders>
              <w:top w:val="nil"/>
              <w:left w:val="nil"/>
              <w:bottom w:val="single" w:sz="4" w:space="0" w:color="auto"/>
              <w:right w:val="single" w:sz="4" w:space="0" w:color="auto"/>
            </w:tcBorders>
            <w:shd w:val="clear" w:color="000000" w:fill="FFFFFF"/>
            <w:noWrap/>
            <w:vAlign w:val="center"/>
            <w:hideMark/>
          </w:tcPr>
          <w:p w14:paraId="7D4793F5" w14:textId="77777777" w:rsidR="00A1018A" w:rsidRPr="00A1018A" w:rsidRDefault="00A1018A" w:rsidP="00A1018A">
            <w:pPr>
              <w:spacing w:after="0" w:line="240" w:lineRule="auto"/>
              <w:rPr>
                <w:rFonts w:eastAsia="Times New Roman" w:cs="Calibri"/>
                <w:color w:val="000000"/>
                <w:sz w:val="14"/>
                <w:szCs w:val="14"/>
                <w:lang w:eastAsia="es-MX"/>
              </w:rPr>
            </w:pPr>
            <w:r w:rsidRPr="00A1018A">
              <w:rPr>
                <w:rFonts w:eastAsia="Times New Roman" w:cs="Calibri"/>
                <w:color w:val="000000"/>
                <w:sz w:val="14"/>
                <w:szCs w:val="14"/>
                <w:lang w:eastAsia="es-MX"/>
              </w:rPr>
              <w:t xml:space="preserve">Banorte 2020 1,200 </w:t>
            </w:r>
            <w:proofErr w:type="spellStart"/>
            <w:r w:rsidRPr="00A1018A">
              <w:rPr>
                <w:rFonts w:eastAsia="Times New Roman" w:cs="Calibri"/>
                <w:color w:val="000000"/>
                <w:sz w:val="14"/>
                <w:szCs w:val="14"/>
                <w:lang w:eastAsia="es-MX"/>
              </w:rPr>
              <w:t>mdp</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14:paraId="3E042939" w14:textId="77777777" w:rsidR="00A1018A" w:rsidRPr="00A1018A" w:rsidRDefault="00A1018A" w:rsidP="00A1018A">
            <w:pPr>
              <w:spacing w:after="0" w:line="240" w:lineRule="auto"/>
              <w:jc w:val="center"/>
              <w:rPr>
                <w:rFonts w:eastAsia="Times New Roman" w:cs="Calibri"/>
                <w:b/>
                <w:bCs/>
                <w:color w:val="000000"/>
                <w:sz w:val="14"/>
                <w:szCs w:val="14"/>
                <w:lang w:eastAsia="es-MX"/>
              </w:rPr>
            </w:pPr>
            <w:r w:rsidRPr="00A1018A">
              <w:rPr>
                <w:rFonts w:eastAsia="Times New Roman" w:cs="Calibri"/>
                <w:b/>
                <w:bCs/>
                <w:color w:val="000000"/>
                <w:sz w:val="14"/>
                <w:szCs w:val="14"/>
                <w:lang w:eastAsia="es-MX"/>
              </w:rPr>
              <w:t>AA</w:t>
            </w:r>
          </w:p>
        </w:tc>
      </w:tr>
    </w:tbl>
    <w:p w14:paraId="0AA13C50" w14:textId="66938D2C" w:rsidR="00A1018A" w:rsidRDefault="00A1018A" w:rsidP="00F256D9">
      <w:pPr>
        <w:pStyle w:val="Texto"/>
        <w:spacing w:after="0" w:line="240" w:lineRule="exact"/>
        <w:rPr>
          <w:rFonts w:asciiTheme="minorHAnsi" w:hAnsiTheme="minorHAnsi" w:cstheme="minorHAnsi"/>
          <w:b/>
          <w:szCs w:val="18"/>
          <w:lang w:val="es-MX"/>
        </w:rPr>
      </w:pPr>
    </w:p>
    <w:p w14:paraId="7900434B" w14:textId="5DC4A8C8" w:rsidR="00F256D9" w:rsidRPr="005F45A3" w:rsidRDefault="00F256D9" w:rsidP="00F256D9">
      <w:pPr>
        <w:pStyle w:val="Texto"/>
        <w:spacing w:after="0" w:line="240" w:lineRule="exact"/>
        <w:rPr>
          <w:rFonts w:asciiTheme="minorHAnsi" w:hAnsiTheme="minorHAnsi" w:cstheme="minorHAnsi"/>
          <w:b/>
          <w:szCs w:val="18"/>
          <w:lang w:val="es-MX"/>
        </w:rPr>
      </w:pPr>
    </w:p>
    <w:p w14:paraId="6AEB18AA" w14:textId="3F186059" w:rsidR="00B07C73" w:rsidRPr="005F45A3" w:rsidRDefault="00B07C73" w:rsidP="000C7859">
      <w:pPr>
        <w:pStyle w:val="Prrafodelista"/>
        <w:numPr>
          <w:ilvl w:val="0"/>
          <w:numId w:val="40"/>
        </w:numPr>
        <w:spacing w:after="0" w:line="240" w:lineRule="exact"/>
        <w:ind w:left="426"/>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Proceso de Mejora</w:t>
      </w:r>
    </w:p>
    <w:p w14:paraId="581E2512" w14:textId="211C1DF9" w:rsidR="00B07C73" w:rsidRPr="005F45A3" w:rsidRDefault="00B07C73" w:rsidP="00B07C73">
      <w:pPr>
        <w:spacing w:after="0" w:line="240" w:lineRule="exact"/>
        <w:jc w:val="both"/>
        <w:rPr>
          <w:rFonts w:asciiTheme="minorHAnsi" w:eastAsia="Times New Roman" w:hAnsiTheme="minorHAnsi" w:cstheme="minorHAnsi"/>
          <w:b/>
          <w:sz w:val="18"/>
          <w:szCs w:val="18"/>
          <w:highlight w:val="yellow"/>
          <w:lang w:eastAsia="es-ES"/>
        </w:rPr>
      </w:pPr>
    </w:p>
    <w:p w14:paraId="1781125C" w14:textId="6412D7EE" w:rsidR="00B07C73" w:rsidRPr="005F45A3" w:rsidRDefault="00B07C73" w:rsidP="000C7859">
      <w:pPr>
        <w:pStyle w:val="INCISO"/>
        <w:numPr>
          <w:ilvl w:val="1"/>
          <w:numId w:val="14"/>
        </w:numPr>
        <w:spacing w:after="0" w:line="240" w:lineRule="exact"/>
        <w:ind w:left="709"/>
        <w:rPr>
          <w:rFonts w:asciiTheme="minorHAnsi" w:hAnsiTheme="minorHAnsi" w:cstheme="minorHAnsi"/>
          <w:szCs w:val="16"/>
        </w:rPr>
      </w:pPr>
      <w:r w:rsidRPr="005F45A3">
        <w:rPr>
          <w:rFonts w:asciiTheme="minorHAnsi" w:hAnsiTheme="minorHAnsi" w:cstheme="minorHAnsi"/>
          <w:szCs w:val="16"/>
        </w:rPr>
        <w:t>Principales Políticas de control interno.</w:t>
      </w:r>
    </w:p>
    <w:p w14:paraId="4DAA1FB3" w14:textId="66E246CD" w:rsidR="00B07C73" w:rsidRPr="005F45A3" w:rsidRDefault="00B07C73" w:rsidP="00B07C73">
      <w:pPr>
        <w:pStyle w:val="INCISO"/>
        <w:spacing w:after="0" w:line="240" w:lineRule="exact"/>
        <w:ind w:left="720" w:firstLine="0"/>
        <w:rPr>
          <w:rFonts w:asciiTheme="minorHAnsi" w:hAnsiTheme="minorHAnsi" w:cstheme="minorHAnsi"/>
          <w:szCs w:val="16"/>
        </w:rPr>
      </w:pPr>
      <w:r w:rsidRPr="005F45A3">
        <w:rPr>
          <w:rFonts w:asciiTheme="minorHAnsi" w:hAnsiTheme="minorHAnsi" w:cstheme="minorHAnsi"/>
          <w:szCs w:val="16"/>
        </w:rPr>
        <w:t>El Gobierno del Estado aplica en el ejercicio del gasto la Normatividad establecida por la Contraloría Gubernamental, y en el caso de los Recursos Federales las que establecen las reglas de operación de los programas y/o convenios correspondientes.</w:t>
      </w:r>
    </w:p>
    <w:p w14:paraId="128EEC6C" w14:textId="7D62ED85" w:rsidR="00B07C73" w:rsidRPr="005F45A3" w:rsidRDefault="00B07C73" w:rsidP="00B07C73">
      <w:pPr>
        <w:pStyle w:val="INCISO"/>
        <w:spacing w:after="0" w:line="240" w:lineRule="exact"/>
        <w:ind w:left="720" w:firstLine="0"/>
        <w:rPr>
          <w:rFonts w:asciiTheme="minorHAnsi" w:hAnsiTheme="minorHAnsi" w:cstheme="minorHAnsi"/>
          <w:sz w:val="20"/>
        </w:rPr>
      </w:pPr>
    </w:p>
    <w:p w14:paraId="1010AF46" w14:textId="59F6AD9D" w:rsidR="00B07C73" w:rsidRPr="005F45A3" w:rsidRDefault="00B07C73" w:rsidP="00B07C73">
      <w:pPr>
        <w:pStyle w:val="INCISO"/>
        <w:spacing w:after="0" w:line="240" w:lineRule="exact"/>
        <w:ind w:left="0" w:firstLine="0"/>
        <w:rPr>
          <w:rFonts w:asciiTheme="minorHAnsi" w:hAnsiTheme="minorHAnsi" w:cstheme="minorHAnsi"/>
          <w:szCs w:val="16"/>
        </w:rPr>
      </w:pPr>
      <w:r w:rsidRPr="005F45A3">
        <w:rPr>
          <w:rFonts w:asciiTheme="minorHAnsi" w:hAnsiTheme="minorHAnsi" w:cstheme="minorHAnsi"/>
          <w:sz w:val="20"/>
        </w:rPr>
        <w:t xml:space="preserve">       b)</w:t>
      </w:r>
      <w:r w:rsidRPr="005F45A3">
        <w:rPr>
          <w:rFonts w:asciiTheme="minorHAnsi" w:hAnsiTheme="minorHAnsi" w:cstheme="minorHAnsi"/>
          <w:sz w:val="20"/>
        </w:rPr>
        <w:tab/>
      </w:r>
      <w:r w:rsidRPr="005F45A3">
        <w:rPr>
          <w:rFonts w:asciiTheme="minorHAnsi" w:hAnsiTheme="minorHAnsi" w:cstheme="minorHAnsi"/>
          <w:szCs w:val="16"/>
        </w:rPr>
        <w:t>Medidas de desempeño Financiero, metas y alcance.</w:t>
      </w:r>
    </w:p>
    <w:p w14:paraId="6B20C135" w14:textId="7D8CCDE4" w:rsidR="00B07C73" w:rsidRPr="005F45A3" w:rsidRDefault="00B07C73" w:rsidP="00B07C73">
      <w:pPr>
        <w:pStyle w:val="INCISO"/>
        <w:spacing w:after="0" w:line="240" w:lineRule="exact"/>
        <w:ind w:left="720" w:firstLine="0"/>
        <w:rPr>
          <w:rFonts w:asciiTheme="minorHAnsi" w:hAnsiTheme="minorHAnsi" w:cstheme="minorHAnsi"/>
          <w:szCs w:val="16"/>
        </w:rPr>
      </w:pPr>
      <w:r w:rsidRPr="005F45A3">
        <w:rPr>
          <w:rFonts w:asciiTheme="minorHAnsi" w:hAnsiTheme="minorHAnsi" w:cstheme="minorHAnsi"/>
          <w:szCs w:val="16"/>
        </w:rPr>
        <w:t>Con el propósito de avanzar en el uso transparente y eficaz de los recursos públicos y para dar continuidad a las acciones del Gobierno del Estado, se sigue promoviendo la aplicación de criterios de racionalidad, economía, eficacia, eficiencia y austeri</w:t>
      </w:r>
      <w:r w:rsidR="00F236ED" w:rsidRPr="005F45A3">
        <w:rPr>
          <w:rFonts w:asciiTheme="minorHAnsi" w:hAnsiTheme="minorHAnsi" w:cstheme="minorHAnsi"/>
          <w:szCs w:val="16"/>
        </w:rPr>
        <w:t xml:space="preserve">dad, durante este </w:t>
      </w:r>
      <w:r w:rsidR="009C6584">
        <w:rPr>
          <w:rFonts w:asciiTheme="minorHAnsi" w:hAnsiTheme="minorHAnsi" w:cstheme="minorHAnsi"/>
          <w:szCs w:val="16"/>
        </w:rPr>
        <w:t>cuarto</w:t>
      </w:r>
      <w:r w:rsidR="00BA4E23" w:rsidRPr="005F45A3">
        <w:rPr>
          <w:rFonts w:asciiTheme="minorHAnsi" w:hAnsiTheme="minorHAnsi" w:cstheme="minorHAnsi"/>
          <w:szCs w:val="16"/>
        </w:rPr>
        <w:t xml:space="preserve"> trimestre 2022</w:t>
      </w:r>
      <w:r w:rsidR="00F236ED" w:rsidRPr="005F45A3">
        <w:rPr>
          <w:rFonts w:asciiTheme="minorHAnsi" w:hAnsiTheme="minorHAnsi" w:cstheme="minorHAnsi"/>
          <w:szCs w:val="16"/>
        </w:rPr>
        <w:t>.</w:t>
      </w:r>
    </w:p>
    <w:p w14:paraId="62A0F19B" w14:textId="7993A63B" w:rsidR="00B07C73" w:rsidRPr="005F45A3" w:rsidRDefault="00B07C73" w:rsidP="00B07C73">
      <w:pPr>
        <w:spacing w:after="0" w:line="240" w:lineRule="exact"/>
        <w:jc w:val="both"/>
        <w:rPr>
          <w:rFonts w:asciiTheme="minorHAnsi" w:eastAsia="Times New Roman" w:hAnsiTheme="minorHAnsi" w:cstheme="minorHAnsi"/>
          <w:b/>
          <w:sz w:val="16"/>
          <w:szCs w:val="16"/>
          <w:highlight w:val="yellow"/>
          <w:lang w:eastAsia="es-ES"/>
        </w:rPr>
      </w:pPr>
    </w:p>
    <w:p w14:paraId="2E081EFD" w14:textId="7C15A41E" w:rsidR="00F256D9" w:rsidRDefault="00F256D9" w:rsidP="00B07C73">
      <w:pPr>
        <w:spacing w:after="0" w:line="240" w:lineRule="exact"/>
        <w:jc w:val="both"/>
        <w:rPr>
          <w:rFonts w:asciiTheme="minorHAnsi" w:eastAsia="Times New Roman" w:hAnsiTheme="minorHAnsi" w:cstheme="minorHAnsi"/>
          <w:b/>
          <w:sz w:val="16"/>
          <w:szCs w:val="16"/>
          <w:highlight w:val="yellow"/>
          <w:lang w:eastAsia="es-ES"/>
        </w:rPr>
      </w:pPr>
    </w:p>
    <w:p w14:paraId="654603AA" w14:textId="77777777" w:rsidR="00C2426C" w:rsidRPr="005F45A3" w:rsidRDefault="00C2426C" w:rsidP="00B07C73">
      <w:pPr>
        <w:spacing w:after="0" w:line="240" w:lineRule="exact"/>
        <w:jc w:val="both"/>
        <w:rPr>
          <w:rFonts w:asciiTheme="minorHAnsi" w:eastAsia="Times New Roman" w:hAnsiTheme="minorHAnsi" w:cstheme="minorHAnsi"/>
          <w:b/>
          <w:sz w:val="16"/>
          <w:szCs w:val="16"/>
          <w:highlight w:val="yellow"/>
          <w:lang w:eastAsia="es-ES"/>
        </w:rPr>
      </w:pPr>
    </w:p>
    <w:p w14:paraId="5361C21D" w14:textId="270B8847" w:rsidR="00B07C73" w:rsidRPr="005F45A3" w:rsidRDefault="00B07C73" w:rsidP="000C7859">
      <w:pPr>
        <w:pStyle w:val="Prrafodelista"/>
        <w:numPr>
          <w:ilvl w:val="0"/>
          <w:numId w:val="40"/>
        </w:numPr>
        <w:spacing w:after="0" w:line="240" w:lineRule="exact"/>
        <w:ind w:left="426"/>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lastRenderedPageBreak/>
        <w:t>Información por Segmentos</w:t>
      </w:r>
      <w:r w:rsidR="00022A83">
        <w:rPr>
          <w:rFonts w:asciiTheme="minorHAnsi" w:eastAsia="Times New Roman" w:hAnsiTheme="minorHAnsi" w:cstheme="minorHAnsi"/>
          <w:b/>
          <w:sz w:val="18"/>
          <w:szCs w:val="18"/>
          <w:lang w:eastAsia="es-ES"/>
        </w:rPr>
        <w:t xml:space="preserve">.  </w:t>
      </w:r>
    </w:p>
    <w:p w14:paraId="6860C792" w14:textId="316C4D53" w:rsidR="00B07C73" w:rsidRPr="005F45A3" w:rsidRDefault="000C7859" w:rsidP="00B07C73">
      <w:pPr>
        <w:tabs>
          <w:tab w:val="center" w:pos="4599"/>
        </w:tabs>
        <w:spacing w:after="0" w:line="240" w:lineRule="exact"/>
        <w:ind w:left="360"/>
        <w:jc w:val="both"/>
        <w:rPr>
          <w:rFonts w:asciiTheme="minorHAnsi" w:eastAsia="Times New Roman" w:hAnsiTheme="minorHAnsi" w:cstheme="minorHAnsi"/>
          <w:sz w:val="18"/>
          <w:szCs w:val="16"/>
          <w:lang w:eastAsia="es-ES"/>
        </w:rPr>
      </w:pPr>
      <w:r>
        <w:rPr>
          <w:rFonts w:asciiTheme="minorHAnsi" w:eastAsia="Times New Roman" w:hAnsiTheme="minorHAnsi" w:cstheme="minorHAnsi"/>
          <w:sz w:val="18"/>
          <w:szCs w:val="16"/>
          <w:lang w:val="es-ES" w:eastAsia="es-ES"/>
        </w:rPr>
        <w:t xml:space="preserve"> </w:t>
      </w:r>
      <w:r w:rsidR="00B07C73" w:rsidRPr="005F45A3">
        <w:rPr>
          <w:rFonts w:asciiTheme="minorHAnsi" w:eastAsia="Times New Roman" w:hAnsiTheme="minorHAnsi" w:cstheme="minorHAnsi"/>
          <w:sz w:val="18"/>
          <w:szCs w:val="16"/>
          <w:lang w:val="es-ES" w:eastAsia="es-ES"/>
        </w:rPr>
        <w:t>NO APLICA</w:t>
      </w:r>
      <w:r w:rsidR="00B07C73" w:rsidRPr="005F45A3">
        <w:rPr>
          <w:rFonts w:asciiTheme="minorHAnsi" w:eastAsia="Times New Roman" w:hAnsiTheme="minorHAnsi" w:cstheme="minorHAnsi"/>
          <w:sz w:val="18"/>
          <w:szCs w:val="16"/>
          <w:lang w:val="es-ES" w:eastAsia="es-ES"/>
        </w:rPr>
        <w:tab/>
      </w:r>
    </w:p>
    <w:p w14:paraId="63D5219A" w14:textId="5D7E0BEA" w:rsidR="00B07C73" w:rsidRPr="005F45A3" w:rsidRDefault="00B07C73"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0276EA90" w14:textId="01E4F026" w:rsidR="00B07C73" w:rsidRPr="005F45A3" w:rsidRDefault="00B07C73" w:rsidP="000C7859">
      <w:pPr>
        <w:pStyle w:val="Prrafodelista"/>
        <w:numPr>
          <w:ilvl w:val="0"/>
          <w:numId w:val="40"/>
        </w:numPr>
        <w:spacing w:after="0" w:line="240" w:lineRule="exact"/>
        <w:ind w:left="426"/>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Eventos Posteriores al Cierre.</w:t>
      </w:r>
    </w:p>
    <w:p w14:paraId="27115315" w14:textId="3D96FCC8" w:rsidR="00B07C73" w:rsidRPr="005F45A3" w:rsidRDefault="00B07C73" w:rsidP="00B07C73">
      <w:pPr>
        <w:pStyle w:val="Prrafodelista"/>
        <w:spacing w:after="0" w:line="240" w:lineRule="exact"/>
        <w:ind w:left="360"/>
        <w:jc w:val="both"/>
        <w:rPr>
          <w:rFonts w:asciiTheme="minorHAnsi" w:eastAsia="Times New Roman" w:hAnsiTheme="minorHAnsi" w:cstheme="minorHAnsi"/>
          <w:b/>
          <w:sz w:val="20"/>
          <w:szCs w:val="18"/>
          <w:lang w:eastAsia="es-ES"/>
        </w:rPr>
      </w:pPr>
      <w:r w:rsidRPr="005F45A3">
        <w:rPr>
          <w:rFonts w:asciiTheme="minorHAnsi" w:eastAsia="Times New Roman" w:hAnsiTheme="minorHAnsi" w:cstheme="minorHAnsi"/>
          <w:sz w:val="18"/>
          <w:szCs w:val="16"/>
          <w:lang w:val="es-ES" w:eastAsia="es-ES"/>
        </w:rPr>
        <w:t>NO APLICA</w:t>
      </w:r>
    </w:p>
    <w:p w14:paraId="5EAD0C05" w14:textId="42A68DF8" w:rsidR="00B07C73" w:rsidRPr="005F45A3" w:rsidRDefault="00B07C73"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0110CDFD" w14:textId="06C9E4DE" w:rsidR="00D861D2" w:rsidRPr="005F45A3" w:rsidRDefault="00D861D2" w:rsidP="00B07C73">
      <w:pPr>
        <w:pStyle w:val="Prrafodelista"/>
        <w:spacing w:after="0" w:line="240" w:lineRule="exact"/>
        <w:ind w:left="360"/>
        <w:jc w:val="both"/>
        <w:rPr>
          <w:rFonts w:asciiTheme="minorHAnsi" w:eastAsia="Times New Roman" w:hAnsiTheme="minorHAnsi" w:cstheme="minorHAnsi"/>
          <w:b/>
          <w:sz w:val="18"/>
          <w:szCs w:val="18"/>
          <w:lang w:eastAsia="es-ES"/>
        </w:rPr>
      </w:pPr>
    </w:p>
    <w:p w14:paraId="7CBB20CC" w14:textId="0077C45E" w:rsidR="00B07C73" w:rsidRPr="005F45A3" w:rsidRDefault="00B07C73" w:rsidP="000C7859">
      <w:pPr>
        <w:pStyle w:val="Prrafodelista"/>
        <w:numPr>
          <w:ilvl w:val="0"/>
          <w:numId w:val="40"/>
        </w:numPr>
        <w:spacing w:after="0" w:line="240" w:lineRule="exact"/>
        <w:ind w:left="426"/>
        <w:jc w:val="both"/>
        <w:rPr>
          <w:rFonts w:asciiTheme="minorHAnsi" w:eastAsia="Times New Roman" w:hAnsiTheme="minorHAnsi" w:cstheme="minorHAnsi"/>
          <w:b/>
          <w:sz w:val="18"/>
          <w:szCs w:val="18"/>
          <w:lang w:eastAsia="es-ES"/>
        </w:rPr>
      </w:pPr>
      <w:r w:rsidRPr="005F45A3">
        <w:rPr>
          <w:rFonts w:asciiTheme="minorHAnsi" w:eastAsia="Times New Roman" w:hAnsiTheme="minorHAnsi" w:cstheme="minorHAnsi"/>
          <w:b/>
          <w:sz w:val="18"/>
          <w:szCs w:val="18"/>
          <w:lang w:eastAsia="es-ES"/>
        </w:rPr>
        <w:t>Partes Relacionadas</w:t>
      </w:r>
      <w:r w:rsidR="00022A83">
        <w:rPr>
          <w:rFonts w:asciiTheme="minorHAnsi" w:eastAsia="Times New Roman" w:hAnsiTheme="minorHAnsi" w:cstheme="minorHAnsi"/>
          <w:b/>
          <w:sz w:val="18"/>
          <w:szCs w:val="18"/>
          <w:lang w:eastAsia="es-ES"/>
        </w:rPr>
        <w:t>.</w:t>
      </w:r>
    </w:p>
    <w:p w14:paraId="31E633AA" w14:textId="11BAF62E" w:rsidR="00B07C73" w:rsidRPr="005F45A3" w:rsidRDefault="00B07C73" w:rsidP="00B07C73">
      <w:pPr>
        <w:pStyle w:val="Prrafodelista"/>
        <w:spacing w:after="0" w:line="240" w:lineRule="exact"/>
        <w:ind w:left="360"/>
        <w:jc w:val="both"/>
        <w:rPr>
          <w:rFonts w:asciiTheme="minorHAnsi" w:eastAsia="Times New Roman" w:hAnsiTheme="minorHAnsi" w:cstheme="minorHAnsi"/>
          <w:sz w:val="18"/>
          <w:szCs w:val="18"/>
          <w:lang w:eastAsia="es-ES"/>
        </w:rPr>
      </w:pPr>
      <w:r w:rsidRPr="005F45A3">
        <w:rPr>
          <w:rFonts w:asciiTheme="minorHAnsi" w:eastAsia="Times New Roman" w:hAnsiTheme="minorHAnsi" w:cstheme="minorHAnsi"/>
          <w:sz w:val="18"/>
          <w:szCs w:val="18"/>
          <w:lang w:eastAsia="es-ES"/>
        </w:rPr>
        <w:t>Se manifiesta que no existen partes relacionadas que pudieran ejercen influencia significativa sobre la toma de decisiones Financieras y Operativas del Gobierno del Estado.</w:t>
      </w:r>
    </w:p>
    <w:p w14:paraId="6758C205" w14:textId="48145FBC"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53181BAC" w14:textId="0DB502F3" w:rsidR="00B07C73" w:rsidRDefault="00B07C73" w:rsidP="00B07C73">
      <w:pPr>
        <w:spacing w:after="0" w:line="240" w:lineRule="exact"/>
        <w:jc w:val="both"/>
        <w:rPr>
          <w:rFonts w:asciiTheme="minorHAnsi" w:eastAsia="Times New Roman" w:hAnsiTheme="minorHAnsi" w:cstheme="minorHAnsi"/>
          <w:sz w:val="16"/>
          <w:szCs w:val="16"/>
          <w:lang w:val="es-ES" w:eastAsia="es-ES"/>
        </w:rPr>
      </w:pPr>
    </w:p>
    <w:p w14:paraId="743ECB9D" w14:textId="2816393D" w:rsidR="00022A83" w:rsidRDefault="00022A83" w:rsidP="00B07C73">
      <w:pPr>
        <w:spacing w:after="0" w:line="240" w:lineRule="exact"/>
        <w:jc w:val="both"/>
        <w:rPr>
          <w:rFonts w:asciiTheme="minorHAnsi" w:eastAsia="Times New Roman" w:hAnsiTheme="minorHAnsi" w:cstheme="minorHAnsi"/>
          <w:sz w:val="16"/>
          <w:szCs w:val="16"/>
          <w:lang w:val="es-ES" w:eastAsia="es-ES"/>
        </w:rPr>
      </w:pPr>
    </w:p>
    <w:p w14:paraId="779EAA4E" w14:textId="1CF867AD" w:rsidR="00022A83" w:rsidRDefault="00022A83" w:rsidP="00B07C73">
      <w:pPr>
        <w:spacing w:after="0" w:line="240" w:lineRule="exact"/>
        <w:jc w:val="both"/>
        <w:rPr>
          <w:rFonts w:asciiTheme="minorHAnsi" w:eastAsia="Times New Roman" w:hAnsiTheme="minorHAnsi" w:cstheme="minorHAnsi"/>
          <w:sz w:val="16"/>
          <w:szCs w:val="16"/>
          <w:lang w:val="es-ES" w:eastAsia="es-ES"/>
        </w:rPr>
      </w:pPr>
    </w:p>
    <w:p w14:paraId="00AE1CB6" w14:textId="77777777" w:rsidR="00022A83" w:rsidRPr="005F45A3" w:rsidRDefault="00022A83" w:rsidP="00B07C73">
      <w:pPr>
        <w:spacing w:after="0" w:line="240" w:lineRule="exact"/>
        <w:jc w:val="both"/>
        <w:rPr>
          <w:rFonts w:asciiTheme="minorHAnsi" w:eastAsia="Times New Roman" w:hAnsiTheme="minorHAnsi" w:cstheme="minorHAnsi"/>
          <w:sz w:val="16"/>
          <w:szCs w:val="16"/>
          <w:lang w:val="es-ES" w:eastAsia="es-ES"/>
        </w:rPr>
      </w:pPr>
    </w:p>
    <w:p w14:paraId="5EEA77DD" w14:textId="7811DF7F" w:rsidR="007050B6" w:rsidRPr="005F45A3" w:rsidRDefault="007050B6" w:rsidP="007050B6">
      <w:pPr>
        <w:spacing w:after="0" w:line="240" w:lineRule="auto"/>
        <w:rPr>
          <w:rFonts w:asciiTheme="minorHAnsi" w:eastAsia="Times New Roman" w:hAnsiTheme="minorHAnsi" w:cstheme="minorHAnsi"/>
          <w:sz w:val="14"/>
          <w:szCs w:val="14"/>
          <w:lang w:val="es-ES" w:eastAsia="es-ES"/>
        </w:rPr>
      </w:pPr>
      <w:proofErr w:type="gramStart"/>
      <w:r w:rsidRPr="005F45A3">
        <w:rPr>
          <w:rFonts w:asciiTheme="minorHAnsi" w:eastAsia="Times New Roman" w:hAnsiTheme="minorHAnsi" w:cstheme="minorHAnsi"/>
          <w:sz w:val="14"/>
          <w:szCs w:val="14"/>
          <w:lang w:val="es-ES" w:eastAsia="es-ES"/>
        </w:rPr>
        <w:t>“ Bajo</w:t>
      </w:r>
      <w:proofErr w:type="gramEnd"/>
      <w:r w:rsidRPr="005F45A3">
        <w:rPr>
          <w:rFonts w:asciiTheme="minorHAnsi" w:eastAsia="Times New Roman" w:hAnsiTheme="minorHAnsi" w:cstheme="minorHAnsi"/>
          <w:sz w:val="14"/>
          <w:szCs w:val="14"/>
          <w:lang w:val="es-ES" w:eastAsia="es-ES"/>
        </w:rPr>
        <w:t xml:space="preserve"> protesta de decir verdad declaramos que los Estados Financieros y sus Notas</w:t>
      </w:r>
      <w:r w:rsidR="00A1018A">
        <w:rPr>
          <w:rFonts w:asciiTheme="minorHAnsi" w:eastAsia="Times New Roman" w:hAnsiTheme="minorHAnsi" w:cstheme="minorHAnsi"/>
          <w:sz w:val="14"/>
          <w:szCs w:val="14"/>
          <w:lang w:val="es-ES" w:eastAsia="es-ES"/>
        </w:rPr>
        <w:t>,</w:t>
      </w:r>
      <w:r w:rsidRPr="005F45A3">
        <w:rPr>
          <w:rFonts w:asciiTheme="minorHAnsi" w:eastAsia="Times New Roman" w:hAnsiTheme="minorHAnsi" w:cstheme="minorHAnsi"/>
          <w:sz w:val="14"/>
          <w:szCs w:val="14"/>
          <w:lang w:val="es-ES" w:eastAsia="es-ES"/>
        </w:rPr>
        <w:t xml:space="preserve"> son razonablemente correctos y son responsabilidad del emisor “</w:t>
      </w:r>
    </w:p>
    <w:p w14:paraId="64054614" w14:textId="4C4055FB"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395E6394" w14:textId="767D9390"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751EF755" w14:textId="246FAC49"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40037E86" w14:textId="58502D4F" w:rsidR="00D861D2" w:rsidRPr="005F45A3" w:rsidRDefault="00D861D2" w:rsidP="00B07C73">
      <w:pPr>
        <w:spacing w:after="0" w:line="240" w:lineRule="exact"/>
        <w:jc w:val="both"/>
        <w:rPr>
          <w:rFonts w:asciiTheme="minorHAnsi" w:eastAsia="Times New Roman" w:hAnsiTheme="minorHAnsi" w:cstheme="minorHAnsi"/>
          <w:sz w:val="16"/>
          <w:szCs w:val="16"/>
          <w:lang w:val="es-ES" w:eastAsia="es-ES"/>
        </w:rPr>
      </w:pPr>
    </w:p>
    <w:p w14:paraId="348AC8D5" w14:textId="6497D24F" w:rsidR="007050B6" w:rsidRPr="005F45A3" w:rsidRDefault="007050B6" w:rsidP="00B07C73">
      <w:pPr>
        <w:spacing w:after="0" w:line="240" w:lineRule="exact"/>
        <w:jc w:val="both"/>
        <w:rPr>
          <w:rFonts w:asciiTheme="minorHAnsi" w:eastAsia="Times New Roman" w:hAnsiTheme="minorHAnsi" w:cstheme="minorHAnsi"/>
          <w:sz w:val="16"/>
          <w:szCs w:val="16"/>
          <w:lang w:val="es-ES" w:eastAsia="es-ES"/>
        </w:rPr>
      </w:pPr>
    </w:p>
    <w:p w14:paraId="4B475757" w14:textId="26878586"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0AEE74C8" w14:textId="1CE0B01B" w:rsidR="007050B6" w:rsidRPr="005F45A3" w:rsidRDefault="007050B6" w:rsidP="00B07C73">
      <w:pPr>
        <w:spacing w:after="0" w:line="240" w:lineRule="exact"/>
        <w:jc w:val="both"/>
        <w:rPr>
          <w:rFonts w:asciiTheme="minorHAnsi" w:eastAsia="Times New Roman" w:hAnsiTheme="minorHAnsi" w:cstheme="minorHAnsi"/>
          <w:sz w:val="16"/>
          <w:szCs w:val="16"/>
          <w:lang w:val="es-ES" w:eastAsia="es-ES"/>
        </w:rPr>
      </w:pPr>
    </w:p>
    <w:p w14:paraId="7902DDC4" w14:textId="10F4B306"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7E02A27C" w14:textId="75A1A294"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bookmarkStart w:id="0" w:name="_GoBack"/>
      <w:bookmarkEnd w:id="0"/>
    </w:p>
    <w:p w14:paraId="462059AB" w14:textId="45DDDDD9"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621CE13E" w14:textId="7EAB34D9" w:rsidR="00B07C73" w:rsidRPr="005F45A3" w:rsidRDefault="00B07C73" w:rsidP="00B07C73">
      <w:pPr>
        <w:spacing w:after="0" w:line="240" w:lineRule="exact"/>
        <w:jc w:val="both"/>
        <w:rPr>
          <w:rFonts w:asciiTheme="minorHAnsi" w:eastAsia="Times New Roman" w:hAnsiTheme="minorHAnsi" w:cstheme="minorHAnsi"/>
          <w:sz w:val="16"/>
          <w:szCs w:val="16"/>
          <w:lang w:val="es-ES" w:eastAsia="es-ES"/>
        </w:rPr>
      </w:pPr>
    </w:p>
    <w:p w14:paraId="08F9E57D" w14:textId="0976F4C5" w:rsidR="00C73179" w:rsidRPr="005F45A3" w:rsidRDefault="00B07C73" w:rsidP="00B07C73">
      <w:pPr>
        <w:pStyle w:val="Texto"/>
        <w:spacing w:after="0" w:line="200" w:lineRule="exact"/>
        <w:ind w:firstLine="0"/>
        <w:rPr>
          <w:rFonts w:asciiTheme="minorHAnsi" w:hAnsiTheme="minorHAnsi" w:cstheme="minorHAnsi"/>
          <w:sz w:val="14"/>
          <w:szCs w:val="14"/>
        </w:rPr>
      </w:pPr>
      <w:r w:rsidRPr="005F45A3">
        <w:rPr>
          <w:rFonts w:asciiTheme="minorHAnsi" w:hAnsiTheme="minorHAnsi" w:cstheme="minorHAnsi"/>
          <w:sz w:val="14"/>
          <w:szCs w:val="14"/>
        </w:rPr>
        <w:t xml:space="preserve"> </w:t>
      </w:r>
    </w:p>
    <w:p w14:paraId="75E59757" w14:textId="18429B56" w:rsidR="000C22BB" w:rsidRPr="005F45A3" w:rsidRDefault="000C22BB" w:rsidP="00AA7087">
      <w:pPr>
        <w:spacing w:after="0" w:line="240" w:lineRule="exact"/>
        <w:jc w:val="both"/>
        <w:rPr>
          <w:rFonts w:asciiTheme="minorHAnsi" w:eastAsia="Times New Roman" w:hAnsiTheme="minorHAnsi" w:cstheme="minorHAnsi"/>
          <w:b/>
          <w:smallCaps/>
          <w:sz w:val="18"/>
          <w:szCs w:val="18"/>
          <w:lang w:eastAsia="es-ES"/>
        </w:rPr>
      </w:pPr>
    </w:p>
    <w:sectPr w:rsidR="000C22BB" w:rsidRPr="005F45A3" w:rsidSect="00A6163E">
      <w:headerReference w:type="even" r:id="rId13"/>
      <w:headerReference w:type="default" r:id="rId14"/>
      <w:footerReference w:type="even" r:id="rId15"/>
      <w:footerReference w:type="default" r:id="rId16"/>
      <w:type w:val="continuous"/>
      <w:pgSz w:w="12240" w:h="15840" w:code="1"/>
      <w:pgMar w:top="1134" w:right="1418" w:bottom="851" w:left="1418" w:header="567" w:footer="567"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49FC" w14:textId="77777777" w:rsidR="00291DC2" w:rsidRDefault="00291DC2" w:rsidP="00EA5418">
      <w:pPr>
        <w:spacing w:after="0" w:line="240" w:lineRule="auto"/>
      </w:pPr>
      <w:r>
        <w:separator/>
      </w:r>
    </w:p>
  </w:endnote>
  <w:endnote w:type="continuationSeparator" w:id="0">
    <w:p w14:paraId="4227FD80" w14:textId="77777777" w:rsidR="00291DC2" w:rsidRDefault="00291DC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IN Pro Regular">
    <w:panose1 w:val="020B0504020101020102"/>
    <w:charset w:val="00"/>
    <w:family w:val="swiss"/>
    <w:pitch w:val="variable"/>
    <w:sig w:usb0="A00002BF" w:usb1="4000207B" w:usb2="00000008"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DIN Pro Bold">
    <w:panose1 w:val="020B0804020101020102"/>
    <w:charset w:val="00"/>
    <w:family w:val="swiss"/>
    <w:pitch w:val="variable"/>
    <w:sig w:usb0="A00002BF" w:usb1="4000207B" w:usb2="00000008" w:usb3="00000000" w:csb0="00000097" w:csb1="00000000"/>
  </w:font>
  <w:font w:name="Encode Sans">
    <w:panose1 w:val="00000000000000000000"/>
    <w:charset w:val="00"/>
    <w:family w:val="auto"/>
    <w:pitch w:val="variable"/>
    <w:sig w:usb0="A00000FF" w:usb1="4000207B" w:usb2="00000000" w:usb3="00000000" w:csb0="00000193" w:csb1="00000000"/>
  </w:font>
  <w:font w:name="Encode Sans Medium">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380E" w14:textId="24223FF4" w:rsidR="00291DC2" w:rsidRDefault="00291DC2"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90496" behindDoc="0" locked="0" layoutInCell="1" allowOverlap="1" wp14:anchorId="6A02A3F6" wp14:editId="083A3C50">
              <wp:simplePos x="0" y="0"/>
              <wp:positionH relativeFrom="column">
                <wp:posOffset>-142240</wp:posOffset>
              </wp:positionH>
              <wp:positionV relativeFrom="paragraph">
                <wp:posOffset>29210</wp:posOffset>
              </wp:positionV>
              <wp:extent cx="6192000" cy="0"/>
              <wp:effectExtent l="0" t="0" r="37465" b="19050"/>
              <wp:wrapNone/>
              <wp:docPr id="17" name="Conector recto 17"/>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BD33C7" id="Conector recto 1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2.3pt" to="476.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" strokecolor="#bc955c" strokeweight="2pt">
              <v:stroke joinstyle="miter"/>
            </v:line>
          </w:pict>
        </mc:Fallback>
      </mc:AlternateContent>
    </w:r>
  </w:p>
  <w:p w14:paraId="4990EAB6" w14:textId="0A54CEAE" w:rsidR="00291DC2" w:rsidRPr="00CB3BFA" w:rsidRDefault="00291DC2" w:rsidP="0013011C">
    <w:pPr>
      <w:pStyle w:val="Piedepgina"/>
      <w:jc w:val="center"/>
      <w:rPr>
        <w:rFonts w:ascii="Encode Sans Medium" w:hAnsi="Encode Sans Medium" w:cs="Arial"/>
      </w:rPr>
    </w:pPr>
    <w:r w:rsidRPr="00CB3BFA">
      <w:rPr>
        <w:rFonts w:ascii="Encode Sans Medium" w:hAnsi="Encode Sans Medium" w:cs="Arial"/>
      </w:rPr>
      <w:t>Contable</w:t>
    </w:r>
  </w:p>
  <w:p w14:paraId="72899C76" w14:textId="77777777" w:rsidR="00291DC2" w:rsidRPr="00C8516B" w:rsidRDefault="00291DC2" w:rsidP="0013011C">
    <w:pPr>
      <w:pStyle w:val="Piedepgina"/>
      <w:jc w:val="center"/>
      <w:rPr>
        <w:rFonts w:ascii="Encode Sans" w:hAnsi="Encode Sans" w:cs="Arial"/>
      </w:rPr>
    </w:pPr>
  </w:p>
  <w:p w14:paraId="453E6AC7" w14:textId="77777777" w:rsidR="00291DC2" w:rsidRDefault="00291D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778F" w14:textId="266F498A" w:rsidR="00291DC2" w:rsidRDefault="00291DC2">
    <w:pPr>
      <w:pStyle w:val="Piedepgina"/>
      <w:jc w:val="center"/>
      <w:rPr>
        <w:rFonts w:ascii="HelveticaNeueLT Std Lt" w:hAnsi="HelveticaNeueLT Std Lt"/>
        <w:b/>
      </w:rPr>
    </w:pPr>
    <w:r>
      <w:rPr>
        <w:rFonts w:ascii="HelveticaNeueLT Std Lt" w:hAnsi="HelveticaNeueLT Std Lt" w:cs="Arial"/>
        <w:b/>
        <w:noProof/>
        <w:lang w:eastAsia="es-MX"/>
      </w:rPr>
      <mc:AlternateContent>
        <mc:Choice Requires="wps">
          <w:drawing>
            <wp:anchor distT="0" distB="0" distL="114300" distR="114300" simplePos="0" relativeHeight="251684352" behindDoc="0" locked="0" layoutInCell="1" allowOverlap="1" wp14:anchorId="28801C9B" wp14:editId="23B2F4B1">
              <wp:simplePos x="0" y="0"/>
              <wp:positionH relativeFrom="column">
                <wp:posOffset>-88569</wp:posOffset>
              </wp:positionH>
              <wp:positionV relativeFrom="paragraph">
                <wp:posOffset>50800</wp:posOffset>
              </wp:positionV>
              <wp:extent cx="6264000" cy="0"/>
              <wp:effectExtent l="0" t="0" r="22860" b="19050"/>
              <wp:wrapNone/>
              <wp:docPr id="13" name="Conector recto 13"/>
              <wp:cNvGraphicFramePr/>
              <a:graphic xmlns:a="http://schemas.openxmlformats.org/drawingml/2006/main">
                <a:graphicData uri="http://schemas.microsoft.com/office/word/2010/wordprocessingShape">
                  <wps:wsp>
                    <wps:cNvCnPr/>
                    <wps:spPr>
                      <a:xfrm>
                        <a:off x="0" y="0"/>
                        <a:ext cx="6264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B272EE" id="Conector recto 1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4pt" to="48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" strokecolor="#bc955c" strokeweight="2pt">
              <v:stroke joinstyle="miter"/>
            </v:line>
          </w:pict>
        </mc:Fallback>
      </mc:AlternateContent>
    </w:r>
  </w:p>
  <w:p w14:paraId="57C19778" w14:textId="5EB9C1A0" w:rsidR="00291DC2" w:rsidRPr="00CB3BFA" w:rsidRDefault="00291DC2">
    <w:pPr>
      <w:pStyle w:val="Piedepgina"/>
      <w:jc w:val="center"/>
      <w:rPr>
        <w:rFonts w:ascii="Encode Sans Medium" w:hAnsi="Encode Sans Medium" w:cs="DIN Pro Bold"/>
      </w:rPr>
    </w:pPr>
    <w:r w:rsidRPr="00CB3BFA">
      <w:rPr>
        <w:rFonts w:ascii="Encode Sans Medium" w:hAnsi="Encode Sans Medium" w:cs="DIN Pro Bold"/>
      </w:rPr>
      <w:t>Contable</w:t>
    </w:r>
  </w:p>
  <w:p w14:paraId="38DCAD5D" w14:textId="77777777" w:rsidR="00291DC2" w:rsidRPr="000A5B2E" w:rsidRDefault="00291DC2" w:rsidP="0024137D">
    <w:pPr>
      <w:jc w:val="center"/>
      <w:rPr>
        <w:rFonts w:ascii="HelveticaNeueLT Std Lt" w:hAnsi="HelveticaNeueLT Std Lt"/>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F19E2" w14:textId="77777777" w:rsidR="00291DC2" w:rsidRDefault="00291DC2" w:rsidP="00EA5418">
      <w:pPr>
        <w:spacing w:after="0" w:line="240" w:lineRule="auto"/>
      </w:pPr>
      <w:r>
        <w:separator/>
      </w:r>
    </w:p>
  </w:footnote>
  <w:footnote w:type="continuationSeparator" w:id="0">
    <w:p w14:paraId="3AA3879A" w14:textId="77777777" w:rsidR="00291DC2" w:rsidRDefault="00291DC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C261" w14:textId="4EC2EB5D" w:rsidR="00291DC2" w:rsidRDefault="00291DC2" w:rsidP="007E3A4C">
    <w:pPr>
      <w:pStyle w:val="Encabezado"/>
      <w:tabs>
        <w:tab w:val="left" w:pos="6023"/>
        <w:tab w:val="right" w:pos="6996"/>
      </w:tabs>
      <w:rPr>
        <w:rFonts w:ascii="HelveticaNeueLT Std" w:hAnsi="HelveticaNeueLT Std" w:cs="Arial"/>
        <w:sz w:val="28"/>
      </w:rPr>
    </w:pPr>
    <w:r>
      <w:rPr>
        <w:rFonts w:ascii="HelveticaNeueLT Std Lt" w:hAnsi="HelveticaNeueLT Std Lt" w:cs="DIN Pro Bold"/>
        <w:b/>
        <w:noProof/>
        <w:sz w:val="24"/>
        <w:szCs w:val="24"/>
        <w:lang w:eastAsia="es-MX"/>
      </w:rPr>
      <w:drawing>
        <wp:anchor distT="0" distB="0" distL="114300" distR="114300" simplePos="0" relativeHeight="251685376" behindDoc="0" locked="0" layoutInCell="1" allowOverlap="1" wp14:anchorId="184C95E8" wp14:editId="023C486C">
          <wp:simplePos x="0" y="0"/>
          <wp:positionH relativeFrom="column">
            <wp:posOffset>-214630</wp:posOffset>
          </wp:positionH>
          <wp:positionV relativeFrom="paragraph">
            <wp:posOffset>19050</wp:posOffset>
          </wp:positionV>
          <wp:extent cx="1985010" cy="75628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5010" cy="756285"/>
                  </a:xfrm>
                  <a:prstGeom prst="rect">
                    <a:avLst/>
                  </a:prstGeom>
                </pic:spPr>
              </pic:pic>
            </a:graphicData>
          </a:graphic>
        </wp:anchor>
      </w:drawing>
    </w:r>
    <w:r>
      <w:rPr>
        <w:rFonts w:ascii="HelveticaNeueLT Std" w:hAnsi="HelveticaNeueLT Std" w:cs="Arial"/>
        <w:sz w:val="28"/>
      </w:rPr>
      <w:tab/>
    </w:r>
  </w:p>
  <w:p w14:paraId="4367F6F5" w14:textId="26CC2F38" w:rsidR="00291DC2" w:rsidRDefault="00291DC2" w:rsidP="007E3A4C">
    <w:pPr>
      <w:pStyle w:val="Encabezado"/>
      <w:tabs>
        <w:tab w:val="left" w:pos="6023"/>
        <w:tab w:val="right" w:pos="6996"/>
      </w:tabs>
      <w:jc w:val="right"/>
      <w:rPr>
        <w:rFonts w:ascii="DIN Pro Bold" w:hAnsi="DIN Pro Bold" w:cs="DIN Pro Bold"/>
        <w:b/>
        <w:sz w:val="24"/>
        <w:szCs w:val="24"/>
      </w:rPr>
    </w:pPr>
    <w:r>
      <w:rPr>
        <w:rFonts w:ascii="HelveticaNeueLT Std Lt" w:hAnsi="HelveticaNeueLT Std Lt" w:cs="DIN Pro Bold"/>
        <w:b/>
        <w:noProof/>
        <w:sz w:val="24"/>
        <w:szCs w:val="24"/>
        <w:lang w:eastAsia="es-MX"/>
      </w:rPr>
      <mc:AlternateContent>
        <mc:Choice Requires="wps">
          <w:drawing>
            <wp:anchor distT="0" distB="0" distL="114300" distR="114300" simplePos="0" relativeHeight="251688448" behindDoc="0" locked="0" layoutInCell="1" allowOverlap="1" wp14:anchorId="0C8F6BEF" wp14:editId="758D020A">
              <wp:simplePos x="0" y="0"/>
              <wp:positionH relativeFrom="column">
                <wp:posOffset>5509895</wp:posOffset>
              </wp:positionH>
              <wp:positionV relativeFrom="paragraph">
                <wp:posOffset>37465</wp:posOffset>
              </wp:positionV>
              <wp:extent cx="0" cy="432000"/>
              <wp:effectExtent l="0" t="0" r="19050" b="25400"/>
              <wp:wrapNone/>
              <wp:docPr id="16" name="Conector recto 16"/>
              <wp:cNvGraphicFramePr/>
              <a:graphic xmlns:a="http://schemas.openxmlformats.org/drawingml/2006/main">
                <a:graphicData uri="http://schemas.microsoft.com/office/word/2010/wordprocessingShape">
                  <wps:wsp>
                    <wps:cNvCnPr/>
                    <wps:spPr>
                      <a:xfrm>
                        <a:off x="0" y="0"/>
                        <a:ext cx="0" cy="43200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D8EC86" id="Conector recto 1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5pt,2.95pt" to="433.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" strokecolor="#bc955c" strokeweight="1.25pt">
              <v:stroke joinstyle="miter"/>
            </v:line>
          </w:pict>
        </mc:Fallback>
      </mc:AlternateContent>
    </w:r>
  </w:p>
  <w:p w14:paraId="1112CE78" w14:textId="7114BF4D" w:rsidR="00291DC2" w:rsidRPr="00CB3BFA" w:rsidRDefault="00291DC2" w:rsidP="00C8516B">
    <w:pPr>
      <w:pStyle w:val="Encabezado"/>
      <w:tabs>
        <w:tab w:val="left" w:pos="6023"/>
        <w:tab w:val="right" w:pos="6996"/>
      </w:tabs>
      <w:jc w:val="center"/>
      <w:rPr>
        <w:rFonts w:ascii="Encode Sans Medium" w:hAnsi="Encode Sans Medium" w:cs="DIN Pro Bold"/>
        <w:sz w:val="24"/>
        <w:szCs w:val="24"/>
      </w:rPr>
    </w:pPr>
    <w:r>
      <w:rPr>
        <w:rFonts w:ascii="Encode Sans" w:hAnsi="Encode Sans" w:cs="DIN Pro Bold"/>
        <w:sz w:val="24"/>
        <w:szCs w:val="24"/>
      </w:rPr>
      <w:t xml:space="preserve">                                                                                                          </w:t>
    </w:r>
    <w:r w:rsidRPr="00CB3BFA">
      <w:rPr>
        <w:rFonts w:ascii="Encode Sans Medium" w:hAnsi="Encode Sans Medium" w:cs="DIN Pro Bold"/>
        <w:sz w:val="24"/>
        <w:szCs w:val="24"/>
      </w:rPr>
      <w:t>TERCER TRIMESTRE    2022</w:t>
    </w:r>
  </w:p>
  <w:p w14:paraId="01253CE7" w14:textId="0ED84FBD" w:rsidR="00291DC2" w:rsidRDefault="00291DC2" w:rsidP="007E3A4C">
    <w:pPr>
      <w:pStyle w:val="Encabezado"/>
      <w:tabs>
        <w:tab w:val="left" w:pos="6023"/>
        <w:tab w:val="right" w:pos="6996"/>
      </w:tabs>
      <w:jc w:val="right"/>
      <w:rPr>
        <w:rFonts w:ascii="HelveticaNeueLT Std Lt" w:hAnsi="HelveticaNeueLT Std Lt" w:cs="DIN Pro Bold"/>
        <w:b/>
        <w:sz w:val="24"/>
        <w:szCs w:val="24"/>
      </w:rPr>
    </w:pPr>
    <w:r>
      <w:rPr>
        <w:rFonts w:ascii="HelveticaNeueLT Std Lt" w:hAnsi="HelveticaNeueLT Std Lt" w:cs="Arial"/>
        <w:b/>
        <w:noProof/>
        <w:lang w:eastAsia="es-MX"/>
      </w:rPr>
      <mc:AlternateContent>
        <mc:Choice Requires="wps">
          <w:drawing>
            <wp:anchor distT="0" distB="0" distL="114300" distR="114300" simplePos="0" relativeHeight="251687424" behindDoc="0" locked="0" layoutInCell="1" allowOverlap="1" wp14:anchorId="5C8F0EF5" wp14:editId="29CE19A0">
              <wp:simplePos x="0" y="0"/>
              <wp:positionH relativeFrom="column">
                <wp:posOffset>-157480</wp:posOffset>
              </wp:positionH>
              <wp:positionV relativeFrom="paragraph">
                <wp:posOffset>218440</wp:posOffset>
              </wp:positionV>
              <wp:extent cx="6192000" cy="0"/>
              <wp:effectExtent l="0" t="0" r="37465" b="19050"/>
              <wp:wrapNone/>
              <wp:docPr id="15" name="Conector recto 15"/>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EA5358" id="Conector recto 1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7.2pt" to="475.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" strokecolor="#bc955c" strokeweight="2pt">
              <v:stroke joinstyle="miter"/>
            </v:line>
          </w:pict>
        </mc:Fallback>
      </mc:AlternateContent>
    </w:r>
  </w:p>
  <w:p w14:paraId="0C9E1574" w14:textId="5632F84A" w:rsidR="00291DC2" w:rsidRPr="007E2776" w:rsidRDefault="00291DC2" w:rsidP="007E3A4C">
    <w:pPr>
      <w:pStyle w:val="Encabezado"/>
      <w:tabs>
        <w:tab w:val="left" w:pos="6023"/>
        <w:tab w:val="right" w:pos="6996"/>
      </w:tabs>
      <w:jc w:val="right"/>
      <w:rPr>
        <w:rFonts w:ascii="DIN Pro Bold" w:hAnsi="DIN Pro Bold" w:cs="DIN Pro Bold"/>
        <w:b/>
        <w:sz w:val="2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6544" w14:textId="0ADD2F17" w:rsidR="00291DC2" w:rsidRDefault="00A438A4" w:rsidP="00D617AF">
    <w:pPr>
      <w:pStyle w:val="Encabezado"/>
      <w:tabs>
        <w:tab w:val="left" w:pos="1670"/>
        <w:tab w:val="center" w:pos="4702"/>
      </w:tabs>
      <w:rPr>
        <w:rFonts w:ascii="Arial" w:hAnsi="Arial" w:cs="Arial"/>
        <w:sz w:val="28"/>
      </w:rPr>
    </w:pPr>
    <w:r>
      <w:rPr>
        <w:rFonts w:ascii="HelveticaNeueLT Std Lt" w:hAnsi="HelveticaNeueLT Std Lt" w:cs="Arial"/>
        <w:b/>
        <w:noProof/>
        <w:sz w:val="28"/>
        <w:lang w:eastAsia="es-MX"/>
      </w:rPr>
      <w:drawing>
        <wp:anchor distT="0" distB="0" distL="114300" distR="114300" simplePos="0" relativeHeight="251658240" behindDoc="0" locked="0" layoutInCell="1" allowOverlap="1" wp14:anchorId="3BB39AE7" wp14:editId="62644B69">
          <wp:simplePos x="0" y="0"/>
          <wp:positionH relativeFrom="margin">
            <wp:posOffset>-431800</wp:posOffset>
          </wp:positionH>
          <wp:positionV relativeFrom="paragraph">
            <wp:posOffset>-80645</wp:posOffset>
          </wp:positionV>
          <wp:extent cx="1985010" cy="75628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5010" cy="756285"/>
                  </a:xfrm>
                  <a:prstGeom prst="rect">
                    <a:avLst/>
                  </a:prstGeom>
                </pic:spPr>
              </pic:pic>
            </a:graphicData>
          </a:graphic>
          <wp14:sizeRelH relativeFrom="margin">
            <wp14:pctWidth>0</wp14:pctWidth>
          </wp14:sizeRelH>
          <wp14:sizeRelV relativeFrom="margin">
            <wp14:pctHeight>0</wp14:pctHeight>
          </wp14:sizeRelV>
        </wp:anchor>
      </w:drawing>
    </w:r>
    <w:r w:rsidR="00291DC2">
      <w:rPr>
        <w:rFonts w:ascii="Arial" w:hAnsi="Arial" w:cs="Arial"/>
        <w:sz w:val="28"/>
      </w:rPr>
      <w:tab/>
      <w:t xml:space="preserve">                                            </w:t>
    </w:r>
  </w:p>
  <w:p w14:paraId="3699BD3B" w14:textId="7ACD2029" w:rsidR="00291DC2" w:rsidRDefault="00291DC2" w:rsidP="00F64304">
    <w:pPr>
      <w:pStyle w:val="Encabezado"/>
      <w:rPr>
        <w:rFonts w:ascii="Encode Sans Medium" w:hAnsi="Encode Sans Medium" w:cs="DIN Pro Bold"/>
        <w:sz w:val="24"/>
        <w:szCs w:val="24"/>
      </w:rPr>
    </w:pPr>
    <w:r>
      <w:rPr>
        <w:rFonts w:ascii="Encode Sans" w:hAnsi="Encode Sans" w:cs="DIN Pro Bold"/>
        <w:noProof/>
        <w:sz w:val="24"/>
        <w:szCs w:val="24"/>
        <w:lang w:eastAsia="es-MX"/>
      </w:rPr>
      <mc:AlternateContent>
        <mc:Choice Requires="wps">
          <w:drawing>
            <wp:anchor distT="0" distB="0" distL="114300" distR="114300" simplePos="0" relativeHeight="251660288" behindDoc="0" locked="0" layoutInCell="1" allowOverlap="1" wp14:anchorId="272B2B6A" wp14:editId="75849FB0">
              <wp:simplePos x="0" y="0"/>
              <wp:positionH relativeFrom="column">
                <wp:posOffset>5613069</wp:posOffset>
              </wp:positionH>
              <wp:positionV relativeFrom="paragraph">
                <wp:posOffset>92710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4CEB6E"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1.95pt,7.3pt" to="441.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" strokecolor="#bc955c" strokeweight="1.25pt">
              <v:stroke joinstyle="miter"/>
            </v:line>
          </w:pict>
        </mc:Fallback>
      </mc:AlternateContent>
    </w:r>
    <w:r w:rsidRPr="00476DA1">
      <w:rPr>
        <w:rFonts w:ascii="Encode Sans" w:hAnsi="Encode Sans" w:cs="DIN Pro Bold"/>
        <w:sz w:val="24"/>
        <w:szCs w:val="24"/>
      </w:rPr>
      <w:t xml:space="preserve">        </w:t>
    </w:r>
    <w:r>
      <w:rPr>
        <w:rFonts w:ascii="Encode Sans" w:hAnsi="Encode Sans" w:cs="DIN Pro Bold"/>
        <w:sz w:val="24"/>
        <w:szCs w:val="24"/>
      </w:rPr>
      <w:t xml:space="preserve">    </w:t>
    </w:r>
    <w:r w:rsidR="00A438A4">
      <w:rPr>
        <w:rFonts w:ascii="Encode Sans" w:hAnsi="Encode Sans" w:cs="DIN Pro Bold"/>
        <w:sz w:val="24"/>
        <w:szCs w:val="24"/>
      </w:rPr>
      <w:tab/>
    </w:r>
    <w:r w:rsidRPr="00CB3BFA">
      <w:rPr>
        <w:rFonts w:ascii="Encode Sans Medium" w:hAnsi="Encode Sans Medium" w:cs="DIN Pro Bold"/>
        <w:sz w:val="24"/>
        <w:szCs w:val="24"/>
      </w:rPr>
      <w:t>PODER EJECUTIVO</w:t>
    </w:r>
  </w:p>
  <w:p w14:paraId="019AEC38" w14:textId="7FBE438F" w:rsidR="00291DC2" w:rsidRPr="007A6147" w:rsidRDefault="00291DC2" w:rsidP="007A6147">
    <w:pPr>
      <w:pStyle w:val="Encabezado"/>
      <w:jc w:val="right"/>
      <w:rPr>
        <w:rFonts w:ascii="Encode Sans Medium" w:hAnsi="Encode Sans Medium" w:cs="DIN Pro Bold"/>
        <w:szCs w:val="24"/>
      </w:rPr>
    </w:pPr>
    <w:r>
      <w:rPr>
        <w:rFonts w:ascii="Encode Sans Medium" w:hAnsi="Encode Sans Medium" w:cs="DIN Pro Bold"/>
        <w:szCs w:val="24"/>
      </w:rPr>
      <w:t xml:space="preserve">     4º.</w:t>
    </w:r>
    <w:r w:rsidRPr="007A6147">
      <w:rPr>
        <w:rFonts w:ascii="Encode Sans Medium" w:hAnsi="Encode Sans Medium" w:cs="DIN Pro Bold"/>
        <w:szCs w:val="24"/>
      </w:rPr>
      <w:t xml:space="preserve"> TRIMESTRE</w:t>
    </w:r>
    <w:r>
      <w:rPr>
        <w:rFonts w:ascii="Encode Sans Medium" w:hAnsi="Encode Sans Medium" w:cs="DIN Pro Bold"/>
        <w:szCs w:val="24"/>
      </w:rPr>
      <w:t xml:space="preserve">   </w:t>
    </w:r>
    <w:r w:rsidRPr="007A6147">
      <w:rPr>
        <w:rFonts w:ascii="Encode Sans Medium" w:hAnsi="Encode Sans Medium" w:cs="DIN Pro Bold"/>
        <w:szCs w:val="24"/>
      </w:rPr>
      <w:t xml:space="preserve"> 2022</w:t>
    </w:r>
  </w:p>
  <w:p w14:paraId="22AFF72C" w14:textId="77777777" w:rsidR="00291DC2" w:rsidRDefault="00291DC2" w:rsidP="00907108">
    <w:pPr>
      <w:pStyle w:val="Encabezado"/>
      <w:jc w:val="center"/>
      <w:rPr>
        <w:rFonts w:ascii="HelveticaNeueLT Std Lt" w:hAnsi="HelveticaNeueLT Std Lt" w:cs="Arial"/>
        <w:b/>
      </w:rPr>
    </w:pPr>
  </w:p>
  <w:p w14:paraId="3FCBEBC0" w14:textId="3ED4F58E" w:rsidR="00291DC2" w:rsidRDefault="00291DC2" w:rsidP="00907108">
    <w:pPr>
      <w:pStyle w:val="Encabezado"/>
      <w:jc w:val="center"/>
      <w:rPr>
        <w:rFonts w:ascii="HelveticaNeueLT Std Lt" w:hAnsi="HelveticaNeueLT Std Lt" w:cs="Arial"/>
        <w:b/>
      </w:rPr>
    </w:pPr>
    <w:r>
      <w:rPr>
        <w:rFonts w:ascii="HelveticaNeueLT Std Lt" w:hAnsi="HelveticaNeueLT Std Lt" w:cs="Arial"/>
        <w:b/>
        <w:noProof/>
        <w:lang w:eastAsia="es-MX"/>
      </w:rPr>
      <mc:AlternateContent>
        <mc:Choice Requires="wps">
          <w:drawing>
            <wp:anchor distT="0" distB="0" distL="114300" distR="114300" simplePos="0" relativeHeight="251682304" behindDoc="0" locked="0" layoutInCell="1" allowOverlap="1" wp14:anchorId="74409F46" wp14:editId="391D661C">
              <wp:simplePos x="0" y="0"/>
              <wp:positionH relativeFrom="column">
                <wp:posOffset>-134289</wp:posOffset>
              </wp:positionH>
              <wp:positionV relativeFrom="paragraph">
                <wp:posOffset>66040</wp:posOffset>
              </wp:positionV>
              <wp:extent cx="6192000" cy="0"/>
              <wp:effectExtent l="0" t="0" r="37465" b="19050"/>
              <wp:wrapNone/>
              <wp:docPr id="12" name="Conector recto 12"/>
              <wp:cNvGraphicFramePr/>
              <a:graphic xmlns:a="http://schemas.openxmlformats.org/drawingml/2006/main">
                <a:graphicData uri="http://schemas.microsoft.com/office/word/2010/wordprocessingShape">
                  <wps:wsp>
                    <wps:cNvCnPr/>
                    <wps:spPr>
                      <a:xfrm>
                        <a:off x="0" y="0"/>
                        <a:ext cx="6192000"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76EF56" id="Conector recto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5.2pt" to="4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" strokecolor="#bc955c"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C6"/>
    <w:multiLevelType w:val="hybridMultilevel"/>
    <w:tmpl w:val="FB105AA6"/>
    <w:lvl w:ilvl="0" w:tplc="16807BCC">
      <w:start w:val="1"/>
      <w:numFmt w:val="lowerLetter"/>
      <w:lvlText w:val="%1)"/>
      <w:lvlJc w:val="left"/>
      <w:pPr>
        <w:ind w:left="360" w:hanging="360"/>
      </w:pPr>
      <w:rPr>
        <w:rFonts w:hint="default"/>
      </w:rPr>
    </w:lvl>
    <w:lvl w:ilvl="1" w:tplc="16807BCC">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0BF58B8"/>
    <w:multiLevelType w:val="multilevel"/>
    <w:tmpl w:val="E784358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081114"/>
    <w:multiLevelType w:val="hybridMultilevel"/>
    <w:tmpl w:val="93964D74"/>
    <w:lvl w:ilvl="0" w:tplc="FF3646EE">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593B13"/>
    <w:multiLevelType w:val="hybridMultilevel"/>
    <w:tmpl w:val="F97A839C"/>
    <w:lvl w:ilvl="0" w:tplc="E14CD124">
      <w:start w:val="1"/>
      <w:numFmt w:val="upperRoman"/>
      <w:lvlText w:val="%1."/>
      <w:lvlJc w:val="left"/>
      <w:pPr>
        <w:ind w:left="1008" w:hanging="360"/>
      </w:pPr>
      <w:rPr>
        <w:rFonts w:hint="default"/>
        <w:sz w:val="18"/>
        <w:szCs w:val="18"/>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034A4CA4"/>
    <w:multiLevelType w:val="hybridMultilevel"/>
    <w:tmpl w:val="55E221C8"/>
    <w:lvl w:ilvl="0" w:tplc="080A000F">
      <w:start w:val="8"/>
      <w:numFmt w:val="decimal"/>
      <w:lvlText w:val="%1."/>
      <w:lvlJc w:val="left"/>
      <w:pPr>
        <w:ind w:left="1006" w:hanging="360"/>
      </w:pPr>
      <w:rPr>
        <w:rFonts w:hint="default"/>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5">
    <w:nsid w:val="093558B7"/>
    <w:multiLevelType w:val="hybridMultilevel"/>
    <w:tmpl w:val="A01A78D4"/>
    <w:lvl w:ilvl="0" w:tplc="DB2E32B4">
      <w:start w:val="3"/>
      <w:numFmt w:val="decimal"/>
      <w:lvlText w:val="%1."/>
      <w:lvlJc w:val="left"/>
      <w:pPr>
        <w:ind w:left="360" w:hanging="360"/>
      </w:pPr>
      <w:rPr>
        <w:rFonts w:asciiTheme="minorHAnsi" w:hAnsiTheme="minorHAnsi" w:cstheme="minorHAnsi"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434260"/>
    <w:multiLevelType w:val="hybridMultilevel"/>
    <w:tmpl w:val="3DC4056C"/>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nsid w:val="0B7819E8"/>
    <w:multiLevelType w:val="hybridMultilevel"/>
    <w:tmpl w:val="BB728310"/>
    <w:lvl w:ilvl="0" w:tplc="74BA6CAC">
      <w:start w:val="1"/>
      <w:numFmt w:val="upperRoman"/>
      <w:lvlText w:val="%1."/>
      <w:lvlJc w:val="right"/>
      <w:pPr>
        <w:ind w:left="1080" w:hanging="360"/>
      </w:pPr>
      <w:rPr>
        <w:rFonts w:hint="default"/>
        <w:sz w:val="18"/>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0E55D1C"/>
    <w:multiLevelType w:val="hybridMultilevel"/>
    <w:tmpl w:val="D0C822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AB7BF9"/>
    <w:multiLevelType w:val="hybridMultilevel"/>
    <w:tmpl w:val="490A9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D54C4B"/>
    <w:multiLevelType w:val="hybridMultilevel"/>
    <w:tmpl w:val="A41A2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260BAC"/>
    <w:multiLevelType w:val="hybridMultilevel"/>
    <w:tmpl w:val="5D422E1C"/>
    <w:lvl w:ilvl="0" w:tplc="A1D29CA2">
      <w:start w:val="2"/>
      <w:numFmt w:val="decimal"/>
      <w:lvlText w:val="%1."/>
      <w:lvlJc w:val="left"/>
      <w:pPr>
        <w:ind w:left="720" w:hanging="360"/>
      </w:pPr>
      <w:rPr>
        <w:rFonts w:ascii="HelveticaNeueLT Std" w:hAnsi="HelveticaNeueLT Std"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B221DA"/>
    <w:multiLevelType w:val="hybridMultilevel"/>
    <w:tmpl w:val="C664A270"/>
    <w:lvl w:ilvl="0" w:tplc="4B86D036">
      <w:start w:val="2"/>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1679C5"/>
    <w:multiLevelType w:val="hybridMultilevel"/>
    <w:tmpl w:val="025CFC36"/>
    <w:lvl w:ilvl="0" w:tplc="4FDC2C86">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685E1E"/>
    <w:multiLevelType w:val="hybridMultilevel"/>
    <w:tmpl w:val="8BF02248"/>
    <w:lvl w:ilvl="0" w:tplc="B3CA0260">
      <w:start w:val="28"/>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892529"/>
    <w:multiLevelType w:val="hybridMultilevel"/>
    <w:tmpl w:val="119040BC"/>
    <w:lvl w:ilvl="0" w:tplc="783AD6D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7E78D9"/>
    <w:multiLevelType w:val="hybridMultilevel"/>
    <w:tmpl w:val="6504C008"/>
    <w:lvl w:ilvl="0" w:tplc="BF90759C">
      <w:start w:val="7"/>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DC5245C"/>
    <w:multiLevelType w:val="hybridMultilevel"/>
    <w:tmpl w:val="5E988C50"/>
    <w:lvl w:ilvl="0" w:tplc="DC1A61E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5F611A"/>
    <w:multiLevelType w:val="hybridMultilevel"/>
    <w:tmpl w:val="DFC66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F7A1C"/>
    <w:multiLevelType w:val="hybridMultilevel"/>
    <w:tmpl w:val="5FD294D4"/>
    <w:lvl w:ilvl="0" w:tplc="D0282BB0">
      <w:start w:val="28"/>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2443DE"/>
    <w:multiLevelType w:val="hybridMultilevel"/>
    <w:tmpl w:val="F418E97A"/>
    <w:lvl w:ilvl="0" w:tplc="55F89EB4">
      <w:start w:val="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1854EDA"/>
    <w:multiLevelType w:val="multilevel"/>
    <w:tmpl w:val="E1562BFC"/>
    <w:lvl w:ilvl="0">
      <w:start w:val="1"/>
      <w:numFmt w:val="upperRoman"/>
      <w:lvlText w:val="%1."/>
      <w:lvlJc w:val="righ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2">
    <w:nsid w:val="44B51AF4"/>
    <w:multiLevelType w:val="hybridMultilevel"/>
    <w:tmpl w:val="7F30BEF4"/>
    <w:lvl w:ilvl="0" w:tplc="839802CC">
      <w:start w:val="3"/>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nsid w:val="49B84E07"/>
    <w:multiLevelType w:val="hybridMultilevel"/>
    <w:tmpl w:val="04AA5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D47162"/>
    <w:multiLevelType w:val="hybridMultilevel"/>
    <w:tmpl w:val="2DE04528"/>
    <w:lvl w:ilvl="0" w:tplc="284E7D80">
      <w:start w:val="5"/>
      <w:numFmt w:val="bullet"/>
      <w:lvlText w:val=""/>
      <w:lvlJc w:val="left"/>
      <w:pPr>
        <w:ind w:left="720" w:hanging="360"/>
      </w:pPr>
      <w:rPr>
        <w:rFonts w:ascii="Symbol" w:eastAsia="Calibri" w:hAnsi="Symbol" w:cs="DIN Pro 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D8D5139"/>
    <w:multiLevelType w:val="hybridMultilevel"/>
    <w:tmpl w:val="54B88B1E"/>
    <w:lvl w:ilvl="0" w:tplc="A270280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6A04CA"/>
    <w:multiLevelType w:val="multilevel"/>
    <w:tmpl w:val="3B20C0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1F03D0D"/>
    <w:multiLevelType w:val="multilevel"/>
    <w:tmpl w:val="948416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6A3B33"/>
    <w:multiLevelType w:val="hybridMultilevel"/>
    <w:tmpl w:val="89D65EFE"/>
    <w:lvl w:ilvl="0" w:tplc="2D1E208A">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AA2769"/>
    <w:multiLevelType w:val="multilevel"/>
    <w:tmpl w:val="67E673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B832FC"/>
    <w:multiLevelType w:val="hybridMultilevel"/>
    <w:tmpl w:val="47B6935A"/>
    <w:lvl w:ilvl="0" w:tplc="080A000F">
      <w:start w:val="1"/>
      <w:numFmt w:val="decimal"/>
      <w:lvlText w:val="%1."/>
      <w:lvlJc w:val="left"/>
      <w:pPr>
        <w:ind w:left="720" w:hanging="360"/>
      </w:pPr>
    </w:lvl>
    <w:lvl w:ilvl="1" w:tplc="65A853F4">
      <w:start w:val="2"/>
      <w:numFmt w:val="bullet"/>
      <w:lvlText w:val=""/>
      <w:lvlJc w:val="left"/>
      <w:pPr>
        <w:ind w:left="1440" w:hanging="360"/>
      </w:pPr>
      <w:rPr>
        <w:rFonts w:ascii="Symbol" w:eastAsia="Cambria" w:hAnsi="Symbol" w:cs="Times New Roman" w:hint="default"/>
        <w:i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5FA33CC4"/>
    <w:multiLevelType w:val="hybridMultilevel"/>
    <w:tmpl w:val="61125F1C"/>
    <w:lvl w:ilvl="0" w:tplc="0F188B4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590F69"/>
    <w:multiLevelType w:val="multilevel"/>
    <w:tmpl w:val="B8948636"/>
    <w:lvl w:ilvl="0">
      <w:start w:val="2"/>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39B08BA"/>
    <w:multiLevelType w:val="hybridMultilevel"/>
    <w:tmpl w:val="F916442E"/>
    <w:lvl w:ilvl="0" w:tplc="080A000F">
      <w:start w:val="1"/>
      <w:numFmt w:val="decimal"/>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689D0D53"/>
    <w:multiLevelType w:val="hybridMultilevel"/>
    <w:tmpl w:val="866C4D32"/>
    <w:lvl w:ilvl="0" w:tplc="E14CD124">
      <w:start w:val="1"/>
      <w:numFmt w:val="upperRoman"/>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BB27D0"/>
    <w:multiLevelType w:val="multilevel"/>
    <w:tmpl w:val="F2DA3C9E"/>
    <w:lvl w:ilvl="0">
      <w:start w:val="2"/>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F6658FC"/>
    <w:multiLevelType w:val="hybridMultilevel"/>
    <w:tmpl w:val="ED78AD46"/>
    <w:lvl w:ilvl="0" w:tplc="2D1E2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847077"/>
    <w:multiLevelType w:val="multilevel"/>
    <w:tmpl w:val="58A4DD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CE0147"/>
    <w:multiLevelType w:val="hybridMultilevel"/>
    <w:tmpl w:val="4E7E9AD6"/>
    <w:lvl w:ilvl="0" w:tplc="AC90841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920EE6"/>
    <w:multiLevelType w:val="hybridMultilevel"/>
    <w:tmpl w:val="4EEE7AF0"/>
    <w:lvl w:ilvl="0" w:tplc="B5E6B73E">
      <w:start w:val="1"/>
      <w:numFmt w:val="low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5951B9"/>
    <w:multiLevelType w:val="hybridMultilevel"/>
    <w:tmpl w:val="0B6EF782"/>
    <w:lvl w:ilvl="0" w:tplc="720EE2C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673A0"/>
    <w:multiLevelType w:val="hybridMultilevel"/>
    <w:tmpl w:val="DFAC88FE"/>
    <w:lvl w:ilvl="0" w:tplc="38BCD5E2">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CA57E6"/>
    <w:multiLevelType w:val="hybridMultilevel"/>
    <w:tmpl w:val="18DAE742"/>
    <w:lvl w:ilvl="0" w:tplc="E64A4A2E">
      <w:start w:val="5"/>
      <w:numFmt w:val="bullet"/>
      <w:lvlText w:val=""/>
      <w:lvlJc w:val="left"/>
      <w:pPr>
        <w:ind w:left="720" w:hanging="360"/>
      </w:pPr>
      <w:rPr>
        <w:rFonts w:ascii="Symbol" w:eastAsia="Calibri" w:hAnsi="Symbol" w:cs="DIN Pro 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C952A8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9F5694"/>
    <w:multiLevelType w:val="hybridMultilevel"/>
    <w:tmpl w:val="98489BA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31"/>
  </w:num>
  <w:num w:numId="3">
    <w:abstractNumId w:val="39"/>
  </w:num>
  <w:num w:numId="4">
    <w:abstractNumId w:val="15"/>
  </w:num>
  <w:num w:numId="5">
    <w:abstractNumId w:val="22"/>
  </w:num>
  <w:num w:numId="6">
    <w:abstractNumId w:val="26"/>
  </w:num>
  <w:num w:numId="7">
    <w:abstractNumId w:val="0"/>
  </w:num>
  <w:num w:numId="8">
    <w:abstractNumId w:val="17"/>
  </w:num>
  <w:num w:numId="9">
    <w:abstractNumId w:val="12"/>
  </w:num>
  <w:num w:numId="10">
    <w:abstractNumId w:val="28"/>
  </w:num>
  <w:num w:numId="11">
    <w:abstractNumId w:val="36"/>
  </w:num>
  <w:num w:numId="12">
    <w:abstractNumId w:val="40"/>
  </w:num>
  <w:num w:numId="13">
    <w:abstractNumId w:val="18"/>
  </w:num>
  <w:num w:numId="14">
    <w:abstractNumId w:val="1"/>
  </w:num>
  <w:num w:numId="15">
    <w:abstractNumId w:val="34"/>
  </w:num>
  <w:num w:numId="1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8"/>
  </w:num>
  <w:num w:numId="19">
    <w:abstractNumId w:val="9"/>
  </w:num>
  <w:num w:numId="20">
    <w:abstractNumId w:val="6"/>
  </w:num>
  <w:num w:numId="21">
    <w:abstractNumId w:val="21"/>
  </w:num>
  <w:num w:numId="22">
    <w:abstractNumId w:val="41"/>
  </w:num>
  <w:num w:numId="23">
    <w:abstractNumId w:val="2"/>
  </w:num>
  <w:num w:numId="24">
    <w:abstractNumId w:val="25"/>
  </w:num>
  <w:num w:numId="25">
    <w:abstractNumId w:val="20"/>
  </w:num>
  <w:num w:numId="26">
    <w:abstractNumId w:val="35"/>
  </w:num>
  <w:num w:numId="27">
    <w:abstractNumId w:val="13"/>
  </w:num>
  <w:num w:numId="28">
    <w:abstractNumId w:val="37"/>
  </w:num>
  <w:num w:numId="29">
    <w:abstractNumId w:val="7"/>
  </w:num>
  <w:num w:numId="30">
    <w:abstractNumId w:val="5"/>
  </w:num>
  <w:num w:numId="31">
    <w:abstractNumId w:val="4"/>
  </w:num>
  <w:num w:numId="32">
    <w:abstractNumId w:val="33"/>
  </w:num>
  <w:num w:numId="33">
    <w:abstractNumId w:val="16"/>
  </w:num>
  <w:num w:numId="34">
    <w:abstractNumId w:val="3"/>
  </w:num>
  <w:num w:numId="35">
    <w:abstractNumId w:val="29"/>
  </w:num>
  <w:num w:numId="36">
    <w:abstractNumId w:val="27"/>
  </w:num>
  <w:num w:numId="37">
    <w:abstractNumId w:val="32"/>
  </w:num>
  <w:num w:numId="38">
    <w:abstractNumId w:val="42"/>
  </w:num>
  <w:num w:numId="39">
    <w:abstractNumId w:val="24"/>
  </w:num>
  <w:num w:numId="40">
    <w:abstractNumId w:val="14"/>
  </w:num>
  <w:num w:numId="41">
    <w:abstractNumId w:val="19"/>
  </w:num>
  <w:num w:numId="42">
    <w:abstractNumId w:val="10"/>
  </w:num>
  <w:num w:numId="43">
    <w:abstractNumId w:val="8"/>
  </w:num>
  <w:num w:numId="44">
    <w:abstractNumId w:val="23"/>
  </w:num>
  <w:num w:numId="4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001"/>
    <w:rsid w:val="00001951"/>
    <w:rsid w:val="00002C30"/>
    <w:rsid w:val="0000377F"/>
    <w:rsid w:val="00004066"/>
    <w:rsid w:val="000044C0"/>
    <w:rsid w:val="00004603"/>
    <w:rsid w:val="00004727"/>
    <w:rsid w:val="00004A07"/>
    <w:rsid w:val="0000501B"/>
    <w:rsid w:val="000052AF"/>
    <w:rsid w:val="00005881"/>
    <w:rsid w:val="000064C0"/>
    <w:rsid w:val="00007A8B"/>
    <w:rsid w:val="00011A77"/>
    <w:rsid w:val="000128A6"/>
    <w:rsid w:val="000128DD"/>
    <w:rsid w:val="00013B93"/>
    <w:rsid w:val="00016C4F"/>
    <w:rsid w:val="00016D73"/>
    <w:rsid w:val="00017B64"/>
    <w:rsid w:val="00022289"/>
    <w:rsid w:val="00022A83"/>
    <w:rsid w:val="00022DD2"/>
    <w:rsid w:val="00024B19"/>
    <w:rsid w:val="00025207"/>
    <w:rsid w:val="0003211B"/>
    <w:rsid w:val="00034C52"/>
    <w:rsid w:val="000350E3"/>
    <w:rsid w:val="000368A3"/>
    <w:rsid w:val="00040466"/>
    <w:rsid w:val="00040F0F"/>
    <w:rsid w:val="00041E4C"/>
    <w:rsid w:val="00043DCF"/>
    <w:rsid w:val="000441C0"/>
    <w:rsid w:val="0004437B"/>
    <w:rsid w:val="0004471C"/>
    <w:rsid w:val="0004649B"/>
    <w:rsid w:val="000501AA"/>
    <w:rsid w:val="0005068B"/>
    <w:rsid w:val="0005189B"/>
    <w:rsid w:val="0005214F"/>
    <w:rsid w:val="0005368F"/>
    <w:rsid w:val="00056BDD"/>
    <w:rsid w:val="00057597"/>
    <w:rsid w:val="000616DD"/>
    <w:rsid w:val="000620CC"/>
    <w:rsid w:val="00064173"/>
    <w:rsid w:val="00064B67"/>
    <w:rsid w:val="00064EDC"/>
    <w:rsid w:val="00065E94"/>
    <w:rsid w:val="0006786A"/>
    <w:rsid w:val="00070DBD"/>
    <w:rsid w:val="0007447E"/>
    <w:rsid w:val="0007549D"/>
    <w:rsid w:val="000803D2"/>
    <w:rsid w:val="00082482"/>
    <w:rsid w:val="00082553"/>
    <w:rsid w:val="000825A2"/>
    <w:rsid w:val="00082889"/>
    <w:rsid w:val="00082F2C"/>
    <w:rsid w:val="0008481F"/>
    <w:rsid w:val="00084A14"/>
    <w:rsid w:val="00084CD5"/>
    <w:rsid w:val="00084E4C"/>
    <w:rsid w:val="00086675"/>
    <w:rsid w:val="000908A0"/>
    <w:rsid w:val="00091CFC"/>
    <w:rsid w:val="000923A5"/>
    <w:rsid w:val="000928B8"/>
    <w:rsid w:val="0009322F"/>
    <w:rsid w:val="0009335F"/>
    <w:rsid w:val="00094E52"/>
    <w:rsid w:val="0009559B"/>
    <w:rsid w:val="00095ACA"/>
    <w:rsid w:val="00096139"/>
    <w:rsid w:val="000969C5"/>
    <w:rsid w:val="00097C11"/>
    <w:rsid w:val="00097C29"/>
    <w:rsid w:val="000A066E"/>
    <w:rsid w:val="000A0FF4"/>
    <w:rsid w:val="000A13A0"/>
    <w:rsid w:val="000A1B50"/>
    <w:rsid w:val="000A4638"/>
    <w:rsid w:val="000A4F7B"/>
    <w:rsid w:val="000A53D1"/>
    <w:rsid w:val="000A5B2E"/>
    <w:rsid w:val="000A6616"/>
    <w:rsid w:val="000A692A"/>
    <w:rsid w:val="000A695F"/>
    <w:rsid w:val="000A77E6"/>
    <w:rsid w:val="000A78B1"/>
    <w:rsid w:val="000A79CD"/>
    <w:rsid w:val="000A7FE3"/>
    <w:rsid w:val="000B02D6"/>
    <w:rsid w:val="000B0A18"/>
    <w:rsid w:val="000B2900"/>
    <w:rsid w:val="000B2F9A"/>
    <w:rsid w:val="000B3FF6"/>
    <w:rsid w:val="000B544D"/>
    <w:rsid w:val="000B5805"/>
    <w:rsid w:val="000B588E"/>
    <w:rsid w:val="000C09EB"/>
    <w:rsid w:val="000C20BD"/>
    <w:rsid w:val="000C212D"/>
    <w:rsid w:val="000C22BB"/>
    <w:rsid w:val="000C2C4B"/>
    <w:rsid w:val="000C4919"/>
    <w:rsid w:val="000C5510"/>
    <w:rsid w:val="000C7859"/>
    <w:rsid w:val="000D1459"/>
    <w:rsid w:val="000D15E5"/>
    <w:rsid w:val="000D3337"/>
    <w:rsid w:val="000D368C"/>
    <w:rsid w:val="000D3C35"/>
    <w:rsid w:val="000D5252"/>
    <w:rsid w:val="000D5EFE"/>
    <w:rsid w:val="000D6054"/>
    <w:rsid w:val="000D6A43"/>
    <w:rsid w:val="000D6AE5"/>
    <w:rsid w:val="000E064F"/>
    <w:rsid w:val="000E13F2"/>
    <w:rsid w:val="000E1666"/>
    <w:rsid w:val="000E20EB"/>
    <w:rsid w:val="000E2FE0"/>
    <w:rsid w:val="000E3AB8"/>
    <w:rsid w:val="000E3D7B"/>
    <w:rsid w:val="000E4BF4"/>
    <w:rsid w:val="000E60FC"/>
    <w:rsid w:val="000E639F"/>
    <w:rsid w:val="000E6439"/>
    <w:rsid w:val="000E7075"/>
    <w:rsid w:val="000E7CDD"/>
    <w:rsid w:val="000F2AF8"/>
    <w:rsid w:val="000F2B2D"/>
    <w:rsid w:val="000F3AAD"/>
    <w:rsid w:val="000F5346"/>
    <w:rsid w:val="000F5E8E"/>
    <w:rsid w:val="000F7F51"/>
    <w:rsid w:val="00100166"/>
    <w:rsid w:val="00101260"/>
    <w:rsid w:val="00101A53"/>
    <w:rsid w:val="0010398F"/>
    <w:rsid w:val="00105C75"/>
    <w:rsid w:val="00106F0B"/>
    <w:rsid w:val="00106F9F"/>
    <w:rsid w:val="00107AD4"/>
    <w:rsid w:val="001102B4"/>
    <w:rsid w:val="00111D22"/>
    <w:rsid w:val="001121E3"/>
    <w:rsid w:val="0011269B"/>
    <w:rsid w:val="0011306D"/>
    <w:rsid w:val="00113935"/>
    <w:rsid w:val="00113C34"/>
    <w:rsid w:val="001141E3"/>
    <w:rsid w:val="001142BB"/>
    <w:rsid w:val="001146C7"/>
    <w:rsid w:val="001152FF"/>
    <w:rsid w:val="00116523"/>
    <w:rsid w:val="00116CD1"/>
    <w:rsid w:val="00121086"/>
    <w:rsid w:val="00121935"/>
    <w:rsid w:val="0012267C"/>
    <w:rsid w:val="00122A92"/>
    <w:rsid w:val="0013011C"/>
    <w:rsid w:val="001313DB"/>
    <w:rsid w:val="001315CE"/>
    <w:rsid w:val="0013312A"/>
    <w:rsid w:val="00134EDE"/>
    <w:rsid w:val="00136F28"/>
    <w:rsid w:val="001372BD"/>
    <w:rsid w:val="00140B46"/>
    <w:rsid w:val="00141B65"/>
    <w:rsid w:val="00146AC6"/>
    <w:rsid w:val="001474EA"/>
    <w:rsid w:val="00150B53"/>
    <w:rsid w:val="00152B47"/>
    <w:rsid w:val="0015571B"/>
    <w:rsid w:val="00156B52"/>
    <w:rsid w:val="00160502"/>
    <w:rsid w:val="0016099A"/>
    <w:rsid w:val="00162F3A"/>
    <w:rsid w:val="00163C54"/>
    <w:rsid w:val="00163D6C"/>
    <w:rsid w:val="001655D3"/>
    <w:rsid w:val="001656A9"/>
    <w:rsid w:val="00165814"/>
    <w:rsid w:val="00166B2D"/>
    <w:rsid w:val="00170F2A"/>
    <w:rsid w:val="0017153B"/>
    <w:rsid w:val="00172013"/>
    <w:rsid w:val="00174108"/>
    <w:rsid w:val="001741C8"/>
    <w:rsid w:val="00176872"/>
    <w:rsid w:val="001769F0"/>
    <w:rsid w:val="00177655"/>
    <w:rsid w:val="00180714"/>
    <w:rsid w:val="00180E5C"/>
    <w:rsid w:val="00181642"/>
    <w:rsid w:val="001819BD"/>
    <w:rsid w:val="001823C5"/>
    <w:rsid w:val="00184072"/>
    <w:rsid w:val="0018416F"/>
    <w:rsid w:val="00184B32"/>
    <w:rsid w:val="00184D21"/>
    <w:rsid w:val="00185224"/>
    <w:rsid w:val="0018666F"/>
    <w:rsid w:val="00186C07"/>
    <w:rsid w:val="00186F82"/>
    <w:rsid w:val="00192239"/>
    <w:rsid w:val="001926FF"/>
    <w:rsid w:val="00192852"/>
    <w:rsid w:val="00192923"/>
    <w:rsid w:val="00192CDA"/>
    <w:rsid w:val="00193DBB"/>
    <w:rsid w:val="0019538E"/>
    <w:rsid w:val="00196063"/>
    <w:rsid w:val="001A00F8"/>
    <w:rsid w:val="001A185F"/>
    <w:rsid w:val="001A28E7"/>
    <w:rsid w:val="001A2BE2"/>
    <w:rsid w:val="001A657E"/>
    <w:rsid w:val="001A7075"/>
    <w:rsid w:val="001B03F0"/>
    <w:rsid w:val="001B1B72"/>
    <w:rsid w:val="001B1F23"/>
    <w:rsid w:val="001B368C"/>
    <w:rsid w:val="001B5AEB"/>
    <w:rsid w:val="001B65AF"/>
    <w:rsid w:val="001B69AF"/>
    <w:rsid w:val="001B734B"/>
    <w:rsid w:val="001B7C10"/>
    <w:rsid w:val="001C0DB5"/>
    <w:rsid w:val="001C1A55"/>
    <w:rsid w:val="001C2F26"/>
    <w:rsid w:val="001C3F37"/>
    <w:rsid w:val="001C46FC"/>
    <w:rsid w:val="001C639B"/>
    <w:rsid w:val="001C6A89"/>
    <w:rsid w:val="001C6FD8"/>
    <w:rsid w:val="001C760F"/>
    <w:rsid w:val="001D0EC3"/>
    <w:rsid w:val="001D1440"/>
    <w:rsid w:val="001D43BD"/>
    <w:rsid w:val="001D4D88"/>
    <w:rsid w:val="001D6AE0"/>
    <w:rsid w:val="001D6F98"/>
    <w:rsid w:val="001D7610"/>
    <w:rsid w:val="001D7822"/>
    <w:rsid w:val="001D7EE8"/>
    <w:rsid w:val="001E05D3"/>
    <w:rsid w:val="001E087A"/>
    <w:rsid w:val="001E1604"/>
    <w:rsid w:val="001E1630"/>
    <w:rsid w:val="001E2701"/>
    <w:rsid w:val="001E3171"/>
    <w:rsid w:val="001E33C6"/>
    <w:rsid w:val="001E4416"/>
    <w:rsid w:val="001E734D"/>
    <w:rsid w:val="001E737D"/>
    <w:rsid w:val="001F00A8"/>
    <w:rsid w:val="001F180F"/>
    <w:rsid w:val="001F1976"/>
    <w:rsid w:val="001F3D5A"/>
    <w:rsid w:val="001F6CC9"/>
    <w:rsid w:val="001F6E9B"/>
    <w:rsid w:val="001F7850"/>
    <w:rsid w:val="001F7A17"/>
    <w:rsid w:val="002017DA"/>
    <w:rsid w:val="002030A0"/>
    <w:rsid w:val="0020310F"/>
    <w:rsid w:val="0020537B"/>
    <w:rsid w:val="00206225"/>
    <w:rsid w:val="00206933"/>
    <w:rsid w:val="0020783A"/>
    <w:rsid w:val="00207C9C"/>
    <w:rsid w:val="00212449"/>
    <w:rsid w:val="002136C1"/>
    <w:rsid w:val="0021440B"/>
    <w:rsid w:val="00214C84"/>
    <w:rsid w:val="002168CE"/>
    <w:rsid w:val="0021737E"/>
    <w:rsid w:val="00220061"/>
    <w:rsid w:val="00221B58"/>
    <w:rsid w:val="00221F80"/>
    <w:rsid w:val="00222093"/>
    <w:rsid w:val="0022296C"/>
    <w:rsid w:val="00222A74"/>
    <w:rsid w:val="00223068"/>
    <w:rsid w:val="00224195"/>
    <w:rsid w:val="00224847"/>
    <w:rsid w:val="00225D43"/>
    <w:rsid w:val="002261FB"/>
    <w:rsid w:val="00227900"/>
    <w:rsid w:val="00227D01"/>
    <w:rsid w:val="00230A1E"/>
    <w:rsid w:val="002315F2"/>
    <w:rsid w:val="00232086"/>
    <w:rsid w:val="00233CD8"/>
    <w:rsid w:val="002348B9"/>
    <w:rsid w:val="00234BFD"/>
    <w:rsid w:val="00234D5D"/>
    <w:rsid w:val="00236391"/>
    <w:rsid w:val="0023660A"/>
    <w:rsid w:val="00237037"/>
    <w:rsid w:val="00240625"/>
    <w:rsid w:val="00240F40"/>
    <w:rsid w:val="0024137D"/>
    <w:rsid w:val="00241903"/>
    <w:rsid w:val="00241D8F"/>
    <w:rsid w:val="0024446D"/>
    <w:rsid w:val="00244705"/>
    <w:rsid w:val="00245207"/>
    <w:rsid w:val="00246E03"/>
    <w:rsid w:val="00247028"/>
    <w:rsid w:val="002472D3"/>
    <w:rsid w:val="00247904"/>
    <w:rsid w:val="0025065D"/>
    <w:rsid w:val="00250D2A"/>
    <w:rsid w:val="00251578"/>
    <w:rsid w:val="00253343"/>
    <w:rsid w:val="00255004"/>
    <w:rsid w:val="002556D0"/>
    <w:rsid w:val="00255C09"/>
    <w:rsid w:val="00256160"/>
    <w:rsid w:val="0025744A"/>
    <w:rsid w:val="00257A02"/>
    <w:rsid w:val="00257AE2"/>
    <w:rsid w:val="00261DD5"/>
    <w:rsid w:val="00262B82"/>
    <w:rsid w:val="00264F1F"/>
    <w:rsid w:val="00265C09"/>
    <w:rsid w:val="00265FD9"/>
    <w:rsid w:val="0026652C"/>
    <w:rsid w:val="00266D9C"/>
    <w:rsid w:val="002716FD"/>
    <w:rsid w:val="00272AEA"/>
    <w:rsid w:val="00272FF2"/>
    <w:rsid w:val="00274BBA"/>
    <w:rsid w:val="00275A38"/>
    <w:rsid w:val="00276A7C"/>
    <w:rsid w:val="00276C9A"/>
    <w:rsid w:val="00277074"/>
    <w:rsid w:val="00277641"/>
    <w:rsid w:val="002778AD"/>
    <w:rsid w:val="00280945"/>
    <w:rsid w:val="0028222E"/>
    <w:rsid w:val="00283828"/>
    <w:rsid w:val="00283D9C"/>
    <w:rsid w:val="00285415"/>
    <w:rsid w:val="00287309"/>
    <w:rsid w:val="00290E6D"/>
    <w:rsid w:val="00291961"/>
    <w:rsid w:val="00291DC2"/>
    <w:rsid w:val="0029211B"/>
    <w:rsid w:val="002927F6"/>
    <w:rsid w:val="00293824"/>
    <w:rsid w:val="00294102"/>
    <w:rsid w:val="002949B5"/>
    <w:rsid w:val="0029599B"/>
    <w:rsid w:val="00295AC0"/>
    <w:rsid w:val="00296078"/>
    <w:rsid w:val="00296411"/>
    <w:rsid w:val="00296E71"/>
    <w:rsid w:val="002A019F"/>
    <w:rsid w:val="002A02A4"/>
    <w:rsid w:val="002A2275"/>
    <w:rsid w:val="002A424E"/>
    <w:rsid w:val="002A43C5"/>
    <w:rsid w:val="002A58A0"/>
    <w:rsid w:val="002A6D06"/>
    <w:rsid w:val="002A70B3"/>
    <w:rsid w:val="002A7599"/>
    <w:rsid w:val="002A7E29"/>
    <w:rsid w:val="002A7F66"/>
    <w:rsid w:val="002B0684"/>
    <w:rsid w:val="002B1226"/>
    <w:rsid w:val="002B1A07"/>
    <w:rsid w:val="002B2215"/>
    <w:rsid w:val="002C32EA"/>
    <w:rsid w:val="002C3BA7"/>
    <w:rsid w:val="002C3F43"/>
    <w:rsid w:val="002C4FA0"/>
    <w:rsid w:val="002C5479"/>
    <w:rsid w:val="002C576A"/>
    <w:rsid w:val="002C6395"/>
    <w:rsid w:val="002C75B9"/>
    <w:rsid w:val="002D015C"/>
    <w:rsid w:val="002D0696"/>
    <w:rsid w:val="002D1422"/>
    <w:rsid w:val="002D202D"/>
    <w:rsid w:val="002D257C"/>
    <w:rsid w:val="002D63C0"/>
    <w:rsid w:val="002D77E0"/>
    <w:rsid w:val="002D7A6B"/>
    <w:rsid w:val="002E1300"/>
    <w:rsid w:val="002E61A4"/>
    <w:rsid w:val="002E62CA"/>
    <w:rsid w:val="002E75EC"/>
    <w:rsid w:val="002F269F"/>
    <w:rsid w:val="002F3062"/>
    <w:rsid w:val="002F3D6E"/>
    <w:rsid w:val="002F4438"/>
    <w:rsid w:val="002F56DC"/>
    <w:rsid w:val="002F5A52"/>
    <w:rsid w:val="002F66C6"/>
    <w:rsid w:val="002F6DBD"/>
    <w:rsid w:val="00301CC0"/>
    <w:rsid w:val="003023BF"/>
    <w:rsid w:val="00303D0D"/>
    <w:rsid w:val="003065E0"/>
    <w:rsid w:val="00306FD6"/>
    <w:rsid w:val="00307E4E"/>
    <w:rsid w:val="003107D9"/>
    <w:rsid w:val="00311181"/>
    <w:rsid w:val="003119AB"/>
    <w:rsid w:val="003126E7"/>
    <w:rsid w:val="003142D7"/>
    <w:rsid w:val="00314530"/>
    <w:rsid w:val="00317C2E"/>
    <w:rsid w:val="00317E99"/>
    <w:rsid w:val="0032021D"/>
    <w:rsid w:val="00321309"/>
    <w:rsid w:val="00322F48"/>
    <w:rsid w:val="003230E9"/>
    <w:rsid w:val="003233F9"/>
    <w:rsid w:val="00323E09"/>
    <w:rsid w:val="00325C86"/>
    <w:rsid w:val="0032672A"/>
    <w:rsid w:val="0032703A"/>
    <w:rsid w:val="003279C6"/>
    <w:rsid w:val="00330416"/>
    <w:rsid w:val="0033058C"/>
    <w:rsid w:val="00330AF2"/>
    <w:rsid w:val="00331509"/>
    <w:rsid w:val="00331E80"/>
    <w:rsid w:val="0033559C"/>
    <w:rsid w:val="00335E76"/>
    <w:rsid w:val="0033648E"/>
    <w:rsid w:val="0033782F"/>
    <w:rsid w:val="00341604"/>
    <w:rsid w:val="00342001"/>
    <w:rsid w:val="00342CA1"/>
    <w:rsid w:val="00343951"/>
    <w:rsid w:val="00343DFF"/>
    <w:rsid w:val="003475FD"/>
    <w:rsid w:val="00351467"/>
    <w:rsid w:val="003556AB"/>
    <w:rsid w:val="0035649A"/>
    <w:rsid w:val="00357175"/>
    <w:rsid w:val="00360158"/>
    <w:rsid w:val="00361C25"/>
    <w:rsid w:val="00364B08"/>
    <w:rsid w:val="00364C20"/>
    <w:rsid w:val="00364D9E"/>
    <w:rsid w:val="00366396"/>
    <w:rsid w:val="003669E2"/>
    <w:rsid w:val="003700E7"/>
    <w:rsid w:val="00372F40"/>
    <w:rsid w:val="00374E55"/>
    <w:rsid w:val="00375BBC"/>
    <w:rsid w:val="003819AE"/>
    <w:rsid w:val="003820C8"/>
    <w:rsid w:val="00382981"/>
    <w:rsid w:val="00383453"/>
    <w:rsid w:val="00383528"/>
    <w:rsid w:val="003850D0"/>
    <w:rsid w:val="00386280"/>
    <w:rsid w:val="00390EC8"/>
    <w:rsid w:val="00391E25"/>
    <w:rsid w:val="0039237E"/>
    <w:rsid w:val="003924FC"/>
    <w:rsid w:val="003926B9"/>
    <w:rsid w:val="0039289D"/>
    <w:rsid w:val="003937A5"/>
    <w:rsid w:val="003942F6"/>
    <w:rsid w:val="00394410"/>
    <w:rsid w:val="0039612B"/>
    <w:rsid w:val="00396A2F"/>
    <w:rsid w:val="003971F2"/>
    <w:rsid w:val="003976FF"/>
    <w:rsid w:val="003A0303"/>
    <w:rsid w:val="003A1713"/>
    <w:rsid w:val="003A4A48"/>
    <w:rsid w:val="003A5C06"/>
    <w:rsid w:val="003A6170"/>
    <w:rsid w:val="003A756E"/>
    <w:rsid w:val="003B08F1"/>
    <w:rsid w:val="003B1BBB"/>
    <w:rsid w:val="003B2245"/>
    <w:rsid w:val="003B403C"/>
    <w:rsid w:val="003B6621"/>
    <w:rsid w:val="003B663B"/>
    <w:rsid w:val="003B74B5"/>
    <w:rsid w:val="003C02E7"/>
    <w:rsid w:val="003C1806"/>
    <w:rsid w:val="003C18C7"/>
    <w:rsid w:val="003C1BE5"/>
    <w:rsid w:val="003C1F50"/>
    <w:rsid w:val="003C2697"/>
    <w:rsid w:val="003C3AD6"/>
    <w:rsid w:val="003C73E8"/>
    <w:rsid w:val="003D042F"/>
    <w:rsid w:val="003D111F"/>
    <w:rsid w:val="003D2FF8"/>
    <w:rsid w:val="003D32A8"/>
    <w:rsid w:val="003D58F8"/>
    <w:rsid w:val="003D5A9C"/>
    <w:rsid w:val="003D5DBF"/>
    <w:rsid w:val="003D69C1"/>
    <w:rsid w:val="003D7ABC"/>
    <w:rsid w:val="003D7B22"/>
    <w:rsid w:val="003E0E06"/>
    <w:rsid w:val="003E1814"/>
    <w:rsid w:val="003E225A"/>
    <w:rsid w:val="003E3314"/>
    <w:rsid w:val="003E46AF"/>
    <w:rsid w:val="003E6B6E"/>
    <w:rsid w:val="003E6C19"/>
    <w:rsid w:val="003E7FD0"/>
    <w:rsid w:val="003F071E"/>
    <w:rsid w:val="003F0973"/>
    <w:rsid w:val="003F1AD8"/>
    <w:rsid w:val="003F26E2"/>
    <w:rsid w:val="003F2731"/>
    <w:rsid w:val="003F39C5"/>
    <w:rsid w:val="003F4E94"/>
    <w:rsid w:val="003F6C4E"/>
    <w:rsid w:val="00400101"/>
    <w:rsid w:val="00402CC7"/>
    <w:rsid w:val="00404D97"/>
    <w:rsid w:val="00405167"/>
    <w:rsid w:val="004056BA"/>
    <w:rsid w:val="00406699"/>
    <w:rsid w:val="00406C3E"/>
    <w:rsid w:val="004077BF"/>
    <w:rsid w:val="00411B1E"/>
    <w:rsid w:val="00412D50"/>
    <w:rsid w:val="00413F43"/>
    <w:rsid w:val="00414433"/>
    <w:rsid w:val="004152B3"/>
    <w:rsid w:val="00415CCF"/>
    <w:rsid w:val="00420E26"/>
    <w:rsid w:val="0042130D"/>
    <w:rsid w:val="00421CDA"/>
    <w:rsid w:val="004224CD"/>
    <w:rsid w:val="00422B74"/>
    <w:rsid w:val="004234B4"/>
    <w:rsid w:val="00423EF6"/>
    <w:rsid w:val="00424A19"/>
    <w:rsid w:val="00424D99"/>
    <w:rsid w:val="00426A84"/>
    <w:rsid w:val="00427E2C"/>
    <w:rsid w:val="00431412"/>
    <w:rsid w:val="00433716"/>
    <w:rsid w:val="00433B41"/>
    <w:rsid w:val="00433D01"/>
    <w:rsid w:val="004343A1"/>
    <w:rsid w:val="004352F1"/>
    <w:rsid w:val="0043533A"/>
    <w:rsid w:val="00436847"/>
    <w:rsid w:val="00436D0D"/>
    <w:rsid w:val="004375ED"/>
    <w:rsid w:val="00437BAE"/>
    <w:rsid w:val="00437C61"/>
    <w:rsid w:val="00441652"/>
    <w:rsid w:val="0044253C"/>
    <w:rsid w:val="00442610"/>
    <w:rsid w:val="00442C78"/>
    <w:rsid w:val="0044555F"/>
    <w:rsid w:val="00445BDE"/>
    <w:rsid w:val="00447A2A"/>
    <w:rsid w:val="00451D35"/>
    <w:rsid w:val="00452900"/>
    <w:rsid w:val="00452EEE"/>
    <w:rsid w:val="00457BB0"/>
    <w:rsid w:val="004602DF"/>
    <w:rsid w:val="00460462"/>
    <w:rsid w:val="00461C02"/>
    <w:rsid w:val="004629A1"/>
    <w:rsid w:val="00463654"/>
    <w:rsid w:val="004637C0"/>
    <w:rsid w:val="00464891"/>
    <w:rsid w:val="00466952"/>
    <w:rsid w:val="00467F29"/>
    <w:rsid w:val="004712B0"/>
    <w:rsid w:val="0047150A"/>
    <w:rsid w:val="00471BE6"/>
    <w:rsid w:val="0047201F"/>
    <w:rsid w:val="00472689"/>
    <w:rsid w:val="00472B28"/>
    <w:rsid w:val="00472FDA"/>
    <w:rsid w:val="004740FF"/>
    <w:rsid w:val="0047696F"/>
    <w:rsid w:val="00476DA1"/>
    <w:rsid w:val="00477790"/>
    <w:rsid w:val="00480F92"/>
    <w:rsid w:val="004817C0"/>
    <w:rsid w:val="00482214"/>
    <w:rsid w:val="00482D27"/>
    <w:rsid w:val="00482F8C"/>
    <w:rsid w:val="0048332E"/>
    <w:rsid w:val="00484C0D"/>
    <w:rsid w:val="00486A30"/>
    <w:rsid w:val="0049071E"/>
    <w:rsid w:val="00490ADF"/>
    <w:rsid w:val="004910DC"/>
    <w:rsid w:val="004916CF"/>
    <w:rsid w:val="00491D83"/>
    <w:rsid w:val="0049231F"/>
    <w:rsid w:val="00492551"/>
    <w:rsid w:val="00493508"/>
    <w:rsid w:val="00495FDA"/>
    <w:rsid w:val="0049640B"/>
    <w:rsid w:val="004974F2"/>
    <w:rsid w:val="0049767D"/>
    <w:rsid w:val="00497D8B"/>
    <w:rsid w:val="004A0B1F"/>
    <w:rsid w:val="004A15B9"/>
    <w:rsid w:val="004A1CCA"/>
    <w:rsid w:val="004A20B6"/>
    <w:rsid w:val="004A7221"/>
    <w:rsid w:val="004B0FD4"/>
    <w:rsid w:val="004B121C"/>
    <w:rsid w:val="004B121F"/>
    <w:rsid w:val="004B1908"/>
    <w:rsid w:val="004B1ABA"/>
    <w:rsid w:val="004B45D3"/>
    <w:rsid w:val="004B4D76"/>
    <w:rsid w:val="004B7270"/>
    <w:rsid w:val="004C1AC1"/>
    <w:rsid w:val="004C5687"/>
    <w:rsid w:val="004C579E"/>
    <w:rsid w:val="004C5D7F"/>
    <w:rsid w:val="004C6880"/>
    <w:rsid w:val="004D077C"/>
    <w:rsid w:val="004D12A1"/>
    <w:rsid w:val="004D1C9A"/>
    <w:rsid w:val="004D2CB8"/>
    <w:rsid w:val="004D41B8"/>
    <w:rsid w:val="004D4A02"/>
    <w:rsid w:val="004D512D"/>
    <w:rsid w:val="004D5359"/>
    <w:rsid w:val="004D5594"/>
    <w:rsid w:val="004D690F"/>
    <w:rsid w:val="004D76F7"/>
    <w:rsid w:val="004D78C4"/>
    <w:rsid w:val="004E005A"/>
    <w:rsid w:val="004E0672"/>
    <w:rsid w:val="004E235B"/>
    <w:rsid w:val="004E2C34"/>
    <w:rsid w:val="004E6A33"/>
    <w:rsid w:val="004E76FA"/>
    <w:rsid w:val="004F5A6E"/>
    <w:rsid w:val="004F66B1"/>
    <w:rsid w:val="004F6770"/>
    <w:rsid w:val="004F6B1B"/>
    <w:rsid w:val="004F7586"/>
    <w:rsid w:val="005003ED"/>
    <w:rsid w:val="00500CEB"/>
    <w:rsid w:val="00502294"/>
    <w:rsid w:val="0050250A"/>
    <w:rsid w:val="00502A8F"/>
    <w:rsid w:val="00503505"/>
    <w:rsid w:val="0050364A"/>
    <w:rsid w:val="0050539A"/>
    <w:rsid w:val="0050567F"/>
    <w:rsid w:val="0050603D"/>
    <w:rsid w:val="005136E6"/>
    <w:rsid w:val="00516DA2"/>
    <w:rsid w:val="005205C0"/>
    <w:rsid w:val="00522632"/>
    <w:rsid w:val="005227B9"/>
    <w:rsid w:val="005235B3"/>
    <w:rsid w:val="005241E3"/>
    <w:rsid w:val="00524BD1"/>
    <w:rsid w:val="005264EA"/>
    <w:rsid w:val="00526677"/>
    <w:rsid w:val="00526924"/>
    <w:rsid w:val="00526AA8"/>
    <w:rsid w:val="00526CF9"/>
    <w:rsid w:val="00526EC3"/>
    <w:rsid w:val="0052769C"/>
    <w:rsid w:val="00530E48"/>
    <w:rsid w:val="00530FDA"/>
    <w:rsid w:val="0053125C"/>
    <w:rsid w:val="005314B3"/>
    <w:rsid w:val="00532260"/>
    <w:rsid w:val="00533098"/>
    <w:rsid w:val="00533617"/>
    <w:rsid w:val="005363DD"/>
    <w:rsid w:val="00536DCC"/>
    <w:rsid w:val="0053722B"/>
    <w:rsid w:val="00540418"/>
    <w:rsid w:val="0054062C"/>
    <w:rsid w:val="00541CA4"/>
    <w:rsid w:val="005425A9"/>
    <w:rsid w:val="0054433F"/>
    <w:rsid w:val="00544E42"/>
    <w:rsid w:val="00544EB0"/>
    <w:rsid w:val="0054696E"/>
    <w:rsid w:val="005472BC"/>
    <w:rsid w:val="005478C7"/>
    <w:rsid w:val="00547AA9"/>
    <w:rsid w:val="00551568"/>
    <w:rsid w:val="00551763"/>
    <w:rsid w:val="005517B6"/>
    <w:rsid w:val="005520BE"/>
    <w:rsid w:val="00554103"/>
    <w:rsid w:val="00554C1B"/>
    <w:rsid w:val="005551A8"/>
    <w:rsid w:val="0055553D"/>
    <w:rsid w:val="005558A8"/>
    <w:rsid w:val="005608CA"/>
    <w:rsid w:val="00561A55"/>
    <w:rsid w:val="00561BF4"/>
    <w:rsid w:val="00563BBA"/>
    <w:rsid w:val="0056467D"/>
    <w:rsid w:val="0056493E"/>
    <w:rsid w:val="005655B2"/>
    <w:rsid w:val="00565965"/>
    <w:rsid w:val="00565E65"/>
    <w:rsid w:val="00565F60"/>
    <w:rsid w:val="00566E03"/>
    <w:rsid w:val="00567EFC"/>
    <w:rsid w:val="005701F7"/>
    <w:rsid w:val="00570B72"/>
    <w:rsid w:val="00570CE4"/>
    <w:rsid w:val="00571035"/>
    <w:rsid w:val="0057338F"/>
    <w:rsid w:val="005746A5"/>
    <w:rsid w:val="00574BCB"/>
    <w:rsid w:val="00574F40"/>
    <w:rsid w:val="005750E3"/>
    <w:rsid w:val="0057619B"/>
    <w:rsid w:val="00576CE3"/>
    <w:rsid w:val="005774F0"/>
    <w:rsid w:val="005809F8"/>
    <w:rsid w:val="00581340"/>
    <w:rsid w:val="00581FEB"/>
    <w:rsid w:val="00582F5D"/>
    <w:rsid w:val="00585E37"/>
    <w:rsid w:val="00585F02"/>
    <w:rsid w:val="00586A6A"/>
    <w:rsid w:val="00587F1E"/>
    <w:rsid w:val="005906CF"/>
    <w:rsid w:val="00590721"/>
    <w:rsid w:val="0059111C"/>
    <w:rsid w:val="005916F8"/>
    <w:rsid w:val="005918D7"/>
    <w:rsid w:val="00592BC0"/>
    <w:rsid w:val="005947D3"/>
    <w:rsid w:val="00594F5E"/>
    <w:rsid w:val="00596F28"/>
    <w:rsid w:val="00597EEB"/>
    <w:rsid w:val="005A137F"/>
    <w:rsid w:val="005A274E"/>
    <w:rsid w:val="005A4DA4"/>
    <w:rsid w:val="005A6676"/>
    <w:rsid w:val="005A6B7C"/>
    <w:rsid w:val="005A6E93"/>
    <w:rsid w:val="005A6F61"/>
    <w:rsid w:val="005B05B8"/>
    <w:rsid w:val="005B07BA"/>
    <w:rsid w:val="005B0914"/>
    <w:rsid w:val="005B24BE"/>
    <w:rsid w:val="005B404D"/>
    <w:rsid w:val="005B434B"/>
    <w:rsid w:val="005B4FE6"/>
    <w:rsid w:val="005B507B"/>
    <w:rsid w:val="005B601A"/>
    <w:rsid w:val="005C0B5F"/>
    <w:rsid w:val="005C3939"/>
    <w:rsid w:val="005C6B51"/>
    <w:rsid w:val="005D18E9"/>
    <w:rsid w:val="005D334F"/>
    <w:rsid w:val="005D33DD"/>
    <w:rsid w:val="005D40DC"/>
    <w:rsid w:val="005D4A7C"/>
    <w:rsid w:val="005D4A9A"/>
    <w:rsid w:val="005D7E4E"/>
    <w:rsid w:val="005E0D6D"/>
    <w:rsid w:val="005E1643"/>
    <w:rsid w:val="005E26E4"/>
    <w:rsid w:val="005E298B"/>
    <w:rsid w:val="005E5558"/>
    <w:rsid w:val="005E5FEB"/>
    <w:rsid w:val="005E73FF"/>
    <w:rsid w:val="005E7C05"/>
    <w:rsid w:val="005F1A09"/>
    <w:rsid w:val="005F21AD"/>
    <w:rsid w:val="005F233B"/>
    <w:rsid w:val="005F407F"/>
    <w:rsid w:val="005F43B9"/>
    <w:rsid w:val="005F45A3"/>
    <w:rsid w:val="005F50DF"/>
    <w:rsid w:val="005F56E4"/>
    <w:rsid w:val="005F5A90"/>
    <w:rsid w:val="005F61A0"/>
    <w:rsid w:val="005F6951"/>
    <w:rsid w:val="005F6ABC"/>
    <w:rsid w:val="005F6FDD"/>
    <w:rsid w:val="005F7110"/>
    <w:rsid w:val="005F788C"/>
    <w:rsid w:val="005F7BE2"/>
    <w:rsid w:val="0060090F"/>
    <w:rsid w:val="00601AB9"/>
    <w:rsid w:val="00601D41"/>
    <w:rsid w:val="0060439C"/>
    <w:rsid w:val="006047DD"/>
    <w:rsid w:val="006066E5"/>
    <w:rsid w:val="00607439"/>
    <w:rsid w:val="00607A2F"/>
    <w:rsid w:val="006110C2"/>
    <w:rsid w:val="00611BBC"/>
    <w:rsid w:val="006120D1"/>
    <w:rsid w:val="00612C0A"/>
    <w:rsid w:val="0061637D"/>
    <w:rsid w:val="0061708E"/>
    <w:rsid w:val="00617270"/>
    <w:rsid w:val="00617275"/>
    <w:rsid w:val="00617E42"/>
    <w:rsid w:val="00622CDF"/>
    <w:rsid w:val="00622CED"/>
    <w:rsid w:val="00624C7D"/>
    <w:rsid w:val="006261BD"/>
    <w:rsid w:val="00630DFF"/>
    <w:rsid w:val="00631346"/>
    <w:rsid w:val="00631D97"/>
    <w:rsid w:val="006338E4"/>
    <w:rsid w:val="0063411B"/>
    <w:rsid w:val="00634205"/>
    <w:rsid w:val="00634298"/>
    <w:rsid w:val="00636A28"/>
    <w:rsid w:val="00641B8C"/>
    <w:rsid w:val="00642BCC"/>
    <w:rsid w:val="00642CB2"/>
    <w:rsid w:val="00642D75"/>
    <w:rsid w:val="00642EF9"/>
    <w:rsid w:val="0064312B"/>
    <w:rsid w:val="00643961"/>
    <w:rsid w:val="00644149"/>
    <w:rsid w:val="00646E48"/>
    <w:rsid w:val="00646E8F"/>
    <w:rsid w:val="0064735A"/>
    <w:rsid w:val="0065078A"/>
    <w:rsid w:val="00651512"/>
    <w:rsid w:val="00653D0B"/>
    <w:rsid w:val="0065628C"/>
    <w:rsid w:val="00656A55"/>
    <w:rsid w:val="00657EFB"/>
    <w:rsid w:val="00661547"/>
    <w:rsid w:val="0066165A"/>
    <w:rsid w:val="00663272"/>
    <w:rsid w:val="006674B5"/>
    <w:rsid w:val="006702D4"/>
    <w:rsid w:val="0067173C"/>
    <w:rsid w:val="00671D7E"/>
    <w:rsid w:val="00672156"/>
    <w:rsid w:val="006724EB"/>
    <w:rsid w:val="0067445A"/>
    <w:rsid w:val="0067518C"/>
    <w:rsid w:val="006758F5"/>
    <w:rsid w:val="0067711B"/>
    <w:rsid w:val="00677336"/>
    <w:rsid w:val="00677DDA"/>
    <w:rsid w:val="006802CA"/>
    <w:rsid w:val="006829BC"/>
    <w:rsid w:val="00682F61"/>
    <w:rsid w:val="00683D0A"/>
    <w:rsid w:val="00684777"/>
    <w:rsid w:val="00686B86"/>
    <w:rsid w:val="00690283"/>
    <w:rsid w:val="006910E1"/>
    <w:rsid w:val="0069250B"/>
    <w:rsid w:val="00692B98"/>
    <w:rsid w:val="006952E9"/>
    <w:rsid w:val="0069681A"/>
    <w:rsid w:val="006976BB"/>
    <w:rsid w:val="006A080A"/>
    <w:rsid w:val="006A30B4"/>
    <w:rsid w:val="006A4676"/>
    <w:rsid w:val="006A7927"/>
    <w:rsid w:val="006A7B11"/>
    <w:rsid w:val="006B0618"/>
    <w:rsid w:val="006B15C0"/>
    <w:rsid w:val="006B2399"/>
    <w:rsid w:val="006B33B2"/>
    <w:rsid w:val="006B3D50"/>
    <w:rsid w:val="006B3D80"/>
    <w:rsid w:val="006B55C2"/>
    <w:rsid w:val="006B60D8"/>
    <w:rsid w:val="006C01DB"/>
    <w:rsid w:val="006C1916"/>
    <w:rsid w:val="006C3B11"/>
    <w:rsid w:val="006C5AC2"/>
    <w:rsid w:val="006D023C"/>
    <w:rsid w:val="006D08A0"/>
    <w:rsid w:val="006D2FB6"/>
    <w:rsid w:val="006D3ECE"/>
    <w:rsid w:val="006D40BE"/>
    <w:rsid w:val="006D4C20"/>
    <w:rsid w:val="006D5337"/>
    <w:rsid w:val="006D5D62"/>
    <w:rsid w:val="006D6927"/>
    <w:rsid w:val="006E3BA4"/>
    <w:rsid w:val="006E3E86"/>
    <w:rsid w:val="006E437A"/>
    <w:rsid w:val="006E54BF"/>
    <w:rsid w:val="006E75F7"/>
    <w:rsid w:val="006E77DD"/>
    <w:rsid w:val="006E7E43"/>
    <w:rsid w:val="006F1E6B"/>
    <w:rsid w:val="006F278F"/>
    <w:rsid w:val="006F2C8B"/>
    <w:rsid w:val="006F3DAF"/>
    <w:rsid w:val="006F5229"/>
    <w:rsid w:val="006F5EC0"/>
    <w:rsid w:val="006F7341"/>
    <w:rsid w:val="006F7FB0"/>
    <w:rsid w:val="00700E87"/>
    <w:rsid w:val="00701784"/>
    <w:rsid w:val="00702823"/>
    <w:rsid w:val="0070292B"/>
    <w:rsid w:val="00702FD6"/>
    <w:rsid w:val="00703372"/>
    <w:rsid w:val="007041A0"/>
    <w:rsid w:val="007050B6"/>
    <w:rsid w:val="00705987"/>
    <w:rsid w:val="007062CE"/>
    <w:rsid w:val="0070709C"/>
    <w:rsid w:val="007117B4"/>
    <w:rsid w:val="00712AD2"/>
    <w:rsid w:val="007133C0"/>
    <w:rsid w:val="00713775"/>
    <w:rsid w:val="0071402E"/>
    <w:rsid w:val="0071564A"/>
    <w:rsid w:val="007161E1"/>
    <w:rsid w:val="00720E8B"/>
    <w:rsid w:val="00721674"/>
    <w:rsid w:val="007219D8"/>
    <w:rsid w:val="00722B19"/>
    <w:rsid w:val="00722BD3"/>
    <w:rsid w:val="00724622"/>
    <w:rsid w:val="00724751"/>
    <w:rsid w:val="00725F56"/>
    <w:rsid w:val="0072609E"/>
    <w:rsid w:val="007270B0"/>
    <w:rsid w:val="00730775"/>
    <w:rsid w:val="007311B0"/>
    <w:rsid w:val="007320A7"/>
    <w:rsid w:val="00732CE9"/>
    <w:rsid w:val="00741903"/>
    <w:rsid w:val="007429AD"/>
    <w:rsid w:val="00742AD7"/>
    <w:rsid w:val="00742D41"/>
    <w:rsid w:val="007440C9"/>
    <w:rsid w:val="00745B7B"/>
    <w:rsid w:val="00745E50"/>
    <w:rsid w:val="007466B5"/>
    <w:rsid w:val="007473C9"/>
    <w:rsid w:val="007506CA"/>
    <w:rsid w:val="00751D58"/>
    <w:rsid w:val="00752542"/>
    <w:rsid w:val="007549B3"/>
    <w:rsid w:val="00755763"/>
    <w:rsid w:val="007563EB"/>
    <w:rsid w:val="00757061"/>
    <w:rsid w:val="007572BB"/>
    <w:rsid w:val="00760A56"/>
    <w:rsid w:val="00760F8E"/>
    <w:rsid w:val="00761609"/>
    <w:rsid w:val="007628AC"/>
    <w:rsid w:val="00763F8F"/>
    <w:rsid w:val="00764EBC"/>
    <w:rsid w:val="007658CB"/>
    <w:rsid w:val="00765CF3"/>
    <w:rsid w:val="00765F92"/>
    <w:rsid w:val="00771BCC"/>
    <w:rsid w:val="007720B4"/>
    <w:rsid w:val="00772182"/>
    <w:rsid w:val="00772890"/>
    <w:rsid w:val="007732BE"/>
    <w:rsid w:val="0077348F"/>
    <w:rsid w:val="0077375F"/>
    <w:rsid w:val="00773C4D"/>
    <w:rsid w:val="00775086"/>
    <w:rsid w:val="00775DE0"/>
    <w:rsid w:val="00777FC9"/>
    <w:rsid w:val="00780893"/>
    <w:rsid w:val="00780F86"/>
    <w:rsid w:val="007818C6"/>
    <w:rsid w:val="00784884"/>
    <w:rsid w:val="00785CA7"/>
    <w:rsid w:val="00786789"/>
    <w:rsid w:val="0078695D"/>
    <w:rsid w:val="00787533"/>
    <w:rsid w:val="0079002B"/>
    <w:rsid w:val="0079080C"/>
    <w:rsid w:val="00790C88"/>
    <w:rsid w:val="007912E4"/>
    <w:rsid w:val="00792084"/>
    <w:rsid w:val="007926CE"/>
    <w:rsid w:val="007934DC"/>
    <w:rsid w:val="007943FE"/>
    <w:rsid w:val="00794F51"/>
    <w:rsid w:val="0079582C"/>
    <w:rsid w:val="00795B7D"/>
    <w:rsid w:val="00796AE4"/>
    <w:rsid w:val="00797474"/>
    <w:rsid w:val="007A2524"/>
    <w:rsid w:val="007A2A2D"/>
    <w:rsid w:val="007A345A"/>
    <w:rsid w:val="007A4102"/>
    <w:rsid w:val="007A4321"/>
    <w:rsid w:val="007A51EA"/>
    <w:rsid w:val="007A5B39"/>
    <w:rsid w:val="007A6147"/>
    <w:rsid w:val="007A6501"/>
    <w:rsid w:val="007A693C"/>
    <w:rsid w:val="007A736C"/>
    <w:rsid w:val="007A7653"/>
    <w:rsid w:val="007B00F0"/>
    <w:rsid w:val="007B055C"/>
    <w:rsid w:val="007B1A52"/>
    <w:rsid w:val="007C1582"/>
    <w:rsid w:val="007C20BD"/>
    <w:rsid w:val="007C211B"/>
    <w:rsid w:val="007C41C1"/>
    <w:rsid w:val="007C4D2C"/>
    <w:rsid w:val="007C5D79"/>
    <w:rsid w:val="007C7D26"/>
    <w:rsid w:val="007C7E8E"/>
    <w:rsid w:val="007D099F"/>
    <w:rsid w:val="007D12AE"/>
    <w:rsid w:val="007D1EE8"/>
    <w:rsid w:val="007D2008"/>
    <w:rsid w:val="007D219E"/>
    <w:rsid w:val="007D2648"/>
    <w:rsid w:val="007D5522"/>
    <w:rsid w:val="007D5B71"/>
    <w:rsid w:val="007D5EE2"/>
    <w:rsid w:val="007D6E9A"/>
    <w:rsid w:val="007D7D3C"/>
    <w:rsid w:val="007D7E36"/>
    <w:rsid w:val="007E1E4D"/>
    <w:rsid w:val="007E2776"/>
    <w:rsid w:val="007E3A4C"/>
    <w:rsid w:val="007E4A53"/>
    <w:rsid w:val="007E4F6D"/>
    <w:rsid w:val="007E5D6E"/>
    <w:rsid w:val="007E7240"/>
    <w:rsid w:val="007F04E0"/>
    <w:rsid w:val="007F08FA"/>
    <w:rsid w:val="007F0DA3"/>
    <w:rsid w:val="007F1884"/>
    <w:rsid w:val="007F2A2A"/>
    <w:rsid w:val="007F2F8D"/>
    <w:rsid w:val="007F2FB6"/>
    <w:rsid w:val="007F3464"/>
    <w:rsid w:val="007F4668"/>
    <w:rsid w:val="007F590E"/>
    <w:rsid w:val="007F6332"/>
    <w:rsid w:val="007F6651"/>
    <w:rsid w:val="007F76E3"/>
    <w:rsid w:val="008013A1"/>
    <w:rsid w:val="00801D27"/>
    <w:rsid w:val="008027E0"/>
    <w:rsid w:val="008034E5"/>
    <w:rsid w:val="008052A1"/>
    <w:rsid w:val="008053E5"/>
    <w:rsid w:val="00806F32"/>
    <w:rsid w:val="00807FE8"/>
    <w:rsid w:val="0081087C"/>
    <w:rsid w:val="00810897"/>
    <w:rsid w:val="00810A7E"/>
    <w:rsid w:val="00811DAC"/>
    <w:rsid w:val="00813145"/>
    <w:rsid w:val="00813500"/>
    <w:rsid w:val="008135C2"/>
    <w:rsid w:val="00814F30"/>
    <w:rsid w:val="008165B0"/>
    <w:rsid w:val="0081677E"/>
    <w:rsid w:val="00816B35"/>
    <w:rsid w:val="00816B9F"/>
    <w:rsid w:val="00820190"/>
    <w:rsid w:val="0082143F"/>
    <w:rsid w:val="008223EB"/>
    <w:rsid w:val="008230F5"/>
    <w:rsid w:val="00823B51"/>
    <w:rsid w:val="00824880"/>
    <w:rsid w:val="00825670"/>
    <w:rsid w:val="008307ED"/>
    <w:rsid w:val="00830FC3"/>
    <w:rsid w:val="0083243E"/>
    <w:rsid w:val="00832F3C"/>
    <w:rsid w:val="008346B7"/>
    <w:rsid w:val="00834A68"/>
    <w:rsid w:val="008366D9"/>
    <w:rsid w:val="0083688E"/>
    <w:rsid w:val="00837566"/>
    <w:rsid w:val="00841211"/>
    <w:rsid w:val="00842847"/>
    <w:rsid w:val="00843996"/>
    <w:rsid w:val="00843B81"/>
    <w:rsid w:val="00847907"/>
    <w:rsid w:val="00847B0D"/>
    <w:rsid w:val="00847DAC"/>
    <w:rsid w:val="00850438"/>
    <w:rsid w:val="00850715"/>
    <w:rsid w:val="008514D3"/>
    <w:rsid w:val="008517E0"/>
    <w:rsid w:val="00852B94"/>
    <w:rsid w:val="00852DFB"/>
    <w:rsid w:val="0085414C"/>
    <w:rsid w:val="00855796"/>
    <w:rsid w:val="00855C55"/>
    <w:rsid w:val="0085677D"/>
    <w:rsid w:val="00856E32"/>
    <w:rsid w:val="008570AA"/>
    <w:rsid w:val="008574DF"/>
    <w:rsid w:val="00857BC8"/>
    <w:rsid w:val="00857C3C"/>
    <w:rsid w:val="00860E24"/>
    <w:rsid w:val="0086177A"/>
    <w:rsid w:val="00862235"/>
    <w:rsid w:val="00862675"/>
    <w:rsid w:val="00862A0D"/>
    <w:rsid w:val="00862CFA"/>
    <w:rsid w:val="0086349C"/>
    <w:rsid w:val="00863EF7"/>
    <w:rsid w:val="00866442"/>
    <w:rsid w:val="00866AFB"/>
    <w:rsid w:val="00867519"/>
    <w:rsid w:val="008708D2"/>
    <w:rsid w:val="00872BE6"/>
    <w:rsid w:val="00872D46"/>
    <w:rsid w:val="00872E30"/>
    <w:rsid w:val="00873BDC"/>
    <w:rsid w:val="00873FAD"/>
    <w:rsid w:val="00874D66"/>
    <w:rsid w:val="008757F2"/>
    <w:rsid w:val="00876FA6"/>
    <w:rsid w:val="00877DE8"/>
    <w:rsid w:val="00880044"/>
    <w:rsid w:val="00880BAC"/>
    <w:rsid w:val="00881591"/>
    <w:rsid w:val="008830F2"/>
    <w:rsid w:val="00885B59"/>
    <w:rsid w:val="00885D1F"/>
    <w:rsid w:val="008861F9"/>
    <w:rsid w:val="00887436"/>
    <w:rsid w:val="00890055"/>
    <w:rsid w:val="008901FE"/>
    <w:rsid w:val="0089028A"/>
    <w:rsid w:val="00891351"/>
    <w:rsid w:val="008913B6"/>
    <w:rsid w:val="00891564"/>
    <w:rsid w:val="00895DB7"/>
    <w:rsid w:val="0089688E"/>
    <w:rsid w:val="00897462"/>
    <w:rsid w:val="008A07C3"/>
    <w:rsid w:val="008A120B"/>
    <w:rsid w:val="008A5AD9"/>
    <w:rsid w:val="008A6E4D"/>
    <w:rsid w:val="008A7CC9"/>
    <w:rsid w:val="008B0017"/>
    <w:rsid w:val="008B0188"/>
    <w:rsid w:val="008B2B61"/>
    <w:rsid w:val="008B3251"/>
    <w:rsid w:val="008B32B3"/>
    <w:rsid w:val="008B398A"/>
    <w:rsid w:val="008B41CF"/>
    <w:rsid w:val="008B6955"/>
    <w:rsid w:val="008B7CF5"/>
    <w:rsid w:val="008C1959"/>
    <w:rsid w:val="008C216A"/>
    <w:rsid w:val="008C2399"/>
    <w:rsid w:val="008C27BD"/>
    <w:rsid w:val="008C28AD"/>
    <w:rsid w:val="008C37BD"/>
    <w:rsid w:val="008C5A0A"/>
    <w:rsid w:val="008C65AA"/>
    <w:rsid w:val="008C6C87"/>
    <w:rsid w:val="008D0C7E"/>
    <w:rsid w:val="008D16BD"/>
    <w:rsid w:val="008D1AA3"/>
    <w:rsid w:val="008D28EC"/>
    <w:rsid w:val="008D3A0F"/>
    <w:rsid w:val="008D4940"/>
    <w:rsid w:val="008D52A3"/>
    <w:rsid w:val="008D616F"/>
    <w:rsid w:val="008E0446"/>
    <w:rsid w:val="008E23EB"/>
    <w:rsid w:val="008E2802"/>
    <w:rsid w:val="008E3652"/>
    <w:rsid w:val="008E3DEE"/>
    <w:rsid w:val="008E40C2"/>
    <w:rsid w:val="008E4774"/>
    <w:rsid w:val="008F0530"/>
    <w:rsid w:val="008F31D6"/>
    <w:rsid w:val="008F3658"/>
    <w:rsid w:val="008F37A0"/>
    <w:rsid w:val="008F466D"/>
    <w:rsid w:val="008F49A2"/>
    <w:rsid w:val="008F4AD9"/>
    <w:rsid w:val="008F4E3A"/>
    <w:rsid w:val="008F4E3B"/>
    <w:rsid w:val="008F56B7"/>
    <w:rsid w:val="008F5EBF"/>
    <w:rsid w:val="008F6D58"/>
    <w:rsid w:val="0090064D"/>
    <w:rsid w:val="00901096"/>
    <w:rsid w:val="00901A86"/>
    <w:rsid w:val="00907108"/>
    <w:rsid w:val="0090794A"/>
    <w:rsid w:val="0091039E"/>
    <w:rsid w:val="00910AF6"/>
    <w:rsid w:val="00911A46"/>
    <w:rsid w:val="009121C0"/>
    <w:rsid w:val="00912F13"/>
    <w:rsid w:val="009155A4"/>
    <w:rsid w:val="0091664D"/>
    <w:rsid w:val="00916ADD"/>
    <w:rsid w:val="00917CDD"/>
    <w:rsid w:val="00920BEF"/>
    <w:rsid w:val="009210C1"/>
    <w:rsid w:val="00922C2C"/>
    <w:rsid w:val="00924057"/>
    <w:rsid w:val="00924CC9"/>
    <w:rsid w:val="00925C1D"/>
    <w:rsid w:val="00927157"/>
    <w:rsid w:val="0093032F"/>
    <w:rsid w:val="0093065C"/>
    <w:rsid w:val="00930D11"/>
    <w:rsid w:val="00931343"/>
    <w:rsid w:val="009314BF"/>
    <w:rsid w:val="00931F91"/>
    <w:rsid w:val="009325D7"/>
    <w:rsid w:val="00933DD3"/>
    <w:rsid w:val="0093427E"/>
    <w:rsid w:val="0093443F"/>
    <w:rsid w:val="00934A35"/>
    <w:rsid w:val="00935012"/>
    <w:rsid w:val="0093530B"/>
    <w:rsid w:val="00935B86"/>
    <w:rsid w:val="00936030"/>
    <w:rsid w:val="009360A7"/>
    <w:rsid w:val="0093692A"/>
    <w:rsid w:val="0093727E"/>
    <w:rsid w:val="0094019C"/>
    <w:rsid w:val="00940C82"/>
    <w:rsid w:val="0094172C"/>
    <w:rsid w:val="00942D6E"/>
    <w:rsid w:val="0094361F"/>
    <w:rsid w:val="009448D4"/>
    <w:rsid w:val="009452B1"/>
    <w:rsid w:val="0094547F"/>
    <w:rsid w:val="0094677A"/>
    <w:rsid w:val="00953731"/>
    <w:rsid w:val="00954262"/>
    <w:rsid w:val="00954EF5"/>
    <w:rsid w:val="00955C1A"/>
    <w:rsid w:val="009566E6"/>
    <w:rsid w:val="0095719F"/>
    <w:rsid w:val="00957395"/>
    <w:rsid w:val="009604A7"/>
    <w:rsid w:val="00961E3E"/>
    <w:rsid w:val="0096238A"/>
    <w:rsid w:val="00965429"/>
    <w:rsid w:val="009670FB"/>
    <w:rsid w:val="00967E2F"/>
    <w:rsid w:val="009715BC"/>
    <w:rsid w:val="00973991"/>
    <w:rsid w:val="00974908"/>
    <w:rsid w:val="00974AD0"/>
    <w:rsid w:val="00976607"/>
    <w:rsid w:val="00977D81"/>
    <w:rsid w:val="009804A4"/>
    <w:rsid w:val="00980760"/>
    <w:rsid w:val="00981BE0"/>
    <w:rsid w:val="00981FBD"/>
    <w:rsid w:val="009825AE"/>
    <w:rsid w:val="00982959"/>
    <w:rsid w:val="00982ABC"/>
    <w:rsid w:val="009841F8"/>
    <w:rsid w:val="00985693"/>
    <w:rsid w:val="00985A20"/>
    <w:rsid w:val="00985D2F"/>
    <w:rsid w:val="00986526"/>
    <w:rsid w:val="0098750F"/>
    <w:rsid w:val="0098767B"/>
    <w:rsid w:val="00990AC7"/>
    <w:rsid w:val="00993F42"/>
    <w:rsid w:val="00993F63"/>
    <w:rsid w:val="00994738"/>
    <w:rsid w:val="009949C3"/>
    <w:rsid w:val="0099643A"/>
    <w:rsid w:val="009A0E20"/>
    <w:rsid w:val="009A0E94"/>
    <w:rsid w:val="009A23D3"/>
    <w:rsid w:val="009A3001"/>
    <w:rsid w:val="009A4AE3"/>
    <w:rsid w:val="009A5A96"/>
    <w:rsid w:val="009A5A97"/>
    <w:rsid w:val="009A5DC7"/>
    <w:rsid w:val="009B0257"/>
    <w:rsid w:val="009B054F"/>
    <w:rsid w:val="009B06C1"/>
    <w:rsid w:val="009B0B62"/>
    <w:rsid w:val="009B271C"/>
    <w:rsid w:val="009B291C"/>
    <w:rsid w:val="009B3320"/>
    <w:rsid w:val="009B4B8A"/>
    <w:rsid w:val="009B54B0"/>
    <w:rsid w:val="009C068D"/>
    <w:rsid w:val="009C10F1"/>
    <w:rsid w:val="009C45A4"/>
    <w:rsid w:val="009C5536"/>
    <w:rsid w:val="009C5644"/>
    <w:rsid w:val="009C5CC4"/>
    <w:rsid w:val="009C5F2A"/>
    <w:rsid w:val="009C6584"/>
    <w:rsid w:val="009C68DC"/>
    <w:rsid w:val="009C7E47"/>
    <w:rsid w:val="009D01FB"/>
    <w:rsid w:val="009D4787"/>
    <w:rsid w:val="009D687F"/>
    <w:rsid w:val="009E07CB"/>
    <w:rsid w:val="009E2673"/>
    <w:rsid w:val="009E2DBA"/>
    <w:rsid w:val="009E30A2"/>
    <w:rsid w:val="009E339A"/>
    <w:rsid w:val="009E5D84"/>
    <w:rsid w:val="009E61A6"/>
    <w:rsid w:val="009E6F8E"/>
    <w:rsid w:val="009E72E1"/>
    <w:rsid w:val="009E78C2"/>
    <w:rsid w:val="009F1F6C"/>
    <w:rsid w:val="009F1F7B"/>
    <w:rsid w:val="009F2632"/>
    <w:rsid w:val="009F2BCD"/>
    <w:rsid w:val="009F52CE"/>
    <w:rsid w:val="009F645E"/>
    <w:rsid w:val="009F655C"/>
    <w:rsid w:val="009F76F6"/>
    <w:rsid w:val="009F7973"/>
    <w:rsid w:val="009F7F3B"/>
    <w:rsid w:val="00A00E5E"/>
    <w:rsid w:val="00A019F9"/>
    <w:rsid w:val="00A01AB9"/>
    <w:rsid w:val="00A01B29"/>
    <w:rsid w:val="00A0231E"/>
    <w:rsid w:val="00A0246F"/>
    <w:rsid w:val="00A030AB"/>
    <w:rsid w:val="00A05FDB"/>
    <w:rsid w:val="00A0694D"/>
    <w:rsid w:val="00A06C6E"/>
    <w:rsid w:val="00A06D3D"/>
    <w:rsid w:val="00A0739A"/>
    <w:rsid w:val="00A1018A"/>
    <w:rsid w:val="00A14229"/>
    <w:rsid w:val="00A153F4"/>
    <w:rsid w:val="00A16AD3"/>
    <w:rsid w:val="00A21552"/>
    <w:rsid w:val="00A21572"/>
    <w:rsid w:val="00A22450"/>
    <w:rsid w:val="00A24CED"/>
    <w:rsid w:val="00A26067"/>
    <w:rsid w:val="00A27A92"/>
    <w:rsid w:val="00A30242"/>
    <w:rsid w:val="00A31D90"/>
    <w:rsid w:val="00A3438F"/>
    <w:rsid w:val="00A348D1"/>
    <w:rsid w:val="00A35095"/>
    <w:rsid w:val="00A354D8"/>
    <w:rsid w:val="00A36AC6"/>
    <w:rsid w:val="00A41ADC"/>
    <w:rsid w:val="00A438A4"/>
    <w:rsid w:val="00A44FBF"/>
    <w:rsid w:val="00A456B4"/>
    <w:rsid w:val="00A45B78"/>
    <w:rsid w:val="00A50924"/>
    <w:rsid w:val="00A50BDC"/>
    <w:rsid w:val="00A51514"/>
    <w:rsid w:val="00A52C1A"/>
    <w:rsid w:val="00A5485C"/>
    <w:rsid w:val="00A5538C"/>
    <w:rsid w:val="00A55F0D"/>
    <w:rsid w:val="00A57461"/>
    <w:rsid w:val="00A60A76"/>
    <w:rsid w:val="00A6163E"/>
    <w:rsid w:val="00A6176A"/>
    <w:rsid w:val="00A63340"/>
    <w:rsid w:val="00A637AA"/>
    <w:rsid w:val="00A65B07"/>
    <w:rsid w:val="00A6679A"/>
    <w:rsid w:val="00A667B9"/>
    <w:rsid w:val="00A66F4B"/>
    <w:rsid w:val="00A67343"/>
    <w:rsid w:val="00A6754A"/>
    <w:rsid w:val="00A67A9C"/>
    <w:rsid w:val="00A70C47"/>
    <w:rsid w:val="00A71371"/>
    <w:rsid w:val="00A715D0"/>
    <w:rsid w:val="00A71628"/>
    <w:rsid w:val="00A73911"/>
    <w:rsid w:val="00A74F12"/>
    <w:rsid w:val="00A75029"/>
    <w:rsid w:val="00A75C19"/>
    <w:rsid w:val="00A75D48"/>
    <w:rsid w:val="00A76D5B"/>
    <w:rsid w:val="00A77374"/>
    <w:rsid w:val="00A7781A"/>
    <w:rsid w:val="00A80A7F"/>
    <w:rsid w:val="00A80AAF"/>
    <w:rsid w:val="00A819B8"/>
    <w:rsid w:val="00A81AD3"/>
    <w:rsid w:val="00A82A69"/>
    <w:rsid w:val="00A82E19"/>
    <w:rsid w:val="00A84A76"/>
    <w:rsid w:val="00A86532"/>
    <w:rsid w:val="00A869D5"/>
    <w:rsid w:val="00A86F42"/>
    <w:rsid w:val="00A86F8B"/>
    <w:rsid w:val="00A91AFF"/>
    <w:rsid w:val="00A91EC6"/>
    <w:rsid w:val="00A93BAC"/>
    <w:rsid w:val="00A94199"/>
    <w:rsid w:val="00A9440C"/>
    <w:rsid w:val="00A9460E"/>
    <w:rsid w:val="00A94882"/>
    <w:rsid w:val="00A9621E"/>
    <w:rsid w:val="00A969F9"/>
    <w:rsid w:val="00A97450"/>
    <w:rsid w:val="00AA1965"/>
    <w:rsid w:val="00AA1CD9"/>
    <w:rsid w:val="00AA21BC"/>
    <w:rsid w:val="00AA2A8D"/>
    <w:rsid w:val="00AA3616"/>
    <w:rsid w:val="00AA4113"/>
    <w:rsid w:val="00AA6972"/>
    <w:rsid w:val="00AA7087"/>
    <w:rsid w:val="00AA7ADD"/>
    <w:rsid w:val="00AB23AE"/>
    <w:rsid w:val="00AB2B27"/>
    <w:rsid w:val="00AB364F"/>
    <w:rsid w:val="00AB37F4"/>
    <w:rsid w:val="00AB4DA0"/>
    <w:rsid w:val="00AB5D67"/>
    <w:rsid w:val="00AB5FAC"/>
    <w:rsid w:val="00AC0359"/>
    <w:rsid w:val="00AC0592"/>
    <w:rsid w:val="00AC078C"/>
    <w:rsid w:val="00AC0EB7"/>
    <w:rsid w:val="00AC1034"/>
    <w:rsid w:val="00AC1286"/>
    <w:rsid w:val="00AC1410"/>
    <w:rsid w:val="00AC2046"/>
    <w:rsid w:val="00AC2680"/>
    <w:rsid w:val="00AC3479"/>
    <w:rsid w:val="00AC6876"/>
    <w:rsid w:val="00AC6F2F"/>
    <w:rsid w:val="00AC7C7A"/>
    <w:rsid w:val="00AC7D32"/>
    <w:rsid w:val="00AD0728"/>
    <w:rsid w:val="00AD1EAE"/>
    <w:rsid w:val="00AD28AB"/>
    <w:rsid w:val="00AD3F1F"/>
    <w:rsid w:val="00AD4632"/>
    <w:rsid w:val="00AD49FC"/>
    <w:rsid w:val="00AD5287"/>
    <w:rsid w:val="00AD60AE"/>
    <w:rsid w:val="00AD6B30"/>
    <w:rsid w:val="00AD75EA"/>
    <w:rsid w:val="00AD7853"/>
    <w:rsid w:val="00AE04BD"/>
    <w:rsid w:val="00AE1492"/>
    <w:rsid w:val="00AE2171"/>
    <w:rsid w:val="00AE49DA"/>
    <w:rsid w:val="00AE564D"/>
    <w:rsid w:val="00AE5A61"/>
    <w:rsid w:val="00AE6036"/>
    <w:rsid w:val="00AE608D"/>
    <w:rsid w:val="00AE659F"/>
    <w:rsid w:val="00AE69FC"/>
    <w:rsid w:val="00AE79C0"/>
    <w:rsid w:val="00AE7EDD"/>
    <w:rsid w:val="00AF13BC"/>
    <w:rsid w:val="00AF2F48"/>
    <w:rsid w:val="00AF4193"/>
    <w:rsid w:val="00AF4298"/>
    <w:rsid w:val="00AF42AF"/>
    <w:rsid w:val="00AF4722"/>
    <w:rsid w:val="00AF554C"/>
    <w:rsid w:val="00AF5730"/>
    <w:rsid w:val="00AF5E98"/>
    <w:rsid w:val="00AF638B"/>
    <w:rsid w:val="00AF73DF"/>
    <w:rsid w:val="00AF7996"/>
    <w:rsid w:val="00B00193"/>
    <w:rsid w:val="00B00AFD"/>
    <w:rsid w:val="00B00CFD"/>
    <w:rsid w:val="00B01A96"/>
    <w:rsid w:val="00B020BF"/>
    <w:rsid w:val="00B03ED4"/>
    <w:rsid w:val="00B04353"/>
    <w:rsid w:val="00B04C2E"/>
    <w:rsid w:val="00B054F6"/>
    <w:rsid w:val="00B0725A"/>
    <w:rsid w:val="00B07C73"/>
    <w:rsid w:val="00B1018B"/>
    <w:rsid w:val="00B10695"/>
    <w:rsid w:val="00B10C8F"/>
    <w:rsid w:val="00B12547"/>
    <w:rsid w:val="00B126E5"/>
    <w:rsid w:val="00B12B3C"/>
    <w:rsid w:val="00B152C1"/>
    <w:rsid w:val="00B15836"/>
    <w:rsid w:val="00B15B16"/>
    <w:rsid w:val="00B16016"/>
    <w:rsid w:val="00B16A00"/>
    <w:rsid w:val="00B173FF"/>
    <w:rsid w:val="00B20B68"/>
    <w:rsid w:val="00B20BDD"/>
    <w:rsid w:val="00B20E12"/>
    <w:rsid w:val="00B212E7"/>
    <w:rsid w:val="00B21707"/>
    <w:rsid w:val="00B2184D"/>
    <w:rsid w:val="00B2185F"/>
    <w:rsid w:val="00B21E2E"/>
    <w:rsid w:val="00B21F34"/>
    <w:rsid w:val="00B2282F"/>
    <w:rsid w:val="00B2304C"/>
    <w:rsid w:val="00B23A4D"/>
    <w:rsid w:val="00B23B36"/>
    <w:rsid w:val="00B23BA0"/>
    <w:rsid w:val="00B2440F"/>
    <w:rsid w:val="00B24AEF"/>
    <w:rsid w:val="00B25F05"/>
    <w:rsid w:val="00B261AA"/>
    <w:rsid w:val="00B26248"/>
    <w:rsid w:val="00B269F9"/>
    <w:rsid w:val="00B316CC"/>
    <w:rsid w:val="00B333C7"/>
    <w:rsid w:val="00B35F7F"/>
    <w:rsid w:val="00B368BA"/>
    <w:rsid w:val="00B37511"/>
    <w:rsid w:val="00B37C6C"/>
    <w:rsid w:val="00B40859"/>
    <w:rsid w:val="00B40FA9"/>
    <w:rsid w:val="00B42D12"/>
    <w:rsid w:val="00B42EF1"/>
    <w:rsid w:val="00B43367"/>
    <w:rsid w:val="00B43541"/>
    <w:rsid w:val="00B4473A"/>
    <w:rsid w:val="00B45524"/>
    <w:rsid w:val="00B4706F"/>
    <w:rsid w:val="00B511FE"/>
    <w:rsid w:val="00B52B54"/>
    <w:rsid w:val="00B5317A"/>
    <w:rsid w:val="00B53887"/>
    <w:rsid w:val="00B53C91"/>
    <w:rsid w:val="00B54A4F"/>
    <w:rsid w:val="00B5591A"/>
    <w:rsid w:val="00B564C5"/>
    <w:rsid w:val="00B6177C"/>
    <w:rsid w:val="00B61848"/>
    <w:rsid w:val="00B63E7D"/>
    <w:rsid w:val="00B64720"/>
    <w:rsid w:val="00B64970"/>
    <w:rsid w:val="00B6745C"/>
    <w:rsid w:val="00B67E6E"/>
    <w:rsid w:val="00B7020D"/>
    <w:rsid w:val="00B70909"/>
    <w:rsid w:val="00B71586"/>
    <w:rsid w:val="00B71FC5"/>
    <w:rsid w:val="00B73275"/>
    <w:rsid w:val="00B73312"/>
    <w:rsid w:val="00B73CA3"/>
    <w:rsid w:val="00B73DF3"/>
    <w:rsid w:val="00B74FBE"/>
    <w:rsid w:val="00B7555A"/>
    <w:rsid w:val="00B7607C"/>
    <w:rsid w:val="00B771B3"/>
    <w:rsid w:val="00B80336"/>
    <w:rsid w:val="00B80E55"/>
    <w:rsid w:val="00B83880"/>
    <w:rsid w:val="00B838B2"/>
    <w:rsid w:val="00B848B7"/>
    <w:rsid w:val="00B849EE"/>
    <w:rsid w:val="00B86851"/>
    <w:rsid w:val="00B86F87"/>
    <w:rsid w:val="00B878DA"/>
    <w:rsid w:val="00B913A2"/>
    <w:rsid w:val="00B93238"/>
    <w:rsid w:val="00B93A01"/>
    <w:rsid w:val="00B94637"/>
    <w:rsid w:val="00B9489D"/>
    <w:rsid w:val="00B948C3"/>
    <w:rsid w:val="00B9564B"/>
    <w:rsid w:val="00B96218"/>
    <w:rsid w:val="00B96C4F"/>
    <w:rsid w:val="00B96CCC"/>
    <w:rsid w:val="00BA27E3"/>
    <w:rsid w:val="00BA2940"/>
    <w:rsid w:val="00BA4800"/>
    <w:rsid w:val="00BA4D17"/>
    <w:rsid w:val="00BA4E23"/>
    <w:rsid w:val="00BA51BD"/>
    <w:rsid w:val="00BB06F0"/>
    <w:rsid w:val="00BB08C8"/>
    <w:rsid w:val="00BB19FC"/>
    <w:rsid w:val="00BB2143"/>
    <w:rsid w:val="00BB2359"/>
    <w:rsid w:val="00BB2ECD"/>
    <w:rsid w:val="00BB3988"/>
    <w:rsid w:val="00BB3F62"/>
    <w:rsid w:val="00BB3FC4"/>
    <w:rsid w:val="00BB3FDD"/>
    <w:rsid w:val="00BB4124"/>
    <w:rsid w:val="00BB4C9D"/>
    <w:rsid w:val="00BB51AD"/>
    <w:rsid w:val="00BB544D"/>
    <w:rsid w:val="00BB72DD"/>
    <w:rsid w:val="00BC2E65"/>
    <w:rsid w:val="00BC3F27"/>
    <w:rsid w:val="00BC5761"/>
    <w:rsid w:val="00BC6618"/>
    <w:rsid w:val="00BC69E6"/>
    <w:rsid w:val="00BC7783"/>
    <w:rsid w:val="00BC7E07"/>
    <w:rsid w:val="00BD0024"/>
    <w:rsid w:val="00BD0A2E"/>
    <w:rsid w:val="00BD0E8E"/>
    <w:rsid w:val="00BD137E"/>
    <w:rsid w:val="00BD16CD"/>
    <w:rsid w:val="00BD2762"/>
    <w:rsid w:val="00BD2837"/>
    <w:rsid w:val="00BD4F75"/>
    <w:rsid w:val="00BD4FEF"/>
    <w:rsid w:val="00BD5C34"/>
    <w:rsid w:val="00BD5FF6"/>
    <w:rsid w:val="00BD6292"/>
    <w:rsid w:val="00BD63DC"/>
    <w:rsid w:val="00BD74FC"/>
    <w:rsid w:val="00BD7E33"/>
    <w:rsid w:val="00BE02D0"/>
    <w:rsid w:val="00BE0F37"/>
    <w:rsid w:val="00BE16EB"/>
    <w:rsid w:val="00BE2761"/>
    <w:rsid w:val="00BE27AE"/>
    <w:rsid w:val="00BE4949"/>
    <w:rsid w:val="00BE6581"/>
    <w:rsid w:val="00BE6B88"/>
    <w:rsid w:val="00BE7225"/>
    <w:rsid w:val="00BF0B31"/>
    <w:rsid w:val="00BF16E8"/>
    <w:rsid w:val="00BF1D63"/>
    <w:rsid w:val="00BF2283"/>
    <w:rsid w:val="00BF4C47"/>
    <w:rsid w:val="00BF5CA7"/>
    <w:rsid w:val="00BF6419"/>
    <w:rsid w:val="00BF6973"/>
    <w:rsid w:val="00BF778F"/>
    <w:rsid w:val="00C016E6"/>
    <w:rsid w:val="00C03395"/>
    <w:rsid w:val="00C04308"/>
    <w:rsid w:val="00C049F3"/>
    <w:rsid w:val="00C05381"/>
    <w:rsid w:val="00C07D59"/>
    <w:rsid w:val="00C11164"/>
    <w:rsid w:val="00C11E97"/>
    <w:rsid w:val="00C16B3F"/>
    <w:rsid w:val="00C16C2B"/>
    <w:rsid w:val="00C1753D"/>
    <w:rsid w:val="00C1785B"/>
    <w:rsid w:val="00C20630"/>
    <w:rsid w:val="00C212A1"/>
    <w:rsid w:val="00C21C5A"/>
    <w:rsid w:val="00C23F15"/>
    <w:rsid w:val="00C241B5"/>
    <w:rsid w:val="00C2426C"/>
    <w:rsid w:val="00C24FF3"/>
    <w:rsid w:val="00C25059"/>
    <w:rsid w:val="00C250D2"/>
    <w:rsid w:val="00C254F8"/>
    <w:rsid w:val="00C2567A"/>
    <w:rsid w:val="00C318E4"/>
    <w:rsid w:val="00C32377"/>
    <w:rsid w:val="00C326B0"/>
    <w:rsid w:val="00C340DF"/>
    <w:rsid w:val="00C407ED"/>
    <w:rsid w:val="00C40F2B"/>
    <w:rsid w:val="00C41F55"/>
    <w:rsid w:val="00C42536"/>
    <w:rsid w:val="00C42F33"/>
    <w:rsid w:val="00C4510D"/>
    <w:rsid w:val="00C45188"/>
    <w:rsid w:val="00C477B9"/>
    <w:rsid w:val="00C51F6E"/>
    <w:rsid w:val="00C523F4"/>
    <w:rsid w:val="00C52722"/>
    <w:rsid w:val="00C5273E"/>
    <w:rsid w:val="00C5348C"/>
    <w:rsid w:val="00C544EF"/>
    <w:rsid w:val="00C54A8D"/>
    <w:rsid w:val="00C55913"/>
    <w:rsid w:val="00C55E5C"/>
    <w:rsid w:val="00C56138"/>
    <w:rsid w:val="00C57840"/>
    <w:rsid w:val="00C57995"/>
    <w:rsid w:val="00C60B77"/>
    <w:rsid w:val="00C61F67"/>
    <w:rsid w:val="00C628F6"/>
    <w:rsid w:val="00C63EF6"/>
    <w:rsid w:val="00C658D1"/>
    <w:rsid w:val="00C70AEF"/>
    <w:rsid w:val="00C70C6D"/>
    <w:rsid w:val="00C70CA9"/>
    <w:rsid w:val="00C7263C"/>
    <w:rsid w:val="00C73179"/>
    <w:rsid w:val="00C73D0F"/>
    <w:rsid w:val="00C74803"/>
    <w:rsid w:val="00C77181"/>
    <w:rsid w:val="00C7736C"/>
    <w:rsid w:val="00C80663"/>
    <w:rsid w:val="00C80BCD"/>
    <w:rsid w:val="00C81415"/>
    <w:rsid w:val="00C81BF0"/>
    <w:rsid w:val="00C820CB"/>
    <w:rsid w:val="00C832B5"/>
    <w:rsid w:val="00C83552"/>
    <w:rsid w:val="00C849E9"/>
    <w:rsid w:val="00C8516B"/>
    <w:rsid w:val="00C8684C"/>
    <w:rsid w:val="00C870B8"/>
    <w:rsid w:val="00C874B0"/>
    <w:rsid w:val="00C87528"/>
    <w:rsid w:val="00C9092F"/>
    <w:rsid w:val="00C914D2"/>
    <w:rsid w:val="00C925BF"/>
    <w:rsid w:val="00C93593"/>
    <w:rsid w:val="00C93E71"/>
    <w:rsid w:val="00C941D7"/>
    <w:rsid w:val="00C94957"/>
    <w:rsid w:val="00C94BFF"/>
    <w:rsid w:val="00C95058"/>
    <w:rsid w:val="00C95C93"/>
    <w:rsid w:val="00C95D2C"/>
    <w:rsid w:val="00C96306"/>
    <w:rsid w:val="00C97B78"/>
    <w:rsid w:val="00CA0E00"/>
    <w:rsid w:val="00CA137F"/>
    <w:rsid w:val="00CA25EA"/>
    <w:rsid w:val="00CA2DF7"/>
    <w:rsid w:val="00CA3007"/>
    <w:rsid w:val="00CA37F3"/>
    <w:rsid w:val="00CA5CF4"/>
    <w:rsid w:val="00CA6A89"/>
    <w:rsid w:val="00CA6C9C"/>
    <w:rsid w:val="00CB08F2"/>
    <w:rsid w:val="00CB1393"/>
    <w:rsid w:val="00CB3BFA"/>
    <w:rsid w:val="00CB4F9A"/>
    <w:rsid w:val="00CB5076"/>
    <w:rsid w:val="00CB5904"/>
    <w:rsid w:val="00CB6213"/>
    <w:rsid w:val="00CB66AF"/>
    <w:rsid w:val="00CB7DAA"/>
    <w:rsid w:val="00CB7DD5"/>
    <w:rsid w:val="00CC2371"/>
    <w:rsid w:val="00CC33C1"/>
    <w:rsid w:val="00CC5E7A"/>
    <w:rsid w:val="00CC65D7"/>
    <w:rsid w:val="00CC790B"/>
    <w:rsid w:val="00CD0037"/>
    <w:rsid w:val="00CD2E5C"/>
    <w:rsid w:val="00CD4994"/>
    <w:rsid w:val="00CD6D12"/>
    <w:rsid w:val="00CD6E28"/>
    <w:rsid w:val="00CE067E"/>
    <w:rsid w:val="00CE25AB"/>
    <w:rsid w:val="00CE2893"/>
    <w:rsid w:val="00CE2BD2"/>
    <w:rsid w:val="00CE3896"/>
    <w:rsid w:val="00CE51A6"/>
    <w:rsid w:val="00CE6443"/>
    <w:rsid w:val="00CE66E4"/>
    <w:rsid w:val="00CE74C6"/>
    <w:rsid w:val="00CF05A4"/>
    <w:rsid w:val="00CF3B67"/>
    <w:rsid w:val="00CF3DBE"/>
    <w:rsid w:val="00CF4E75"/>
    <w:rsid w:val="00CF5194"/>
    <w:rsid w:val="00CF733D"/>
    <w:rsid w:val="00CF7CBF"/>
    <w:rsid w:val="00D00568"/>
    <w:rsid w:val="00D01B53"/>
    <w:rsid w:val="00D0206A"/>
    <w:rsid w:val="00D03B74"/>
    <w:rsid w:val="00D03BEA"/>
    <w:rsid w:val="00D03EAA"/>
    <w:rsid w:val="00D04918"/>
    <w:rsid w:val="00D04F8A"/>
    <w:rsid w:val="00D055EC"/>
    <w:rsid w:val="00D05E1D"/>
    <w:rsid w:val="00D06D2B"/>
    <w:rsid w:val="00D06E30"/>
    <w:rsid w:val="00D07703"/>
    <w:rsid w:val="00D1015C"/>
    <w:rsid w:val="00D10273"/>
    <w:rsid w:val="00D11110"/>
    <w:rsid w:val="00D1125C"/>
    <w:rsid w:val="00D124A4"/>
    <w:rsid w:val="00D14875"/>
    <w:rsid w:val="00D15B4C"/>
    <w:rsid w:val="00D15B97"/>
    <w:rsid w:val="00D15E87"/>
    <w:rsid w:val="00D16B23"/>
    <w:rsid w:val="00D171B1"/>
    <w:rsid w:val="00D17EA2"/>
    <w:rsid w:val="00D204E5"/>
    <w:rsid w:val="00D21629"/>
    <w:rsid w:val="00D2187B"/>
    <w:rsid w:val="00D2311C"/>
    <w:rsid w:val="00D23EE9"/>
    <w:rsid w:val="00D242D7"/>
    <w:rsid w:val="00D26158"/>
    <w:rsid w:val="00D272E9"/>
    <w:rsid w:val="00D30FA3"/>
    <w:rsid w:val="00D33A18"/>
    <w:rsid w:val="00D34646"/>
    <w:rsid w:val="00D35E2B"/>
    <w:rsid w:val="00D3634F"/>
    <w:rsid w:val="00D36867"/>
    <w:rsid w:val="00D371F4"/>
    <w:rsid w:val="00D417B2"/>
    <w:rsid w:val="00D41EE9"/>
    <w:rsid w:val="00D42ACD"/>
    <w:rsid w:val="00D446B0"/>
    <w:rsid w:val="00D44A89"/>
    <w:rsid w:val="00D459CC"/>
    <w:rsid w:val="00D45EF7"/>
    <w:rsid w:val="00D471FF"/>
    <w:rsid w:val="00D505AB"/>
    <w:rsid w:val="00D50632"/>
    <w:rsid w:val="00D50710"/>
    <w:rsid w:val="00D51F6E"/>
    <w:rsid w:val="00D524E8"/>
    <w:rsid w:val="00D536BD"/>
    <w:rsid w:val="00D54BF8"/>
    <w:rsid w:val="00D550D0"/>
    <w:rsid w:val="00D55DD8"/>
    <w:rsid w:val="00D565ED"/>
    <w:rsid w:val="00D5786E"/>
    <w:rsid w:val="00D57E69"/>
    <w:rsid w:val="00D57F35"/>
    <w:rsid w:val="00D57F3A"/>
    <w:rsid w:val="00D60B32"/>
    <w:rsid w:val="00D617AF"/>
    <w:rsid w:val="00D6207F"/>
    <w:rsid w:val="00D621F4"/>
    <w:rsid w:val="00D62AE9"/>
    <w:rsid w:val="00D65A60"/>
    <w:rsid w:val="00D662D8"/>
    <w:rsid w:val="00D677B3"/>
    <w:rsid w:val="00D703B7"/>
    <w:rsid w:val="00D7179A"/>
    <w:rsid w:val="00D736A8"/>
    <w:rsid w:val="00D73B87"/>
    <w:rsid w:val="00D75599"/>
    <w:rsid w:val="00D755B5"/>
    <w:rsid w:val="00D75C52"/>
    <w:rsid w:val="00D76275"/>
    <w:rsid w:val="00D80994"/>
    <w:rsid w:val="00D81B10"/>
    <w:rsid w:val="00D82AE5"/>
    <w:rsid w:val="00D8306F"/>
    <w:rsid w:val="00D841CC"/>
    <w:rsid w:val="00D84B13"/>
    <w:rsid w:val="00D858A5"/>
    <w:rsid w:val="00D85982"/>
    <w:rsid w:val="00D85D48"/>
    <w:rsid w:val="00D85F71"/>
    <w:rsid w:val="00D861D2"/>
    <w:rsid w:val="00D865F3"/>
    <w:rsid w:val="00D9138F"/>
    <w:rsid w:val="00D9176A"/>
    <w:rsid w:val="00D931ED"/>
    <w:rsid w:val="00D93E07"/>
    <w:rsid w:val="00D95394"/>
    <w:rsid w:val="00D953E3"/>
    <w:rsid w:val="00D962DD"/>
    <w:rsid w:val="00D96917"/>
    <w:rsid w:val="00D97E57"/>
    <w:rsid w:val="00DA197F"/>
    <w:rsid w:val="00DA20CC"/>
    <w:rsid w:val="00DA3215"/>
    <w:rsid w:val="00DA5519"/>
    <w:rsid w:val="00DB1245"/>
    <w:rsid w:val="00DB1A46"/>
    <w:rsid w:val="00DB21D1"/>
    <w:rsid w:val="00DB2F1C"/>
    <w:rsid w:val="00DB3A9A"/>
    <w:rsid w:val="00DB3EE0"/>
    <w:rsid w:val="00DB705F"/>
    <w:rsid w:val="00DC053B"/>
    <w:rsid w:val="00DC0DB8"/>
    <w:rsid w:val="00DC1088"/>
    <w:rsid w:val="00DC1F62"/>
    <w:rsid w:val="00DC243F"/>
    <w:rsid w:val="00DC53C5"/>
    <w:rsid w:val="00DC6C08"/>
    <w:rsid w:val="00DC6E11"/>
    <w:rsid w:val="00DC7154"/>
    <w:rsid w:val="00DC7666"/>
    <w:rsid w:val="00DC7906"/>
    <w:rsid w:val="00DD102C"/>
    <w:rsid w:val="00DD1D29"/>
    <w:rsid w:val="00DD2940"/>
    <w:rsid w:val="00DD4EE4"/>
    <w:rsid w:val="00DE09B1"/>
    <w:rsid w:val="00DE114F"/>
    <w:rsid w:val="00DE145D"/>
    <w:rsid w:val="00DE2458"/>
    <w:rsid w:val="00DE267A"/>
    <w:rsid w:val="00DE3CD8"/>
    <w:rsid w:val="00DE58B6"/>
    <w:rsid w:val="00DE5BAB"/>
    <w:rsid w:val="00DE6611"/>
    <w:rsid w:val="00DE76EB"/>
    <w:rsid w:val="00DF166B"/>
    <w:rsid w:val="00DF1BB8"/>
    <w:rsid w:val="00DF1BC2"/>
    <w:rsid w:val="00DF1D82"/>
    <w:rsid w:val="00DF4153"/>
    <w:rsid w:val="00DF5A43"/>
    <w:rsid w:val="00DF79E1"/>
    <w:rsid w:val="00E00252"/>
    <w:rsid w:val="00E00968"/>
    <w:rsid w:val="00E02C86"/>
    <w:rsid w:val="00E02CF7"/>
    <w:rsid w:val="00E03A27"/>
    <w:rsid w:val="00E03E08"/>
    <w:rsid w:val="00E04874"/>
    <w:rsid w:val="00E0559B"/>
    <w:rsid w:val="00E07C35"/>
    <w:rsid w:val="00E07EC7"/>
    <w:rsid w:val="00E1039C"/>
    <w:rsid w:val="00E108CB"/>
    <w:rsid w:val="00E11288"/>
    <w:rsid w:val="00E11941"/>
    <w:rsid w:val="00E164B8"/>
    <w:rsid w:val="00E179E3"/>
    <w:rsid w:val="00E20BDA"/>
    <w:rsid w:val="00E212C6"/>
    <w:rsid w:val="00E21D29"/>
    <w:rsid w:val="00E231C9"/>
    <w:rsid w:val="00E24D93"/>
    <w:rsid w:val="00E26D12"/>
    <w:rsid w:val="00E27958"/>
    <w:rsid w:val="00E279DA"/>
    <w:rsid w:val="00E31606"/>
    <w:rsid w:val="00E32708"/>
    <w:rsid w:val="00E33018"/>
    <w:rsid w:val="00E34488"/>
    <w:rsid w:val="00E36C08"/>
    <w:rsid w:val="00E37868"/>
    <w:rsid w:val="00E40FB0"/>
    <w:rsid w:val="00E41106"/>
    <w:rsid w:val="00E43684"/>
    <w:rsid w:val="00E44252"/>
    <w:rsid w:val="00E442FE"/>
    <w:rsid w:val="00E44C28"/>
    <w:rsid w:val="00E4535D"/>
    <w:rsid w:val="00E459CD"/>
    <w:rsid w:val="00E45BC6"/>
    <w:rsid w:val="00E463BE"/>
    <w:rsid w:val="00E4642D"/>
    <w:rsid w:val="00E46FDE"/>
    <w:rsid w:val="00E50D07"/>
    <w:rsid w:val="00E51BD8"/>
    <w:rsid w:val="00E53BAC"/>
    <w:rsid w:val="00E545C7"/>
    <w:rsid w:val="00E54D22"/>
    <w:rsid w:val="00E553A1"/>
    <w:rsid w:val="00E55E2B"/>
    <w:rsid w:val="00E5681F"/>
    <w:rsid w:val="00E5737E"/>
    <w:rsid w:val="00E6081D"/>
    <w:rsid w:val="00E60EAE"/>
    <w:rsid w:val="00E60FDB"/>
    <w:rsid w:val="00E61564"/>
    <w:rsid w:val="00E62147"/>
    <w:rsid w:val="00E637F4"/>
    <w:rsid w:val="00E66FB5"/>
    <w:rsid w:val="00E67EC5"/>
    <w:rsid w:val="00E70E27"/>
    <w:rsid w:val="00E71435"/>
    <w:rsid w:val="00E71540"/>
    <w:rsid w:val="00E7165B"/>
    <w:rsid w:val="00E75E3C"/>
    <w:rsid w:val="00E76221"/>
    <w:rsid w:val="00E7663D"/>
    <w:rsid w:val="00E771CF"/>
    <w:rsid w:val="00E81277"/>
    <w:rsid w:val="00E8142C"/>
    <w:rsid w:val="00E824CF"/>
    <w:rsid w:val="00E82555"/>
    <w:rsid w:val="00E83A5C"/>
    <w:rsid w:val="00E850D6"/>
    <w:rsid w:val="00E853DA"/>
    <w:rsid w:val="00E8567B"/>
    <w:rsid w:val="00E863A2"/>
    <w:rsid w:val="00E8662C"/>
    <w:rsid w:val="00E86EC7"/>
    <w:rsid w:val="00E87178"/>
    <w:rsid w:val="00E874AB"/>
    <w:rsid w:val="00E918E4"/>
    <w:rsid w:val="00E9229D"/>
    <w:rsid w:val="00E92540"/>
    <w:rsid w:val="00E92EC1"/>
    <w:rsid w:val="00E93741"/>
    <w:rsid w:val="00E94DFA"/>
    <w:rsid w:val="00E96120"/>
    <w:rsid w:val="00EA05EB"/>
    <w:rsid w:val="00EA0708"/>
    <w:rsid w:val="00EA07F4"/>
    <w:rsid w:val="00EA0D7E"/>
    <w:rsid w:val="00EA26C3"/>
    <w:rsid w:val="00EA2B33"/>
    <w:rsid w:val="00EA4DD1"/>
    <w:rsid w:val="00EA5418"/>
    <w:rsid w:val="00EA730B"/>
    <w:rsid w:val="00EA7F4A"/>
    <w:rsid w:val="00EB112C"/>
    <w:rsid w:val="00EB195C"/>
    <w:rsid w:val="00EB26B0"/>
    <w:rsid w:val="00EB2FA4"/>
    <w:rsid w:val="00EB37D6"/>
    <w:rsid w:val="00EB3EC7"/>
    <w:rsid w:val="00EB415F"/>
    <w:rsid w:val="00EB4383"/>
    <w:rsid w:val="00EB4758"/>
    <w:rsid w:val="00EB4870"/>
    <w:rsid w:val="00EB4BF6"/>
    <w:rsid w:val="00EC129E"/>
    <w:rsid w:val="00EC1345"/>
    <w:rsid w:val="00EC1BE8"/>
    <w:rsid w:val="00EC3BD4"/>
    <w:rsid w:val="00EC6297"/>
    <w:rsid w:val="00EC685B"/>
    <w:rsid w:val="00ED0042"/>
    <w:rsid w:val="00ED0C09"/>
    <w:rsid w:val="00ED10D9"/>
    <w:rsid w:val="00ED118F"/>
    <w:rsid w:val="00ED3358"/>
    <w:rsid w:val="00ED58DD"/>
    <w:rsid w:val="00ED7A33"/>
    <w:rsid w:val="00EE06DD"/>
    <w:rsid w:val="00EE093A"/>
    <w:rsid w:val="00EE0FFF"/>
    <w:rsid w:val="00EE11C3"/>
    <w:rsid w:val="00EE2EE1"/>
    <w:rsid w:val="00EE3691"/>
    <w:rsid w:val="00EE3ADD"/>
    <w:rsid w:val="00EE5E03"/>
    <w:rsid w:val="00EE6183"/>
    <w:rsid w:val="00EE6256"/>
    <w:rsid w:val="00EF1A76"/>
    <w:rsid w:val="00EF287E"/>
    <w:rsid w:val="00EF2E9D"/>
    <w:rsid w:val="00EF339B"/>
    <w:rsid w:val="00EF363D"/>
    <w:rsid w:val="00EF3F46"/>
    <w:rsid w:val="00EF428D"/>
    <w:rsid w:val="00EF615E"/>
    <w:rsid w:val="00EF689B"/>
    <w:rsid w:val="00EF6CE1"/>
    <w:rsid w:val="00F00093"/>
    <w:rsid w:val="00F02959"/>
    <w:rsid w:val="00F029BA"/>
    <w:rsid w:val="00F02AAA"/>
    <w:rsid w:val="00F02AE3"/>
    <w:rsid w:val="00F05495"/>
    <w:rsid w:val="00F055B7"/>
    <w:rsid w:val="00F0714A"/>
    <w:rsid w:val="00F07C70"/>
    <w:rsid w:val="00F1092D"/>
    <w:rsid w:val="00F10DBD"/>
    <w:rsid w:val="00F11213"/>
    <w:rsid w:val="00F12A4D"/>
    <w:rsid w:val="00F12BFB"/>
    <w:rsid w:val="00F13436"/>
    <w:rsid w:val="00F139F7"/>
    <w:rsid w:val="00F162A6"/>
    <w:rsid w:val="00F1679E"/>
    <w:rsid w:val="00F2036F"/>
    <w:rsid w:val="00F23349"/>
    <w:rsid w:val="00F236ED"/>
    <w:rsid w:val="00F23C2F"/>
    <w:rsid w:val="00F23DD3"/>
    <w:rsid w:val="00F25306"/>
    <w:rsid w:val="00F256D9"/>
    <w:rsid w:val="00F26A36"/>
    <w:rsid w:val="00F27032"/>
    <w:rsid w:val="00F30265"/>
    <w:rsid w:val="00F30568"/>
    <w:rsid w:val="00F325B6"/>
    <w:rsid w:val="00F340BF"/>
    <w:rsid w:val="00F34B45"/>
    <w:rsid w:val="00F36460"/>
    <w:rsid w:val="00F37B98"/>
    <w:rsid w:val="00F37BEB"/>
    <w:rsid w:val="00F41B6F"/>
    <w:rsid w:val="00F4255E"/>
    <w:rsid w:val="00F426F2"/>
    <w:rsid w:val="00F443BE"/>
    <w:rsid w:val="00F4590B"/>
    <w:rsid w:val="00F45C83"/>
    <w:rsid w:val="00F463E2"/>
    <w:rsid w:val="00F51489"/>
    <w:rsid w:val="00F515BA"/>
    <w:rsid w:val="00F52172"/>
    <w:rsid w:val="00F5403B"/>
    <w:rsid w:val="00F54DCB"/>
    <w:rsid w:val="00F54DFC"/>
    <w:rsid w:val="00F55039"/>
    <w:rsid w:val="00F55184"/>
    <w:rsid w:val="00F60415"/>
    <w:rsid w:val="00F6056C"/>
    <w:rsid w:val="00F608DA"/>
    <w:rsid w:val="00F614E3"/>
    <w:rsid w:val="00F62B93"/>
    <w:rsid w:val="00F62E1E"/>
    <w:rsid w:val="00F633FC"/>
    <w:rsid w:val="00F63AF7"/>
    <w:rsid w:val="00F64304"/>
    <w:rsid w:val="00F645C4"/>
    <w:rsid w:val="00F64709"/>
    <w:rsid w:val="00F65748"/>
    <w:rsid w:val="00F70870"/>
    <w:rsid w:val="00F70CB6"/>
    <w:rsid w:val="00F7239F"/>
    <w:rsid w:val="00F73162"/>
    <w:rsid w:val="00F73E11"/>
    <w:rsid w:val="00F7603D"/>
    <w:rsid w:val="00F77D25"/>
    <w:rsid w:val="00F810CB"/>
    <w:rsid w:val="00F81630"/>
    <w:rsid w:val="00F81C4E"/>
    <w:rsid w:val="00F81E20"/>
    <w:rsid w:val="00F82560"/>
    <w:rsid w:val="00F825AE"/>
    <w:rsid w:val="00F84522"/>
    <w:rsid w:val="00F8513D"/>
    <w:rsid w:val="00F8540D"/>
    <w:rsid w:val="00F85C19"/>
    <w:rsid w:val="00F8628C"/>
    <w:rsid w:val="00F86990"/>
    <w:rsid w:val="00F87B4E"/>
    <w:rsid w:val="00F87B75"/>
    <w:rsid w:val="00F91207"/>
    <w:rsid w:val="00F91A30"/>
    <w:rsid w:val="00F9307A"/>
    <w:rsid w:val="00F93339"/>
    <w:rsid w:val="00F93730"/>
    <w:rsid w:val="00F93BA3"/>
    <w:rsid w:val="00F94836"/>
    <w:rsid w:val="00F94C9F"/>
    <w:rsid w:val="00F95426"/>
    <w:rsid w:val="00F9761B"/>
    <w:rsid w:val="00F97FB1"/>
    <w:rsid w:val="00FA0EA5"/>
    <w:rsid w:val="00FA328D"/>
    <w:rsid w:val="00FA3619"/>
    <w:rsid w:val="00FA3D5D"/>
    <w:rsid w:val="00FA4F5F"/>
    <w:rsid w:val="00FA5947"/>
    <w:rsid w:val="00FA6F97"/>
    <w:rsid w:val="00FA7471"/>
    <w:rsid w:val="00FA799F"/>
    <w:rsid w:val="00FA7DDB"/>
    <w:rsid w:val="00FA7F60"/>
    <w:rsid w:val="00FB07C0"/>
    <w:rsid w:val="00FB0F81"/>
    <w:rsid w:val="00FB1010"/>
    <w:rsid w:val="00FB1C2D"/>
    <w:rsid w:val="00FB1EBF"/>
    <w:rsid w:val="00FB23F0"/>
    <w:rsid w:val="00FB26A6"/>
    <w:rsid w:val="00FB27AF"/>
    <w:rsid w:val="00FB3ABB"/>
    <w:rsid w:val="00FB6049"/>
    <w:rsid w:val="00FB70AC"/>
    <w:rsid w:val="00FB7DB5"/>
    <w:rsid w:val="00FC1869"/>
    <w:rsid w:val="00FC1D7D"/>
    <w:rsid w:val="00FC2084"/>
    <w:rsid w:val="00FC34D2"/>
    <w:rsid w:val="00FC5C37"/>
    <w:rsid w:val="00FC611C"/>
    <w:rsid w:val="00FC663D"/>
    <w:rsid w:val="00FC691C"/>
    <w:rsid w:val="00FD02A9"/>
    <w:rsid w:val="00FD1BAE"/>
    <w:rsid w:val="00FD2E1D"/>
    <w:rsid w:val="00FD47EF"/>
    <w:rsid w:val="00FD5830"/>
    <w:rsid w:val="00FD5AC0"/>
    <w:rsid w:val="00FD6ECC"/>
    <w:rsid w:val="00FD702F"/>
    <w:rsid w:val="00FE1B99"/>
    <w:rsid w:val="00FE38CE"/>
    <w:rsid w:val="00FE4685"/>
    <w:rsid w:val="00FE4A87"/>
    <w:rsid w:val="00FE504A"/>
    <w:rsid w:val="00FE6592"/>
    <w:rsid w:val="00FE6A08"/>
    <w:rsid w:val="00FF0AAA"/>
    <w:rsid w:val="00FF240F"/>
    <w:rsid w:val="00FF2D61"/>
    <w:rsid w:val="00FF382E"/>
    <w:rsid w:val="00FF3B1D"/>
    <w:rsid w:val="00FF3C3F"/>
    <w:rsid w:val="00FF4908"/>
    <w:rsid w:val="00FF4F14"/>
    <w:rsid w:val="00FF5A41"/>
    <w:rsid w:val="00FF5BE8"/>
    <w:rsid w:val="00FF7663"/>
    <w:rsid w:val="00FF7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0b4e5,#005cb9,#95d600,#0064a7,#97c93d"/>
    </o:shapedefaults>
    <o:shapelayout v:ext="edit">
      <o:idmap v:ext="edit" data="1"/>
    </o:shapelayout>
  </w:shapeDefaults>
  <w:decimalSymbol w:val="."/>
  <w:listSeparator w:val=","/>
  <w14:docId w14:val="442C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1"/>
    <w:qFormat/>
    <w:rsid w:val="002F3062"/>
    <w:pPr>
      <w:widowControl w:val="0"/>
      <w:spacing w:after="0" w:line="240" w:lineRule="auto"/>
      <w:ind w:left="282"/>
      <w:outlineLvl w:val="0"/>
    </w:pPr>
    <w:rPr>
      <w:rFonts w:ascii="Arial" w:eastAsia="Arial" w:hAnsi="Arial" w:cstheme="minorBidi"/>
      <w:b/>
      <w:bCs/>
      <w:sz w:val="24"/>
      <w:szCs w:val="24"/>
      <w:lang w:val="en-US"/>
    </w:rPr>
  </w:style>
  <w:style w:type="paragraph" w:styleId="Ttulo2">
    <w:name w:val="heading 2"/>
    <w:basedOn w:val="Normal"/>
    <w:next w:val="Normal"/>
    <w:link w:val="Ttulo2Car"/>
    <w:uiPriority w:val="9"/>
    <w:semiHidden/>
    <w:unhideWhenUsed/>
    <w:qFormat/>
    <w:rsid w:val="00B20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3062"/>
    <w:rPr>
      <w:rFonts w:ascii="Arial" w:eastAsia="Arial" w:hAnsi="Arial" w:cstheme="minorBidi"/>
      <w:b/>
      <w:bCs/>
      <w:sz w:val="24"/>
      <w:szCs w:val="24"/>
      <w:lang w:val="en-US" w:eastAsia="en-US"/>
    </w:rPr>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character" w:customStyle="1" w:styleId="PrrafodelistaCar">
    <w:name w:val="Párrafo de lista Car"/>
    <w:link w:val="Prrafodelista"/>
    <w:uiPriority w:val="34"/>
    <w:rsid w:val="00F25306"/>
    <w:rPr>
      <w:sz w:val="22"/>
      <w:szCs w:val="22"/>
      <w:lang w:eastAsia="en-US"/>
    </w:r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9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2F306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F3062"/>
    <w:pPr>
      <w:widowControl w:val="0"/>
      <w:spacing w:after="0" w:line="240" w:lineRule="auto"/>
      <w:ind w:left="282"/>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2F306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2F3062"/>
    <w:pPr>
      <w:widowControl w:val="0"/>
      <w:spacing w:after="0" w:line="240" w:lineRule="auto"/>
    </w:pPr>
    <w:rPr>
      <w:rFonts w:asciiTheme="minorHAnsi" w:eastAsiaTheme="minorHAnsi" w:hAnsiTheme="minorHAnsi" w:cstheme="minorBidi"/>
      <w:lang w:val="en-US"/>
    </w:rPr>
  </w:style>
  <w:style w:type="paragraph" w:styleId="Sinespaciado">
    <w:name w:val="No Spacing"/>
    <w:uiPriority w:val="1"/>
    <w:qFormat/>
    <w:rsid w:val="002F3062"/>
    <w:pPr>
      <w:widowControl w:val="0"/>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2F3062"/>
    <w:rPr>
      <w:sz w:val="16"/>
      <w:szCs w:val="16"/>
    </w:rPr>
  </w:style>
  <w:style w:type="paragraph" w:styleId="Textocomentario">
    <w:name w:val="annotation text"/>
    <w:basedOn w:val="Normal"/>
    <w:link w:val="TextocomentarioCar"/>
    <w:uiPriority w:val="99"/>
    <w:semiHidden/>
    <w:unhideWhenUsed/>
    <w:rsid w:val="002F306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2F3062"/>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2F3062"/>
    <w:rPr>
      <w:b/>
      <w:bCs/>
    </w:rPr>
  </w:style>
  <w:style w:type="character" w:customStyle="1" w:styleId="AsuntodelcomentarioCar">
    <w:name w:val="Asunto del comentario Car"/>
    <w:basedOn w:val="TextocomentarioCar"/>
    <w:link w:val="Asuntodelcomentario"/>
    <w:uiPriority w:val="99"/>
    <w:semiHidden/>
    <w:rsid w:val="002F3062"/>
    <w:rPr>
      <w:rFonts w:asciiTheme="minorHAnsi" w:eastAsiaTheme="minorHAnsi" w:hAnsiTheme="minorHAnsi" w:cstheme="minorBidi"/>
      <w:b/>
      <w:bCs/>
      <w:lang w:val="en-US" w:eastAsia="en-US"/>
    </w:rPr>
  </w:style>
  <w:style w:type="paragraph" w:customStyle="1" w:styleId="Default">
    <w:name w:val="Default"/>
    <w:rsid w:val="002F3062"/>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2F3062"/>
    <w:rPr>
      <w:color w:val="0563C1" w:themeColor="hyperlink"/>
      <w:u w:val="single"/>
    </w:rPr>
  </w:style>
  <w:style w:type="character" w:customStyle="1" w:styleId="UnresolvedMention">
    <w:name w:val="Unresolved Mention"/>
    <w:basedOn w:val="Fuentedeprrafopredeter"/>
    <w:uiPriority w:val="99"/>
    <w:semiHidden/>
    <w:unhideWhenUsed/>
    <w:rsid w:val="002F3062"/>
    <w:rPr>
      <w:color w:val="605E5C"/>
      <w:shd w:val="clear" w:color="auto" w:fill="E1DFDD"/>
    </w:rPr>
  </w:style>
  <w:style w:type="character" w:styleId="Textoennegrita">
    <w:name w:val="Strong"/>
    <w:basedOn w:val="Fuentedeprrafopredeter"/>
    <w:uiPriority w:val="22"/>
    <w:qFormat/>
    <w:rsid w:val="00742D41"/>
    <w:rPr>
      <w:b/>
      <w:bCs/>
    </w:rPr>
  </w:style>
  <w:style w:type="character" w:customStyle="1" w:styleId="Ttulo2Car">
    <w:name w:val="Título 2 Car"/>
    <w:basedOn w:val="Fuentedeprrafopredeter"/>
    <w:link w:val="Ttulo2"/>
    <w:uiPriority w:val="9"/>
    <w:semiHidden/>
    <w:rsid w:val="00B20E12"/>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6C01DB"/>
    <w:rPr>
      <w:rFonts w:asciiTheme="majorHAnsi" w:eastAsiaTheme="majorEastAsia" w:hAnsiTheme="majorHAnsi" w:cstheme="majorBidi"/>
      <w:color w:val="1F4D78" w:themeColor="accent1" w:themeShade="7F"/>
      <w:sz w:val="24"/>
      <w:szCs w:val="24"/>
      <w:lang w:eastAsia="en-US"/>
    </w:rPr>
  </w:style>
  <w:style w:type="character" w:styleId="CitaHTML">
    <w:name w:val="HTML Cite"/>
    <w:basedOn w:val="Fuentedeprrafopredeter"/>
    <w:uiPriority w:val="99"/>
    <w:semiHidden/>
    <w:unhideWhenUsed/>
    <w:rsid w:val="006C01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1"/>
    <w:qFormat/>
    <w:rsid w:val="002F3062"/>
    <w:pPr>
      <w:widowControl w:val="0"/>
      <w:spacing w:after="0" w:line="240" w:lineRule="auto"/>
      <w:ind w:left="282"/>
      <w:outlineLvl w:val="0"/>
    </w:pPr>
    <w:rPr>
      <w:rFonts w:ascii="Arial" w:eastAsia="Arial" w:hAnsi="Arial" w:cstheme="minorBidi"/>
      <w:b/>
      <w:bCs/>
      <w:sz w:val="24"/>
      <w:szCs w:val="24"/>
      <w:lang w:val="en-US"/>
    </w:rPr>
  </w:style>
  <w:style w:type="paragraph" w:styleId="Ttulo2">
    <w:name w:val="heading 2"/>
    <w:basedOn w:val="Normal"/>
    <w:next w:val="Normal"/>
    <w:link w:val="Ttulo2Car"/>
    <w:uiPriority w:val="9"/>
    <w:semiHidden/>
    <w:unhideWhenUsed/>
    <w:qFormat/>
    <w:rsid w:val="00B20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3062"/>
    <w:rPr>
      <w:rFonts w:ascii="Arial" w:eastAsia="Arial" w:hAnsi="Arial" w:cstheme="minorBidi"/>
      <w:b/>
      <w:bCs/>
      <w:sz w:val="24"/>
      <w:szCs w:val="24"/>
      <w:lang w:val="en-US" w:eastAsia="en-US"/>
    </w:rPr>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character" w:customStyle="1" w:styleId="PrrafodelistaCar">
    <w:name w:val="Párrafo de lista Car"/>
    <w:link w:val="Prrafodelista"/>
    <w:uiPriority w:val="34"/>
    <w:rsid w:val="00F25306"/>
    <w:rPr>
      <w:sz w:val="22"/>
      <w:szCs w:val="22"/>
      <w:lang w:eastAsia="en-US"/>
    </w:r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9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2F306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F3062"/>
    <w:pPr>
      <w:widowControl w:val="0"/>
      <w:spacing w:after="0" w:line="240" w:lineRule="auto"/>
      <w:ind w:left="282"/>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2F306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2F3062"/>
    <w:pPr>
      <w:widowControl w:val="0"/>
      <w:spacing w:after="0" w:line="240" w:lineRule="auto"/>
    </w:pPr>
    <w:rPr>
      <w:rFonts w:asciiTheme="minorHAnsi" w:eastAsiaTheme="minorHAnsi" w:hAnsiTheme="minorHAnsi" w:cstheme="minorBidi"/>
      <w:lang w:val="en-US"/>
    </w:rPr>
  </w:style>
  <w:style w:type="paragraph" w:styleId="Sinespaciado">
    <w:name w:val="No Spacing"/>
    <w:uiPriority w:val="1"/>
    <w:qFormat/>
    <w:rsid w:val="002F3062"/>
    <w:pPr>
      <w:widowControl w:val="0"/>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2F3062"/>
    <w:rPr>
      <w:sz w:val="16"/>
      <w:szCs w:val="16"/>
    </w:rPr>
  </w:style>
  <w:style w:type="paragraph" w:styleId="Textocomentario">
    <w:name w:val="annotation text"/>
    <w:basedOn w:val="Normal"/>
    <w:link w:val="TextocomentarioCar"/>
    <w:uiPriority w:val="99"/>
    <w:semiHidden/>
    <w:unhideWhenUsed/>
    <w:rsid w:val="002F306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2F3062"/>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2F3062"/>
    <w:rPr>
      <w:b/>
      <w:bCs/>
    </w:rPr>
  </w:style>
  <w:style w:type="character" w:customStyle="1" w:styleId="AsuntodelcomentarioCar">
    <w:name w:val="Asunto del comentario Car"/>
    <w:basedOn w:val="TextocomentarioCar"/>
    <w:link w:val="Asuntodelcomentario"/>
    <w:uiPriority w:val="99"/>
    <w:semiHidden/>
    <w:rsid w:val="002F3062"/>
    <w:rPr>
      <w:rFonts w:asciiTheme="minorHAnsi" w:eastAsiaTheme="minorHAnsi" w:hAnsiTheme="minorHAnsi" w:cstheme="minorBidi"/>
      <w:b/>
      <w:bCs/>
      <w:lang w:val="en-US" w:eastAsia="en-US"/>
    </w:rPr>
  </w:style>
  <w:style w:type="paragraph" w:customStyle="1" w:styleId="Default">
    <w:name w:val="Default"/>
    <w:rsid w:val="002F3062"/>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2F3062"/>
    <w:rPr>
      <w:color w:val="0563C1" w:themeColor="hyperlink"/>
      <w:u w:val="single"/>
    </w:rPr>
  </w:style>
  <w:style w:type="character" w:customStyle="1" w:styleId="UnresolvedMention">
    <w:name w:val="Unresolved Mention"/>
    <w:basedOn w:val="Fuentedeprrafopredeter"/>
    <w:uiPriority w:val="99"/>
    <w:semiHidden/>
    <w:unhideWhenUsed/>
    <w:rsid w:val="002F3062"/>
    <w:rPr>
      <w:color w:val="605E5C"/>
      <w:shd w:val="clear" w:color="auto" w:fill="E1DFDD"/>
    </w:rPr>
  </w:style>
  <w:style w:type="character" w:styleId="Textoennegrita">
    <w:name w:val="Strong"/>
    <w:basedOn w:val="Fuentedeprrafopredeter"/>
    <w:uiPriority w:val="22"/>
    <w:qFormat/>
    <w:rsid w:val="00742D41"/>
    <w:rPr>
      <w:b/>
      <w:bCs/>
    </w:rPr>
  </w:style>
  <w:style w:type="character" w:customStyle="1" w:styleId="Ttulo2Car">
    <w:name w:val="Título 2 Car"/>
    <w:basedOn w:val="Fuentedeprrafopredeter"/>
    <w:link w:val="Ttulo2"/>
    <w:uiPriority w:val="9"/>
    <w:semiHidden/>
    <w:rsid w:val="00B20E12"/>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6C01DB"/>
    <w:rPr>
      <w:rFonts w:asciiTheme="majorHAnsi" w:eastAsiaTheme="majorEastAsia" w:hAnsiTheme="majorHAnsi" w:cstheme="majorBidi"/>
      <w:color w:val="1F4D78" w:themeColor="accent1" w:themeShade="7F"/>
      <w:sz w:val="24"/>
      <w:szCs w:val="24"/>
      <w:lang w:eastAsia="en-US"/>
    </w:rPr>
  </w:style>
  <w:style w:type="character" w:styleId="CitaHTML">
    <w:name w:val="HTML Cite"/>
    <w:basedOn w:val="Fuentedeprrafopredeter"/>
    <w:uiPriority w:val="99"/>
    <w:semiHidden/>
    <w:unhideWhenUsed/>
    <w:rsid w:val="006C0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71">
      <w:bodyDiv w:val="1"/>
      <w:marLeft w:val="0"/>
      <w:marRight w:val="0"/>
      <w:marTop w:val="0"/>
      <w:marBottom w:val="0"/>
      <w:divBdr>
        <w:top w:val="none" w:sz="0" w:space="0" w:color="auto"/>
        <w:left w:val="none" w:sz="0" w:space="0" w:color="auto"/>
        <w:bottom w:val="none" w:sz="0" w:space="0" w:color="auto"/>
        <w:right w:val="none" w:sz="0" w:space="0" w:color="auto"/>
      </w:divBdr>
    </w:div>
    <w:div w:id="9570567">
      <w:bodyDiv w:val="1"/>
      <w:marLeft w:val="0"/>
      <w:marRight w:val="0"/>
      <w:marTop w:val="0"/>
      <w:marBottom w:val="0"/>
      <w:divBdr>
        <w:top w:val="none" w:sz="0" w:space="0" w:color="auto"/>
        <w:left w:val="none" w:sz="0" w:space="0" w:color="auto"/>
        <w:bottom w:val="none" w:sz="0" w:space="0" w:color="auto"/>
        <w:right w:val="none" w:sz="0" w:space="0" w:color="auto"/>
      </w:divBdr>
    </w:div>
    <w:div w:id="12849356">
      <w:bodyDiv w:val="1"/>
      <w:marLeft w:val="0"/>
      <w:marRight w:val="0"/>
      <w:marTop w:val="0"/>
      <w:marBottom w:val="0"/>
      <w:divBdr>
        <w:top w:val="none" w:sz="0" w:space="0" w:color="auto"/>
        <w:left w:val="none" w:sz="0" w:space="0" w:color="auto"/>
        <w:bottom w:val="none" w:sz="0" w:space="0" w:color="auto"/>
        <w:right w:val="none" w:sz="0" w:space="0" w:color="auto"/>
      </w:divBdr>
    </w:div>
    <w:div w:id="18627367">
      <w:bodyDiv w:val="1"/>
      <w:marLeft w:val="0"/>
      <w:marRight w:val="0"/>
      <w:marTop w:val="0"/>
      <w:marBottom w:val="0"/>
      <w:divBdr>
        <w:top w:val="none" w:sz="0" w:space="0" w:color="auto"/>
        <w:left w:val="none" w:sz="0" w:space="0" w:color="auto"/>
        <w:bottom w:val="none" w:sz="0" w:space="0" w:color="auto"/>
        <w:right w:val="none" w:sz="0" w:space="0" w:color="auto"/>
      </w:divBdr>
    </w:div>
    <w:div w:id="29111037">
      <w:bodyDiv w:val="1"/>
      <w:marLeft w:val="0"/>
      <w:marRight w:val="0"/>
      <w:marTop w:val="0"/>
      <w:marBottom w:val="0"/>
      <w:divBdr>
        <w:top w:val="none" w:sz="0" w:space="0" w:color="auto"/>
        <w:left w:val="none" w:sz="0" w:space="0" w:color="auto"/>
        <w:bottom w:val="none" w:sz="0" w:space="0" w:color="auto"/>
        <w:right w:val="none" w:sz="0" w:space="0" w:color="auto"/>
      </w:divBdr>
    </w:div>
    <w:div w:id="43871421">
      <w:bodyDiv w:val="1"/>
      <w:marLeft w:val="0"/>
      <w:marRight w:val="0"/>
      <w:marTop w:val="0"/>
      <w:marBottom w:val="0"/>
      <w:divBdr>
        <w:top w:val="none" w:sz="0" w:space="0" w:color="auto"/>
        <w:left w:val="none" w:sz="0" w:space="0" w:color="auto"/>
        <w:bottom w:val="none" w:sz="0" w:space="0" w:color="auto"/>
        <w:right w:val="none" w:sz="0" w:space="0" w:color="auto"/>
      </w:divBdr>
    </w:div>
    <w:div w:id="49619660">
      <w:bodyDiv w:val="1"/>
      <w:marLeft w:val="0"/>
      <w:marRight w:val="0"/>
      <w:marTop w:val="0"/>
      <w:marBottom w:val="0"/>
      <w:divBdr>
        <w:top w:val="none" w:sz="0" w:space="0" w:color="auto"/>
        <w:left w:val="none" w:sz="0" w:space="0" w:color="auto"/>
        <w:bottom w:val="none" w:sz="0" w:space="0" w:color="auto"/>
        <w:right w:val="none" w:sz="0" w:space="0" w:color="auto"/>
      </w:divBdr>
    </w:div>
    <w:div w:id="51583661">
      <w:bodyDiv w:val="1"/>
      <w:marLeft w:val="0"/>
      <w:marRight w:val="0"/>
      <w:marTop w:val="0"/>
      <w:marBottom w:val="0"/>
      <w:divBdr>
        <w:top w:val="none" w:sz="0" w:space="0" w:color="auto"/>
        <w:left w:val="none" w:sz="0" w:space="0" w:color="auto"/>
        <w:bottom w:val="none" w:sz="0" w:space="0" w:color="auto"/>
        <w:right w:val="none" w:sz="0" w:space="0" w:color="auto"/>
      </w:divBdr>
    </w:div>
    <w:div w:id="54748076">
      <w:bodyDiv w:val="1"/>
      <w:marLeft w:val="0"/>
      <w:marRight w:val="0"/>
      <w:marTop w:val="0"/>
      <w:marBottom w:val="0"/>
      <w:divBdr>
        <w:top w:val="none" w:sz="0" w:space="0" w:color="auto"/>
        <w:left w:val="none" w:sz="0" w:space="0" w:color="auto"/>
        <w:bottom w:val="none" w:sz="0" w:space="0" w:color="auto"/>
        <w:right w:val="none" w:sz="0" w:space="0" w:color="auto"/>
      </w:divBdr>
    </w:div>
    <w:div w:id="58022215">
      <w:bodyDiv w:val="1"/>
      <w:marLeft w:val="0"/>
      <w:marRight w:val="0"/>
      <w:marTop w:val="0"/>
      <w:marBottom w:val="0"/>
      <w:divBdr>
        <w:top w:val="none" w:sz="0" w:space="0" w:color="auto"/>
        <w:left w:val="none" w:sz="0" w:space="0" w:color="auto"/>
        <w:bottom w:val="none" w:sz="0" w:space="0" w:color="auto"/>
        <w:right w:val="none" w:sz="0" w:space="0" w:color="auto"/>
      </w:divBdr>
    </w:div>
    <w:div w:id="58404359">
      <w:bodyDiv w:val="1"/>
      <w:marLeft w:val="0"/>
      <w:marRight w:val="0"/>
      <w:marTop w:val="0"/>
      <w:marBottom w:val="0"/>
      <w:divBdr>
        <w:top w:val="none" w:sz="0" w:space="0" w:color="auto"/>
        <w:left w:val="none" w:sz="0" w:space="0" w:color="auto"/>
        <w:bottom w:val="none" w:sz="0" w:space="0" w:color="auto"/>
        <w:right w:val="none" w:sz="0" w:space="0" w:color="auto"/>
      </w:divBdr>
    </w:div>
    <w:div w:id="62996701">
      <w:bodyDiv w:val="1"/>
      <w:marLeft w:val="0"/>
      <w:marRight w:val="0"/>
      <w:marTop w:val="0"/>
      <w:marBottom w:val="0"/>
      <w:divBdr>
        <w:top w:val="none" w:sz="0" w:space="0" w:color="auto"/>
        <w:left w:val="none" w:sz="0" w:space="0" w:color="auto"/>
        <w:bottom w:val="none" w:sz="0" w:space="0" w:color="auto"/>
        <w:right w:val="none" w:sz="0" w:space="0" w:color="auto"/>
      </w:divBdr>
    </w:div>
    <w:div w:id="75514500">
      <w:bodyDiv w:val="1"/>
      <w:marLeft w:val="0"/>
      <w:marRight w:val="0"/>
      <w:marTop w:val="0"/>
      <w:marBottom w:val="0"/>
      <w:divBdr>
        <w:top w:val="none" w:sz="0" w:space="0" w:color="auto"/>
        <w:left w:val="none" w:sz="0" w:space="0" w:color="auto"/>
        <w:bottom w:val="none" w:sz="0" w:space="0" w:color="auto"/>
        <w:right w:val="none" w:sz="0" w:space="0" w:color="auto"/>
      </w:divBdr>
    </w:div>
    <w:div w:id="78018346">
      <w:bodyDiv w:val="1"/>
      <w:marLeft w:val="0"/>
      <w:marRight w:val="0"/>
      <w:marTop w:val="0"/>
      <w:marBottom w:val="0"/>
      <w:divBdr>
        <w:top w:val="none" w:sz="0" w:space="0" w:color="auto"/>
        <w:left w:val="none" w:sz="0" w:space="0" w:color="auto"/>
        <w:bottom w:val="none" w:sz="0" w:space="0" w:color="auto"/>
        <w:right w:val="none" w:sz="0" w:space="0" w:color="auto"/>
      </w:divBdr>
    </w:div>
    <w:div w:id="86119620">
      <w:bodyDiv w:val="1"/>
      <w:marLeft w:val="0"/>
      <w:marRight w:val="0"/>
      <w:marTop w:val="0"/>
      <w:marBottom w:val="0"/>
      <w:divBdr>
        <w:top w:val="none" w:sz="0" w:space="0" w:color="auto"/>
        <w:left w:val="none" w:sz="0" w:space="0" w:color="auto"/>
        <w:bottom w:val="none" w:sz="0" w:space="0" w:color="auto"/>
        <w:right w:val="none" w:sz="0" w:space="0" w:color="auto"/>
      </w:divBdr>
    </w:div>
    <w:div w:id="89669728">
      <w:bodyDiv w:val="1"/>
      <w:marLeft w:val="0"/>
      <w:marRight w:val="0"/>
      <w:marTop w:val="0"/>
      <w:marBottom w:val="0"/>
      <w:divBdr>
        <w:top w:val="none" w:sz="0" w:space="0" w:color="auto"/>
        <w:left w:val="none" w:sz="0" w:space="0" w:color="auto"/>
        <w:bottom w:val="none" w:sz="0" w:space="0" w:color="auto"/>
        <w:right w:val="none" w:sz="0" w:space="0" w:color="auto"/>
      </w:divBdr>
    </w:div>
    <w:div w:id="91173485">
      <w:bodyDiv w:val="1"/>
      <w:marLeft w:val="0"/>
      <w:marRight w:val="0"/>
      <w:marTop w:val="0"/>
      <w:marBottom w:val="0"/>
      <w:divBdr>
        <w:top w:val="none" w:sz="0" w:space="0" w:color="auto"/>
        <w:left w:val="none" w:sz="0" w:space="0" w:color="auto"/>
        <w:bottom w:val="none" w:sz="0" w:space="0" w:color="auto"/>
        <w:right w:val="none" w:sz="0" w:space="0" w:color="auto"/>
      </w:divBdr>
    </w:div>
    <w:div w:id="94135915">
      <w:bodyDiv w:val="1"/>
      <w:marLeft w:val="0"/>
      <w:marRight w:val="0"/>
      <w:marTop w:val="0"/>
      <w:marBottom w:val="0"/>
      <w:divBdr>
        <w:top w:val="none" w:sz="0" w:space="0" w:color="auto"/>
        <w:left w:val="none" w:sz="0" w:space="0" w:color="auto"/>
        <w:bottom w:val="none" w:sz="0" w:space="0" w:color="auto"/>
        <w:right w:val="none" w:sz="0" w:space="0" w:color="auto"/>
      </w:divBdr>
    </w:div>
    <w:div w:id="100758429">
      <w:bodyDiv w:val="1"/>
      <w:marLeft w:val="0"/>
      <w:marRight w:val="0"/>
      <w:marTop w:val="0"/>
      <w:marBottom w:val="0"/>
      <w:divBdr>
        <w:top w:val="none" w:sz="0" w:space="0" w:color="auto"/>
        <w:left w:val="none" w:sz="0" w:space="0" w:color="auto"/>
        <w:bottom w:val="none" w:sz="0" w:space="0" w:color="auto"/>
        <w:right w:val="none" w:sz="0" w:space="0" w:color="auto"/>
      </w:divBdr>
    </w:div>
    <w:div w:id="102192704">
      <w:bodyDiv w:val="1"/>
      <w:marLeft w:val="0"/>
      <w:marRight w:val="0"/>
      <w:marTop w:val="0"/>
      <w:marBottom w:val="0"/>
      <w:divBdr>
        <w:top w:val="none" w:sz="0" w:space="0" w:color="auto"/>
        <w:left w:val="none" w:sz="0" w:space="0" w:color="auto"/>
        <w:bottom w:val="none" w:sz="0" w:space="0" w:color="auto"/>
        <w:right w:val="none" w:sz="0" w:space="0" w:color="auto"/>
      </w:divBdr>
    </w:div>
    <w:div w:id="103814543">
      <w:bodyDiv w:val="1"/>
      <w:marLeft w:val="0"/>
      <w:marRight w:val="0"/>
      <w:marTop w:val="0"/>
      <w:marBottom w:val="0"/>
      <w:divBdr>
        <w:top w:val="none" w:sz="0" w:space="0" w:color="auto"/>
        <w:left w:val="none" w:sz="0" w:space="0" w:color="auto"/>
        <w:bottom w:val="none" w:sz="0" w:space="0" w:color="auto"/>
        <w:right w:val="none" w:sz="0" w:space="0" w:color="auto"/>
      </w:divBdr>
    </w:div>
    <w:div w:id="106244761">
      <w:bodyDiv w:val="1"/>
      <w:marLeft w:val="0"/>
      <w:marRight w:val="0"/>
      <w:marTop w:val="0"/>
      <w:marBottom w:val="0"/>
      <w:divBdr>
        <w:top w:val="none" w:sz="0" w:space="0" w:color="auto"/>
        <w:left w:val="none" w:sz="0" w:space="0" w:color="auto"/>
        <w:bottom w:val="none" w:sz="0" w:space="0" w:color="auto"/>
        <w:right w:val="none" w:sz="0" w:space="0" w:color="auto"/>
      </w:divBdr>
    </w:div>
    <w:div w:id="108285222">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7381410">
      <w:bodyDiv w:val="1"/>
      <w:marLeft w:val="0"/>
      <w:marRight w:val="0"/>
      <w:marTop w:val="0"/>
      <w:marBottom w:val="0"/>
      <w:divBdr>
        <w:top w:val="none" w:sz="0" w:space="0" w:color="auto"/>
        <w:left w:val="none" w:sz="0" w:space="0" w:color="auto"/>
        <w:bottom w:val="none" w:sz="0" w:space="0" w:color="auto"/>
        <w:right w:val="none" w:sz="0" w:space="0" w:color="auto"/>
      </w:divBdr>
    </w:div>
    <w:div w:id="118576834">
      <w:bodyDiv w:val="1"/>
      <w:marLeft w:val="0"/>
      <w:marRight w:val="0"/>
      <w:marTop w:val="0"/>
      <w:marBottom w:val="0"/>
      <w:divBdr>
        <w:top w:val="none" w:sz="0" w:space="0" w:color="auto"/>
        <w:left w:val="none" w:sz="0" w:space="0" w:color="auto"/>
        <w:bottom w:val="none" w:sz="0" w:space="0" w:color="auto"/>
        <w:right w:val="none" w:sz="0" w:space="0" w:color="auto"/>
      </w:divBdr>
    </w:div>
    <w:div w:id="118652255">
      <w:bodyDiv w:val="1"/>
      <w:marLeft w:val="0"/>
      <w:marRight w:val="0"/>
      <w:marTop w:val="0"/>
      <w:marBottom w:val="0"/>
      <w:divBdr>
        <w:top w:val="none" w:sz="0" w:space="0" w:color="auto"/>
        <w:left w:val="none" w:sz="0" w:space="0" w:color="auto"/>
        <w:bottom w:val="none" w:sz="0" w:space="0" w:color="auto"/>
        <w:right w:val="none" w:sz="0" w:space="0" w:color="auto"/>
      </w:divBdr>
    </w:div>
    <w:div w:id="128479708">
      <w:bodyDiv w:val="1"/>
      <w:marLeft w:val="0"/>
      <w:marRight w:val="0"/>
      <w:marTop w:val="0"/>
      <w:marBottom w:val="0"/>
      <w:divBdr>
        <w:top w:val="none" w:sz="0" w:space="0" w:color="auto"/>
        <w:left w:val="none" w:sz="0" w:space="0" w:color="auto"/>
        <w:bottom w:val="none" w:sz="0" w:space="0" w:color="auto"/>
        <w:right w:val="none" w:sz="0" w:space="0" w:color="auto"/>
      </w:divBdr>
    </w:div>
    <w:div w:id="129326942">
      <w:bodyDiv w:val="1"/>
      <w:marLeft w:val="0"/>
      <w:marRight w:val="0"/>
      <w:marTop w:val="0"/>
      <w:marBottom w:val="0"/>
      <w:divBdr>
        <w:top w:val="none" w:sz="0" w:space="0" w:color="auto"/>
        <w:left w:val="none" w:sz="0" w:space="0" w:color="auto"/>
        <w:bottom w:val="none" w:sz="0" w:space="0" w:color="auto"/>
        <w:right w:val="none" w:sz="0" w:space="0" w:color="auto"/>
      </w:divBdr>
    </w:div>
    <w:div w:id="141234941">
      <w:bodyDiv w:val="1"/>
      <w:marLeft w:val="0"/>
      <w:marRight w:val="0"/>
      <w:marTop w:val="0"/>
      <w:marBottom w:val="0"/>
      <w:divBdr>
        <w:top w:val="none" w:sz="0" w:space="0" w:color="auto"/>
        <w:left w:val="none" w:sz="0" w:space="0" w:color="auto"/>
        <w:bottom w:val="none" w:sz="0" w:space="0" w:color="auto"/>
        <w:right w:val="none" w:sz="0" w:space="0" w:color="auto"/>
      </w:divBdr>
    </w:div>
    <w:div w:id="142894418">
      <w:bodyDiv w:val="1"/>
      <w:marLeft w:val="0"/>
      <w:marRight w:val="0"/>
      <w:marTop w:val="0"/>
      <w:marBottom w:val="0"/>
      <w:divBdr>
        <w:top w:val="none" w:sz="0" w:space="0" w:color="auto"/>
        <w:left w:val="none" w:sz="0" w:space="0" w:color="auto"/>
        <w:bottom w:val="none" w:sz="0" w:space="0" w:color="auto"/>
        <w:right w:val="none" w:sz="0" w:space="0" w:color="auto"/>
      </w:divBdr>
    </w:div>
    <w:div w:id="145754387">
      <w:bodyDiv w:val="1"/>
      <w:marLeft w:val="0"/>
      <w:marRight w:val="0"/>
      <w:marTop w:val="0"/>
      <w:marBottom w:val="0"/>
      <w:divBdr>
        <w:top w:val="none" w:sz="0" w:space="0" w:color="auto"/>
        <w:left w:val="none" w:sz="0" w:space="0" w:color="auto"/>
        <w:bottom w:val="none" w:sz="0" w:space="0" w:color="auto"/>
        <w:right w:val="none" w:sz="0" w:space="0" w:color="auto"/>
      </w:divBdr>
    </w:div>
    <w:div w:id="149249000">
      <w:bodyDiv w:val="1"/>
      <w:marLeft w:val="0"/>
      <w:marRight w:val="0"/>
      <w:marTop w:val="0"/>
      <w:marBottom w:val="0"/>
      <w:divBdr>
        <w:top w:val="none" w:sz="0" w:space="0" w:color="auto"/>
        <w:left w:val="none" w:sz="0" w:space="0" w:color="auto"/>
        <w:bottom w:val="none" w:sz="0" w:space="0" w:color="auto"/>
        <w:right w:val="none" w:sz="0" w:space="0" w:color="auto"/>
      </w:divBdr>
    </w:div>
    <w:div w:id="149833879">
      <w:bodyDiv w:val="1"/>
      <w:marLeft w:val="0"/>
      <w:marRight w:val="0"/>
      <w:marTop w:val="0"/>
      <w:marBottom w:val="0"/>
      <w:divBdr>
        <w:top w:val="none" w:sz="0" w:space="0" w:color="auto"/>
        <w:left w:val="none" w:sz="0" w:space="0" w:color="auto"/>
        <w:bottom w:val="none" w:sz="0" w:space="0" w:color="auto"/>
        <w:right w:val="none" w:sz="0" w:space="0" w:color="auto"/>
      </w:divBdr>
    </w:div>
    <w:div w:id="151988900">
      <w:bodyDiv w:val="1"/>
      <w:marLeft w:val="0"/>
      <w:marRight w:val="0"/>
      <w:marTop w:val="0"/>
      <w:marBottom w:val="0"/>
      <w:divBdr>
        <w:top w:val="none" w:sz="0" w:space="0" w:color="auto"/>
        <w:left w:val="none" w:sz="0" w:space="0" w:color="auto"/>
        <w:bottom w:val="none" w:sz="0" w:space="0" w:color="auto"/>
        <w:right w:val="none" w:sz="0" w:space="0" w:color="auto"/>
      </w:divBdr>
    </w:div>
    <w:div w:id="155876630">
      <w:bodyDiv w:val="1"/>
      <w:marLeft w:val="0"/>
      <w:marRight w:val="0"/>
      <w:marTop w:val="0"/>
      <w:marBottom w:val="0"/>
      <w:divBdr>
        <w:top w:val="none" w:sz="0" w:space="0" w:color="auto"/>
        <w:left w:val="none" w:sz="0" w:space="0" w:color="auto"/>
        <w:bottom w:val="none" w:sz="0" w:space="0" w:color="auto"/>
        <w:right w:val="none" w:sz="0" w:space="0" w:color="auto"/>
      </w:divBdr>
    </w:div>
    <w:div w:id="160632185">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68913155">
      <w:bodyDiv w:val="1"/>
      <w:marLeft w:val="0"/>
      <w:marRight w:val="0"/>
      <w:marTop w:val="0"/>
      <w:marBottom w:val="0"/>
      <w:divBdr>
        <w:top w:val="none" w:sz="0" w:space="0" w:color="auto"/>
        <w:left w:val="none" w:sz="0" w:space="0" w:color="auto"/>
        <w:bottom w:val="none" w:sz="0" w:space="0" w:color="auto"/>
        <w:right w:val="none" w:sz="0" w:space="0" w:color="auto"/>
      </w:divBdr>
    </w:div>
    <w:div w:id="179978272">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1281566">
      <w:bodyDiv w:val="1"/>
      <w:marLeft w:val="0"/>
      <w:marRight w:val="0"/>
      <w:marTop w:val="0"/>
      <w:marBottom w:val="0"/>
      <w:divBdr>
        <w:top w:val="none" w:sz="0" w:space="0" w:color="auto"/>
        <w:left w:val="none" w:sz="0" w:space="0" w:color="auto"/>
        <w:bottom w:val="none" w:sz="0" w:space="0" w:color="auto"/>
        <w:right w:val="none" w:sz="0" w:space="0" w:color="auto"/>
      </w:divBdr>
    </w:div>
    <w:div w:id="181482381">
      <w:bodyDiv w:val="1"/>
      <w:marLeft w:val="0"/>
      <w:marRight w:val="0"/>
      <w:marTop w:val="0"/>
      <w:marBottom w:val="0"/>
      <w:divBdr>
        <w:top w:val="none" w:sz="0" w:space="0" w:color="auto"/>
        <w:left w:val="none" w:sz="0" w:space="0" w:color="auto"/>
        <w:bottom w:val="none" w:sz="0" w:space="0" w:color="auto"/>
        <w:right w:val="none" w:sz="0" w:space="0" w:color="auto"/>
      </w:divBdr>
    </w:div>
    <w:div w:id="181626875">
      <w:bodyDiv w:val="1"/>
      <w:marLeft w:val="0"/>
      <w:marRight w:val="0"/>
      <w:marTop w:val="0"/>
      <w:marBottom w:val="0"/>
      <w:divBdr>
        <w:top w:val="none" w:sz="0" w:space="0" w:color="auto"/>
        <w:left w:val="none" w:sz="0" w:space="0" w:color="auto"/>
        <w:bottom w:val="none" w:sz="0" w:space="0" w:color="auto"/>
        <w:right w:val="none" w:sz="0" w:space="0" w:color="auto"/>
      </w:divBdr>
    </w:div>
    <w:div w:id="183983597">
      <w:bodyDiv w:val="1"/>
      <w:marLeft w:val="0"/>
      <w:marRight w:val="0"/>
      <w:marTop w:val="0"/>
      <w:marBottom w:val="0"/>
      <w:divBdr>
        <w:top w:val="none" w:sz="0" w:space="0" w:color="auto"/>
        <w:left w:val="none" w:sz="0" w:space="0" w:color="auto"/>
        <w:bottom w:val="none" w:sz="0" w:space="0" w:color="auto"/>
        <w:right w:val="none" w:sz="0" w:space="0" w:color="auto"/>
      </w:divBdr>
    </w:div>
    <w:div w:id="185481190">
      <w:bodyDiv w:val="1"/>
      <w:marLeft w:val="0"/>
      <w:marRight w:val="0"/>
      <w:marTop w:val="0"/>
      <w:marBottom w:val="0"/>
      <w:divBdr>
        <w:top w:val="none" w:sz="0" w:space="0" w:color="auto"/>
        <w:left w:val="none" w:sz="0" w:space="0" w:color="auto"/>
        <w:bottom w:val="none" w:sz="0" w:space="0" w:color="auto"/>
        <w:right w:val="none" w:sz="0" w:space="0" w:color="auto"/>
      </w:divBdr>
    </w:div>
    <w:div w:id="188877526">
      <w:bodyDiv w:val="1"/>
      <w:marLeft w:val="0"/>
      <w:marRight w:val="0"/>
      <w:marTop w:val="0"/>
      <w:marBottom w:val="0"/>
      <w:divBdr>
        <w:top w:val="none" w:sz="0" w:space="0" w:color="auto"/>
        <w:left w:val="none" w:sz="0" w:space="0" w:color="auto"/>
        <w:bottom w:val="none" w:sz="0" w:space="0" w:color="auto"/>
        <w:right w:val="none" w:sz="0" w:space="0" w:color="auto"/>
      </w:divBdr>
    </w:div>
    <w:div w:id="192884079">
      <w:bodyDiv w:val="1"/>
      <w:marLeft w:val="0"/>
      <w:marRight w:val="0"/>
      <w:marTop w:val="0"/>
      <w:marBottom w:val="0"/>
      <w:divBdr>
        <w:top w:val="none" w:sz="0" w:space="0" w:color="auto"/>
        <w:left w:val="none" w:sz="0" w:space="0" w:color="auto"/>
        <w:bottom w:val="none" w:sz="0" w:space="0" w:color="auto"/>
        <w:right w:val="none" w:sz="0" w:space="0" w:color="auto"/>
      </w:divBdr>
    </w:div>
    <w:div w:id="198705643">
      <w:bodyDiv w:val="1"/>
      <w:marLeft w:val="0"/>
      <w:marRight w:val="0"/>
      <w:marTop w:val="0"/>
      <w:marBottom w:val="0"/>
      <w:divBdr>
        <w:top w:val="none" w:sz="0" w:space="0" w:color="auto"/>
        <w:left w:val="none" w:sz="0" w:space="0" w:color="auto"/>
        <w:bottom w:val="none" w:sz="0" w:space="0" w:color="auto"/>
        <w:right w:val="none" w:sz="0" w:space="0" w:color="auto"/>
      </w:divBdr>
    </w:div>
    <w:div w:id="203715008">
      <w:bodyDiv w:val="1"/>
      <w:marLeft w:val="0"/>
      <w:marRight w:val="0"/>
      <w:marTop w:val="0"/>
      <w:marBottom w:val="0"/>
      <w:divBdr>
        <w:top w:val="none" w:sz="0" w:space="0" w:color="auto"/>
        <w:left w:val="none" w:sz="0" w:space="0" w:color="auto"/>
        <w:bottom w:val="none" w:sz="0" w:space="0" w:color="auto"/>
        <w:right w:val="none" w:sz="0" w:space="0" w:color="auto"/>
      </w:divBdr>
    </w:div>
    <w:div w:id="208495176">
      <w:bodyDiv w:val="1"/>
      <w:marLeft w:val="0"/>
      <w:marRight w:val="0"/>
      <w:marTop w:val="0"/>
      <w:marBottom w:val="0"/>
      <w:divBdr>
        <w:top w:val="none" w:sz="0" w:space="0" w:color="auto"/>
        <w:left w:val="none" w:sz="0" w:space="0" w:color="auto"/>
        <w:bottom w:val="none" w:sz="0" w:space="0" w:color="auto"/>
        <w:right w:val="none" w:sz="0" w:space="0" w:color="auto"/>
      </w:divBdr>
    </w:div>
    <w:div w:id="212272479">
      <w:bodyDiv w:val="1"/>
      <w:marLeft w:val="0"/>
      <w:marRight w:val="0"/>
      <w:marTop w:val="0"/>
      <w:marBottom w:val="0"/>
      <w:divBdr>
        <w:top w:val="none" w:sz="0" w:space="0" w:color="auto"/>
        <w:left w:val="none" w:sz="0" w:space="0" w:color="auto"/>
        <w:bottom w:val="none" w:sz="0" w:space="0" w:color="auto"/>
        <w:right w:val="none" w:sz="0" w:space="0" w:color="auto"/>
      </w:divBdr>
    </w:div>
    <w:div w:id="213661004">
      <w:bodyDiv w:val="1"/>
      <w:marLeft w:val="0"/>
      <w:marRight w:val="0"/>
      <w:marTop w:val="0"/>
      <w:marBottom w:val="0"/>
      <w:divBdr>
        <w:top w:val="none" w:sz="0" w:space="0" w:color="auto"/>
        <w:left w:val="none" w:sz="0" w:space="0" w:color="auto"/>
        <w:bottom w:val="none" w:sz="0" w:space="0" w:color="auto"/>
        <w:right w:val="none" w:sz="0" w:space="0" w:color="auto"/>
      </w:divBdr>
    </w:div>
    <w:div w:id="219052863">
      <w:bodyDiv w:val="1"/>
      <w:marLeft w:val="0"/>
      <w:marRight w:val="0"/>
      <w:marTop w:val="0"/>
      <w:marBottom w:val="0"/>
      <w:divBdr>
        <w:top w:val="none" w:sz="0" w:space="0" w:color="auto"/>
        <w:left w:val="none" w:sz="0" w:space="0" w:color="auto"/>
        <w:bottom w:val="none" w:sz="0" w:space="0" w:color="auto"/>
        <w:right w:val="none" w:sz="0" w:space="0" w:color="auto"/>
      </w:divBdr>
    </w:div>
    <w:div w:id="220407983">
      <w:bodyDiv w:val="1"/>
      <w:marLeft w:val="0"/>
      <w:marRight w:val="0"/>
      <w:marTop w:val="0"/>
      <w:marBottom w:val="0"/>
      <w:divBdr>
        <w:top w:val="none" w:sz="0" w:space="0" w:color="auto"/>
        <w:left w:val="none" w:sz="0" w:space="0" w:color="auto"/>
        <w:bottom w:val="none" w:sz="0" w:space="0" w:color="auto"/>
        <w:right w:val="none" w:sz="0" w:space="0" w:color="auto"/>
      </w:divBdr>
    </w:div>
    <w:div w:id="221261684">
      <w:bodyDiv w:val="1"/>
      <w:marLeft w:val="0"/>
      <w:marRight w:val="0"/>
      <w:marTop w:val="0"/>
      <w:marBottom w:val="0"/>
      <w:divBdr>
        <w:top w:val="none" w:sz="0" w:space="0" w:color="auto"/>
        <w:left w:val="none" w:sz="0" w:space="0" w:color="auto"/>
        <w:bottom w:val="none" w:sz="0" w:space="0" w:color="auto"/>
        <w:right w:val="none" w:sz="0" w:space="0" w:color="auto"/>
      </w:divBdr>
    </w:div>
    <w:div w:id="224679941">
      <w:bodyDiv w:val="1"/>
      <w:marLeft w:val="0"/>
      <w:marRight w:val="0"/>
      <w:marTop w:val="0"/>
      <w:marBottom w:val="0"/>
      <w:divBdr>
        <w:top w:val="none" w:sz="0" w:space="0" w:color="auto"/>
        <w:left w:val="none" w:sz="0" w:space="0" w:color="auto"/>
        <w:bottom w:val="none" w:sz="0" w:space="0" w:color="auto"/>
        <w:right w:val="none" w:sz="0" w:space="0" w:color="auto"/>
      </w:divBdr>
    </w:div>
    <w:div w:id="225535079">
      <w:bodyDiv w:val="1"/>
      <w:marLeft w:val="0"/>
      <w:marRight w:val="0"/>
      <w:marTop w:val="0"/>
      <w:marBottom w:val="0"/>
      <w:divBdr>
        <w:top w:val="none" w:sz="0" w:space="0" w:color="auto"/>
        <w:left w:val="none" w:sz="0" w:space="0" w:color="auto"/>
        <w:bottom w:val="none" w:sz="0" w:space="0" w:color="auto"/>
        <w:right w:val="none" w:sz="0" w:space="0" w:color="auto"/>
      </w:divBdr>
    </w:div>
    <w:div w:id="228880450">
      <w:bodyDiv w:val="1"/>
      <w:marLeft w:val="0"/>
      <w:marRight w:val="0"/>
      <w:marTop w:val="0"/>
      <w:marBottom w:val="0"/>
      <w:divBdr>
        <w:top w:val="none" w:sz="0" w:space="0" w:color="auto"/>
        <w:left w:val="none" w:sz="0" w:space="0" w:color="auto"/>
        <w:bottom w:val="none" w:sz="0" w:space="0" w:color="auto"/>
        <w:right w:val="none" w:sz="0" w:space="0" w:color="auto"/>
      </w:divBdr>
    </w:div>
    <w:div w:id="237131845">
      <w:bodyDiv w:val="1"/>
      <w:marLeft w:val="0"/>
      <w:marRight w:val="0"/>
      <w:marTop w:val="0"/>
      <w:marBottom w:val="0"/>
      <w:divBdr>
        <w:top w:val="none" w:sz="0" w:space="0" w:color="auto"/>
        <w:left w:val="none" w:sz="0" w:space="0" w:color="auto"/>
        <w:bottom w:val="none" w:sz="0" w:space="0" w:color="auto"/>
        <w:right w:val="none" w:sz="0" w:space="0" w:color="auto"/>
      </w:divBdr>
    </w:div>
    <w:div w:id="243733710">
      <w:bodyDiv w:val="1"/>
      <w:marLeft w:val="0"/>
      <w:marRight w:val="0"/>
      <w:marTop w:val="0"/>
      <w:marBottom w:val="0"/>
      <w:divBdr>
        <w:top w:val="none" w:sz="0" w:space="0" w:color="auto"/>
        <w:left w:val="none" w:sz="0" w:space="0" w:color="auto"/>
        <w:bottom w:val="none" w:sz="0" w:space="0" w:color="auto"/>
        <w:right w:val="none" w:sz="0" w:space="0" w:color="auto"/>
      </w:divBdr>
    </w:div>
    <w:div w:id="244926564">
      <w:bodyDiv w:val="1"/>
      <w:marLeft w:val="0"/>
      <w:marRight w:val="0"/>
      <w:marTop w:val="0"/>
      <w:marBottom w:val="0"/>
      <w:divBdr>
        <w:top w:val="none" w:sz="0" w:space="0" w:color="auto"/>
        <w:left w:val="none" w:sz="0" w:space="0" w:color="auto"/>
        <w:bottom w:val="none" w:sz="0" w:space="0" w:color="auto"/>
        <w:right w:val="none" w:sz="0" w:space="0" w:color="auto"/>
      </w:divBdr>
    </w:div>
    <w:div w:id="245766077">
      <w:bodyDiv w:val="1"/>
      <w:marLeft w:val="0"/>
      <w:marRight w:val="0"/>
      <w:marTop w:val="0"/>
      <w:marBottom w:val="0"/>
      <w:divBdr>
        <w:top w:val="none" w:sz="0" w:space="0" w:color="auto"/>
        <w:left w:val="none" w:sz="0" w:space="0" w:color="auto"/>
        <w:bottom w:val="none" w:sz="0" w:space="0" w:color="auto"/>
        <w:right w:val="none" w:sz="0" w:space="0" w:color="auto"/>
      </w:divBdr>
    </w:div>
    <w:div w:id="248582064">
      <w:bodyDiv w:val="1"/>
      <w:marLeft w:val="0"/>
      <w:marRight w:val="0"/>
      <w:marTop w:val="0"/>
      <w:marBottom w:val="0"/>
      <w:divBdr>
        <w:top w:val="none" w:sz="0" w:space="0" w:color="auto"/>
        <w:left w:val="none" w:sz="0" w:space="0" w:color="auto"/>
        <w:bottom w:val="none" w:sz="0" w:space="0" w:color="auto"/>
        <w:right w:val="none" w:sz="0" w:space="0" w:color="auto"/>
      </w:divBdr>
    </w:div>
    <w:div w:id="250509265">
      <w:bodyDiv w:val="1"/>
      <w:marLeft w:val="0"/>
      <w:marRight w:val="0"/>
      <w:marTop w:val="0"/>
      <w:marBottom w:val="0"/>
      <w:divBdr>
        <w:top w:val="none" w:sz="0" w:space="0" w:color="auto"/>
        <w:left w:val="none" w:sz="0" w:space="0" w:color="auto"/>
        <w:bottom w:val="none" w:sz="0" w:space="0" w:color="auto"/>
        <w:right w:val="none" w:sz="0" w:space="0" w:color="auto"/>
      </w:divBdr>
    </w:div>
    <w:div w:id="255478645">
      <w:bodyDiv w:val="1"/>
      <w:marLeft w:val="0"/>
      <w:marRight w:val="0"/>
      <w:marTop w:val="0"/>
      <w:marBottom w:val="0"/>
      <w:divBdr>
        <w:top w:val="none" w:sz="0" w:space="0" w:color="auto"/>
        <w:left w:val="none" w:sz="0" w:space="0" w:color="auto"/>
        <w:bottom w:val="none" w:sz="0" w:space="0" w:color="auto"/>
        <w:right w:val="none" w:sz="0" w:space="0" w:color="auto"/>
      </w:divBdr>
    </w:div>
    <w:div w:id="261570456">
      <w:bodyDiv w:val="1"/>
      <w:marLeft w:val="0"/>
      <w:marRight w:val="0"/>
      <w:marTop w:val="0"/>
      <w:marBottom w:val="0"/>
      <w:divBdr>
        <w:top w:val="none" w:sz="0" w:space="0" w:color="auto"/>
        <w:left w:val="none" w:sz="0" w:space="0" w:color="auto"/>
        <w:bottom w:val="none" w:sz="0" w:space="0" w:color="auto"/>
        <w:right w:val="none" w:sz="0" w:space="0" w:color="auto"/>
      </w:divBdr>
    </w:div>
    <w:div w:id="261885692">
      <w:bodyDiv w:val="1"/>
      <w:marLeft w:val="0"/>
      <w:marRight w:val="0"/>
      <w:marTop w:val="0"/>
      <w:marBottom w:val="0"/>
      <w:divBdr>
        <w:top w:val="none" w:sz="0" w:space="0" w:color="auto"/>
        <w:left w:val="none" w:sz="0" w:space="0" w:color="auto"/>
        <w:bottom w:val="none" w:sz="0" w:space="0" w:color="auto"/>
        <w:right w:val="none" w:sz="0" w:space="0" w:color="auto"/>
      </w:divBdr>
    </w:div>
    <w:div w:id="262805249">
      <w:bodyDiv w:val="1"/>
      <w:marLeft w:val="0"/>
      <w:marRight w:val="0"/>
      <w:marTop w:val="0"/>
      <w:marBottom w:val="0"/>
      <w:divBdr>
        <w:top w:val="none" w:sz="0" w:space="0" w:color="auto"/>
        <w:left w:val="none" w:sz="0" w:space="0" w:color="auto"/>
        <w:bottom w:val="none" w:sz="0" w:space="0" w:color="auto"/>
        <w:right w:val="none" w:sz="0" w:space="0" w:color="auto"/>
      </w:divBdr>
    </w:div>
    <w:div w:id="264851895">
      <w:bodyDiv w:val="1"/>
      <w:marLeft w:val="0"/>
      <w:marRight w:val="0"/>
      <w:marTop w:val="0"/>
      <w:marBottom w:val="0"/>
      <w:divBdr>
        <w:top w:val="none" w:sz="0" w:space="0" w:color="auto"/>
        <w:left w:val="none" w:sz="0" w:space="0" w:color="auto"/>
        <w:bottom w:val="none" w:sz="0" w:space="0" w:color="auto"/>
        <w:right w:val="none" w:sz="0" w:space="0" w:color="auto"/>
      </w:divBdr>
    </w:div>
    <w:div w:id="269166205">
      <w:bodyDiv w:val="1"/>
      <w:marLeft w:val="0"/>
      <w:marRight w:val="0"/>
      <w:marTop w:val="0"/>
      <w:marBottom w:val="0"/>
      <w:divBdr>
        <w:top w:val="none" w:sz="0" w:space="0" w:color="auto"/>
        <w:left w:val="none" w:sz="0" w:space="0" w:color="auto"/>
        <w:bottom w:val="none" w:sz="0" w:space="0" w:color="auto"/>
        <w:right w:val="none" w:sz="0" w:space="0" w:color="auto"/>
      </w:divBdr>
    </w:div>
    <w:div w:id="274138231">
      <w:bodyDiv w:val="1"/>
      <w:marLeft w:val="0"/>
      <w:marRight w:val="0"/>
      <w:marTop w:val="0"/>
      <w:marBottom w:val="0"/>
      <w:divBdr>
        <w:top w:val="none" w:sz="0" w:space="0" w:color="auto"/>
        <w:left w:val="none" w:sz="0" w:space="0" w:color="auto"/>
        <w:bottom w:val="none" w:sz="0" w:space="0" w:color="auto"/>
        <w:right w:val="none" w:sz="0" w:space="0" w:color="auto"/>
      </w:divBdr>
    </w:div>
    <w:div w:id="278536747">
      <w:bodyDiv w:val="1"/>
      <w:marLeft w:val="0"/>
      <w:marRight w:val="0"/>
      <w:marTop w:val="0"/>
      <w:marBottom w:val="0"/>
      <w:divBdr>
        <w:top w:val="none" w:sz="0" w:space="0" w:color="auto"/>
        <w:left w:val="none" w:sz="0" w:space="0" w:color="auto"/>
        <w:bottom w:val="none" w:sz="0" w:space="0" w:color="auto"/>
        <w:right w:val="none" w:sz="0" w:space="0" w:color="auto"/>
      </w:divBdr>
    </w:div>
    <w:div w:id="280918820">
      <w:bodyDiv w:val="1"/>
      <w:marLeft w:val="0"/>
      <w:marRight w:val="0"/>
      <w:marTop w:val="0"/>
      <w:marBottom w:val="0"/>
      <w:divBdr>
        <w:top w:val="none" w:sz="0" w:space="0" w:color="auto"/>
        <w:left w:val="none" w:sz="0" w:space="0" w:color="auto"/>
        <w:bottom w:val="none" w:sz="0" w:space="0" w:color="auto"/>
        <w:right w:val="none" w:sz="0" w:space="0" w:color="auto"/>
      </w:divBdr>
    </w:div>
    <w:div w:id="281152041">
      <w:bodyDiv w:val="1"/>
      <w:marLeft w:val="0"/>
      <w:marRight w:val="0"/>
      <w:marTop w:val="0"/>
      <w:marBottom w:val="0"/>
      <w:divBdr>
        <w:top w:val="none" w:sz="0" w:space="0" w:color="auto"/>
        <w:left w:val="none" w:sz="0" w:space="0" w:color="auto"/>
        <w:bottom w:val="none" w:sz="0" w:space="0" w:color="auto"/>
        <w:right w:val="none" w:sz="0" w:space="0" w:color="auto"/>
      </w:divBdr>
    </w:div>
    <w:div w:id="283119062">
      <w:bodyDiv w:val="1"/>
      <w:marLeft w:val="0"/>
      <w:marRight w:val="0"/>
      <w:marTop w:val="0"/>
      <w:marBottom w:val="0"/>
      <w:divBdr>
        <w:top w:val="none" w:sz="0" w:space="0" w:color="auto"/>
        <w:left w:val="none" w:sz="0" w:space="0" w:color="auto"/>
        <w:bottom w:val="none" w:sz="0" w:space="0" w:color="auto"/>
        <w:right w:val="none" w:sz="0" w:space="0" w:color="auto"/>
      </w:divBdr>
    </w:div>
    <w:div w:id="287317429">
      <w:bodyDiv w:val="1"/>
      <w:marLeft w:val="0"/>
      <w:marRight w:val="0"/>
      <w:marTop w:val="0"/>
      <w:marBottom w:val="0"/>
      <w:divBdr>
        <w:top w:val="none" w:sz="0" w:space="0" w:color="auto"/>
        <w:left w:val="none" w:sz="0" w:space="0" w:color="auto"/>
        <w:bottom w:val="none" w:sz="0" w:space="0" w:color="auto"/>
        <w:right w:val="none" w:sz="0" w:space="0" w:color="auto"/>
      </w:divBdr>
    </w:div>
    <w:div w:id="289167816">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522594">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948472">
      <w:bodyDiv w:val="1"/>
      <w:marLeft w:val="0"/>
      <w:marRight w:val="0"/>
      <w:marTop w:val="0"/>
      <w:marBottom w:val="0"/>
      <w:divBdr>
        <w:top w:val="none" w:sz="0" w:space="0" w:color="auto"/>
        <w:left w:val="none" w:sz="0" w:space="0" w:color="auto"/>
        <w:bottom w:val="none" w:sz="0" w:space="0" w:color="auto"/>
        <w:right w:val="none" w:sz="0" w:space="0" w:color="auto"/>
      </w:divBdr>
    </w:div>
    <w:div w:id="293604013">
      <w:bodyDiv w:val="1"/>
      <w:marLeft w:val="0"/>
      <w:marRight w:val="0"/>
      <w:marTop w:val="0"/>
      <w:marBottom w:val="0"/>
      <w:divBdr>
        <w:top w:val="none" w:sz="0" w:space="0" w:color="auto"/>
        <w:left w:val="none" w:sz="0" w:space="0" w:color="auto"/>
        <w:bottom w:val="none" w:sz="0" w:space="0" w:color="auto"/>
        <w:right w:val="none" w:sz="0" w:space="0" w:color="auto"/>
      </w:divBdr>
    </w:div>
    <w:div w:id="296838446">
      <w:bodyDiv w:val="1"/>
      <w:marLeft w:val="0"/>
      <w:marRight w:val="0"/>
      <w:marTop w:val="0"/>
      <w:marBottom w:val="0"/>
      <w:divBdr>
        <w:top w:val="none" w:sz="0" w:space="0" w:color="auto"/>
        <w:left w:val="none" w:sz="0" w:space="0" w:color="auto"/>
        <w:bottom w:val="none" w:sz="0" w:space="0" w:color="auto"/>
        <w:right w:val="none" w:sz="0" w:space="0" w:color="auto"/>
      </w:divBdr>
    </w:div>
    <w:div w:id="300111240">
      <w:bodyDiv w:val="1"/>
      <w:marLeft w:val="0"/>
      <w:marRight w:val="0"/>
      <w:marTop w:val="0"/>
      <w:marBottom w:val="0"/>
      <w:divBdr>
        <w:top w:val="none" w:sz="0" w:space="0" w:color="auto"/>
        <w:left w:val="none" w:sz="0" w:space="0" w:color="auto"/>
        <w:bottom w:val="none" w:sz="0" w:space="0" w:color="auto"/>
        <w:right w:val="none" w:sz="0" w:space="0" w:color="auto"/>
      </w:divBdr>
    </w:div>
    <w:div w:id="301353342">
      <w:bodyDiv w:val="1"/>
      <w:marLeft w:val="0"/>
      <w:marRight w:val="0"/>
      <w:marTop w:val="0"/>
      <w:marBottom w:val="0"/>
      <w:divBdr>
        <w:top w:val="none" w:sz="0" w:space="0" w:color="auto"/>
        <w:left w:val="none" w:sz="0" w:space="0" w:color="auto"/>
        <w:bottom w:val="none" w:sz="0" w:space="0" w:color="auto"/>
        <w:right w:val="none" w:sz="0" w:space="0" w:color="auto"/>
      </w:divBdr>
    </w:div>
    <w:div w:id="302974404">
      <w:bodyDiv w:val="1"/>
      <w:marLeft w:val="0"/>
      <w:marRight w:val="0"/>
      <w:marTop w:val="0"/>
      <w:marBottom w:val="0"/>
      <w:divBdr>
        <w:top w:val="none" w:sz="0" w:space="0" w:color="auto"/>
        <w:left w:val="none" w:sz="0" w:space="0" w:color="auto"/>
        <w:bottom w:val="none" w:sz="0" w:space="0" w:color="auto"/>
        <w:right w:val="none" w:sz="0" w:space="0" w:color="auto"/>
      </w:divBdr>
    </w:div>
    <w:div w:id="307787903">
      <w:bodyDiv w:val="1"/>
      <w:marLeft w:val="0"/>
      <w:marRight w:val="0"/>
      <w:marTop w:val="0"/>
      <w:marBottom w:val="0"/>
      <w:divBdr>
        <w:top w:val="none" w:sz="0" w:space="0" w:color="auto"/>
        <w:left w:val="none" w:sz="0" w:space="0" w:color="auto"/>
        <w:bottom w:val="none" w:sz="0" w:space="0" w:color="auto"/>
        <w:right w:val="none" w:sz="0" w:space="0" w:color="auto"/>
      </w:divBdr>
    </w:div>
    <w:div w:id="316110537">
      <w:bodyDiv w:val="1"/>
      <w:marLeft w:val="0"/>
      <w:marRight w:val="0"/>
      <w:marTop w:val="0"/>
      <w:marBottom w:val="0"/>
      <w:divBdr>
        <w:top w:val="none" w:sz="0" w:space="0" w:color="auto"/>
        <w:left w:val="none" w:sz="0" w:space="0" w:color="auto"/>
        <w:bottom w:val="none" w:sz="0" w:space="0" w:color="auto"/>
        <w:right w:val="none" w:sz="0" w:space="0" w:color="auto"/>
      </w:divBdr>
    </w:div>
    <w:div w:id="319113289">
      <w:bodyDiv w:val="1"/>
      <w:marLeft w:val="0"/>
      <w:marRight w:val="0"/>
      <w:marTop w:val="0"/>
      <w:marBottom w:val="0"/>
      <w:divBdr>
        <w:top w:val="none" w:sz="0" w:space="0" w:color="auto"/>
        <w:left w:val="none" w:sz="0" w:space="0" w:color="auto"/>
        <w:bottom w:val="none" w:sz="0" w:space="0" w:color="auto"/>
        <w:right w:val="none" w:sz="0" w:space="0" w:color="auto"/>
      </w:divBdr>
    </w:div>
    <w:div w:id="320472109">
      <w:bodyDiv w:val="1"/>
      <w:marLeft w:val="0"/>
      <w:marRight w:val="0"/>
      <w:marTop w:val="0"/>
      <w:marBottom w:val="0"/>
      <w:divBdr>
        <w:top w:val="none" w:sz="0" w:space="0" w:color="auto"/>
        <w:left w:val="none" w:sz="0" w:space="0" w:color="auto"/>
        <w:bottom w:val="none" w:sz="0" w:space="0" w:color="auto"/>
        <w:right w:val="none" w:sz="0" w:space="0" w:color="auto"/>
      </w:divBdr>
    </w:div>
    <w:div w:id="332611026">
      <w:bodyDiv w:val="1"/>
      <w:marLeft w:val="0"/>
      <w:marRight w:val="0"/>
      <w:marTop w:val="0"/>
      <w:marBottom w:val="0"/>
      <w:divBdr>
        <w:top w:val="none" w:sz="0" w:space="0" w:color="auto"/>
        <w:left w:val="none" w:sz="0" w:space="0" w:color="auto"/>
        <w:bottom w:val="none" w:sz="0" w:space="0" w:color="auto"/>
        <w:right w:val="none" w:sz="0" w:space="0" w:color="auto"/>
      </w:divBdr>
    </w:div>
    <w:div w:id="339813932">
      <w:bodyDiv w:val="1"/>
      <w:marLeft w:val="0"/>
      <w:marRight w:val="0"/>
      <w:marTop w:val="0"/>
      <w:marBottom w:val="0"/>
      <w:divBdr>
        <w:top w:val="none" w:sz="0" w:space="0" w:color="auto"/>
        <w:left w:val="none" w:sz="0" w:space="0" w:color="auto"/>
        <w:bottom w:val="none" w:sz="0" w:space="0" w:color="auto"/>
        <w:right w:val="none" w:sz="0" w:space="0" w:color="auto"/>
      </w:divBdr>
    </w:div>
    <w:div w:id="345179439">
      <w:bodyDiv w:val="1"/>
      <w:marLeft w:val="0"/>
      <w:marRight w:val="0"/>
      <w:marTop w:val="0"/>
      <w:marBottom w:val="0"/>
      <w:divBdr>
        <w:top w:val="none" w:sz="0" w:space="0" w:color="auto"/>
        <w:left w:val="none" w:sz="0" w:space="0" w:color="auto"/>
        <w:bottom w:val="none" w:sz="0" w:space="0" w:color="auto"/>
        <w:right w:val="none" w:sz="0" w:space="0" w:color="auto"/>
      </w:divBdr>
    </w:div>
    <w:div w:id="352536833">
      <w:bodyDiv w:val="1"/>
      <w:marLeft w:val="0"/>
      <w:marRight w:val="0"/>
      <w:marTop w:val="0"/>
      <w:marBottom w:val="0"/>
      <w:divBdr>
        <w:top w:val="none" w:sz="0" w:space="0" w:color="auto"/>
        <w:left w:val="none" w:sz="0" w:space="0" w:color="auto"/>
        <w:bottom w:val="none" w:sz="0" w:space="0" w:color="auto"/>
        <w:right w:val="none" w:sz="0" w:space="0" w:color="auto"/>
      </w:divBdr>
    </w:div>
    <w:div w:id="354620151">
      <w:bodyDiv w:val="1"/>
      <w:marLeft w:val="0"/>
      <w:marRight w:val="0"/>
      <w:marTop w:val="0"/>
      <w:marBottom w:val="0"/>
      <w:divBdr>
        <w:top w:val="none" w:sz="0" w:space="0" w:color="auto"/>
        <w:left w:val="none" w:sz="0" w:space="0" w:color="auto"/>
        <w:bottom w:val="none" w:sz="0" w:space="0" w:color="auto"/>
        <w:right w:val="none" w:sz="0" w:space="0" w:color="auto"/>
      </w:divBdr>
    </w:div>
    <w:div w:id="358090721">
      <w:bodyDiv w:val="1"/>
      <w:marLeft w:val="0"/>
      <w:marRight w:val="0"/>
      <w:marTop w:val="0"/>
      <w:marBottom w:val="0"/>
      <w:divBdr>
        <w:top w:val="none" w:sz="0" w:space="0" w:color="auto"/>
        <w:left w:val="none" w:sz="0" w:space="0" w:color="auto"/>
        <w:bottom w:val="none" w:sz="0" w:space="0" w:color="auto"/>
        <w:right w:val="none" w:sz="0" w:space="0" w:color="auto"/>
      </w:divBdr>
    </w:div>
    <w:div w:id="364184821">
      <w:bodyDiv w:val="1"/>
      <w:marLeft w:val="0"/>
      <w:marRight w:val="0"/>
      <w:marTop w:val="0"/>
      <w:marBottom w:val="0"/>
      <w:divBdr>
        <w:top w:val="none" w:sz="0" w:space="0" w:color="auto"/>
        <w:left w:val="none" w:sz="0" w:space="0" w:color="auto"/>
        <w:bottom w:val="none" w:sz="0" w:space="0" w:color="auto"/>
        <w:right w:val="none" w:sz="0" w:space="0" w:color="auto"/>
      </w:divBdr>
    </w:div>
    <w:div w:id="369232999">
      <w:bodyDiv w:val="1"/>
      <w:marLeft w:val="0"/>
      <w:marRight w:val="0"/>
      <w:marTop w:val="0"/>
      <w:marBottom w:val="0"/>
      <w:divBdr>
        <w:top w:val="none" w:sz="0" w:space="0" w:color="auto"/>
        <w:left w:val="none" w:sz="0" w:space="0" w:color="auto"/>
        <w:bottom w:val="none" w:sz="0" w:space="0" w:color="auto"/>
        <w:right w:val="none" w:sz="0" w:space="0" w:color="auto"/>
      </w:divBdr>
    </w:div>
    <w:div w:id="370426475">
      <w:bodyDiv w:val="1"/>
      <w:marLeft w:val="0"/>
      <w:marRight w:val="0"/>
      <w:marTop w:val="0"/>
      <w:marBottom w:val="0"/>
      <w:divBdr>
        <w:top w:val="none" w:sz="0" w:space="0" w:color="auto"/>
        <w:left w:val="none" w:sz="0" w:space="0" w:color="auto"/>
        <w:bottom w:val="none" w:sz="0" w:space="0" w:color="auto"/>
        <w:right w:val="none" w:sz="0" w:space="0" w:color="auto"/>
      </w:divBdr>
    </w:div>
    <w:div w:id="373047096">
      <w:bodyDiv w:val="1"/>
      <w:marLeft w:val="0"/>
      <w:marRight w:val="0"/>
      <w:marTop w:val="0"/>
      <w:marBottom w:val="0"/>
      <w:divBdr>
        <w:top w:val="none" w:sz="0" w:space="0" w:color="auto"/>
        <w:left w:val="none" w:sz="0" w:space="0" w:color="auto"/>
        <w:bottom w:val="none" w:sz="0" w:space="0" w:color="auto"/>
        <w:right w:val="none" w:sz="0" w:space="0" w:color="auto"/>
      </w:divBdr>
    </w:div>
    <w:div w:id="379404276">
      <w:bodyDiv w:val="1"/>
      <w:marLeft w:val="0"/>
      <w:marRight w:val="0"/>
      <w:marTop w:val="0"/>
      <w:marBottom w:val="0"/>
      <w:divBdr>
        <w:top w:val="none" w:sz="0" w:space="0" w:color="auto"/>
        <w:left w:val="none" w:sz="0" w:space="0" w:color="auto"/>
        <w:bottom w:val="none" w:sz="0" w:space="0" w:color="auto"/>
        <w:right w:val="none" w:sz="0" w:space="0" w:color="auto"/>
      </w:divBdr>
    </w:div>
    <w:div w:id="394206826">
      <w:bodyDiv w:val="1"/>
      <w:marLeft w:val="0"/>
      <w:marRight w:val="0"/>
      <w:marTop w:val="0"/>
      <w:marBottom w:val="0"/>
      <w:divBdr>
        <w:top w:val="none" w:sz="0" w:space="0" w:color="auto"/>
        <w:left w:val="none" w:sz="0" w:space="0" w:color="auto"/>
        <w:bottom w:val="none" w:sz="0" w:space="0" w:color="auto"/>
        <w:right w:val="none" w:sz="0" w:space="0" w:color="auto"/>
      </w:divBdr>
    </w:div>
    <w:div w:id="395516828">
      <w:bodyDiv w:val="1"/>
      <w:marLeft w:val="0"/>
      <w:marRight w:val="0"/>
      <w:marTop w:val="0"/>
      <w:marBottom w:val="0"/>
      <w:divBdr>
        <w:top w:val="none" w:sz="0" w:space="0" w:color="auto"/>
        <w:left w:val="none" w:sz="0" w:space="0" w:color="auto"/>
        <w:bottom w:val="none" w:sz="0" w:space="0" w:color="auto"/>
        <w:right w:val="none" w:sz="0" w:space="0" w:color="auto"/>
      </w:divBdr>
    </w:div>
    <w:div w:id="395860731">
      <w:bodyDiv w:val="1"/>
      <w:marLeft w:val="0"/>
      <w:marRight w:val="0"/>
      <w:marTop w:val="0"/>
      <w:marBottom w:val="0"/>
      <w:divBdr>
        <w:top w:val="none" w:sz="0" w:space="0" w:color="auto"/>
        <w:left w:val="none" w:sz="0" w:space="0" w:color="auto"/>
        <w:bottom w:val="none" w:sz="0" w:space="0" w:color="auto"/>
        <w:right w:val="none" w:sz="0" w:space="0" w:color="auto"/>
      </w:divBdr>
    </w:div>
    <w:div w:id="397705068">
      <w:bodyDiv w:val="1"/>
      <w:marLeft w:val="0"/>
      <w:marRight w:val="0"/>
      <w:marTop w:val="0"/>
      <w:marBottom w:val="0"/>
      <w:divBdr>
        <w:top w:val="none" w:sz="0" w:space="0" w:color="auto"/>
        <w:left w:val="none" w:sz="0" w:space="0" w:color="auto"/>
        <w:bottom w:val="none" w:sz="0" w:space="0" w:color="auto"/>
        <w:right w:val="none" w:sz="0" w:space="0" w:color="auto"/>
      </w:divBdr>
    </w:div>
    <w:div w:id="404301048">
      <w:bodyDiv w:val="1"/>
      <w:marLeft w:val="0"/>
      <w:marRight w:val="0"/>
      <w:marTop w:val="0"/>
      <w:marBottom w:val="0"/>
      <w:divBdr>
        <w:top w:val="none" w:sz="0" w:space="0" w:color="auto"/>
        <w:left w:val="none" w:sz="0" w:space="0" w:color="auto"/>
        <w:bottom w:val="none" w:sz="0" w:space="0" w:color="auto"/>
        <w:right w:val="none" w:sz="0" w:space="0" w:color="auto"/>
      </w:divBdr>
    </w:div>
    <w:div w:id="416639194">
      <w:bodyDiv w:val="1"/>
      <w:marLeft w:val="0"/>
      <w:marRight w:val="0"/>
      <w:marTop w:val="0"/>
      <w:marBottom w:val="0"/>
      <w:divBdr>
        <w:top w:val="none" w:sz="0" w:space="0" w:color="auto"/>
        <w:left w:val="none" w:sz="0" w:space="0" w:color="auto"/>
        <w:bottom w:val="none" w:sz="0" w:space="0" w:color="auto"/>
        <w:right w:val="none" w:sz="0" w:space="0" w:color="auto"/>
      </w:divBdr>
    </w:div>
    <w:div w:id="420181913">
      <w:bodyDiv w:val="1"/>
      <w:marLeft w:val="0"/>
      <w:marRight w:val="0"/>
      <w:marTop w:val="0"/>
      <w:marBottom w:val="0"/>
      <w:divBdr>
        <w:top w:val="none" w:sz="0" w:space="0" w:color="auto"/>
        <w:left w:val="none" w:sz="0" w:space="0" w:color="auto"/>
        <w:bottom w:val="none" w:sz="0" w:space="0" w:color="auto"/>
        <w:right w:val="none" w:sz="0" w:space="0" w:color="auto"/>
      </w:divBdr>
    </w:div>
    <w:div w:id="423258838">
      <w:bodyDiv w:val="1"/>
      <w:marLeft w:val="0"/>
      <w:marRight w:val="0"/>
      <w:marTop w:val="0"/>
      <w:marBottom w:val="0"/>
      <w:divBdr>
        <w:top w:val="none" w:sz="0" w:space="0" w:color="auto"/>
        <w:left w:val="none" w:sz="0" w:space="0" w:color="auto"/>
        <w:bottom w:val="none" w:sz="0" w:space="0" w:color="auto"/>
        <w:right w:val="none" w:sz="0" w:space="0" w:color="auto"/>
      </w:divBdr>
    </w:div>
    <w:div w:id="431904050">
      <w:bodyDiv w:val="1"/>
      <w:marLeft w:val="0"/>
      <w:marRight w:val="0"/>
      <w:marTop w:val="0"/>
      <w:marBottom w:val="0"/>
      <w:divBdr>
        <w:top w:val="none" w:sz="0" w:space="0" w:color="auto"/>
        <w:left w:val="none" w:sz="0" w:space="0" w:color="auto"/>
        <w:bottom w:val="none" w:sz="0" w:space="0" w:color="auto"/>
        <w:right w:val="none" w:sz="0" w:space="0" w:color="auto"/>
      </w:divBdr>
    </w:div>
    <w:div w:id="434327706">
      <w:bodyDiv w:val="1"/>
      <w:marLeft w:val="0"/>
      <w:marRight w:val="0"/>
      <w:marTop w:val="0"/>
      <w:marBottom w:val="0"/>
      <w:divBdr>
        <w:top w:val="none" w:sz="0" w:space="0" w:color="auto"/>
        <w:left w:val="none" w:sz="0" w:space="0" w:color="auto"/>
        <w:bottom w:val="none" w:sz="0" w:space="0" w:color="auto"/>
        <w:right w:val="none" w:sz="0" w:space="0" w:color="auto"/>
      </w:divBdr>
    </w:div>
    <w:div w:id="434860476">
      <w:bodyDiv w:val="1"/>
      <w:marLeft w:val="0"/>
      <w:marRight w:val="0"/>
      <w:marTop w:val="0"/>
      <w:marBottom w:val="0"/>
      <w:divBdr>
        <w:top w:val="none" w:sz="0" w:space="0" w:color="auto"/>
        <w:left w:val="none" w:sz="0" w:space="0" w:color="auto"/>
        <w:bottom w:val="none" w:sz="0" w:space="0" w:color="auto"/>
        <w:right w:val="none" w:sz="0" w:space="0" w:color="auto"/>
      </w:divBdr>
    </w:div>
    <w:div w:id="437407539">
      <w:bodyDiv w:val="1"/>
      <w:marLeft w:val="0"/>
      <w:marRight w:val="0"/>
      <w:marTop w:val="0"/>
      <w:marBottom w:val="0"/>
      <w:divBdr>
        <w:top w:val="none" w:sz="0" w:space="0" w:color="auto"/>
        <w:left w:val="none" w:sz="0" w:space="0" w:color="auto"/>
        <w:bottom w:val="none" w:sz="0" w:space="0" w:color="auto"/>
        <w:right w:val="none" w:sz="0" w:space="0" w:color="auto"/>
      </w:divBdr>
    </w:div>
    <w:div w:id="438109990">
      <w:bodyDiv w:val="1"/>
      <w:marLeft w:val="0"/>
      <w:marRight w:val="0"/>
      <w:marTop w:val="0"/>
      <w:marBottom w:val="0"/>
      <w:divBdr>
        <w:top w:val="none" w:sz="0" w:space="0" w:color="auto"/>
        <w:left w:val="none" w:sz="0" w:space="0" w:color="auto"/>
        <w:bottom w:val="none" w:sz="0" w:space="0" w:color="auto"/>
        <w:right w:val="none" w:sz="0" w:space="0" w:color="auto"/>
      </w:divBdr>
    </w:div>
    <w:div w:id="441342544">
      <w:bodyDiv w:val="1"/>
      <w:marLeft w:val="0"/>
      <w:marRight w:val="0"/>
      <w:marTop w:val="0"/>
      <w:marBottom w:val="0"/>
      <w:divBdr>
        <w:top w:val="none" w:sz="0" w:space="0" w:color="auto"/>
        <w:left w:val="none" w:sz="0" w:space="0" w:color="auto"/>
        <w:bottom w:val="none" w:sz="0" w:space="0" w:color="auto"/>
        <w:right w:val="none" w:sz="0" w:space="0" w:color="auto"/>
      </w:divBdr>
    </w:div>
    <w:div w:id="444496903">
      <w:bodyDiv w:val="1"/>
      <w:marLeft w:val="0"/>
      <w:marRight w:val="0"/>
      <w:marTop w:val="0"/>
      <w:marBottom w:val="0"/>
      <w:divBdr>
        <w:top w:val="none" w:sz="0" w:space="0" w:color="auto"/>
        <w:left w:val="none" w:sz="0" w:space="0" w:color="auto"/>
        <w:bottom w:val="none" w:sz="0" w:space="0" w:color="auto"/>
        <w:right w:val="none" w:sz="0" w:space="0" w:color="auto"/>
      </w:divBdr>
    </w:div>
    <w:div w:id="445318079">
      <w:bodyDiv w:val="1"/>
      <w:marLeft w:val="0"/>
      <w:marRight w:val="0"/>
      <w:marTop w:val="0"/>
      <w:marBottom w:val="0"/>
      <w:divBdr>
        <w:top w:val="none" w:sz="0" w:space="0" w:color="auto"/>
        <w:left w:val="none" w:sz="0" w:space="0" w:color="auto"/>
        <w:bottom w:val="none" w:sz="0" w:space="0" w:color="auto"/>
        <w:right w:val="none" w:sz="0" w:space="0" w:color="auto"/>
      </w:divBdr>
    </w:div>
    <w:div w:id="448361311">
      <w:bodyDiv w:val="1"/>
      <w:marLeft w:val="0"/>
      <w:marRight w:val="0"/>
      <w:marTop w:val="0"/>
      <w:marBottom w:val="0"/>
      <w:divBdr>
        <w:top w:val="none" w:sz="0" w:space="0" w:color="auto"/>
        <w:left w:val="none" w:sz="0" w:space="0" w:color="auto"/>
        <w:bottom w:val="none" w:sz="0" w:space="0" w:color="auto"/>
        <w:right w:val="none" w:sz="0" w:space="0" w:color="auto"/>
      </w:divBdr>
    </w:div>
    <w:div w:id="450131576">
      <w:bodyDiv w:val="1"/>
      <w:marLeft w:val="0"/>
      <w:marRight w:val="0"/>
      <w:marTop w:val="0"/>
      <w:marBottom w:val="0"/>
      <w:divBdr>
        <w:top w:val="none" w:sz="0" w:space="0" w:color="auto"/>
        <w:left w:val="none" w:sz="0" w:space="0" w:color="auto"/>
        <w:bottom w:val="none" w:sz="0" w:space="0" w:color="auto"/>
        <w:right w:val="none" w:sz="0" w:space="0" w:color="auto"/>
      </w:divBdr>
    </w:div>
    <w:div w:id="451560923">
      <w:bodyDiv w:val="1"/>
      <w:marLeft w:val="0"/>
      <w:marRight w:val="0"/>
      <w:marTop w:val="0"/>
      <w:marBottom w:val="0"/>
      <w:divBdr>
        <w:top w:val="none" w:sz="0" w:space="0" w:color="auto"/>
        <w:left w:val="none" w:sz="0" w:space="0" w:color="auto"/>
        <w:bottom w:val="none" w:sz="0" w:space="0" w:color="auto"/>
        <w:right w:val="none" w:sz="0" w:space="0" w:color="auto"/>
      </w:divBdr>
    </w:div>
    <w:div w:id="457648939">
      <w:bodyDiv w:val="1"/>
      <w:marLeft w:val="0"/>
      <w:marRight w:val="0"/>
      <w:marTop w:val="0"/>
      <w:marBottom w:val="0"/>
      <w:divBdr>
        <w:top w:val="none" w:sz="0" w:space="0" w:color="auto"/>
        <w:left w:val="none" w:sz="0" w:space="0" w:color="auto"/>
        <w:bottom w:val="none" w:sz="0" w:space="0" w:color="auto"/>
        <w:right w:val="none" w:sz="0" w:space="0" w:color="auto"/>
      </w:divBdr>
    </w:div>
    <w:div w:id="460878765">
      <w:bodyDiv w:val="1"/>
      <w:marLeft w:val="0"/>
      <w:marRight w:val="0"/>
      <w:marTop w:val="0"/>
      <w:marBottom w:val="0"/>
      <w:divBdr>
        <w:top w:val="none" w:sz="0" w:space="0" w:color="auto"/>
        <w:left w:val="none" w:sz="0" w:space="0" w:color="auto"/>
        <w:bottom w:val="none" w:sz="0" w:space="0" w:color="auto"/>
        <w:right w:val="none" w:sz="0" w:space="0" w:color="auto"/>
      </w:divBdr>
    </w:div>
    <w:div w:id="462120498">
      <w:bodyDiv w:val="1"/>
      <w:marLeft w:val="0"/>
      <w:marRight w:val="0"/>
      <w:marTop w:val="0"/>
      <w:marBottom w:val="0"/>
      <w:divBdr>
        <w:top w:val="none" w:sz="0" w:space="0" w:color="auto"/>
        <w:left w:val="none" w:sz="0" w:space="0" w:color="auto"/>
        <w:bottom w:val="none" w:sz="0" w:space="0" w:color="auto"/>
        <w:right w:val="none" w:sz="0" w:space="0" w:color="auto"/>
      </w:divBdr>
    </w:div>
    <w:div w:id="462700043">
      <w:bodyDiv w:val="1"/>
      <w:marLeft w:val="0"/>
      <w:marRight w:val="0"/>
      <w:marTop w:val="0"/>
      <w:marBottom w:val="0"/>
      <w:divBdr>
        <w:top w:val="none" w:sz="0" w:space="0" w:color="auto"/>
        <w:left w:val="none" w:sz="0" w:space="0" w:color="auto"/>
        <w:bottom w:val="none" w:sz="0" w:space="0" w:color="auto"/>
        <w:right w:val="none" w:sz="0" w:space="0" w:color="auto"/>
      </w:divBdr>
    </w:div>
    <w:div w:id="463743061">
      <w:bodyDiv w:val="1"/>
      <w:marLeft w:val="0"/>
      <w:marRight w:val="0"/>
      <w:marTop w:val="0"/>
      <w:marBottom w:val="0"/>
      <w:divBdr>
        <w:top w:val="none" w:sz="0" w:space="0" w:color="auto"/>
        <w:left w:val="none" w:sz="0" w:space="0" w:color="auto"/>
        <w:bottom w:val="none" w:sz="0" w:space="0" w:color="auto"/>
        <w:right w:val="none" w:sz="0" w:space="0" w:color="auto"/>
      </w:divBdr>
    </w:div>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472257247">
      <w:bodyDiv w:val="1"/>
      <w:marLeft w:val="0"/>
      <w:marRight w:val="0"/>
      <w:marTop w:val="0"/>
      <w:marBottom w:val="0"/>
      <w:divBdr>
        <w:top w:val="none" w:sz="0" w:space="0" w:color="auto"/>
        <w:left w:val="none" w:sz="0" w:space="0" w:color="auto"/>
        <w:bottom w:val="none" w:sz="0" w:space="0" w:color="auto"/>
        <w:right w:val="none" w:sz="0" w:space="0" w:color="auto"/>
      </w:divBdr>
    </w:div>
    <w:div w:id="477572682">
      <w:bodyDiv w:val="1"/>
      <w:marLeft w:val="0"/>
      <w:marRight w:val="0"/>
      <w:marTop w:val="0"/>
      <w:marBottom w:val="0"/>
      <w:divBdr>
        <w:top w:val="none" w:sz="0" w:space="0" w:color="auto"/>
        <w:left w:val="none" w:sz="0" w:space="0" w:color="auto"/>
        <w:bottom w:val="none" w:sz="0" w:space="0" w:color="auto"/>
        <w:right w:val="none" w:sz="0" w:space="0" w:color="auto"/>
      </w:divBdr>
    </w:div>
    <w:div w:id="479273248">
      <w:bodyDiv w:val="1"/>
      <w:marLeft w:val="0"/>
      <w:marRight w:val="0"/>
      <w:marTop w:val="0"/>
      <w:marBottom w:val="0"/>
      <w:divBdr>
        <w:top w:val="none" w:sz="0" w:space="0" w:color="auto"/>
        <w:left w:val="none" w:sz="0" w:space="0" w:color="auto"/>
        <w:bottom w:val="none" w:sz="0" w:space="0" w:color="auto"/>
        <w:right w:val="none" w:sz="0" w:space="0" w:color="auto"/>
      </w:divBdr>
    </w:div>
    <w:div w:id="483013558">
      <w:bodyDiv w:val="1"/>
      <w:marLeft w:val="0"/>
      <w:marRight w:val="0"/>
      <w:marTop w:val="0"/>
      <w:marBottom w:val="0"/>
      <w:divBdr>
        <w:top w:val="none" w:sz="0" w:space="0" w:color="auto"/>
        <w:left w:val="none" w:sz="0" w:space="0" w:color="auto"/>
        <w:bottom w:val="none" w:sz="0" w:space="0" w:color="auto"/>
        <w:right w:val="none" w:sz="0" w:space="0" w:color="auto"/>
      </w:divBdr>
    </w:div>
    <w:div w:id="491412232">
      <w:bodyDiv w:val="1"/>
      <w:marLeft w:val="0"/>
      <w:marRight w:val="0"/>
      <w:marTop w:val="0"/>
      <w:marBottom w:val="0"/>
      <w:divBdr>
        <w:top w:val="none" w:sz="0" w:space="0" w:color="auto"/>
        <w:left w:val="none" w:sz="0" w:space="0" w:color="auto"/>
        <w:bottom w:val="none" w:sz="0" w:space="0" w:color="auto"/>
        <w:right w:val="none" w:sz="0" w:space="0" w:color="auto"/>
      </w:divBdr>
    </w:div>
    <w:div w:id="496238821">
      <w:bodyDiv w:val="1"/>
      <w:marLeft w:val="0"/>
      <w:marRight w:val="0"/>
      <w:marTop w:val="0"/>
      <w:marBottom w:val="0"/>
      <w:divBdr>
        <w:top w:val="none" w:sz="0" w:space="0" w:color="auto"/>
        <w:left w:val="none" w:sz="0" w:space="0" w:color="auto"/>
        <w:bottom w:val="none" w:sz="0" w:space="0" w:color="auto"/>
        <w:right w:val="none" w:sz="0" w:space="0" w:color="auto"/>
      </w:divBdr>
    </w:div>
    <w:div w:id="496271204">
      <w:bodyDiv w:val="1"/>
      <w:marLeft w:val="0"/>
      <w:marRight w:val="0"/>
      <w:marTop w:val="0"/>
      <w:marBottom w:val="0"/>
      <w:divBdr>
        <w:top w:val="none" w:sz="0" w:space="0" w:color="auto"/>
        <w:left w:val="none" w:sz="0" w:space="0" w:color="auto"/>
        <w:bottom w:val="none" w:sz="0" w:space="0" w:color="auto"/>
        <w:right w:val="none" w:sz="0" w:space="0" w:color="auto"/>
      </w:divBdr>
    </w:div>
    <w:div w:id="496456820">
      <w:bodyDiv w:val="1"/>
      <w:marLeft w:val="0"/>
      <w:marRight w:val="0"/>
      <w:marTop w:val="0"/>
      <w:marBottom w:val="0"/>
      <w:divBdr>
        <w:top w:val="none" w:sz="0" w:space="0" w:color="auto"/>
        <w:left w:val="none" w:sz="0" w:space="0" w:color="auto"/>
        <w:bottom w:val="none" w:sz="0" w:space="0" w:color="auto"/>
        <w:right w:val="none" w:sz="0" w:space="0" w:color="auto"/>
      </w:divBdr>
    </w:div>
    <w:div w:id="499543842">
      <w:bodyDiv w:val="1"/>
      <w:marLeft w:val="0"/>
      <w:marRight w:val="0"/>
      <w:marTop w:val="0"/>
      <w:marBottom w:val="0"/>
      <w:divBdr>
        <w:top w:val="none" w:sz="0" w:space="0" w:color="auto"/>
        <w:left w:val="none" w:sz="0" w:space="0" w:color="auto"/>
        <w:bottom w:val="none" w:sz="0" w:space="0" w:color="auto"/>
        <w:right w:val="none" w:sz="0" w:space="0" w:color="auto"/>
      </w:divBdr>
    </w:div>
    <w:div w:id="501242909">
      <w:bodyDiv w:val="1"/>
      <w:marLeft w:val="0"/>
      <w:marRight w:val="0"/>
      <w:marTop w:val="0"/>
      <w:marBottom w:val="0"/>
      <w:divBdr>
        <w:top w:val="none" w:sz="0" w:space="0" w:color="auto"/>
        <w:left w:val="none" w:sz="0" w:space="0" w:color="auto"/>
        <w:bottom w:val="none" w:sz="0" w:space="0" w:color="auto"/>
        <w:right w:val="none" w:sz="0" w:space="0" w:color="auto"/>
      </w:divBdr>
    </w:div>
    <w:div w:id="504905570">
      <w:bodyDiv w:val="1"/>
      <w:marLeft w:val="0"/>
      <w:marRight w:val="0"/>
      <w:marTop w:val="0"/>
      <w:marBottom w:val="0"/>
      <w:divBdr>
        <w:top w:val="none" w:sz="0" w:space="0" w:color="auto"/>
        <w:left w:val="none" w:sz="0" w:space="0" w:color="auto"/>
        <w:bottom w:val="none" w:sz="0" w:space="0" w:color="auto"/>
        <w:right w:val="none" w:sz="0" w:space="0" w:color="auto"/>
      </w:divBdr>
    </w:div>
    <w:div w:id="511796340">
      <w:bodyDiv w:val="1"/>
      <w:marLeft w:val="0"/>
      <w:marRight w:val="0"/>
      <w:marTop w:val="0"/>
      <w:marBottom w:val="0"/>
      <w:divBdr>
        <w:top w:val="none" w:sz="0" w:space="0" w:color="auto"/>
        <w:left w:val="none" w:sz="0" w:space="0" w:color="auto"/>
        <w:bottom w:val="none" w:sz="0" w:space="0" w:color="auto"/>
        <w:right w:val="none" w:sz="0" w:space="0" w:color="auto"/>
      </w:divBdr>
    </w:div>
    <w:div w:id="523632831">
      <w:bodyDiv w:val="1"/>
      <w:marLeft w:val="0"/>
      <w:marRight w:val="0"/>
      <w:marTop w:val="0"/>
      <w:marBottom w:val="0"/>
      <w:divBdr>
        <w:top w:val="none" w:sz="0" w:space="0" w:color="auto"/>
        <w:left w:val="none" w:sz="0" w:space="0" w:color="auto"/>
        <w:bottom w:val="none" w:sz="0" w:space="0" w:color="auto"/>
        <w:right w:val="none" w:sz="0" w:space="0" w:color="auto"/>
      </w:divBdr>
    </w:div>
    <w:div w:id="526911309">
      <w:bodyDiv w:val="1"/>
      <w:marLeft w:val="0"/>
      <w:marRight w:val="0"/>
      <w:marTop w:val="0"/>
      <w:marBottom w:val="0"/>
      <w:divBdr>
        <w:top w:val="none" w:sz="0" w:space="0" w:color="auto"/>
        <w:left w:val="none" w:sz="0" w:space="0" w:color="auto"/>
        <w:bottom w:val="none" w:sz="0" w:space="0" w:color="auto"/>
        <w:right w:val="none" w:sz="0" w:space="0" w:color="auto"/>
      </w:divBdr>
    </w:div>
    <w:div w:id="528033217">
      <w:bodyDiv w:val="1"/>
      <w:marLeft w:val="0"/>
      <w:marRight w:val="0"/>
      <w:marTop w:val="0"/>
      <w:marBottom w:val="0"/>
      <w:divBdr>
        <w:top w:val="none" w:sz="0" w:space="0" w:color="auto"/>
        <w:left w:val="none" w:sz="0" w:space="0" w:color="auto"/>
        <w:bottom w:val="none" w:sz="0" w:space="0" w:color="auto"/>
        <w:right w:val="none" w:sz="0" w:space="0" w:color="auto"/>
      </w:divBdr>
    </w:div>
    <w:div w:id="529491041">
      <w:bodyDiv w:val="1"/>
      <w:marLeft w:val="0"/>
      <w:marRight w:val="0"/>
      <w:marTop w:val="0"/>
      <w:marBottom w:val="0"/>
      <w:divBdr>
        <w:top w:val="none" w:sz="0" w:space="0" w:color="auto"/>
        <w:left w:val="none" w:sz="0" w:space="0" w:color="auto"/>
        <w:bottom w:val="none" w:sz="0" w:space="0" w:color="auto"/>
        <w:right w:val="none" w:sz="0" w:space="0" w:color="auto"/>
      </w:divBdr>
    </w:div>
    <w:div w:id="533806978">
      <w:bodyDiv w:val="1"/>
      <w:marLeft w:val="0"/>
      <w:marRight w:val="0"/>
      <w:marTop w:val="0"/>
      <w:marBottom w:val="0"/>
      <w:divBdr>
        <w:top w:val="none" w:sz="0" w:space="0" w:color="auto"/>
        <w:left w:val="none" w:sz="0" w:space="0" w:color="auto"/>
        <w:bottom w:val="none" w:sz="0" w:space="0" w:color="auto"/>
        <w:right w:val="none" w:sz="0" w:space="0" w:color="auto"/>
      </w:divBdr>
    </w:div>
    <w:div w:id="535435982">
      <w:bodyDiv w:val="1"/>
      <w:marLeft w:val="0"/>
      <w:marRight w:val="0"/>
      <w:marTop w:val="0"/>
      <w:marBottom w:val="0"/>
      <w:divBdr>
        <w:top w:val="none" w:sz="0" w:space="0" w:color="auto"/>
        <w:left w:val="none" w:sz="0" w:space="0" w:color="auto"/>
        <w:bottom w:val="none" w:sz="0" w:space="0" w:color="auto"/>
        <w:right w:val="none" w:sz="0" w:space="0" w:color="auto"/>
      </w:divBdr>
    </w:div>
    <w:div w:id="535965705">
      <w:bodyDiv w:val="1"/>
      <w:marLeft w:val="0"/>
      <w:marRight w:val="0"/>
      <w:marTop w:val="0"/>
      <w:marBottom w:val="0"/>
      <w:divBdr>
        <w:top w:val="none" w:sz="0" w:space="0" w:color="auto"/>
        <w:left w:val="none" w:sz="0" w:space="0" w:color="auto"/>
        <w:bottom w:val="none" w:sz="0" w:space="0" w:color="auto"/>
        <w:right w:val="none" w:sz="0" w:space="0" w:color="auto"/>
      </w:divBdr>
    </w:div>
    <w:div w:id="537278464">
      <w:bodyDiv w:val="1"/>
      <w:marLeft w:val="0"/>
      <w:marRight w:val="0"/>
      <w:marTop w:val="0"/>
      <w:marBottom w:val="0"/>
      <w:divBdr>
        <w:top w:val="none" w:sz="0" w:space="0" w:color="auto"/>
        <w:left w:val="none" w:sz="0" w:space="0" w:color="auto"/>
        <w:bottom w:val="none" w:sz="0" w:space="0" w:color="auto"/>
        <w:right w:val="none" w:sz="0" w:space="0" w:color="auto"/>
      </w:divBdr>
    </w:div>
    <w:div w:id="543490955">
      <w:bodyDiv w:val="1"/>
      <w:marLeft w:val="0"/>
      <w:marRight w:val="0"/>
      <w:marTop w:val="0"/>
      <w:marBottom w:val="0"/>
      <w:divBdr>
        <w:top w:val="none" w:sz="0" w:space="0" w:color="auto"/>
        <w:left w:val="none" w:sz="0" w:space="0" w:color="auto"/>
        <w:bottom w:val="none" w:sz="0" w:space="0" w:color="auto"/>
        <w:right w:val="none" w:sz="0" w:space="0" w:color="auto"/>
      </w:divBdr>
    </w:div>
    <w:div w:id="544562807">
      <w:bodyDiv w:val="1"/>
      <w:marLeft w:val="0"/>
      <w:marRight w:val="0"/>
      <w:marTop w:val="0"/>
      <w:marBottom w:val="0"/>
      <w:divBdr>
        <w:top w:val="none" w:sz="0" w:space="0" w:color="auto"/>
        <w:left w:val="none" w:sz="0" w:space="0" w:color="auto"/>
        <w:bottom w:val="none" w:sz="0" w:space="0" w:color="auto"/>
        <w:right w:val="none" w:sz="0" w:space="0" w:color="auto"/>
      </w:divBdr>
    </w:div>
    <w:div w:id="545918841">
      <w:bodyDiv w:val="1"/>
      <w:marLeft w:val="0"/>
      <w:marRight w:val="0"/>
      <w:marTop w:val="0"/>
      <w:marBottom w:val="0"/>
      <w:divBdr>
        <w:top w:val="none" w:sz="0" w:space="0" w:color="auto"/>
        <w:left w:val="none" w:sz="0" w:space="0" w:color="auto"/>
        <w:bottom w:val="none" w:sz="0" w:space="0" w:color="auto"/>
        <w:right w:val="none" w:sz="0" w:space="0" w:color="auto"/>
      </w:divBdr>
    </w:div>
    <w:div w:id="561060618">
      <w:bodyDiv w:val="1"/>
      <w:marLeft w:val="0"/>
      <w:marRight w:val="0"/>
      <w:marTop w:val="0"/>
      <w:marBottom w:val="0"/>
      <w:divBdr>
        <w:top w:val="none" w:sz="0" w:space="0" w:color="auto"/>
        <w:left w:val="none" w:sz="0" w:space="0" w:color="auto"/>
        <w:bottom w:val="none" w:sz="0" w:space="0" w:color="auto"/>
        <w:right w:val="none" w:sz="0" w:space="0" w:color="auto"/>
      </w:divBdr>
    </w:div>
    <w:div w:id="563175874">
      <w:bodyDiv w:val="1"/>
      <w:marLeft w:val="0"/>
      <w:marRight w:val="0"/>
      <w:marTop w:val="0"/>
      <w:marBottom w:val="0"/>
      <w:divBdr>
        <w:top w:val="none" w:sz="0" w:space="0" w:color="auto"/>
        <w:left w:val="none" w:sz="0" w:space="0" w:color="auto"/>
        <w:bottom w:val="none" w:sz="0" w:space="0" w:color="auto"/>
        <w:right w:val="none" w:sz="0" w:space="0" w:color="auto"/>
      </w:divBdr>
    </w:div>
    <w:div w:id="568272249">
      <w:bodyDiv w:val="1"/>
      <w:marLeft w:val="0"/>
      <w:marRight w:val="0"/>
      <w:marTop w:val="0"/>
      <w:marBottom w:val="0"/>
      <w:divBdr>
        <w:top w:val="none" w:sz="0" w:space="0" w:color="auto"/>
        <w:left w:val="none" w:sz="0" w:space="0" w:color="auto"/>
        <w:bottom w:val="none" w:sz="0" w:space="0" w:color="auto"/>
        <w:right w:val="none" w:sz="0" w:space="0" w:color="auto"/>
      </w:divBdr>
    </w:div>
    <w:div w:id="568811610">
      <w:bodyDiv w:val="1"/>
      <w:marLeft w:val="0"/>
      <w:marRight w:val="0"/>
      <w:marTop w:val="0"/>
      <w:marBottom w:val="0"/>
      <w:divBdr>
        <w:top w:val="none" w:sz="0" w:space="0" w:color="auto"/>
        <w:left w:val="none" w:sz="0" w:space="0" w:color="auto"/>
        <w:bottom w:val="none" w:sz="0" w:space="0" w:color="auto"/>
        <w:right w:val="none" w:sz="0" w:space="0" w:color="auto"/>
      </w:divBdr>
    </w:div>
    <w:div w:id="575285454">
      <w:bodyDiv w:val="1"/>
      <w:marLeft w:val="0"/>
      <w:marRight w:val="0"/>
      <w:marTop w:val="0"/>
      <w:marBottom w:val="0"/>
      <w:divBdr>
        <w:top w:val="none" w:sz="0" w:space="0" w:color="auto"/>
        <w:left w:val="none" w:sz="0" w:space="0" w:color="auto"/>
        <w:bottom w:val="none" w:sz="0" w:space="0" w:color="auto"/>
        <w:right w:val="none" w:sz="0" w:space="0" w:color="auto"/>
      </w:divBdr>
    </w:div>
    <w:div w:id="576936135">
      <w:bodyDiv w:val="1"/>
      <w:marLeft w:val="0"/>
      <w:marRight w:val="0"/>
      <w:marTop w:val="0"/>
      <w:marBottom w:val="0"/>
      <w:divBdr>
        <w:top w:val="none" w:sz="0" w:space="0" w:color="auto"/>
        <w:left w:val="none" w:sz="0" w:space="0" w:color="auto"/>
        <w:bottom w:val="none" w:sz="0" w:space="0" w:color="auto"/>
        <w:right w:val="none" w:sz="0" w:space="0" w:color="auto"/>
      </w:divBdr>
    </w:div>
    <w:div w:id="578444115">
      <w:bodyDiv w:val="1"/>
      <w:marLeft w:val="0"/>
      <w:marRight w:val="0"/>
      <w:marTop w:val="0"/>
      <w:marBottom w:val="0"/>
      <w:divBdr>
        <w:top w:val="none" w:sz="0" w:space="0" w:color="auto"/>
        <w:left w:val="none" w:sz="0" w:space="0" w:color="auto"/>
        <w:bottom w:val="none" w:sz="0" w:space="0" w:color="auto"/>
        <w:right w:val="none" w:sz="0" w:space="0" w:color="auto"/>
      </w:divBdr>
    </w:div>
    <w:div w:id="590546326">
      <w:bodyDiv w:val="1"/>
      <w:marLeft w:val="0"/>
      <w:marRight w:val="0"/>
      <w:marTop w:val="0"/>
      <w:marBottom w:val="0"/>
      <w:divBdr>
        <w:top w:val="none" w:sz="0" w:space="0" w:color="auto"/>
        <w:left w:val="none" w:sz="0" w:space="0" w:color="auto"/>
        <w:bottom w:val="none" w:sz="0" w:space="0" w:color="auto"/>
        <w:right w:val="none" w:sz="0" w:space="0" w:color="auto"/>
      </w:divBdr>
    </w:div>
    <w:div w:id="591672016">
      <w:bodyDiv w:val="1"/>
      <w:marLeft w:val="0"/>
      <w:marRight w:val="0"/>
      <w:marTop w:val="0"/>
      <w:marBottom w:val="0"/>
      <w:divBdr>
        <w:top w:val="none" w:sz="0" w:space="0" w:color="auto"/>
        <w:left w:val="none" w:sz="0" w:space="0" w:color="auto"/>
        <w:bottom w:val="none" w:sz="0" w:space="0" w:color="auto"/>
        <w:right w:val="none" w:sz="0" w:space="0" w:color="auto"/>
      </w:divBdr>
    </w:div>
    <w:div w:id="594940946">
      <w:bodyDiv w:val="1"/>
      <w:marLeft w:val="0"/>
      <w:marRight w:val="0"/>
      <w:marTop w:val="0"/>
      <w:marBottom w:val="0"/>
      <w:divBdr>
        <w:top w:val="none" w:sz="0" w:space="0" w:color="auto"/>
        <w:left w:val="none" w:sz="0" w:space="0" w:color="auto"/>
        <w:bottom w:val="none" w:sz="0" w:space="0" w:color="auto"/>
        <w:right w:val="none" w:sz="0" w:space="0" w:color="auto"/>
      </w:divBdr>
    </w:div>
    <w:div w:id="598753213">
      <w:bodyDiv w:val="1"/>
      <w:marLeft w:val="0"/>
      <w:marRight w:val="0"/>
      <w:marTop w:val="0"/>
      <w:marBottom w:val="0"/>
      <w:divBdr>
        <w:top w:val="none" w:sz="0" w:space="0" w:color="auto"/>
        <w:left w:val="none" w:sz="0" w:space="0" w:color="auto"/>
        <w:bottom w:val="none" w:sz="0" w:space="0" w:color="auto"/>
        <w:right w:val="none" w:sz="0" w:space="0" w:color="auto"/>
      </w:divBdr>
    </w:div>
    <w:div w:id="601376888">
      <w:bodyDiv w:val="1"/>
      <w:marLeft w:val="0"/>
      <w:marRight w:val="0"/>
      <w:marTop w:val="0"/>
      <w:marBottom w:val="0"/>
      <w:divBdr>
        <w:top w:val="none" w:sz="0" w:space="0" w:color="auto"/>
        <w:left w:val="none" w:sz="0" w:space="0" w:color="auto"/>
        <w:bottom w:val="none" w:sz="0" w:space="0" w:color="auto"/>
        <w:right w:val="none" w:sz="0" w:space="0" w:color="auto"/>
      </w:divBdr>
    </w:div>
    <w:div w:id="604196270">
      <w:bodyDiv w:val="1"/>
      <w:marLeft w:val="0"/>
      <w:marRight w:val="0"/>
      <w:marTop w:val="0"/>
      <w:marBottom w:val="0"/>
      <w:divBdr>
        <w:top w:val="none" w:sz="0" w:space="0" w:color="auto"/>
        <w:left w:val="none" w:sz="0" w:space="0" w:color="auto"/>
        <w:bottom w:val="none" w:sz="0" w:space="0" w:color="auto"/>
        <w:right w:val="none" w:sz="0" w:space="0" w:color="auto"/>
      </w:divBdr>
    </w:div>
    <w:div w:id="604387019">
      <w:bodyDiv w:val="1"/>
      <w:marLeft w:val="0"/>
      <w:marRight w:val="0"/>
      <w:marTop w:val="0"/>
      <w:marBottom w:val="0"/>
      <w:divBdr>
        <w:top w:val="none" w:sz="0" w:space="0" w:color="auto"/>
        <w:left w:val="none" w:sz="0" w:space="0" w:color="auto"/>
        <w:bottom w:val="none" w:sz="0" w:space="0" w:color="auto"/>
        <w:right w:val="none" w:sz="0" w:space="0" w:color="auto"/>
      </w:divBdr>
    </w:div>
    <w:div w:id="611327205">
      <w:bodyDiv w:val="1"/>
      <w:marLeft w:val="0"/>
      <w:marRight w:val="0"/>
      <w:marTop w:val="0"/>
      <w:marBottom w:val="0"/>
      <w:divBdr>
        <w:top w:val="none" w:sz="0" w:space="0" w:color="auto"/>
        <w:left w:val="none" w:sz="0" w:space="0" w:color="auto"/>
        <w:bottom w:val="none" w:sz="0" w:space="0" w:color="auto"/>
        <w:right w:val="none" w:sz="0" w:space="0" w:color="auto"/>
      </w:divBdr>
    </w:div>
    <w:div w:id="611596870">
      <w:bodyDiv w:val="1"/>
      <w:marLeft w:val="0"/>
      <w:marRight w:val="0"/>
      <w:marTop w:val="0"/>
      <w:marBottom w:val="0"/>
      <w:divBdr>
        <w:top w:val="none" w:sz="0" w:space="0" w:color="auto"/>
        <w:left w:val="none" w:sz="0" w:space="0" w:color="auto"/>
        <w:bottom w:val="none" w:sz="0" w:space="0" w:color="auto"/>
        <w:right w:val="none" w:sz="0" w:space="0" w:color="auto"/>
      </w:divBdr>
    </w:div>
    <w:div w:id="614559452">
      <w:bodyDiv w:val="1"/>
      <w:marLeft w:val="0"/>
      <w:marRight w:val="0"/>
      <w:marTop w:val="0"/>
      <w:marBottom w:val="0"/>
      <w:divBdr>
        <w:top w:val="none" w:sz="0" w:space="0" w:color="auto"/>
        <w:left w:val="none" w:sz="0" w:space="0" w:color="auto"/>
        <w:bottom w:val="none" w:sz="0" w:space="0" w:color="auto"/>
        <w:right w:val="none" w:sz="0" w:space="0" w:color="auto"/>
      </w:divBdr>
    </w:div>
    <w:div w:id="618101004">
      <w:bodyDiv w:val="1"/>
      <w:marLeft w:val="0"/>
      <w:marRight w:val="0"/>
      <w:marTop w:val="0"/>
      <w:marBottom w:val="0"/>
      <w:divBdr>
        <w:top w:val="none" w:sz="0" w:space="0" w:color="auto"/>
        <w:left w:val="none" w:sz="0" w:space="0" w:color="auto"/>
        <w:bottom w:val="none" w:sz="0" w:space="0" w:color="auto"/>
        <w:right w:val="none" w:sz="0" w:space="0" w:color="auto"/>
      </w:divBdr>
    </w:div>
    <w:div w:id="622689154">
      <w:bodyDiv w:val="1"/>
      <w:marLeft w:val="0"/>
      <w:marRight w:val="0"/>
      <w:marTop w:val="0"/>
      <w:marBottom w:val="0"/>
      <w:divBdr>
        <w:top w:val="none" w:sz="0" w:space="0" w:color="auto"/>
        <w:left w:val="none" w:sz="0" w:space="0" w:color="auto"/>
        <w:bottom w:val="none" w:sz="0" w:space="0" w:color="auto"/>
        <w:right w:val="none" w:sz="0" w:space="0" w:color="auto"/>
      </w:divBdr>
    </w:div>
    <w:div w:id="625234767">
      <w:bodyDiv w:val="1"/>
      <w:marLeft w:val="0"/>
      <w:marRight w:val="0"/>
      <w:marTop w:val="0"/>
      <w:marBottom w:val="0"/>
      <w:divBdr>
        <w:top w:val="none" w:sz="0" w:space="0" w:color="auto"/>
        <w:left w:val="none" w:sz="0" w:space="0" w:color="auto"/>
        <w:bottom w:val="none" w:sz="0" w:space="0" w:color="auto"/>
        <w:right w:val="none" w:sz="0" w:space="0" w:color="auto"/>
      </w:divBdr>
    </w:div>
    <w:div w:id="628391296">
      <w:bodyDiv w:val="1"/>
      <w:marLeft w:val="0"/>
      <w:marRight w:val="0"/>
      <w:marTop w:val="0"/>
      <w:marBottom w:val="0"/>
      <w:divBdr>
        <w:top w:val="none" w:sz="0" w:space="0" w:color="auto"/>
        <w:left w:val="none" w:sz="0" w:space="0" w:color="auto"/>
        <w:bottom w:val="none" w:sz="0" w:space="0" w:color="auto"/>
        <w:right w:val="none" w:sz="0" w:space="0" w:color="auto"/>
      </w:divBdr>
    </w:div>
    <w:div w:id="633678531">
      <w:bodyDiv w:val="1"/>
      <w:marLeft w:val="0"/>
      <w:marRight w:val="0"/>
      <w:marTop w:val="0"/>
      <w:marBottom w:val="0"/>
      <w:divBdr>
        <w:top w:val="none" w:sz="0" w:space="0" w:color="auto"/>
        <w:left w:val="none" w:sz="0" w:space="0" w:color="auto"/>
        <w:bottom w:val="none" w:sz="0" w:space="0" w:color="auto"/>
        <w:right w:val="none" w:sz="0" w:space="0" w:color="auto"/>
      </w:divBdr>
    </w:div>
    <w:div w:id="638261916">
      <w:bodyDiv w:val="1"/>
      <w:marLeft w:val="0"/>
      <w:marRight w:val="0"/>
      <w:marTop w:val="0"/>
      <w:marBottom w:val="0"/>
      <w:divBdr>
        <w:top w:val="none" w:sz="0" w:space="0" w:color="auto"/>
        <w:left w:val="none" w:sz="0" w:space="0" w:color="auto"/>
        <w:bottom w:val="none" w:sz="0" w:space="0" w:color="auto"/>
        <w:right w:val="none" w:sz="0" w:space="0" w:color="auto"/>
      </w:divBdr>
    </w:div>
    <w:div w:id="642470508">
      <w:bodyDiv w:val="1"/>
      <w:marLeft w:val="0"/>
      <w:marRight w:val="0"/>
      <w:marTop w:val="0"/>
      <w:marBottom w:val="0"/>
      <w:divBdr>
        <w:top w:val="none" w:sz="0" w:space="0" w:color="auto"/>
        <w:left w:val="none" w:sz="0" w:space="0" w:color="auto"/>
        <w:bottom w:val="none" w:sz="0" w:space="0" w:color="auto"/>
        <w:right w:val="none" w:sz="0" w:space="0" w:color="auto"/>
      </w:divBdr>
    </w:div>
    <w:div w:id="643849523">
      <w:bodyDiv w:val="1"/>
      <w:marLeft w:val="0"/>
      <w:marRight w:val="0"/>
      <w:marTop w:val="0"/>
      <w:marBottom w:val="0"/>
      <w:divBdr>
        <w:top w:val="none" w:sz="0" w:space="0" w:color="auto"/>
        <w:left w:val="none" w:sz="0" w:space="0" w:color="auto"/>
        <w:bottom w:val="none" w:sz="0" w:space="0" w:color="auto"/>
        <w:right w:val="none" w:sz="0" w:space="0" w:color="auto"/>
      </w:divBdr>
    </w:div>
    <w:div w:id="647713532">
      <w:bodyDiv w:val="1"/>
      <w:marLeft w:val="0"/>
      <w:marRight w:val="0"/>
      <w:marTop w:val="0"/>
      <w:marBottom w:val="0"/>
      <w:divBdr>
        <w:top w:val="none" w:sz="0" w:space="0" w:color="auto"/>
        <w:left w:val="none" w:sz="0" w:space="0" w:color="auto"/>
        <w:bottom w:val="none" w:sz="0" w:space="0" w:color="auto"/>
        <w:right w:val="none" w:sz="0" w:space="0" w:color="auto"/>
      </w:divBdr>
    </w:div>
    <w:div w:id="647900852">
      <w:bodyDiv w:val="1"/>
      <w:marLeft w:val="0"/>
      <w:marRight w:val="0"/>
      <w:marTop w:val="0"/>
      <w:marBottom w:val="0"/>
      <w:divBdr>
        <w:top w:val="none" w:sz="0" w:space="0" w:color="auto"/>
        <w:left w:val="none" w:sz="0" w:space="0" w:color="auto"/>
        <w:bottom w:val="none" w:sz="0" w:space="0" w:color="auto"/>
        <w:right w:val="none" w:sz="0" w:space="0" w:color="auto"/>
      </w:divBdr>
    </w:div>
    <w:div w:id="653266843">
      <w:bodyDiv w:val="1"/>
      <w:marLeft w:val="0"/>
      <w:marRight w:val="0"/>
      <w:marTop w:val="0"/>
      <w:marBottom w:val="0"/>
      <w:divBdr>
        <w:top w:val="none" w:sz="0" w:space="0" w:color="auto"/>
        <w:left w:val="none" w:sz="0" w:space="0" w:color="auto"/>
        <w:bottom w:val="none" w:sz="0" w:space="0" w:color="auto"/>
        <w:right w:val="none" w:sz="0" w:space="0" w:color="auto"/>
      </w:divBdr>
    </w:div>
    <w:div w:id="655650996">
      <w:bodyDiv w:val="1"/>
      <w:marLeft w:val="0"/>
      <w:marRight w:val="0"/>
      <w:marTop w:val="0"/>
      <w:marBottom w:val="0"/>
      <w:divBdr>
        <w:top w:val="none" w:sz="0" w:space="0" w:color="auto"/>
        <w:left w:val="none" w:sz="0" w:space="0" w:color="auto"/>
        <w:bottom w:val="none" w:sz="0" w:space="0" w:color="auto"/>
        <w:right w:val="none" w:sz="0" w:space="0" w:color="auto"/>
      </w:divBdr>
    </w:div>
    <w:div w:id="661004740">
      <w:bodyDiv w:val="1"/>
      <w:marLeft w:val="0"/>
      <w:marRight w:val="0"/>
      <w:marTop w:val="0"/>
      <w:marBottom w:val="0"/>
      <w:divBdr>
        <w:top w:val="none" w:sz="0" w:space="0" w:color="auto"/>
        <w:left w:val="none" w:sz="0" w:space="0" w:color="auto"/>
        <w:bottom w:val="none" w:sz="0" w:space="0" w:color="auto"/>
        <w:right w:val="none" w:sz="0" w:space="0" w:color="auto"/>
      </w:divBdr>
    </w:div>
    <w:div w:id="661128606">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2700296">
      <w:bodyDiv w:val="1"/>
      <w:marLeft w:val="0"/>
      <w:marRight w:val="0"/>
      <w:marTop w:val="0"/>
      <w:marBottom w:val="0"/>
      <w:divBdr>
        <w:top w:val="none" w:sz="0" w:space="0" w:color="auto"/>
        <w:left w:val="none" w:sz="0" w:space="0" w:color="auto"/>
        <w:bottom w:val="none" w:sz="0" w:space="0" w:color="auto"/>
        <w:right w:val="none" w:sz="0" w:space="0" w:color="auto"/>
      </w:divBdr>
    </w:div>
    <w:div w:id="664741520">
      <w:bodyDiv w:val="1"/>
      <w:marLeft w:val="0"/>
      <w:marRight w:val="0"/>
      <w:marTop w:val="0"/>
      <w:marBottom w:val="0"/>
      <w:divBdr>
        <w:top w:val="none" w:sz="0" w:space="0" w:color="auto"/>
        <w:left w:val="none" w:sz="0" w:space="0" w:color="auto"/>
        <w:bottom w:val="none" w:sz="0" w:space="0" w:color="auto"/>
        <w:right w:val="none" w:sz="0" w:space="0" w:color="auto"/>
      </w:divBdr>
    </w:div>
    <w:div w:id="667631204">
      <w:bodyDiv w:val="1"/>
      <w:marLeft w:val="0"/>
      <w:marRight w:val="0"/>
      <w:marTop w:val="0"/>
      <w:marBottom w:val="0"/>
      <w:divBdr>
        <w:top w:val="none" w:sz="0" w:space="0" w:color="auto"/>
        <w:left w:val="none" w:sz="0" w:space="0" w:color="auto"/>
        <w:bottom w:val="none" w:sz="0" w:space="0" w:color="auto"/>
        <w:right w:val="none" w:sz="0" w:space="0" w:color="auto"/>
      </w:divBdr>
    </w:div>
    <w:div w:id="667952074">
      <w:bodyDiv w:val="1"/>
      <w:marLeft w:val="0"/>
      <w:marRight w:val="0"/>
      <w:marTop w:val="0"/>
      <w:marBottom w:val="0"/>
      <w:divBdr>
        <w:top w:val="none" w:sz="0" w:space="0" w:color="auto"/>
        <w:left w:val="none" w:sz="0" w:space="0" w:color="auto"/>
        <w:bottom w:val="none" w:sz="0" w:space="0" w:color="auto"/>
        <w:right w:val="none" w:sz="0" w:space="0" w:color="auto"/>
      </w:divBdr>
    </w:div>
    <w:div w:id="672805093">
      <w:bodyDiv w:val="1"/>
      <w:marLeft w:val="0"/>
      <w:marRight w:val="0"/>
      <w:marTop w:val="0"/>
      <w:marBottom w:val="0"/>
      <w:divBdr>
        <w:top w:val="none" w:sz="0" w:space="0" w:color="auto"/>
        <w:left w:val="none" w:sz="0" w:space="0" w:color="auto"/>
        <w:bottom w:val="none" w:sz="0" w:space="0" w:color="auto"/>
        <w:right w:val="none" w:sz="0" w:space="0" w:color="auto"/>
      </w:divBdr>
    </w:div>
    <w:div w:id="672876193">
      <w:bodyDiv w:val="1"/>
      <w:marLeft w:val="0"/>
      <w:marRight w:val="0"/>
      <w:marTop w:val="0"/>
      <w:marBottom w:val="0"/>
      <w:divBdr>
        <w:top w:val="none" w:sz="0" w:space="0" w:color="auto"/>
        <w:left w:val="none" w:sz="0" w:space="0" w:color="auto"/>
        <w:bottom w:val="none" w:sz="0" w:space="0" w:color="auto"/>
        <w:right w:val="none" w:sz="0" w:space="0" w:color="auto"/>
      </w:divBdr>
    </w:div>
    <w:div w:id="681053180">
      <w:bodyDiv w:val="1"/>
      <w:marLeft w:val="0"/>
      <w:marRight w:val="0"/>
      <w:marTop w:val="0"/>
      <w:marBottom w:val="0"/>
      <w:divBdr>
        <w:top w:val="none" w:sz="0" w:space="0" w:color="auto"/>
        <w:left w:val="none" w:sz="0" w:space="0" w:color="auto"/>
        <w:bottom w:val="none" w:sz="0" w:space="0" w:color="auto"/>
        <w:right w:val="none" w:sz="0" w:space="0" w:color="auto"/>
      </w:divBdr>
    </w:div>
    <w:div w:id="689142338">
      <w:bodyDiv w:val="1"/>
      <w:marLeft w:val="0"/>
      <w:marRight w:val="0"/>
      <w:marTop w:val="0"/>
      <w:marBottom w:val="0"/>
      <w:divBdr>
        <w:top w:val="none" w:sz="0" w:space="0" w:color="auto"/>
        <w:left w:val="none" w:sz="0" w:space="0" w:color="auto"/>
        <w:bottom w:val="none" w:sz="0" w:space="0" w:color="auto"/>
        <w:right w:val="none" w:sz="0" w:space="0" w:color="auto"/>
      </w:divBdr>
    </w:div>
    <w:div w:id="690183886">
      <w:bodyDiv w:val="1"/>
      <w:marLeft w:val="0"/>
      <w:marRight w:val="0"/>
      <w:marTop w:val="0"/>
      <w:marBottom w:val="0"/>
      <w:divBdr>
        <w:top w:val="none" w:sz="0" w:space="0" w:color="auto"/>
        <w:left w:val="none" w:sz="0" w:space="0" w:color="auto"/>
        <w:bottom w:val="none" w:sz="0" w:space="0" w:color="auto"/>
        <w:right w:val="none" w:sz="0" w:space="0" w:color="auto"/>
      </w:divBdr>
    </w:div>
    <w:div w:id="710304525">
      <w:bodyDiv w:val="1"/>
      <w:marLeft w:val="0"/>
      <w:marRight w:val="0"/>
      <w:marTop w:val="0"/>
      <w:marBottom w:val="0"/>
      <w:divBdr>
        <w:top w:val="none" w:sz="0" w:space="0" w:color="auto"/>
        <w:left w:val="none" w:sz="0" w:space="0" w:color="auto"/>
        <w:bottom w:val="none" w:sz="0" w:space="0" w:color="auto"/>
        <w:right w:val="none" w:sz="0" w:space="0" w:color="auto"/>
      </w:divBdr>
    </w:div>
    <w:div w:id="713234971">
      <w:bodyDiv w:val="1"/>
      <w:marLeft w:val="0"/>
      <w:marRight w:val="0"/>
      <w:marTop w:val="0"/>
      <w:marBottom w:val="0"/>
      <w:divBdr>
        <w:top w:val="none" w:sz="0" w:space="0" w:color="auto"/>
        <w:left w:val="none" w:sz="0" w:space="0" w:color="auto"/>
        <w:bottom w:val="none" w:sz="0" w:space="0" w:color="auto"/>
        <w:right w:val="none" w:sz="0" w:space="0" w:color="auto"/>
      </w:divBdr>
    </w:div>
    <w:div w:id="713314544">
      <w:bodyDiv w:val="1"/>
      <w:marLeft w:val="0"/>
      <w:marRight w:val="0"/>
      <w:marTop w:val="0"/>
      <w:marBottom w:val="0"/>
      <w:divBdr>
        <w:top w:val="none" w:sz="0" w:space="0" w:color="auto"/>
        <w:left w:val="none" w:sz="0" w:space="0" w:color="auto"/>
        <w:bottom w:val="none" w:sz="0" w:space="0" w:color="auto"/>
        <w:right w:val="none" w:sz="0" w:space="0" w:color="auto"/>
      </w:divBdr>
    </w:div>
    <w:div w:id="717899677">
      <w:bodyDiv w:val="1"/>
      <w:marLeft w:val="0"/>
      <w:marRight w:val="0"/>
      <w:marTop w:val="0"/>
      <w:marBottom w:val="0"/>
      <w:divBdr>
        <w:top w:val="none" w:sz="0" w:space="0" w:color="auto"/>
        <w:left w:val="none" w:sz="0" w:space="0" w:color="auto"/>
        <w:bottom w:val="none" w:sz="0" w:space="0" w:color="auto"/>
        <w:right w:val="none" w:sz="0" w:space="0" w:color="auto"/>
      </w:divBdr>
    </w:div>
    <w:div w:id="728455931">
      <w:bodyDiv w:val="1"/>
      <w:marLeft w:val="0"/>
      <w:marRight w:val="0"/>
      <w:marTop w:val="0"/>
      <w:marBottom w:val="0"/>
      <w:divBdr>
        <w:top w:val="none" w:sz="0" w:space="0" w:color="auto"/>
        <w:left w:val="none" w:sz="0" w:space="0" w:color="auto"/>
        <w:bottom w:val="none" w:sz="0" w:space="0" w:color="auto"/>
        <w:right w:val="none" w:sz="0" w:space="0" w:color="auto"/>
      </w:divBdr>
    </w:div>
    <w:div w:id="734670118">
      <w:bodyDiv w:val="1"/>
      <w:marLeft w:val="0"/>
      <w:marRight w:val="0"/>
      <w:marTop w:val="0"/>
      <w:marBottom w:val="0"/>
      <w:divBdr>
        <w:top w:val="none" w:sz="0" w:space="0" w:color="auto"/>
        <w:left w:val="none" w:sz="0" w:space="0" w:color="auto"/>
        <w:bottom w:val="none" w:sz="0" w:space="0" w:color="auto"/>
        <w:right w:val="none" w:sz="0" w:space="0" w:color="auto"/>
      </w:divBdr>
    </w:div>
    <w:div w:id="747532019">
      <w:bodyDiv w:val="1"/>
      <w:marLeft w:val="0"/>
      <w:marRight w:val="0"/>
      <w:marTop w:val="0"/>
      <w:marBottom w:val="0"/>
      <w:divBdr>
        <w:top w:val="none" w:sz="0" w:space="0" w:color="auto"/>
        <w:left w:val="none" w:sz="0" w:space="0" w:color="auto"/>
        <w:bottom w:val="none" w:sz="0" w:space="0" w:color="auto"/>
        <w:right w:val="none" w:sz="0" w:space="0" w:color="auto"/>
      </w:divBdr>
    </w:div>
    <w:div w:id="748841908">
      <w:bodyDiv w:val="1"/>
      <w:marLeft w:val="0"/>
      <w:marRight w:val="0"/>
      <w:marTop w:val="0"/>
      <w:marBottom w:val="0"/>
      <w:divBdr>
        <w:top w:val="none" w:sz="0" w:space="0" w:color="auto"/>
        <w:left w:val="none" w:sz="0" w:space="0" w:color="auto"/>
        <w:bottom w:val="none" w:sz="0" w:space="0" w:color="auto"/>
        <w:right w:val="none" w:sz="0" w:space="0" w:color="auto"/>
      </w:divBdr>
    </w:div>
    <w:div w:id="753363072">
      <w:bodyDiv w:val="1"/>
      <w:marLeft w:val="0"/>
      <w:marRight w:val="0"/>
      <w:marTop w:val="0"/>
      <w:marBottom w:val="0"/>
      <w:divBdr>
        <w:top w:val="none" w:sz="0" w:space="0" w:color="auto"/>
        <w:left w:val="none" w:sz="0" w:space="0" w:color="auto"/>
        <w:bottom w:val="none" w:sz="0" w:space="0" w:color="auto"/>
        <w:right w:val="none" w:sz="0" w:space="0" w:color="auto"/>
      </w:divBdr>
    </w:div>
    <w:div w:id="755983547">
      <w:bodyDiv w:val="1"/>
      <w:marLeft w:val="0"/>
      <w:marRight w:val="0"/>
      <w:marTop w:val="0"/>
      <w:marBottom w:val="0"/>
      <w:divBdr>
        <w:top w:val="none" w:sz="0" w:space="0" w:color="auto"/>
        <w:left w:val="none" w:sz="0" w:space="0" w:color="auto"/>
        <w:bottom w:val="none" w:sz="0" w:space="0" w:color="auto"/>
        <w:right w:val="none" w:sz="0" w:space="0" w:color="auto"/>
      </w:divBdr>
    </w:div>
    <w:div w:id="757211350">
      <w:bodyDiv w:val="1"/>
      <w:marLeft w:val="0"/>
      <w:marRight w:val="0"/>
      <w:marTop w:val="0"/>
      <w:marBottom w:val="0"/>
      <w:divBdr>
        <w:top w:val="none" w:sz="0" w:space="0" w:color="auto"/>
        <w:left w:val="none" w:sz="0" w:space="0" w:color="auto"/>
        <w:bottom w:val="none" w:sz="0" w:space="0" w:color="auto"/>
        <w:right w:val="none" w:sz="0" w:space="0" w:color="auto"/>
      </w:divBdr>
    </w:div>
    <w:div w:id="761417360">
      <w:bodyDiv w:val="1"/>
      <w:marLeft w:val="0"/>
      <w:marRight w:val="0"/>
      <w:marTop w:val="0"/>
      <w:marBottom w:val="0"/>
      <w:divBdr>
        <w:top w:val="none" w:sz="0" w:space="0" w:color="auto"/>
        <w:left w:val="none" w:sz="0" w:space="0" w:color="auto"/>
        <w:bottom w:val="none" w:sz="0" w:space="0" w:color="auto"/>
        <w:right w:val="none" w:sz="0" w:space="0" w:color="auto"/>
      </w:divBdr>
    </w:div>
    <w:div w:id="766464216">
      <w:bodyDiv w:val="1"/>
      <w:marLeft w:val="0"/>
      <w:marRight w:val="0"/>
      <w:marTop w:val="0"/>
      <w:marBottom w:val="0"/>
      <w:divBdr>
        <w:top w:val="none" w:sz="0" w:space="0" w:color="auto"/>
        <w:left w:val="none" w:sz="0" w:space="0" w:color="auto"/>
        <w:bottom w:val="none" w:sz="0" w:space="0" w:color="auto"/>
        <w:right w:val="none" w:sz="0" w:space="0" w:color="auto"/>
      </w:divBdr>
    </w:div>
    <w:div w:id="773482139">
      <w:bodyDiv w:val="1"/>
      <w:marLeft w:val="0"/>
      <w:marRight w:val="0"/>
      <w:marTop w:val="0"/>
      <w:marBottom w:val="0"/>
      <w:divBdr>
        <w:top w:val="none" w:sz="0" w:space="0" w:color="auto"/>
        <w:left w:val="none" w:sz="0" w:space="0" w:color="auto"/>
        <w:bottom w:val="none" w:sz="0" w:space="0" w:color="auto"/>
        <w:right w:val="none" w:sz="0" w:space="0" w:color="auto"/>
      </w:divBdr>
    </w:div>
    <w:div w:id="774441584">
      <w:bodyDiv w:val="1"/>
      <w:marLeft w:val="0"/>
      <w:marRight w:val="0"/>
      <w:marTop w:val="0"/>
      <w:marBottom w:val="0"/>
      <w:divBdr>
        <w:top w:val="none" w:sz="0" w:space="0" w:color="auto"/>
        <w:left w:val="none" w:sz="0" w:space="0" w:color="auto"/>
        <w:bottom w:val="none" w:sz="0" w:space="0" w:color="auto"/>
        <w:right w:val="none" w:sz="0" w:space="0" w:color="auto"/>
      </w:divBdr>
    </w:div>
    <w:div w:id="775711293">
      <w:bodyDiv w:val="1"/>
      <w:marLeft w:val="0"/>
      <w:marRight w:val="0"/>
      <w:marTop w:val="0"/>
      <w:marBottom w:val="0"/>
      <w:divBdr>
        <w:top w:val="none" w:sz="0" w:space="0" w:color="auto"/>
        <w:left w:val="none" w:sz="0" w:space="0" w:color="auto"/>
        <w:bottom w:val="none" w:sz="0" w:space="0" w:color="auto"/>
        <w:right w:val="none" w:sz="0" w:space="0" w:color="auto"/>
      </w:divBdr>
    </w:div>
    <w:div w:id="778993071">
      <w:bodyDiv w:val="1"/>
      <w:marLeft w:val="0"/>
      <w:marRight w:val="0"/>
      <w:marTop w:val="0"/>
      <w:marBottom w:val="0"/>
      <w:divBdr>
        <w:top w:val="none" w:sz="0" w:space="0" w:color="auto"/>
        <w:left w:val="none" w:sz="0" w:space="0" w:color="auto"/>
        <w:bottom w:val="none" w:sz="0" w:space="0" w:color="auto"/>
        <w:right w:val="none" w:sz="0" w:space="0" w:color="auto"/>
      </w:divBdr>
    </w:div>
    <w:div w:id="779684273">
      <w:bodyDiv w:val="1"/>
      <w:marLeft w:val="0"/>
      <w:marRight w:val="0"/>
      <w:marTop w:val="0"/>
      <w:marBottom w:val="0"/>
      <w:divBdr>
        <w:top w:val="none" w:sz="0" w:space="0" w:color="auto"/>
        <w:left w:val="none" w:sz="0" w:space="0" w:color="auto"/>
        <w:bottom w:val="none" w:sz="0" w:space="0" w:color="auto"/>
        <w:right w:val="none" w:sz="0" w:space="0" w:color="auto"/>
      </w:divBdr>
    </w:div>
    <w:div w:id="781074213">
      <w:bodyDiv w:val="1"/>
      <w:marLeft w:val="0"/>
      <w:marRight w:val="0"/>
      <w:marTop w:val="0"/>
      <w:marBottom w:val="0"/>
      <w:divBdr>
        <w:top w:val="none" w:sz="0" w:space="0" w:color="auto"/>
        <w:left w:val="none" w:sz="0" w:space="0" w:color="auto"/>
        <w:bottom w:val="none" w:sz="0" w:space="0" w:color="auto"/>
        <w:right w:val="none" w:sz="0" w:space="0" w:color="auto"/>
      </w:divBdr>
    </w:div>
    <w:div w:id="784078307">
      <w:bodyDiv w:val="1"/>
      <w:marLeft w:val="0"/>
      <w:marRight w:val="0"/>
      <w:marTop w:val="0"/>
      <w:marBottom w:val="0"/>
      <w:divBdr>
        <w:top w:val="none" w:sz="0" w:space="0" w:color="auto"/>
        <w:left w:val="none" w:sz="0" w:space="0" w:color="auto"/>
        <w:bottom w:val="none" w:sz="0" w:space="0" w:color="auto"/>
        <w:right w:val="none" w:sz="0" w:space="0" w:color="auto"/>
      </w:divBdr>
    </w:div>
    <w:div w:id="790126493">
      <w:bodyDiv w:val="1"/>
      <w:marLeft w:val="0"/>
      <w:marRight w:val="0"/>
      <w:marTop w:val="0"/>
      <w:marBottom w:val="0"/>
      <w:divBdr>
        <w:top w:val="none" w:sz="0" w:space="0" w:color="auto"/>
        <w:left w:val="none" w:sz="0" w:space="0" w:color="auto"/>
        <w:bottom w:val="none" w:sz="0" w:space="0" w:color="auto"/>
        <w:right w:val="none" w:sz="0" w:space="0" w:color="auto"/>
      </w:divBdr>
    </w:div>
    <w:div w:id="796526814">
      <w:bodyDiv w:val="1"/>
      <w:marLeft w:val="0"/>
      <w:marRight w:val="0"/>
      <w:marTop w:val="0"/>
      <w:marBottom w:val="0"/>
      <w:divBdr>
        <w:top w:val="none" w:sz="0" w:space="0" w:color="auto"/>
        <w:left w:val="none" w:sz="0" w:space="0" w:color="auto"/>
        <w:bottom w:val="none" w:sz="0" w:space="0" w:color="auto"/>
        <w:right w:val="none" w:sz="0" w:space="0" w:color="auto"/>
      </w:divBdr>
    </w:div>
    <w:div w:id="798885347">
      <w:bodyDiv w:val="1"/>
      <w:marLeft w:val="0"/>
      <w:marRight w:val="0"/>
      <w:marTop w:val="0"/>
      <w:marBottom w:val="0"/>
      <w:divBdr>
        <w:top w:val="none" w:sz="0" w:space="0" w:color="auto"/>
        <w:left w:val="none" w:sz="0" w:space="0" w:color="auto"/>
        <w:bottom w:val="none" w:sz="0" w:space="0" w:color="auto"/>
        <w:right w:val="none" w:sz="0" w:space="0" w:color="auto"/>
      </w:divBdr>
    </w:div>
    <w:div w:id="799304876">
      <w:bodyDiv w:val="1"/>
      <w:marLeft w:val="0"/>
      <w:marRight w:val="0"/>
      <w:marTop w:val="0"/>
      <w:marBottom w:val="0"/>
      <w:divBdr>
        <w:top w:val="none" w:sz="0" w:space="0" w:color="auto"/>
        <w:left w:val="none" w:sz="0" w:space="0" w:color="auto"/>
        <w:bottom w:val="none" w:sz="0" w:space="0" w:color="auto"/>
        <w:right w:val="none" w:sz="0" w:space="0" w:color="auto"/>
      </w:divBdr>
    </w:div>
    <w:div w:id="799422374">
      <w:bodyDiv w:val="1"/>
      <w:marLeft w:val="0"/>
      <w:marRight w:val="0"/>
      <w:marTop w:val="0"/>
      <w:marBottom w:val="0"/>
      <w:divBdr>
        <w:top w:val="none" w:sz="0" w:space="0" w:color="auto"/>
        <w:left w:val="none" w:sz="0" w:space="0" w:color="auto"/>
        <w:bottom w:val="none" w:sz="0" w:space="0" w:color="auto"/>
        <w:right w:val="none" w:sz="0" w:space="0" w:color="auto"/>
      </w:divBdr>
    </w:div>
    <w:div w:id="800806889">
      <w:bodyDiv w:val="1"/>
      <w:marLeft w:val="0"/>
      <w:marRight w:val="0"/>
      <w:marTop w:val="0"/>
      <w:marBottom w:val="0"/>
      <w:divBdr>
        <w:top w:val="none" w:sz="0" w:space="0" w:color="auto"/>
        <w:left w:val="none" w:sz="0" w:space="0" w:color="auto"/>
        <w:bottom w:val="none" w:sz="0" w:space="0" w:color="auto"/>
        <w:right w:val="none" w:sz="0" w:space="0" w:color="auto"/>
      </w:divBdr>
    </w:div>
    <w:div w:id="802118007">
      <w:bodyDiv w:val="1"/>
      <w:marLeft w:val="0"/>
      <w:marRight w:val="0"/>
      <w:marTop w:val="0"/>
      <w:marBottom w:val="0"/>
      <w:divBdr>
        <w:top w:val="none" w:sz="0" w:space="0" w:color="auto"/>
        <w:left w:val="none" w:sz="0" w:space="0" w:color="auto"/>
        <w:bottom w:val="none" w:sz="0" w:space="0" w:color="auto"/>
        <w:right w:val="none" w:sz="0" w:space="0" w:color="auto"/>
      </w:divBdr>
    </w:div>
    <w:div w:id="804930056">
      <w:bodyDiv w:val="1"/>
      <w:marLeft w:val="0"/>
      <w:marRight w:val="0"/>
      <w:marTop w:val="0"/>
      <w:marBottom w:val="0"/>
      <w:divBdr>
        <w:top w:val="none" w:sz="0" w:space="0" w:color="auto"/>
        <w:left w:val="none" w:sz="0" w:space="0" w:color="auto"/>
        <w:bottom w:val="none" w:sz="0" w:space="0" w:color="auto"/>
        <w:right w:val="none" w:sz="0" w:space="0" w:color="auto"/>
      </w:divBdr>
    </w:div>
    <w:div w:id="807698301">
      <w:bodyDiv w:val="1"/>
      <w:marLeft w:val="0"/>
      <w:marRight w:val="0"/>
      <w:marTop w:val="0"/>
      <w:marBottom w:val="0"/>
      <w:divBdr>
        <w:top w:val="none" w:sz="0" w:space="0" w:color="auto"/>
        <w:left w:val="none" w:sz="0" w:space="0" w:color="auto"/>
        <w:bottom w:val="none" w:sz="0" w:space="0" w:color="auto"/>
        <w:right w:val="none" w:sz="0" w:space="0" w:color="auto"/>
      </w:divBdr>
    </w:div>
    <w:div w:id="810755518">
      <w:bodyDiv w:val="1"/>
      <w:marLeft w:val="0"/>
      <w:marRight w:val="0"/>
      <w:marTop w:val="0"/>
      <w:marBottom w:val="0"/>
      <w:divBdr>
        <w:top w:val="none" w:sz="0" w:space="0" w:color="auto"/>
        <w:left w:val="none" w:sz="0" w:space="0" w:color="auto"/>
        <w:bottom w:val="none" w:sz="0" w:space="0" w:color="auto"/>
        <w:right w:val="none" w:sz="0" w:space="0" w:color="auto"/>
      </w:divBdr>
    </w:div>
    <w:div w:id="811559285">
      <w:bodyDiv w:val="1"/>
      <w:marLeft w:val="0"/>
      <w:marRight w:val="0"/>
      <w:marTop w:val="0"/>
      <w:marBottom w:val="0"/>
      <w:divBdr>
        <w:top w:val="none" w:sz="0" w:space="0" w:color="auto"/>
        <w:left w:val="none" w:sz="0" w:space="0" w:color="auto"/>
        <w:bottom w:val="none" w:sz="0" w:space="0" w:color="auto"/>
        <w:right w:val="none" w:sz="0" w:space="0" w:color="auto"/>
      </w:divBdr>
    </w:div>
    <w:div w:id="812454556">
      <w:bodyDiv w:val="1"/>
      <w:marLeft w:val="0"/>
      <w:marRight w:val="0"/>
      <w:marTop w:val="0"/>
      <w:marBottom w:val="0"/>
      <w:divBdr>
        <w:top w:val="none" w:sz="0" w:space="0" w:color="auto"/>
        <w:left w:val="none" w:sz="0" w:space="0" w:color="auto"/>
        <w:bottom w:val="none" w:sz="0" w:space="0" w:color="auto"/>
        <w:right w:val="none" w:sz="0" w:space="0" w:color="auto"/>
      </w:divBdr>
    </w:div>
    <w:div w:id="813375930">
      <w:bodyDiv w:val="1"/>
      <w:marLeft w:val="0"/>
      <w:marRight w:val="0"/>
      <w:marTop w:val="0"/>
      <w:marBottom w:val="0"/>
      <w:divBdr>
        <w:top w:val="none" w:sz="0" w:space="0" w:color="auto"/>
        <w:left w:val="none" w:sz="0" w:space="0" w:color="auto"/>
        <w:bottom w:val="none" w:sz="0" w:space="0" w:color="auto"/>
        <w:right w:val="none" w:sz="0" w:space="0" w:color="auto"/>
      </w:divBdr>
    </w:div>
    <w:div w:id="813765734">
      <w:bodyDiv w:val="1"/>
      <w:marLeft w:val="0"/>
      <w:marRight w:val="0"/>
      <w:marTop w:val="0"/>
      <w:marBottom w:val="0"/>
      <w:divBdr>
        <w:top w:val="none" w:sz="0" w:space="0" w:color="auto"/>
        <w:left w:val="none" w:sz="0" w:space="0" w:color="auto"/>
        <w:bottom w:val="none" w:sz="0" w:space="0" w:color="auto"/>
        <w:right w:val="none" w:sz="0" w:space="0" w:color="auto"/>
      </w:divBdr>
    </w:div>
    <w:div w:id="814613311">
      <w:bodyDiv w:val="1"/>
      <w:marLeft w:val="0"/>
      <w:marRight w:val="0"/>
      <w:marTop w:val="0"/>
      <w:marBottom w:val="0"/>
      <w:divBdr>
        <w:top w:val="none" w:sz="0" w:space="0" w:color="auto"/>
        <w:left w:val="none" w:sz="0" w:space="0" w:color="auto"/>
        <w:bottom w:val="none" w:sz="0" w:space="0" w:color="auto"/>
        <w:right w:val="none" w:sz="0" w:space="0" w:color="auto"/>
      </w:divBdr>
    </w:div>
    <w:div w:id="828405849">
      <w:bodyDiv w:val="1"/>
      <w:marLeft w:val="0"/>
      <w:marRight w:val="0"/>
      <w:marTop w:val="0"/>
      <w:marBottom w:val="0"/>
      <w:divBdr>
        <w:top w:val="none" w:sz="0" w:space="0" w:color="auto"/>
        <w:left w:val="none" w:sz="0" w:space="0" w:color="auto"/>
        <w:bottom w:val="none" w:sz="0" w:space="0" w:color="auto"/>
        <w:right w:val="none" w:sz="0" w:space="0" w:color="auto"/>
      </w:divBdr>
    </w:div>
    <w:div w:id="836456277">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50949259">
      <w:bodyDiv w:val="1"/>
      <w:marLeft w:val="0"/>
      <w:marRight w:val="0"/>
      <w:marTop w:val="0"/>
      <w:marBottom w:val="0"/>
      <w:divBdr>
        <w:top w:val="none" w:sz="0" w:space="0" w:color="auto"/>
        <w:left w:val="none" w:sz="0" w:space="0" w:color="auto"/>
        <w:bottom w:val="none" w:sz="0" w:space="0" w:color="auto"/>
        <w:right w:val="none" w:sz="0" w:space="0" w:color="auto"/>
      </w:divBdr>
    </w:div>
    <w:div w:id="853809012">
      <w:bodyDiv w:val="1"/>
      <w:marLeft w:val="0"/>
      <w:marRight w:val="0"/>
      <w:marTop w:val="0"/>
      <w:marBottom w:val="0"/>
      <w:divBdr>
        <w:top w:val="none" w:sz="0" w:space="0" w:color="auto"/>
        <w:left w:val="none" w:sz="0" w:space="0" w:color="auto"/>
        <w:bottom w:val="none" w:sz="0" w:space="0" w:color="auto"/>
        <w:right w:val="none" w:sz="0" w:space="0" w:color="auto"/>
      </w:divBdr>
    </w:div>
    <w:div w:id="861357526">
      <w:bodyDiv w:val="1"/>
      <w:marLeft w:val="0"/>
      <w:marRight w:val="0"/>
      <w:marTop w:val="0"/>
      <w:marBottom w:val="0"/>
      <w:divBdr>
        <w:top w:val="none" w:sz="0" w:space="0" w:color="auto"/>
        <w:left w:val="none" w:sz="0" w:space="0" w:color="auto"/>
        <w:bottom w:val="none" w:sz="0" w:space="0" w:color="auto"/>
        <w:right w:val="none" w:sz="0" w:space="0" w:color="auto"/>
      </w:divBdr>
    </w:div>
    <w:div w:id="874583515">
      <w:bodyDiv w:val="1"/>
      <w:marLeft w:val="0"/>
      <w:marRight w:val="0"/>
      <w:marTop w:val="0"/>
      <w:marBottom w:val="0"/>
      <w:divBdr>
        <w:top w:val="none" w:sz="0" w:space="0" w:color="auto"/>
        <w:left w:val="none" w:sz="0" w:space="0" w:color="auto"/>
        <w:bottom w:val="none" w:sz="0" w:space="0" w:color="auto"/>
        <w:right w:val="none" w:sz="0" w:space="0" w:color="auto"/>
      </w:divBdr>
    </w:div>
    <w:div w:id="877858478">
      <w:bodyDiv w:val="1"/>
      <w:marLeft w:val="0"/>
      <w:marRight w:val="0"/>
      <w:marTop w:val="0"/>
      <w:marBottom w:val="0"/>
      <w:divBdr>
        <w:top w:val="none" w:sz="0" w:space="0" w:color="auto"/>
        <w:left w:val="none" w:sz="0" w:space="0" w:color="auto"/>
        <w:bottom w:val="none" w:sz="0" w:space="0" w:color="auto"/>
        <w:right w:val="none" w:sz="0" w:space="0" w:color="auto"/>
      </w:divBdr>
    </w:div>
    <w:div w:id="879779805">
      <w:bodyDiv w:val="1"/>
      <w:marLeft w:val="0"/>
      <w:marRight w:val="0"/>
      <w:marTop w:val="0"/>
      <w:marBottom w:val="0"/>
      <w:divBdr>
        <w:top w:val="none" w:sz="0" w:space="0" w:color="auto"/>
        <w:left w:val="none" w:sz="0" w:space="0" w:color="auto"/>
        <w:bottom w:val="none" w:sz="0" w:space="0" w:color="auto"/>
        <w:right w:val="none" w:sz="0" w:space="0" w:color="auto"/>
      </w:divBdr>
    </w:div>
    <w:div w:id="881601209">
      <w:bodyDiv w:val="1"/>
      <w:marLeft w:val="0"/>
      <w:marRight w:val="0"/>
      <w:marTop w:val="0"/>
      <w:marBottom w:val="0"/>
      <w:divBdr>
        <w:top w:val="none" w:sz="0" w:space="0" w:color="auto"/>
        <w:left w:val="none" w:sz="0" w:space="0" w:color="auto"/>
        <w:bottom w:val="none" w:sz="0" w:space="0" w:color="auto"/>
        <w:right w:val="none" w:sz="0" w:space="0" w:color="auto"/>
      </w:divBdr>
    </w:div>
    <w:div w:id="883952103">
      <w:bodyDiv w:val="1"/>
      <w:marLeft w:val="0"/>
      <w:marRight w:val="0"/>
      <w:marTop w:val="0"/>
      <w:marBottom w:val="0"/>
      <w:divBdr>
        <w:top w:val="none" w:sz="0" w:space="0" w:color="auto"/>
        <w:left w:val="none" w:sz="0" w:space="0" w:color="auto"/>
        <w:bottom w:val="none" w:sz="0" w:space="0" w:color="auto"/>
        <w:right w:val="none" w:sz="0" w:space="0" w:color="auto"/>
      </w:divBdr>
    </w:div>
    <w:div w:id="889264711">
      <w:bodyDiv w:val="1"/>
      <w:marLeft w:val="0"/>
      <w:marRight w:val="0"/>
      <w:marTop w:val="0"/>
      <w:marBottom w:val="0"/>
      <w:divBdr>
        <w:top w:val="none" w:sz="0" w:space="0" w:color="auto"/>
        <w:left w:val="none" w:sz="0" w:space="0" w:color="auto"/>
        <w:bottom w:val="none" w:sz="0" w:space="0" w:color="auto"/>
        <w:right w:val="none" w:sz="0" w:space="0" w:color="auto"/>
      </w:divBdr>
    </w:div>
    <w:div w:id="893858284">
      <w:bodyDiv w:val="1"/>
      <w:marLeft w:val="0"/>
      <w:marRight w:val="0"/>
      <w:marTop w:val="0"/>
      <w:marBottom w:val="0"/>
      <w:divBdr>
        <w:top w:val="none" w:sz="0" w:space="0" w:color="auto"/>
        <w:left w:val="none" w:sz="0" w:space="0" w:color="auto"/>
        <w:bottom w:val="none" w:sz="0" w:space="0" w:color="auto"/>
        <w:right w:val="none" w:sz="0" w:space="0" w:color="auto"/>
      </w:divBdr>
    </w:div>
    <w:div w:id="896235346">
      <w:bodyDiv w:val="1"/>
      <w:marLeft w:val="0"/>
      <w:marRight w:val="0"/>
      <w:marTop w:val="0"/>
      <w:marBottom w:val="0"/>
      <w:divBdr>
        <w:top w:val="none" w:sz="0" w:space="0" w:color="auto"/>
        <w:left w:val="none" w:sz="0" w:space="0" w:color="auto"/>
        <w:bottom w:val="none" w:sz="0" w:space="0" w:color="auto"/>
        <w:right w:val="none" w:sz="0" w:space="0" w:color="auto"/>
      </w:divBdr>
    </w:div>
    <w:div w:id="909386763">
      <w:bodyDiv w:val="1"/>
      <w:marLeft w:val="0"/>
      <w:marRight w:val="0"/>
      <w:marTop w:val="0"/>
      <w:marBottom w:val="0"/>
      <w:divBdr>
        <w:top w:val="none" w:sz="0" w:space="0" w:color="auto"/>
        <w:left w:val="none" w:sz="0" w:space="0" w:color="auto"/>
        <w:bottom w:val="none" w:sz="0" w:space="0" w:color="auto"/>
        <w:right w:val="none" w:sz="0" w:space="0" w:color="auto"/>
      </w:divBdr>
    </w:div>
    <w:div w:id="910041043">
      <w:bodyDiv w:val="1"/>
      <w:marLeft w:val="0"/>
      <w:marRight w:val="0"/>
      <w:marTop w:val="0"/>
      <w:marBottom w:val="0"/>
      <w:divBdr>
        <w:top w:val="none" w:sz="0" w:space="0" w:color="auto"/>
        <w:left w:val="none" w:sz="0" w:space="0" w:color="auto"/>
        <w:bottom w:val="none" w:sz="0" w:space="0" w:color="auto"/>
        <w:right w:val="none" w:sz="0" w:space="0" w:color="auto"/>
      </w:divBdr>
    </w:div>
    <w:div w:id="910388870">
      <w:bodyDiv w:val="1"/>
      <w:marLeft w:val="0"/>
      <w:marRight w:val="0"/>
      <w:marTop w:val="0"/>
      <w:marBottom w:val="0"/>
      <w:divBdr>
        <w:top w:val="none" w:sz="0" w:space="0" w:color="auto"/>
        <w:left w:val="none" w:sz="0" w:space="0" w:color="auto"/>
        <w:bottom w:val="none" w:sz="0" w:space="0" w:color="auto"/>
        <w:right w:val="none" w:sz="0" w:space="0" w:color="auto"/>
      </w:divBdr>
    </w:div>
    <w:div w:id="914242322">
      <w:bodyDiv w:val="1"/>
      <w:marLeft w:val="0"/>
      <w:marRight w:val="0"/>
      <w:marTop w:val="0"/>
      <w:marBottom w:val="0"/>
      <w:divBdr>
        <w:top w:val="none" w:sz="0" w:space="0" w:color="auto"/>
        <w:left w:val="none" w:sz="0" w:space="0" w:color="auto"/>
        <w:bottom w:val="none" w:sz="0" w:space="0" w:color="auto"/>
        <w:right w:val="none" w:sz="0" w:space="0" w:color="auto"/>
      </w:divBdr>
    </w:div>
    <w:div w:id="920866529">
      <w:bodyDiv w:val="1"/>
      <w:marLeft w:val="0"/>
      <w:marRight w:val="0"/>
      <w:marTop w:val="0"/>
      <w:marBottom w:val="0"/>
      <w:divBdr>
        <w:top w:val="none" w:sz="0" w:space="0" w:color="auto"/>
        <w:left w:val="none" w:sz="0" w:space="0" w:color="auto"/>
        <w:bottom w:val="none" w:sz="0" w:space="0" w:color="auto"/>
        <w:right w:val="none" w:sz="0" w:space="0" w:color="auto"/>
      </w:divBdr>
    </w:div>
    <w:div w:id="930043514">
      <w:bodyDiv w:val="1"/>
      <w:marLeft w:val="0"/>
      <w:marRight w:val="0"/>
      <w:marTop w:val="0"/>
      <w:marBottom w:val="0"/>
      <w:divBdr>
        <w:top w:val="none" w:sz="0" w:space="0" w:color="auto"/>
        <w:left w:val="none" w:sz="0" w:space="0" w:color="auto"/>
        <w:bottom w:val="none" w:sz="0" w:space="0" w:color="auto"/>
        <w:right w:val="none" w:sz="0" w:space="0" w:color="auto"/>
      </w:divBdr>
    </w:div>
    <w:div w:id="931550303">
      <w:bodyDiv w:val="1"/>
      <w:marLeft w:val="0"/>
      <w:marRight w:val="0"/>
      <w:marTop w:val="0"/>
      <w:marBottom w:val="0"/>
      <w:divBdr>
        <w:top w:val="none" w:sz="0" w:space="0" w:color="auto"/>
        <w:left w:val="none" w:sz="0" w:space="0" w:color="auto"/>
        <w:bottom w:val="none" w:sz="0" w:space="0" w:color="auto"/>
        <w:right w:val="none" w:sz="0" w:space="0" w:color="auto"/>
      </w:divBdr>
    </w:div>
    <w:div w:id="935089374">
      <w:bodyDiv w:val="1"/>
      <w:marLeft w:val="0"/>
      <w:marRight w:val="0"/>
      <w:marTop w:val="0"/>
      <w:marBottom w:val="0"/>
      <w:divBdr>
        <w:top w:val="none" w:sz="0" w:space="0" w:color="auto"/>
        <w:left w:val="none" w:sz="0" w:space="0" w:color="auto"/>
        <w:bottom w:val="none" w:sz="0" w:space="0" w:color="auto"/>
        <w:right w:val="none" w:sz="0" w:space="0" w:color="auto"/>
      </w:divBdr>
    </w:div>
    <w:div w:id="943802369">
      <w:bodyDiv w:val="1"/>
      <w:marLeft w:val="0"/>
      <w:marRight w:val="0"/>
      <w:marTop w:val="0"/>
      <w:marBottom w:val="0"/>
      <w:divBdr>
        <w:top w:val="none" w:sz="0" w:space="0" w:color="auto"/>
        <w:left w:val="none" w:sz="0" w:space="0" w:color="auto"/>
        <w:bottom w:val="none" w:sz="0" w:space="0" w:color="auto"/>
        <w:right w:val="none" w:sz="0" w:space="0" w:color="auto"/>
      </w:divBdr>
    </w:div>
    <w:div w:id="943997897">
      <w:bodyDiv w:val="1"/>
      <w:marLeft w:val="0"/>
      <w:marRight w:val="0"/>
      <w:marTop w:val="0"/>
      <w:marBottom w:val="0"/>
      <w:divBdr>
        <w:top w:val="none" w:sz="0" w:space="0" w:color="auto"/>
        <w:left w:val="none" w:sz="0" w:space="0" w:color="auto"/>
        <w:bottom w:val="none" w:sz="0" w:space="0" w:color="auto"/>
        <w:right w:val="none" w:sz="0" w:space="0" w:color="auto"/>
      </w:divBdr>
    </w:div>
    <w:div w:id="945582567">
      <w:bodyDiv w:val="1"/>
      <w:marLeft w:val="0"/>
      <w:marRight w:val="0"/>
      <w:marTop w:val="0"/>
      <w:marBottom w:val="0"/>
      <w:divBdr>
        <w:top w:val="none" w:sz="0" w:space="0" w:color="auto"/>
        <w:left w:val="none" w:sz="0" w:space="0" w:color="auto"/>
        <w:bottom w:val="none" w:sz="0" w:space="0" w:color="auto"/>
        <w:right w:val="none" w:sz="0" w:space="0" w:color="auto"/>
      </w:divBdr>
    </w:div>
    <w:div w:id="947813196">
      <w:bodyDiv w:val="1"/>
      <w:marLeft w:val="0"/>
      <w:marRight w:val="0"/>
      <w:marTop w:val="0"/>
      <w:marBottom w:val="0"/>
      <w:divBdr>
        <w:top w:val="none" w:sz="0" w:space="0" w:color="auto"/>
        <w:left w:val="none" w:sz="0" w:space="0" w:color="auto"/>
        <w:bottom w:val="none" w:sz="0" w:space="0" w:color="auto"/>
        <w:right w:val="none" w:sz="0" w:space="0" w:color="auto"/>
      </w:divBdr>
    </w:div>
    <w:div w:id="953974038">
      <w:bodyDiv w:val="1"/>
      <w:marLeft w:val="0"/>
      <w:marRight w:val="0"/>
      <w:marTop w:val="0"/>
      <w:marBottom w:val="0"/>
      <w:divBdr>
        <w:top w:val="none" w:sz="0" w:space="0" w:color="auto"/>
        <w:left w:val="none" w:sz="0" w:space="0" w:color="auto"/>
        <w:bottom w:val="none" w:sz="0" w:space="0" w:color="auto"/>
        <w:right w:val="none" w:sz="0" w:space="0" w:color="auto"/>
      </w:divBdr>
    </w:div>
    <w:div w:id="955215752">
      <w:bodyDiv w:val="1"/>
      <w:marLeft w:val="0"/>
      <w:marRight w:val="0"/>
      <w:marTop w:val="0"/>
      <w:marBottom w:val="0"/>
      <w:divBdr>
        <w:top w:val="none" w:sz="0" w:space="0" w:color="auto"/>
        <w:left w:val="none" w:sz="0" w:space="0" w:color="auto"/>
        <w:bottom w:val="none" w:sz="0" w:space="0" w:color="auto"/>
        <w:right w:val="none" w:sz="0" w:space="0" w:color="auto"/>
      </w:divBdr>
    </w:div>
    <w:div w:id="962884268">
      <w:bodyDiv w:val="1"/>
      <w:marLeft w:val="0"/>
      <w:marRight w:val="0"/>
      <w:marTop w:val="0"/>
      <w:marBottom w:val="0"/>
      <w:divBdr>
        <w:top w:val="none" w:sz="0" w:space="0" w:color="auto"/>
        <w:left w:val="none" w:sz="0" w:space="0" w:color="auto"/>
        <w:bottom w:val="none" w:sz="0" w:space="0" w:color="auto"/>
        <w:right w:val="none" w:sz="0" w:space="0" w:color="auto"/>
      </w:divBdr>
    </w:div>
    <w:div w:id="963921176">
      <w:bodyDiv w:val="1"/>
      <w:marLeft w:val="0"/>
      <w:marRight w:val="0"/>
      <w:marTop w:val="0"/>
      <w:marBottom w:val="0"/>
      <w:divBdr>
        <w:top w:val="none" w:sz="0" w:space="0" w:color="auto"/>
        <w:left w:val="none" w:sz="0" w:space="0" w:color="auto"/>
        <w:bottom w:val="none" w:sz="0" w:space="0" w:color="auto"/>
        <w:right w:val="none" w:sz="0" w:space="0" w:color="auto"/>
      </w:divBdr>
    </w:div>
    <w:div w:id="970592160">
      <w:bodyDiv w:val="1"/>
      <w:marLeft w:val="0"/>
      <w:marRight w:val="0"/>
      <w:marTop w:val="0"/>
      <w:marBottom w:val="0"/>
      <w:divBdr>
        <w:top w:val="none" w:sz="0" w:space="0" w:color="auto"/>
        <w:left w:val="none" w:sz="0" w:space="0" w:color="auto"/>
        <w:bottom w:val="none" w:sz="0" w:space="0" w:color="auto"/>
        <w:right w:val="none" w:sz="0" w:space="0" w:color="auto"/>
      </w:divBdr>
    </w:div>
    <w:div w:id="971981974">
      <w:bodyDiv w:val="1"/>
      <w:marLeft w:val="0"/>
      <w:marRight w:val="0"/>
      <w:marTop w:val="0"/>
      <w:marBottom w:val="0"/>
      <w:divBdr>
        <w:top w:val="none" w:sz="0" w:space="0" w:color="auto"/>
        <w:left w:val="none" w:sz="0" w:space="0" w:color="auto"/>
        <w:bottom w:val="none" w:sz="0" w:space="0" w:color="auto"/>
        <w:right w:val="none" w:sz="0" w:space="0" w:color="auto"/>
      </w:divBdr>
    </w:div>
    <w:div w:id="972561834">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979382255">
      <w:bodyDiv w:val="1"/>
      <w:marLeft w:val="0"/>
      <w:marRight w:val="0"/>
      <w:marTop w:val="0"/>
      <w:marBottom w:val="0"/>
      <w:divBdr>
        <w:top w:val="none" w:sz="0" w:space="0" w:color="auto"/>
        <w:left w:val="none" w:sz="0" w:space="0" w:color="auto"/>
        <w:bottom w:val="none" w:sz="0" w:space="0" w:color="auto"/>
        <w:right w:val="none" w:sz="0" w:space="0" w:color="auto"/>
      </w:divBdr>
    </w:div>
    <w:div w:id="981621676">
      <w:bodyDiv w:val="1"/>
      <w:marLeft w:val="0"/>
      <w:marRight w:val="0"/>
      <w:marTop w:val="0"/>
      <w:marBottom w:val="0"/>
      <w:divBdr>
        <w:top w:val="none" w:sz="0" w:space="0" w:color="auto"/>
        <w:left w:val="none" w:sz="0" w:space="0" w:color="auto"/>
        <w:bottom w:val="none" w:sz="0" w:space="0" w:color="auto"/>
        <w:right w:val="none" w:sz="0" w:space="0" w:color="auto"/>
      </w:divBdr>
    </w:div>
    <w:div w:id="992832448">
      <w:bodyDiv w:val="1"/>
      <w:marLeft w:val="0"/>
      <w:marRight w:val="0"/>
      <w:marTop w:val="0"/>
      <w:marBottom w:val="0"/>
      <w:divBdr>
        <w:top w:val="none" w:sz="0" w:space="0" w:color="auto"/>
        <w:left w:val="none" w:sz="0" w:space="0" w:color="auto"/>
        <w:bottom w:val="none" w:sz="0" w:space="0" w:color="auto"/>
        <w:right w:val="none" w:sz="0" w:space="0" w:color="auto"/>
      </w:divBdr>
    </w:div>
    <w:div w:id="994378469">
      <w:bodyDiv w:val="1"/>
      <w:marLeft w:val="0"/>
      <w:marRight w:val="0"/>
      <w:marTop w:val="0"/>
      <w:marBottom w:val="0"/>
      <w:divBdr>
        <w:top w:val="none" w:sz="0" w:space="0" w:color="auto"/>
        <w:left w:val="none" w:sz="0" w:space="0" w:color="auto"/>
        <w:bottom w:val="none" w:sz="0" w:space="0" w:color="auto"/>
        <w:right w:val="none" w:sz="0" w:space="0" w:color="auto"/>
      </w:divBdr>
    </w:div>
    <w:div w:id="994643155">
      <w:bodyDiv w:val="1"/>
      <w:marLeft w:val="0"/>
      <w:marRight w:val="0"/>
      <w:marTop w:val="0"/>
      <w:marBottom w:val="0"/>
      <w:divBdr>
        <w:top w:val="none" w:sz="0" w:space="0" w:color="auto"/>
        <w:left w:val="none" w:sz="0" w:space="0" w:color="auto"/>
        <w:bottom w:val="none" w:sz="0" w:space="0" w:color="auto"/>
        <w:right w:val="none" w:sz="0" w:space="0" w:color="auto"/>
      </w:divBdr>
    </w:div>
    <w:div w:id="997458410">
      <w:bodyDiv w:val="1"/>
      <w:marLeft w:val="0"/>
      <w:marRight w:val="0"/>
      <w:marTop w:val="0"/>
      <w:marBottom w:val="0"/>
      <w:divBdr>
        <w:top w:val="none" w:sz="0" w:space="0" w:color="auto"/>
        <w:left w:val="none" w:sz="0" w:space="0" w:color="auto"/>
        <w:bottom w:val="none" w:sz="0" w:space="0" w:color="auto"/>
        <w:right w:val="none" w:sz="0" w:space="0" w:color="auto"/>
      </w:divBdr>
    </w:div>
    <w:div w:id="999382398">
      <w:bodyDiv w:val="1"/>
      <w:marLeft w:val="0"/>
      <w:marRight w:val="0"/>
      <w:marTop w:val="0"/>
      <w:marBottom w:val="0"/>
      <w:divBdr>
        <w:top w:val="none" w:sz="0" w:space="0" w:color="auto"/>
        <w:left w:val="none" w:sz="0" w:space="0" w:color="auto"/>
        <w:bottom w:val="none" w:sz="0" w:space="0" w:color="auto"/>
        <w:right w:val="none" w:sz="0" w:space="0" w:color="auto"/>
      </w:divBdr>
    </w:div>
    <w:div w:id="1009602074">
      <w:bodyDiv w:val="1"/>
      <w:marLeft w:val="0"/>
      <w:marRight w:val="0"/>
      <w:marTop w:val="0"/>
      <w:marBottom w:val="0"/>
      <w:divBdr>
        <w:top w:val="none" w:sz="0" w:space="0" w:color="auto"/>
        <w:left w:val="none" w:sz="0" w:space="0" w:color="auto"/>
        <w:bottom w:val="none" w:sz="0" w:space="0" w:color="auto"/>
        <w:right w:val="none" w:sz="0" w:space="0" w:color="auto"/>
      </w:divBdr>
    </w:div>
    <w:div w:id="1013528593">
      <w:bodyDiv w:val="1"/>
      <w:marLeft w:val="0"/>
      <w:marRight w:val="0"/>
      <w:marTop w:val="0"/>
      <w:marBottom w:val="0"/>
      <w:divBdr>
        <w:top w:val="none" w:sz="0" w:space="0" w:color="auto"/>
        <w:left w:val="none" w:sz="0" w:space="0" w:color="auto"/>
        <w:bottom w:val="none" w:sz="0" w:space="0" w:color="auto"/>
        <w:right w:val="none" w:sz="0" w:space="0" w:color="auto"/>
      </w:divBdr>
    </w:div>
    <w:div w:id="1027488250">
      <w:bodyDiv w:val="1"/>
      <w:marLeft w:val="0"/>
      <w:marRight w:val="0"/>
      <w:marTop w:val="0"/>
      <w:marBottom w:val="0"/>
      <w:divBdr>
        <w:top w:val="none" w:sz="0" w:space="0" w:color="auto"/>
        <w:left w:val="none" w:sz="0" w:space="0" w:color="auto"/>
        <w:bottom w:val="none" w:sz="0" w:space="0" w:color="auto"/>
        <w:right w:val="none" w:sz="0" w:space="0" w:color="auto"/>
      </w:divBdr>
    </w:div>
    <w:div w:id="1029723873">
      <w:bodyDiv w:val="1"/>
      <w:marLeft w:val="0"/>
      <w:marRight w:val="0"/>
      <w:marTop w:val="0"/>
      <w:marBottom w:val="0"/>
      <w:divBdr>
        <w:top w:val="none" w:sz="0" w:space="0" w:color="auto"/>
        <w:left w:val="none" w:sz="0" w:space="0" w:color="auto"/>
        <w:bottom w:val="none" w:sz="0" w:space="0" w:color="auto"/>
        <w:right w:val="none" w:sz="0" w:space="0" w:color="auto"/>
      </w:divBdr>
    </w:div>
    <w:div w:id="1030229493">
      <w:bodyDiv w:val="1"/>
      <w:marLeft w:val="0"/>
      <w:marRight w:val="0"/>
      <w:marTop w:val="0"/>
      <w:marBottom w:val="0"/>
      <w:divBdr>
        <w:top w:val="none" w:sz="0" w:space="0" w:color="auto"/>
        <w:left w:val="none" w:sz="0" w:space="0" w:color="auto"/>
        <w:bottom w:val="none" w:sz="0" w:space="0" w:color="auto"/>
        <w:right w:val="none" w:sz="0" w:space="0" w:color="auto"/>
      </w:divBdr>
    </w:div>
    <w:div w:id="1033075389">
      <w:bodyDiv w:val="1"/>
      <w:marLeft w:val="0"/>
      <w:marRight w:val="0"/>
      <w:marTop w:val="0"/>
      <w:marBottom w:val="0"/>
      <w:divBdr>
        <w:top w:val="none" w:sz="0" w:space="0" w:color="auto"/>
        <w:left w:val="none" w:sz="0" w:space="0" w:color="auto"/>
        <w:bottom w:val="none" w:sz="0" w:space="0" w:color="auto"/>
        <w:right w:val="none" w:sz="0" w:space="0" w:color="auto"/>
      </w:divBdr>
    </w:div>
    <w:div w:id="1036352112">
      <w:bodyDiv w:val="1"/>
      <w:marLeft w:val="0"/>
      <w:marRight w:val="0"/>
      <w:marTop w:val="0"/>
      <w:marBottom w:val="0"/>
      <w:divBdr>
        <w:top w:val="none" w:sz="0" w:space="0" w:color="auto"/>
        <w:left w:val="none" w:sz="0" w:space="0" w:color="auto"/>
        <w:bottom w:val="none" w:sz="0" w:space="0" w:color="auto"/>
        <w:right w:val="none" w:sz="0" w:space="0" w:color="auto"/>
      </w:divBdr>
    </w:div>
    <w:div w:id="1036660982">
      <w:bodyDiv w:val="1"/>
      <w:marLeft w:val="0"/>
      <w:marRight w:val="0"/>
      <w:marTop w:val="0"/>
      <w:marBottom w:val="0"/>
      <w:divBdr>
        <w:top w:val="none" w:sz="0" w:space="0" w:color="auto"/>
        <w:left w:val="none" w:sz="0" w:space="0" w:color="auto"/>
        <w:bottom w:val="none" w:sz="0" w:space="0" w:color="auto"/>
        <w:right w:val="none" w:sz="0" w:space="0" w:color="auto"/>
      </w:divBdr>
    </w:div>
    <w:div w:id="1036782624">
      <w:bodyDiv w:val="1"/>
      <w:marLeft w:val="0"/>
      <w:marRight w:val="0"/>
      <w:marTop w:val="0"/>
      <w:marBottom w:val="0"/>
      <w:divBdr>
        <w:top w:val="none" w:sz="0" w:space="0" w:color="auto"/>
        <w:left w:val="none" w:sz="0" w:space="0" w:color="auto"/>
        <w:bottom w:val="none" w:sz="0" w:space="0" w:color="auto"/>
        <w:right w:val="none" w:sz="0" w:space="0" w:color="auto"/>
      </w:divBdr>
    </w:div>
    <w:div w:id="1045132138">
      <w:bodyDiv w:val="1"/>
      <w:marLeft w:val="0"/>
      <w:marRight w:val="0"/>
      <w:marTop w:val="0"/>
      <w:marBottom w:val="0"/>
      <w:divBdr>
        <w:top w:val="none" w:sz="0" w:space="0" w:color="auto"/>
        <w:left w:val="none" w:sz="0" w:space="0" w:color="auto"/>
        <w:bottom w:val="none" w:sz="0" w:space="0" w:color="auto"/>
        <w:right w:val="none" w:sz="0" w:space="0" w:color="auto"/>
      </w:divBdr>
    </w:div>
    <w:div w:id="1046687496">
      <w:bodyDiv w:val="1"/>
      <w:marLeft w:val="0"/>
      <w:marRight w:val="0"/>
      <w:marTop w:val="0"/>
      <w:marBottom w:val="0"/>
      <w:divBdr>
        <w:top w:val="none" w:sz="0" w:space="0" w:color="auto"/>
        <w:left w:val="none" w:sz="0" w:space="0" w:color="auto"/>
        <w:bottom w:val="none" w:sz="0" w:space="0" w:color="auto"/>
        <w:right w:val="none" w:sz="0" w:space="0" w:color="auto"/>
      </w:divBdr>
    </w:div>
    <w:div w:id="1047995412">
      <w:bodyDiv w:val="1"/>
      <w:marLeft w:val="0"/>
      <w:marRight w:val="0"/>
      <w:marTop w:val="0"/>
      <w:marBottom w:val="0"/>
      <w:divBdr>
        <w:top w:val="none" w:sz="0" w:space="0" w:color="auto"/>
        <w:left w:val="none" w:sz="0" w:space="0" w:color="auto"/>
        <w:bottom w:val="none" w:sz="0" w:space="0" w:color="auto"/>
        <w:right w:val="none" w:sz="0" w:space="0" w:color="auto"/>
      </w:divBdr>
    </w:div>
    <w:div w:id="1052844096">
      <w:bodyDiv w:val="1"/>
      <w:marLeft w:val="0"/>
      <w:marRight w:val="0"/>
      <w:marTop w:val="0"/>
      <w:marBottom w:val="0"/>
      <w:divBdr>
        <w:top w:val="none" w:sz="0" w:space="0" w:color="auto"/>
        <w:left w:val="none" w:sz="0" w:space="0" w:color="auto"/>
        <w:bottom w:val="none" w:sz="0" w:space="0" w:color="auto"/>
        <w:right w:val="none" w:sz="0" w:space="0" w:color="auto"/>
      </w:divBdr>
    </w:div>
    <w:div w:id="1055275441">
      <w:bodyDiv w:val="1"/>
      <w:marLeft w:val="0"/>
      <w:marRight w:val="0"/>
      <w:marTop w:val="0"/>
      <w:marBottom w:val="0"/>
      <w:divBdr>
        <w:top w:val="none" w:sz="0" w:space="0" w:color="auto"/>
        <w:left w:val="none" w:sz="0" w:space="0" w:color="auto"/>
        <w:bottom w:val="none" w:sz="0" w:space="0" w:color="auto"/>
        <w:right w:val="none" w:sz="0" w:space="0" w:color="auto"/>
      </w:divBdr>
    </w:div>
    <w:div w:id="1064374340">
      <w:bodyDiv w:val="1"/>
      <w:marLeft w:val="0"/>
      <w:marRight w:val="0"/>
      <w:marTop w:val="0"/>
      <w:marBottom w:val="0"/>
      <w:divBdr>
        <w:top w:val="none" w:sz="0" w:space="0" w:color="auto"/>
        <w:left w:val="none" w:sz="0" w:space="0" w:color="auto"/>
        <w:bottom w:val="none" w:sz="0" w:space="0" w:color="auto"/>
        <w:right w:val="none" w:sz="0" w:space="0" w:color="auto"/>
      </w:divBdr>
    </w:div>
    <w:div w:id="1074594735">
      <w:bodyDiv w:val="1"/>
      <w:marLeft w:val="0"/>
      <w:marRight w:val="0"/>
      <w:marTop w:val="0"/>
      <w:marBottom w:val="0"/>
      <w:divBdr>
        <w:top w:val="none" w:sz="0" w:space="0" w:color="auto"/>
        <w:left w:val="none" w:sz="0" w:space="0" w:color="auto"/>
        <w:bottom w:val="none" w:sz="0" w:space="0" w:color="auto"/>
        <w:right w:val="none" w:sz="0" w:space="0" w:color="auto"/>
      </w:divBdr>
    </w:div>
    <w:div w:id="1079526337">
      <w:bodyDiv w:val="1"/>
      <w:marLeft w:val="0"/>
      <w:marRight w:val="0"/>
      <w:marTop w:val="0"/>
      <w:marBottom w:val="0"/>
      <w:divBdr>
        <w:top w:val="none" w:sz="0" w:space="0" w:color="auto"/>
        <w:left w:val="none" w:sz="0" w:space="0" w:color="auto"/>
        <w:bottom w:val="none" w:sz="0" w:space="0" w:color="auto"/>
        <w:right w:val="none" w:sz="0" w:space="0" w:color="auto"/>
      </w:divBdr>
    </w:div>
    <w:div w:id="1081486277">
      <w:bodyDiv w:val="1"/>
      <w:marLeft w:val="0"/>
      <w:marRight w:val="0"/>
      <w:marTop w:val="0"/>
      <w:marBottom w:val="0"/>
      <w:divBdr>
        <w:top w:val="none" w:sz="0" w:space="0" w:color="auto"/>
        <w:left w:val="none" w:sz="0" w:space="0" w:color="auto"/>
        <w:bottom w:val="none" w:sz="0" w:space="0" w:color="auto"/>
        <w:right w:val="none" w:sz="0" w:space="0" w:color="auto"/>
      </w:divBdr>
    </w:div>
    <w:div w:id="1086807619">
      <w:bodyDiv w:val="1"/>
      <w:marLeft w:val="0"/>
      <w:marRight w:val="0"/>
      <w:marTop w:val="0"/>
      <w:marBottom w:val="0"/>
      <w:divBdr>
        <w:top w:val="none" w:sz="0" w:space="0" w:color="auto"/>
        <w:left w:val="none" w:sz="0" w:space="0" w:color="auto"/>
        <w:bottom w:val="none" w:sz="0" w:space="0" w:color="auto"/>
        <w:right w:val="none" w:sz="0" w:space="0" w:color="auto"/>
      </w:divBdr>
    </w:div>
    <w:div w:id="1093284864">
      <w:bodyDiv w:val="1"/>
      <w:marLeft w:val="0"/>
      <w:marRight w:val="0"/>
      <w:marTop w:val="0"/>
      <w:marBottom w:val="0"/>
      <w:divBdr>
        <w:top w:val="none" w:sz="0" w:space="0" w:color="auto"/>
        <w:left w:val="none" w:sz="0" w:space="0" w:color="auto"/>
        <w:bottom w:val="none" w:sz="0" w:space="0" w:color="auto"/>
        <w:right w:val="none" w:sz="0" w:space="0" w:color="auto"/>
      </w:divBdr>
    </w:div>
    <w:div w:id="1098217029">
      <w:bodyDiv w:val="1"/>
      <w:marLeft w:val="0"/>
      <w:marRight w:val="0"/>
      <w:marTop w:val="0"/>
      <w:marBottom w:val="0"/>
      <w:divBdr>
        <w:top w:val="none" w:sz="0" w:space="0" w:color="auto"/>
        <w:left w:val="none" w:sz="0" w:space="0" w:color="auto"/>
        <w:bottom w:val="none" w:sz="0" w:space="0" w:color="auto"/>
        <w:right w:val="none" w:sz="0" w:space="0" w:color="auto"/>
      </w:divBdr>
    </w:div>
    <w:div w:id="1100757481">
      <w:bodyDiv w:val="1"/>
      <w:marLeft w:val="0"/>
      <w:marRight w:val="0"/>
      <w:marTop w:val="0"/>
      <w:marBottom w:val="0"/>
      <w:divBdr>
        <w:top w:val="none" w:sz="0" w:space="0" w:color="auto"/>
        <w:left w:val="none" w:sz="0" w:space="0" w:color="auto"/>
        <w:bottom w:val="none" w:sz="0" w:space="0" w:color="auto"/>
        <w:right w:val="none" w:sz="0" w:space="0" w:color="auto"/>
      </w:divBdr>
    </w:div>
    <w:div w:id="1111898752">
      <w:bodyDiv w:val="1"/>
      <w:marLeft w:val="0"/>
      <w:marRight w:val="0"/>
      <w:marTop w:val="0"/>
      <w:marBottom w:val="0"/>
      <w:divBdr>
        <w:top w:val="none" w:sz="0" w:space="0" w:color="auto"/>
        <w:left w:val="none" w:sz="0" w:space="0" w:color="auto"/>
        <w:bottom w:val="none" w:sz="0" w:space="0" w:color="auto"/>
        <w:right w:val="none" w:sz="0" w:space="0" w:color="auto"/>
      </w:divBdr>
    </w:div>
    <w:div w:id="1113091696">
      <w:bodyDiv w:val="1"/>
      <w:marLeft w:val="0"/>
      <w:marRight w:val="0"/>
      <w:marTop w:val="0"/>
      <w:marBottom w:val="0"/>
      <w:divBdr>
        <w:top w:val="none" w:sz="0" w:space="0" w:color="auto"/>
        <w:left w:val="none" w:sz="0" w:space="0" w:color="auto"/>
        <w:bottom w:val="none" w:sz="0" w:space="0" w:color="auto"/>
        <w:right w:val="none" w:sz="0" w:space="0" w:color="auto"/>
      </w:divBdr>
    </w:div>
    <w:div w:id="1113405650">
      <w:bodyDiv w:val="1"/>
      <w:marLeft w:val="0"/>
      <w:marRight w:val="0"/>
      <w:marTop w:val="0"/>
      <w:marBottom w:val="0"/>
      <w:divBdr>
        <w:top w:val="none" w:sz="0" w:space="0" w:color="auto"/>
        <w:left w:val="none" w:sz="0" w:space="0" w:color="auto"/>
        <w:bottom w:val="none" w:sz="0" w:space="0" w:color="auto"/>
        <w:right w:val="none" w:sz="0" w:space="0" w:color="auto"/>
      </w:divBdr>
    </w:div>
    <w:div w:id="1119880633">
      <w:bodyDiv w:val="1"/>
      <w:marLeft w:val="0"/>
      <w:marRight w:val="0"/>
      <w:marTop w:val="0"/>
      <w:marBottom w:val="0"/>
      <w:divBdr>
        <w:top w:val="none" w:sz="0" w:space="0" w:color="auto"/>
        <w:left w:val="none" w:sz="0" w:space="0" w:color="auto"/>
        <w:bottom w:val="none" w:sz="0" w:space="0" w:color="auto"/>
        <w:right w:val="none" w:sz="0" w:space="0" w:color="auto"/>
      </w:divBdr>
    </w:div>
    <w:div w:id="1125582898">
      <w:bodyDiv w:val="1"/>
      <w:marLeft w:val="0"/>
      <w:marRight w:val="0"/>
      <w:marTop w:val="0"/>
      <w:marBottom w:val="0"/>
      <w:divBdr>
        <w:top w:val="none" w:sz="0" w:space="0" w:color="auto"/>
        <w:left w:val="none" w:sz="0" w:space="0" w:color="auto"/>
        <w:bottom w:val="none" w:sz="0" w:space="0" w:color="auto"/>
        <w:right w:val="none" w:sz="0" w:space="0" w:color="auto"/>
      </w:divBdr>
    </w:div>
    <w:div w:id="1127436185">
      <w:bodyDiv w:val="1"/>
      <w:marLeft w:val="0"/>
      <w:marRight w:val="0"/>
      <w:marTop w:val="0"/>
      <w:marBottom w:val="0"/>
      <w:divBdr>
        <w:top w:val="none" w:sz="0" w:space="0" w:color="auto"/>
        <w:left w:val="none" w:sz="0" w:space="0" w:color="auto"/>
        <w:bottom w:val="none" w:sz="0" w:space="0" w:color="auto"/>
        <w:right w:val="none" w:sz="0" w:space="0" w:color="auto"/>
      </w:divBdr>
    </w:div>
    <w:div w:id="1138111899">
      <w:bodyDiv w:val="1"/>
      <w:marLeft w:val="0"/>
      <w:marRight w:val="0"/>
      <w:marTop w:val="0"/>
      <w:marBottom w:val="0"/>
      <w:divBdr>
        <w:top w:val="none" w:sz="0" w:space="0" w:color="auto"/>
        <w:left w:val="none" w:sz="0" w:space="0" w:color="auto"/>
        <w:bottom w:val="none" w:sz="0" w:space="0" w:color="auto"/>
        <w:right w:val="none" w:sz="0" w:space="0" w:color="auto"/>
      </w:divBdr>
    </w:div>
    <w:div w:id="1146820202">
      <w:bodyDiv w:val="1"/>
      <w:marLeft w:val="0"/>
      <w:marRight w:val="0"/>
      <w:marTop w:val="0"/>
      <w:marBottom w:val="0"/>
      <w:divBdr>
        <w:top w:val="none" w:sz="0" w:space="0" w:color="auto"/>
        <w:left w:val="none" w:sz="0" w:space="0" w:color="auto"/>
        <w:bottom w:val="none" w:sz="0" w:space="0" w:color="auto"/>
        <w:right w:val="none" w:sz="0" w:space="0" w:color="auto"/>
      </w:divBdr>
    </w:div>
    <w:div w:id="1148327999">
      <w:bodyDiv w:val="1"/>
      <w:marLeft w:val="0"/>
      <w:marRight w:val="0"/>
      <w:marTop w:val="0"/>
      <w:marBottom w:val="0"/>
      <w:divBdr>
        <w:top w:val="none" w:sz="0" w:space="0" w:color="auto"/>
        <w:left w:val="none" w:sz="0" w:space="0" w:color="auto"/>
        <w:bottom w:val="none" w:sz="0" w:space="0" w:color="auto"/>
        <w:right w:val="none" w:sz="0" w:space="0" w:color="auto"/>
      </w:divBdr>
    </w:div>
    <w:div w:id="1152720180">
      <w:bodyDiv w:val="1"/>
      <w:marLeft w:val="0"/>
      <w:marRight w:val="0"/>
      <w:marTop w:val="0"/>
      <w:marBottom w:val="0"/>
      <w:divBdr>
        <w:top w:val="none" w:sz="0" w:space="0" w:color="auto"/>
        <w:left w:val="none" w:sz="0" w:space="0" w:color="auto"/>
        <w:bottom w:val="none" w:sz="0" w:space="0" w:color="auto"/>
        <w:right w:val="none" w:sz="0" w:space="0" w:color="auto"/>
      </w:divBdr>
    </w:div>
    <w:div w:id="1166362271">
      <w:bodyDiv w:val="1"/>
      <w:marLeft w:val="0"/>
      <w:marRight w:val="0"/>
      <w:marTop w:val="0"/>
      <w:marBottom w:val="0"/>
      <w:divBdr>
        <w:top w:val="none" w:sz="0" w:space="0" w:color="auto"/>
        <w:left w:val="none" w:sz="0" w:space="0" w:color="auto"/>
        <w:bottom w:val="none" w:sz="0" w:space="0" w:color="auto"/>
        <w:right w:val="none" w:sz="0" w:space="0" w:color="auto"/>
      </w:divBdr>
    </w:div>
    <w:div w:id="1179660337">
      <w:bodyDiv w:val="1"/>
      <w:marLeft w:val="0"/>
      <w:marRight w:val="0"/>
      <w:marTop w:val="0"/>
      <w:marBottom w:val="0"/>
      <w:divBdr>
        <w:top w:val="none" w:sz="0" w:space="0" w:color="auto"/>
        <w:left w:val="none" w:sz="0" w:space="0" w:color="auto"/>
        <w:bottom w:val="none" w:sz="0" w:space="0" w:color="auto"/>
        <w:right w:val="none" w:sz="0" w:space="0" w:color="auto"/>
      </w:divBdr>
    </w:div>
    <w:div w:id="1180775755">
      <w:bodyDiv w:val="1"/>
      <w:marLeft w:val="0"/>
      <w:marRight w:val="0"/>
      <w:marTop w:val="0"/>
      <w:marBottom w:val="0"/>
      <w:divBdr>
        <w:top w:val="none" w:sz="0" w:space="0" w:color="auto"/>
        <w:left w:val="none" w:sz="0" w:space="0" w:color="auto"/>
        <w:bottom w:val="none" w:sz="0" w:space="0" w:color="auto"/>
        <w:right w:val="none" w:sz="0" w:space="0" w:color="auto"/>
      </w:divBdr>
    </w:div>
    <w:div w:id="1181161714">
      <w:bodyDiv w:val="1"/>
      <w:marLeft w:val="0"/>
      <w:marRight w:val="0"/>
      <w:marTop w:val="0"/>
      <w:marBottom w:val="0"/>
      <w:divBdr>
        <w:top w:val="none" w:sz="0" w:space="0" w:color="auto"/>
        <w:left w:val="none" w:sz="0" w:space="0" w:color="auto"/>
        <w:bottom w:val="none" w:sz="0" w:space="0" w:color="auto"/>
        <w:right w:val="none" w:sz="0" w:space="0" w:color="auto"/>
      </w:divBdr>
    </w:div>
    <w:div w:id="1183857830">
      <w:bodyDiv w:val="1"/>
      <w:marLeft w:val="0"/>
      <w:marRight w:val="0"/>
      <w:marTop w:val="0"/>
      <w:marBottom w:val="0"/>
      <w:divBdr>
        <w:top w:val="none" w:sz="0" w:space="0" w:color="auto"/>
        <w:left w:val="none" w:sz="0" w:space="0" w:color="auto"/>
        <w:bottom w:val="none" w:sz="0" w:space="0" w:color="auto"/>
        <w:right w:val="none" w:sz="0" w:space="0" w:color="auto"/>
      </w:divBdr>
    </w:div>
    <w:div w:id="1186753162">
      <w:bodyDiv w:val="1"/>
      <w:marLeft w:val="0"/>
      <w:marRight w:val="0"/>
      <w:marTop w:val="0"/>
      <w:marBottom w:val="0"/>
      <w:divBdr>
        <w:top w:val="none" w:sz="0" w:space="0" w:color="auto"/>
        <w:left w:val="none" w:sz="0" w:space="0" w:color="auto"/>
        <w:bottom w:val="none" w:sz="0" w:space="0" w:color="auto"/>
        <w:right w:val="none" w:sz="0" w:space="0" w:color="auto"/>
      </w:divBdr>
    </w:div>
    <w:div w:id="1189366570">
      <w:bodyDiv w:val="1"/>
      <w:marLeft w:val="0"/>
      <w:marRight w:val="0"/>
      <w:marTop w:val="0"/>
      <w:marBottom w:val="0"/>
      <w:divBdr>
        <w:top w:val="none" w:sz="0" w:space="0" w:color="auto"/>
        <w:left w:val="none" w:sz="0" w:space="0" w:color="auto"/>
        <w:bottom w:val="none" w:sz="0" w:space="0" w:color="auto"/>
        <w:right w:val="none" w:sz="0" w:space="0" w:color="auto"/>
      </w:divBdr>
    </w:div>
    <w:div w:id="1191727087">
      <w:bodyDiv w:val="1"/>
      <w:marLeft w:val="0"/>
      <w:marRight w:val="0"/>
      <w:marTop w:val="0"/>
      <w:marBottom w:val="0"/>
      <w:divBdr>
        <w:top w:val="none" w:sz="0" w:space="0" w:color="auto"/>
        <w:left w:val="none" w:sz="0" w:space="0" w:color="auto"/>
        <w:bottom w:val="none" w:sz="0" w:space="0" w:color="auto"/>
        <w:right w:val="none" w:sz="0" w:space="0" w:color="auto"/>
      </w:divBdr>
    </w:div>
    <w:div w:id="1191839398">
      <w:bodyDiv w:val="1"/>
      <w:marLeft w:val="0"/>
      <w:marRight w:val="0"/>
      <w:marTop w:val="0"/>
      <w:marBottom w:val="0"/>
      <w:divBdr>
        <w:top w:val="none" w:sz="0" w:space="0" w:color="auto"/>
        <w:left w:val="none" w:sz="0" w:space="0" w:color="auto"/>
        <w:bottom w:val="none" w:sz="0" w:space="0" w:color="auto"/>
        <w:right w:val="none" w:sz="0" w:space="0" w:color="auto"/>
      </w:divBdr>
    </w:div>
    <w:div w:id="1192886970">
      <w:bodyDiv w:val="1"/>
      <w:marLeft w:val="0"/>
      <w:marRight w:val="0"/>
      <w:marTop w:val="0"/>
      <w:marBottom w:val="0"/>
      <w:divBdr>
        <w:top w:val="none" w:sz="0" w:space="0" w:color="auto"/>
        <w:left w:val="none" w:sz="0" w:space="0" w:color="auto"/>
        <w:bottom w:val="none" w:sz="0" w:space="0" w:color="auto"/>
        <w:right w:val="none" w:sz="0" w:space="0" w:color="auto"/>
      </w:divBdr>
    </w:div>
    <w:div w:id="1198661340">
      <w:bodyDiv w:val="1"/>
      <w:marLeft w:val="0"/>
      <w:marRight w:val="0"/>
      <w:marTop w:val="0"/>
      <w:marBottom w:val="0"/>
      <w:divBdr>
        <w:top w:val="none" w:sz="0" w:space="0" w:color="auto"/>
        <w:left w:val="none" w:sz="0" w:space="0" w:color="auto"/>
        <w:bottom w:val="none" w:sz="0" w:space="0" w:color="auto"/>
        <w:right w:val="none" w:sz="0" w:space="0" w:color="auto"/>
      </w:divBdr>
    </w:div>
    <w:div w:id="1201167013">
      <w:bodyDiv w:val="1"/>
      <w:marLeft w:val="0"/>
      <w:marRight w:val="0"/>
      <w:marTop w:val="0"/>
      <w:marBottom w:val="0"/>
      <w:divBdr>
        <w:top w:val="none" w:sz="0" w:space="0" w:color="auto"/>
        <w:left w:val="none" w:sz="0" w:space="0" w:color="auto"/>
        <w:bottom w:val="none" w:sz="0" w:space="0" w:color="auto"/>
        <w:right w:val="none" w:sz="0" w:space="0" w:color="auto"/>
      </w:divBdr>
    </w:div>
    <w:div w:id="1201354868">
      <w:bodyDiv w:val="1"/>
      <w:marLeft w:val="0"/>
      <w:marRight w:val="0"/>
      <w:marTop w:val="0"/>
      <w:marBottom w:val="0"/>
      <w:divBdr>
        <w:top w:val="none" w:sz="0" w:space="0" w:color="auto"/>
        <w:left w:val="none" w:sz="0" w:space="0" w:color="auto"/>
        <w:bottom w:val="none" w:sz="0" w:space="0" w:color="auto"/>
        <w:right w:val="none" w:sz="0" w:space="0" w:color="auto"/>
      </w:divBdr>
    </w:div>
    <w:div w:id="1203207277">
      <w:bodyDiv w:val="1"/>
      <w:marLeft w:val="0"/>
      <w:marRight w:val="0"/>
      <w:marTop w:val="0"/>
      <w:marBottom w:val="0"/>
      <w:divBdr>
        <w:top w:val="none" w:sz="0" w:space="0" w:color="auto"/>
        <w:left w:val="none" w:sz="0" w:space="0" w:color="auto"/>
        <w:bottom w:val="none" w:sz="0" w:space="0" w:color="auto"/>
        <w:right w:val="none" w:sz="0" w:space="0" w:color="auto"/>
      </w:divBdr>
    </w:div>
    <w:div w:id="1209803090">
      <w:bodyDiv w:val="1"/>
      <w:marLeft w:val="0"/>
      <w:marRight w:val="0"/>
      <w:marTop w:val="0"/>
      <w:marBottom w:val="0"/>
      <w:divBdr>
        <w:top w:val="none" w:sz="0" w:space="0" w:color="auto"/>
        <w:left w:val="none" w:sz="0" w:space="0" w:color="auto"/>
        <w:bottom w:val="none" w:sz="0" w:space="0" w:color="auto"/>
        <w:right w:val="none" w:sz="0" w:space="0" w:color="auto"/>
      </w:divBdr>
    </w:div>
    <w:div w:id="1212497372">
      <w:bodyDiv w:val="1"/>
      <w:marLeft w:val="0"/>
      <w:marRight w:val="0"/>
      <w:marTop w:val="0"/>
      <w:marBottom w:val="0"/>
      <w:divBdr>
        <w:top w:val="none" w:sz="0" w:space="0" w:color="auto"/>
        <w:left w:val="none" w:sz="0" w:space="0" w:color="auto"/>
        <w:bottom w:val="none" w:sz="0" w:space="0" w:color="auto"/>
        <w:right w:val="none" w:sz="0" w:space="0" w:color="auto"/>
      </w:divBdr>
    </w:div>
    <w:div w:id="1213738302">
      <w:bodyDiv w:val="1"/>
      <w:marLeft w:val="0"/>
      <w:marRight w:val="0"/>
      <w:marTop w:val="0"/>
      <w:marBottom w:val="0"/>
      <w:divBdr>
        <w:top w:val="none" w:sz="0" w:space="0" w:color="auto"/>
        <w:left w:val="none" w:sz="0" w:space="0" w:color="auto"/>
        <w:bottom w:val="none" w:sz="0" w:space="0" w:color="auto"/>
        <w:right w:val="none" w:sz="0" w:space="0" w:color="auto"/>
      </w:divBdr>
    </w:div>
    <w:div w:id="1217472057">
      <w:bodyDiv w:val="1"/>
      <w:marLeft w:val="0"/>
      <w:marRight w:val="0"/>
      <w:marTop w:val="0"/>
      <w:marBottom w:val="0"/>
      <w:divBdr>
        <w:top w:val="none" w:sz="0" w:space="0" w:color="auto"/>
        <w:left w:val="none" w:sz="0" w:space="0" w:color="auto"/>
        <w:bottom w:val="none" w:sz="0" w:space="0" w:color="auto"/>
        <w:right w:val="none" w:sz="0" w:space="0" w:color="auto"/>
      </w:divBdr>
    </w:div>
    <w:div w:id="1217594634">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9363859">
      <w:bodyDiv w:val="1"/>
      <w:marLeft w:val="0"/>
      <w:marRight w:val="0"/>
      <w:marTop w:val="0"/>
      <w:marBottom w:val="0"/>
      <w:divBdr>
        <w:top w:val="none" w:sz="0" w:space="0" w:color="auto"/>
        <w:left w:val="none" w:sz="0" w:space="0" w:color="auto"/>
        <w:bottom w:val="none" w:sz="0" w:space="0" w:color="auto"/>
        <w:right w:val="none" w:sz="0" w:space="0" w:color="auto"/>
      </w:divBdr>
    </w:div>
    <w:div w:id="1220285885">
      <w:bodyDiv w:val="1"/>
      <w:marLeft w:val="0"/>
      <w:marRight w:val="0"/>
      <w:marTop w:val="0"/>
      <w:marBottom w:val="0"/>
      <w:divBdr>
        <w:top w:val="none" w:sz="0" w:space="0" w:color="auto"/>
        <w:left w:val="none" w:sz="0" w:space="0" w:color="auto"/>
        <w:bottom w:val="none" w:sz="0" w:space="0" w:color="auto"/>
        <w:right w:val="none" w:sz="0" w:space="0" w:color="auto"/>
      </w:divBdr>
    </w:div>
    <w:div w:id="1224947072">
      <w:bodyDiv w:val="1"/>
      <w:marLeft w:val="0"/>
      <w:marRight w:val="0"/>
      <w:marTop w:val="0"/>
      <w:marBottom w:val="0"/>
      <w:divBdr>
        <w:top w:val="none" w:sz="0" w:space="0" w:color="auto"/>
        <w:left w:val="none" w:sz="0" w:space="0" w:color="auto"/>
        <w:bottom w:val="none" w:sz="0" w:space="0" w:color="auto"/>
        <w:right w:val="none" w:sz="0" w:space="0" w:color="auto"/>
      </w:divBdr>
    </w:div>
    <w:div w:id="1224950378">
      <w:bodyDiv w:val="1"/>
      <w:marLeft w:val="0"/>
      <w:marRight w:val="0"/>
      <w:marTop w:val="0"/>
      <w:marBottom w:val="0"/>
      <w:divBdr>
        <w:top w:val="none" w:sz="0" w:space="0" w:color="auto"/>
        <w:left w:val="none" w:sz="0" w:space="0" w:color="auto"/>
        <w:bottom w:val="none" w:sz="0" w:space="0" w:color="auto"/>
        <w:right w:val="none" w:sz="0" w:space="0" w:color="auto"/>
      </w:divBdr>
    </w:div>
    <w:div w:id="1234662208">
      <w:bodyDiv w:val="1"/>
      <w:marLeft w:val="0"/>
      <w:marRight w:val="0"/>
      <w:marTop w:val="0"/>
      <w:marBottom w:val="0"/>
      <w:divBdr>
        <w:top w:val="none" w:sz="0" w:space="0" w:color="auto"/>
        <w:left w:val="none" w:sz="0" w:space="0" w:color="auto"/>
        <w:bottom w:val="none" w:sz="0" w:space="0" w:color="auto"/>
        <w:right w:val="none" w:sz="0" w:space="0" w:color="auto"/>
      </w:divBdr>
    </w:div>
    <w:div w:id="1235823389">
      <w:bodyDiv w:val="1"/>
      <w:marLeft w:val="0"/>
      <w:marRight w:val="0"/>
      <w:marTop w:val="0"/>
      <w:marBottom w:val="0"/>
      <w:divBdr>
        <w:top w:val="none" w:sz="0" w:space="0" w:color="auto"/>
        <w:left w:val="none" w:sz="0" w:space="0" w:color="auto"/>
        <w:bottom w:val="none" w:sz="0" w:space="0" w:color="auto"/>
        <w:right w:val="none" w:sz="0" w:space="0" w:color="auto"/>
      </w:divBdr>
    </w:div>
    <w:div w:id="1236665032">
      <w:bodyDiv w:val="1"/>
      <w:marLeft w:val="0"/>
      <w:marRight w:val="0"/>
      <w:marTop w:val="0"/>
      <w:marBottom w:val="0"/>
      <w:divBdr>
        <w:top w:val="none" w:sz="0" w:space="0" w:color="auto"/>
        <w:left w:val="none" w:sz="0" w:space="0" w:color="auto"/>
        <w:bottom w:val="none" w:sz="0" w:space="0" w:color="auto"/>
        <w:right w:val="none" w:sz="0" w:space="0" w:color="auto"/>
      </w:divBdr>
    </w:div>
    <w:div w:id="1237010558">
      <w:bodyDiv w:val="1"/>
      <w:marLeft w:val="0"/>
      <w:marRight w:val="0"/>
      <w:marTop w:val="0"/>
      <w:marBottom w:val="0"/>
      <w:divBdr>
        <w:top w:val="none" w:sz="0" w:space="0" w:color="auto"/>
        <w:left w:val="none" w:sz="0" w:space="0" w:color="auto"/>
        <w:bottom w:val="none" w:sz="0" w:space="0" w:color="auto"/>
        <w:right w:val="none" w:sz="0" w:space="0" w:color="auto"/>
      </w:divBdr>
    </w:div>
    <w:div w:id="1241597077">
      <w:bodyDiv w:val="1"/>
      <w:marLeft w:val="0"/>
      <w:marRight w:val="0"/>
      <w:marTop w:val="0"/>
      <w:marBottom w:val="0"/>
      <w:divBdr>
        <w:top w:val="none" w:sz="0" w:space="0" w:color="auto"/>
        <w:left w:val="none" w:sz="0" w:space="0" w:color="auto"/>
        <w:bottom w:val="none" w:sz="0" w:space="0" w:color="auto"/>
        <w:right w:val="none" w:sz="0" w:space="0" w:color="auto"/>
      </w:divBdr>
    </w:div>
    <w:div w:id="1241870329">
      <w:bodyDiv w:val="1"/>
      <w:marLeft w:val="0"/>
      <w:marRight w:val="0"/>
      <w:marTop w:val="0"/>
      <w:marBottom w:val="0"/>
      <w:divBdr>
        <w:top w:val="none" w:sz="0" w:space="0" w:color="auto"/>
        <w:left w:val="none" w:sz="0" w:space="0" w:color="auto"/>
        <w:bottom w:val="none" w:sz="0" w:space="0" w:color="auto"/>
        <w:right w:val="none" w:sz="0" w:space="0" w:color="auto"/>
      </w:divBdr>
    </w:div>
    <w:div w:id="1247419880">
      <w:bodyDiv w:val="1"/>
      <w:marLeft w:val="0"/>
      <w:marRight w:val="0"/>
      <w:marTop w:val="0"/>
      <w:marBottom w:val="0"/>
      <w:divBdr>
        <w:top w:val="none" w:sz="0" w:space="0" w:color="auto"/>
        <w:left w:val="none" w:sz="0" w:space="0" w:color="auto"/>
        <w:bottom w:val="none" w:sz="0" w:space="0" w:color="auto"/>
        <w:right w:val="none" w:sz="0" w:space="0" w:color="auto"/>
      </w:divBdr>
    </w:div>
    <w:div w:id="1249004322">
      <w:bodyDiv w:val="1"/>
      <w:marLeft w:val="0"/>
      <w:marRight w:val="0"/>
      <w:marTop w:val="0"/>
      <w:marBottom w:val="0"/>
      <w:divBdr>
        <w:top w:val="none" w:sz="0" w:space="0" w:color="auto"/>
        <w:left w:val="none" w:sz="0" w:space="0" w:color="auto"/>
        <w:bottom w:val="none" w:sz="0" w:space="0" w:color="auto"/>
        <w:right w:val="none" w:sz="0" w:space="0" w:color="auto"/>
      </w:divBdr>
    </w:div>
    <w:div w:id="1254632267">
      <w:bodyDiv w:val="1"/>
      <w:marLeft w:val="0"/>
      <w:marRight w:val="0"/>
      <w:marTop w:val="0"/>
      <w:marBottom w:val="0"/>
      <w:divBdr>
        <w:top w:val="none" w:sz="0" w:space="0" w:color="auto"/>
        <w:left w:val="none" w:sz="0" w:space="0" w:color="auto"/>
        <w:bottom w:val="none" w:sz="0" w:space="0" w:color="auto"/>
        <w:right w:val="none" w:sz="0" w:space="0" w:color="auto"/>
      </w:divBdr>
    </w:div>
    <w:div w:id="1255551032">
      <w:bodyDiv w:val="1"/>
      <w:marLeft w:val="0"/>
      <w:marRight w:val="0"/>
      <w:marTop w:val="0"/>
      <w:marBottom w:val="0"/>
      <w:divBdr>
        <w:top w:val="none" w:sz="0" w:space="0" w:color="auto"/>
        <w:left w:val="none" w:sz="0" w:space="0" w:color="auto"/>
        <w:bottom w:val="none" w:sz="0" w:space="0" w:color="auto"/>
        <w:right w:val="none" w:sz="0" w:space="0" w:color="auto"/>
      </w:divBdr>
    </w:div>
    <w:div w:id="1258058988">
      <w:bodyDiv w:val="1"/>
      <w:marLeft w:val="0"/>
      <w:marRight w:val="0"/>
      <w:marTop w:val="0"/>
      <w:marBottom w:val="0"/>
      <w:divBdr>
        <w:top w:val="none" w:sz="0" w:space="0" w:color="auto"/>
        <w:left w:val="none" w:sz="0" w:space="0" w:color="auto"/>
        <w:bottom w:val="none" w:sz="0" w:space="0" w:color="auto"/>
        <w:right w:val="none" w:sz="0" w:space="0" w:color="auto"/>
      </w:divBdr>
    </w:div>
    <w:div w:id="1266307090">
      <w:bodyDiv w:val="1"/>
      <w:marLeft w:val="0"/>
      <w:marRight w:val="0"/>
      <w:marTop w:val="0"/>
      <w:marBottom w:val="0"/>
      <w:divBdr>
        <w:top w:val="none" w:sz="0" w:space="0" w:color="auto"/>
        <w:left w:val="none" w:sz="0" w:space="0" w:color="auto"/>
        <w:bottom w:val="none" w:sz="0" w:space="0" w:color="auto"/>
        <w:right w:val="none" w:sz="0" w:space="0" w:color="auto"/>
      </w:divBdr>
    </w:div>
    <w:div w:id="1266621892">
      <w:bodyDiv w:val="1"/>
      <w:marLeft w:val="0"/>
      <w:marRight w:val="0"/>
      <w:marTop w:val="0"/>
      <w:marBottom w:val="0"/>
      <w:divBdr>
        <w:top w:val="none" w:sz="0" w:space="0" w:color="auto"/>
        <w:left w:val="none" w:sz="0" w:space="0" w:color="auto"/>
        <w:bottom w:val="none" w:sz="0" w:space="0" w:color="auto"/>
        <w:right w:val="none" w:sz="0" w:space="0" w:color="auto"/>
      </w:divBdr>
    </w:div>
    <w:div w:id="1273785729">
      <w:bodyDiv w:val="1"/>
      <w:marLeft w:val="0"/>
      <w:marRight w:val="0"/>
      <w:marTop w:val="0"/>
      <w:marBottom w:val="0"/>
      <w:divBdr>
        <w:top w:val="none" w:sz="0" w:space="0" w:color="auto"/>
        <w:left w:val="none" w:sz="0" w:space="0" w:color="auto"/>
        <w:bottom w:val="none" w:sz="0" w:space="0" w:color="auto"/>
        <w:right w:val="none" w:sz="0" w:space="0" w:color="auto"/>
      </w:divBdr>
    </w:div>
    <w:div w:id="1274943564">
      <w:bodyDiv w:val="1"/>
      <w:marLeft w:val="0"/>
      <w:marRight w:val="0"/>
      <w:marTop w:val="0"/>
      <w:marBottom w:val="0"/>
      <w:divBdr>
        <w:top w:val="none" w:sz="0" w:space="0" w:color="auto"/>
        <w:left w:val="none" w:sz="0" w:space="0" w:color="auto"/>
        <w:bottom w:val="none" w:sz="0" w:space="0" w:color="auto"/>
        <w:right w:val="none" w:sz="0" w:space="0" w:color="auto"/>
      </w:divBdr>
    </w:div>
    <w:div w:id="1280843642">
      <w:bodyDiv w:val="1"/>
      <w:marLeft w:val="0"/>
      <w:marRight w:val="0"/>
      <w:marTop w:val="0"/>
      <w:marBottom w:val="0"/>
      <w:divBdr>
        <w:top w:val="none" w:sz="0" w:space="0" w:color="auto"/>
        <w:left w:val="none" w:sz="0" w:space="0" w:color="auto"/>
        <w:bottom w:val="none" w:sz="0" w:space="0" w:color="auto"/>
        <w:right w:val="none" w:sz="0" w:space="0" w:color="auto"/>
      </w:divBdr>
    </w:div>
    <w:div w:id="1285427348">
      <w:bodyDiv w:val="1"/>
      <w:marLeft w:val="0"/>
      <w:marRight w:val="0"/>
      <w:marTop w:val="0"/>
      <w:marBottom w:val="0"/>
      <w:divBdr>
        <w:top w:val="none" w:sz="0" w:space="0" w:color="auto"/>
        <w:left w:val="none" w:sz="0" w:space="0" w:color="auto"/>
        <w:bottom w:val="none" w:sz="0" w:space="0" w:color="auto"/>
        <w:right w:val="none" w:sz="0" w:space="0" w:color="auto"/>
      </w:divBdr>
    </w:div>
    <w:div w:id="1286235477">
      <w:bodyDiv w:val="1"/>
      <w:marLeft w:val="0"/>
      <w:marRight w:val="0"/>
      <w:marTop w:val="0"/>
      <w:marBottom w:val="0"/>
      <w:divBdr>
        <w:top w:val="none" w:sz="0" w:space="0" w:color="auto"/>
        <w:left w:val="none" w:sz="0" w:space="0" w:color="auto"/>
        <w:bottom w:val="none" w:sz="0" w:space="0" w:color="auto"/>
        <w:right w:val="none" w:sz="0" w:space="0" w:color="auto"/>
      </w:divBdr>
    </w:div>
    <w:div w:id="1300305932">
      <w:bodyDiv w:val="1"/>
      <w:marLeft w:val="0"/>
      <w:marRight w:val="0"/>
      <w:marTop w:val="0"/>
      <w:marBottom w:val="0"/>
      <w:divBdr>
        <w:top w:val="none" w:sz="0" w:space="0" w:color="auto"/>
        <w:left w:val="none" w:sz="0" w:space="0" w:color="auto"/>
        <w:bottom w:val="none" w:sz="0" w:space="0" w:color="auto"/>
        <w:right w:val="none" w:sz="0" w:space="0" w:color="auto"/>
      </w:divBdr>
    </w:div>
    <w:div w:id="1302423002">
      <w:bodyDiv w:val="1"/>
      <w:marLeft w:val="0"/>
      <w:marRight w:val="0"/>
      <w:marTop w:val="0"/>
      <w:marBottom w:val="0"/>
      <w:divBdr>
        <w:top w:val="none" w:sz="0" w:space="0" w:color="auto"/>
        <w:left w:val="none" w:sz="0" w:space="0" w:color="auto"/>
        <w:bottom w:val="none" w:sz="0" w:space="0" w:color="auto"/>
        <w:right w:val="none" w:sz="0" w:space="0" w:color="auto"/>
      </w:divBdr>
    </w:div>
    <w:div w:id="1307979537">
      <w:bodyDiv w:val="1"/>
      <w:marLeft w:val="0"/>
      <w:marRight w:val="0"/>
      <w:marTop w:val="0"/>
      <w:marBottom w:val="0"/>
      <w:divBdr>
        <w:top w:val="none" w:sz="0" w:space="0" w:color="auto"/>
        <w:left w:val="none" w:sz="0" w:space="0" w:color="auto"/>
        <w:bottom w:val="none" w:sz="0" w:space="0" w:color="auto"/>
        <w:right w:val="none" w:sz="0" w:space="0" w:color="auto"/>
      </w:divBdr>
    </w:div>
    <w:div w:id="1309363692">
      <w:bodyDiv w:val="1"/>
      <w:marLeft w:val="0"/>
      <w:marRight w:val="0"/>
      <w:marTop w:val="0"/>
      <w:marBottom w:val="0"/>
      <w:divBdr>
        <w:top w:val="none" w:sz="0" w:space="0" w:color="auto"/>
        <w:left w:val="none" w:sz="0" w:space="0" w:color="auto"/>
        <w:bottom w:val="none" w:sz="0" w:space="0" w:color="auto"/>
        <w:right w:val="none" w:sz="0" w:space="0" w:color="auto"/>
      </w:divBdr>
    </w:div>
    <w:div w:id="1309868758">
      <w:bodyDiv w:val="1"/>
      <w:marLeft w:val="0"/>
      <w:marRight w:val="0"/>
      <w:marTop w:val="0"/>
      <w:marBottom w:val="0"/>
      <w:divBdr>
        <w:top w:val="none" w:sz="0" w:space="0" w:color="auto"/>
        <w:left w:val="none" w:sz="0" w:space="0" w:color="auto"/>
        <w:bottom w:val="none" w:sz="0" w:space="0" w:color="auto"/>
        <w:right w:val="none" w:sz="0" w:space="0" w:color="auto"/>
      </w:divBdr>
    </w:div>
    <w:div w:id="1316758578">
      <w:bodyDiv w:val="1"/>
      <w:marLeft w:val="0"/>
      <w:marRight w:val="0"/>
      <w:marTop w:val="0"/>
      <w:marBottom w:val="0"/>
      <w:divBdr>
        <w:top w:val="none" w:sz="0" w:space="0" w:color="auto"/>
        <w:left w:val="none" w:sz="0" w:space="0" w:color="auto"/>
        <w:bottom w:val="none" w:sz="0" w:space="0" w:color="auto"/>
        <w:right w:val="none" w:sz="0" w:space="0" w:color="auto"/>
      </w:divBdr>
    </w:div>
    <w:div w:id="1326208054">
      <w:bodyDiv w:val="1"/>
      <w:marLeft w:val="0"/>
      <w:marRight w:val="0"/>
      <w:marTop w:val="0"/>
      <w:marBottom w:val="0"/>
      <w:divBdr>
        <w:top w:val="none" w:sz="0" w:space="0" w:color="auto"/>
        <w:left w:val="none" w:sz="0" w:space="0" w:color="auto"/>
        <w:bottom w:val="none" w:sz="0" w:space="0" w:color="auto"/>
        <w:right w:val="none" w:sz="0" w:space="0" w:color="auto"/>
      </w:divBdr>
    </w:div>
    <w:div w:id="1345596065">
      <w:bodyDiv w:val="1"/>
      <w:marLeft w:val="0"/>
      <w:marRight w:val="0"/>
      <w:marTop w:val="0"/>
      <w:marBottom w:val="0"/>
      <w:divBdr>
        <w:top w:val="none" w:sz="0" w:space="0" w:color="auto"/>
        <w:left w:val="none" w:sz="0" w:space="0" w:color="auto"/>
        <w:bottom w:val="none" w:sz="0" w:space="0" w:color="auto"/>
        <w:right w:val="none" w:sz="0" w:space="0" w:color="auto"/>
      </w:divBdr>
    </w:div>
    <w:div w:id="1345784144">
      <w:bodyDiv w:val="1"/>
      <w:marLeft w:val="0"/>
      <w:marRight w:val="0"/>
      <w:marTop w:val="0"/>
      <w:marBottom w:val="0"/>
      <w:divBdr>
        <w:top w:val="none" w:sz="0" w:space="0" w:color="auto"/>
        <w:left w:val="none" w:sz="0" w:space="0" w:color="auto"/>
        <w:bottom w:val="none" w:sz="0" w:space="0" w:color="auto"/>
        <w:right w:val="none" w:sz="0" w:space="0" w:color="auto"/>
      </w:divBdr>
    </w:div>
    <w:div w:id="1346399561">
      <w:bodyDiv w:val="1"/>
      <w:marLeft w:val="0"/>
      <w:marRight w:val="0"/>
      <w:marTop w:val="0"/>
      <w:marBottom w:val="0"/>
      <w:divBdr>
        <w:top w:val="none" w:sz="0" w:space="0" w:color="auto"/>
        <w:left w:val="none" w:sz="0" w:space="0" w:color="auto"/>
        <w:bottom w:val="none" w:sz="0" w:space="0" w:color="auto"/>
        <w:right w:val="none" w:sz="0" w:space="0" w:color="auto"/>
      </w:divBdr>
    </w:div>
    <w:div w:id="1356540683">
      <w:bodyDiv w:val="1"/>
      <w:marLeft w:val="0"/>
      <w:marRight w:val="0"/>
      <w:marTop w:val="0"/>
      <w:marBottom w:val="0"/>
      <w:divBdr>
        <w:top w:val="none" w:sz="0" w:space="0" w:color="auto"/>
        <w:left w:val="none" w:sz="0" w:space="0" w:color="auto"/>
        <w:bottom w:val="none" w:sz="0" w:space="0" w:color="auto"/>
        <w:right w:val="none" w:sz="0" w:space="0" w:color="auto"/>
      </w:divBdr>
    </w:div>
    <w:div w:id="1361739399">
      <w:bodyDiv w:val="1"/>
      <w:marLeft w:val="0"/>
      <w:marRight w:val="0"/>
      <w:marTop w:val="0"/>
      <w:marBottom w:val="0"/>
      <w:divBdr>
        <w:top w:val="none" w:sz="0" w:space="0" w:color="auto"/>
        <w:left w:val="none" w:sz="0" w:space="0" w:color="auto"/>
        <w:bottom w:val="none" w:sz="0" w:space="0" w:color="auto"/>
        <w:right w:val="none" w:sz="0" w:space="0" w:color="auto"/>
      </w:divBdr>
    </w:div>
    <w:div w:id="1361977229">
      <w:bodyDiv w:val="1"/>
      <w:marLeft w:val="0"/>
      <w:marRight w:val="0"/>
      <w:marTop w:val="0"/>
      <w:marBottom w:val="0"/>
      <w:divBdr>
        <w:top w:val="none" w:sz="0" w:space="0" w:color="auto"/>
        <w:left w:val="none" w:sz="0" w:space="0" w:color="auto"/>
        <w:bottom w:val="none" w:sz="0" w:space="0" w:color="auto"/>
        <w:right w:val="none" w:sz="0" w:space="0" w:color="auto"/>
      </w:divBdr>
    </w:div>
    <w:div w:id="1365056425">
      <w:bodyDiv w:val="1"/>
      <w:marLeft w:val="0"/>
      <w:marRight w:val="0"/>
      <w:marTop w:val="0"/>
      <w:marBottom w:val="0"/>
      <w:divBdr>
        <w:top w:val="none" w:sz="0" w:space="0" w:color="auto"/>
        <w:left w:val="none" w:sz="0" w:space="0" w:color="auto"/>
        <w:bottom w:val="none" w:sz="0" w:space="0" w:color="auto"/>
        <w:right w:val="none" w:sz="0" w:space="0" w:color="auto"/>
      </w:divBdr>
    </w:div>
    <w:div w:id="1373382942">
      <w:bodyDiv w:val="1"/>
      <w:marLeft w:val="0"/>
      <w:marRight w:val="0"/>
      <w:marTop w:val="0"/>
      <w:marBottom w:val="0"/>
      <w:divBdr>
        <w:top w:val="none" w:sz="0" w:space="0" w:color="auto"/>
        <w:left w:val="none" w:sz="0" w:space="0" w:color="auto"/>
        <w:bottom w:val="none" w:sz="0" w:space="0" w:color="auto"/>
        <w:right w:val="none" w:sz="0" w:space="0" w:color="auto"/>
      </w:divBdr>
    </w:div>
    <w:div w:id="137411248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0130915">
      <w:bodyDiv w:val="1"/>
      <w:marLeft w:val="0"/>
      <w:marRight w:val="0"/>
      <w:marTop w:val="0"/>
      <w:marBottom w:val="0"/>
      <w:divBdr>
        <w:top w:val="none" w:sz="0" w:space="0" w:color="auto"/>
        <w:left w:val="none" w:sz="0" w:space="0" w:color="auto"/>
        <w:bottom w:val="none" w:sz="0" w:space="0" w:color="auto"/>
        <w:right w:val="none" w:sz="0" w:space="0" w:color="auto"/>
      </w:divBdr>
    </w:div>
    <w:div w:id="1391071964">
      <w:bodyDiv w:val="1"/>
      <w:marLeft w:val="0"/>
      <w:marRight w:val="0"/>
      <w:marTop w:val="0"/>
      <w:marBottom w:val="0"/>
      <w:divBdr>
        <w:top w:val="none" w:sz="0" w:space="0" w:color="auto"/>
        <w:left w:val="none" w:sz="0" w:space="0" w:color="auto"/>
        <w:bottom w:val="none" w:sz="0" w:space="0" w:color="auto"/>
        <w:right w:val="none" w:sz="0" w:space="0" w:color="auto"/>
      </w:divBdr>
    </w:div>
    <w:div w:id="1395927240">
      <w:bodyDiv w:val="1"/>
      <w:marLeft w:val="0"/>
      <w:marRight w:val="0"/>
      <w:marTop w:val="0"/>
      <w:marBottom w:val="0"/>
      <w:divBdr>
        <w:top w:val="none" w:sz="0" w:space="0" w:color="auto"/>
        <w:left w:val="none" w:sz="0" w:space="0" w:color="auto"/>
        <w:bottom w:val="none" w:sz="0" w:space="0" w:color="auto"/>
        <w:right w:val="none" w:sz="0" w:space="0" w:color="auto"/>
      </w:divBdr>
    </w:div>
    <w:div w:id="1397237698">
      <w:bodyDiv w:val="1"/>
      <w:marLeft w:val="0"/>
      <w:marRight w:val="0"/>
      <w:marTop w:val="0"/>
      <w:marBottom w:val="0"/>
      <w:divBdr>
        <w:top w:val="none" w:sz="0" w:space="0" w:color="auto"/>
        <w:left w:val="none" w:sz="0" w:space="0" w:color="auto"/>
        <w:bottom w:val="none" w:sz="0" w:space="0" w:color="auto"/>
        <w:right w:val="none" w:sz="0" w:space="0" w:color="auto"/>
      </w:divBdr>
    </w:div>
    <w:div w:id="1398237375">
      <w:bodyDiv w:val="1"/>
      <w:marLeft w:val="0"/>
      <w:marRight w:val="0"/>
      <w:marTop w:val="0"/>
      <w:marBottom w:val="0"/>
      <w:divBdr>
        <w:top w:val="none" w:sz="0" w:space="0" w:color="auto"/>
        <w:left w:val="none" w:sz="0" w:space="0" w:color="auto"/>
        <w:bottom w:val="none" w:sz="0" w:space="0" w:color="auto"/>
        <w:right w:val="none" w:sz="0" w:space="0" w:color="auto"/>
      </w:divBdr>
    </w:div>
    <w:div w:id="1402823853">
      <w:bodyDiv w:val="1"/>
      <w:marLeft w:val="0"/>
      <w:marRight w:val="0"/>
      <w:marTop w:val="0"/>
      <w:marBottom w:val="0"/>
      <w:divBdr>
        <w:top w:val="none" w:sz="0" w:space="0" w:color="auto"/>
        <w:left w:val="none" w:sz="0" w:space="0" w:color="auto"/>
        <w:bottom w:val="none" w:sz="0" w:space="0" w:color="auto"/>
        <w:right w:val="none" w:sz="0" w:space="0" w:color="auto"/>
      </w:divBdr>
    </w:div>
    <w:div w:id="1407846720">
      <w:bodyDiv w:val="1"/>
      <w:marLeft w:val="0"/>
      <w:marRight w:val="0"/>
      <w:marTop w:val="0"/>
      <w:marBottom w:val="0"/>
      <w:divBdr>
        <w:top w:val="none" w:sz="0" w:space="0" w:color="auto"/>
        <w:left w:val="none" w:sz="0" w:space="0" w:color="auto"/>
        <w:bottom w:val="none" w:sz="0" w:space="0" w:color="auto"/>
        <w:right w:val="none" w:sz="0" w:space="0" w:color="auto"/>
      </w:divBdr>
    </w:div>
    <w:div w:id="1407915385">
      <w:bodyDiv w:val="1"/>
      <w:marLeft w:val="0"/>
      <w:marRight w:val="0"/>
      <w:marTop w:val="0"/>
      <w:marBottom w:val="0"/>
      <w:divBdr>
        <w:top w:val="none" w:sz="0" w:space="0" w:color="auto"/>
        <w:left w:val="none" w:sz="0" w:space="0" w:color="auto"/>
        <w:bottom w:val="none" w:sz="0" w:space="0" w:color="auto"/>
        <w:right w:val="none" w:sz="0" w:space="0" w:color="auto"/>
      </w:divBdr>
    </w:div>
    <w:div w:id="1409039960">
      <w:bodyDiv w:val="1"/>
      <w:marLeft w:val="0"/>
      <w:marRight w:val="0"/>
      <w:marTop w:val="0"/>
      <w:marBottom w:val="0"/>
      <w:divBdr>
        <w:top w:val="none" w:sz="0" w:space="0" w:color="auto"/>
        <w:left w:val="none" w:sz="0" w:space="0" w:color="auto"/>
        <w:bottom w:val="none" w:sz="0" w:space="0" w:color="auto"/>
        <w:right w:val="none" w:sz="0" w:space="0" w:color="auto"/>
      </w:divBdr>
    </w:div>
    <w:div w:id="1410925644">
      <w:bodyDiv w:val="1"/>
      <w:marLeft w:val="0"/>
      <w:marRight w:val="0"/>
      <w:marTop w:val="0"/>
      <w:marBottom w:val="0"/>
      <w:divBdr>
        <w:top w:val="none" w:sz="0" w:space="0" w:color="auto"/>
        <w:left w:val="none" w:sz="0" w:space="0" w:color="auto"/>
        <w:bottom w:val="none" w:sz="0" w:space="0" w:color="auto"/>
        <w:right w:val="none" w:sz="0" w:space="0" w:color="auto"/>
      </w:divBdr>
    </w:div>
    <w:div w:id="1416323408">
      <w:bodyDiv w:val="1"/>
      <w:marLeft w:val="0"/>
      <w:marRight w:val="0"/>
      <w:marTop w:val="0"/>
      <w:marBottom w:val="0"/>
      <w:divBdr>
        <w:top w:val="none" w:sz="0" w:space="0" w:color="auto"/>
        <w:left w:val="none" w:sz="0" w:space="0" w:color="auto"/>
        <w:bottom w:val="none" w:sz="0" w:space="0" w:color="auto"/>
        <w:right w:val="none" w:sz="0" w:space="0" w:color="auto"/>
      </w:divBdr>
    </w:div>
    <w:div w:id="1418866913">
      <w:bodyDiv w:val="1"/>
      <w:marLeft w:val="0"/>
      <w:marRight w:val="0"/>
      <w:marTop w:val="0"/>
      <w:marBottom w:val="0"/>
      <w:divBdr>
        <w:top w:val="none" w:sz="0" w:space="0" w:color="auto"/>
        <w:left w:val="none" w:sz="0" w:space="0" w:color="auto"/>
        <w:bottom w:val="none" w:sz="0" w:space="0" w:color="auto"/>
        <w:right w:val="none" w:sz="0" w:space="0" w:color="auto"/>
      </w:divBdr>
    </w:div>
    <w:div w:id="1420637384">
      <w:bodyDiv w:val="1"/>
      <w:marLeft w:val="0"/>
      <w:marRight w:val="0"/>
      <w:marTop w:val="0"/>
      <w:marBottom w:val="0"/>
      <w:divBdr>
        <w:top w:val="none" w:sz="0" w:space="0" w:color="auto"/>
        <w:left w:val="none" w:sz="0" w:space="0" w:color="auto"/>
        <w:bottom w:val="none" w:sz="0" w:space="0" w:color="auto"/>
        <w:right w:val="none" w:sz="0" w:space="0" w:color="auto"/>
      </w:divBdr>
    </w:div>
    <w:div w:id="1425302151">
      <w:bodyDiv w:val="1"/>
      <w:marLeft w:val="0"/>
      <w:marRight w:val="0"/>
      <w:marTop w:val="0"/>
      <w:marBottom w:val="0"/>
      <w:divBdr>
        <w:top w:val="none" w:sz="0" w:space="0" w:color="auto"/>
        <w:left w:val="none" w:sz="0" w:space="0" w:color="auto"/>
        <w:bottom w:val="none" w:sz="0" w:space="0" w:color="auto"/>
        <w:right w:val="none" w:sz="0" w:space="0" w:color="auto"/>
      </w:divBdr>
    </w:div>
    <w:div w:id="1431777034">
      <w:bodyDiv w:val="1"/>
      <w:marLeft w:val="0"/>
      <w:marRight w:val="0"/>
      <w:marTop w:val="0"/>
      <w:marBottom w:val="0"/>
      <w:divBdr>
        <w:top w:val="none" w:sz="0" w:space="0" w:color="auto"/>
        <w:left w:val="none" w:sz="0" w:space="0" w:color="auto"/>
        <w:bottom w:val="none" w:sz="0" w:space="0" w:color="auto"/>
        <w:right w:val="none" w:sz="0" w:space="0" w:color="auto"/>
      </w:divBdr>
    </w:div>
    <w:div w:id="1433237370">
      <w:bodyDiv w:val="1"/>
      <w:marLeft w:val="0"/>
      <w:marRight w:val="0"/>
      <w:marTop w:val="0"/>
      <w:marBottom w:val="0"/>
      <w:divBdr>
        <w:top w:val="none" w:sz="0" w:space="0" w:color="auto"/>
        <w:left w:val="none" w:sz="0" w:space="0" w:color="auto"/>
        <w:bottom w:val="none" w:sz="0" w:space="0" w:color="auto"/>
        <w:right w:val="none" w:sz="0" w:space="0" w:color="auto"/>
      </w:divBdr>
    </w:div>
    <w:div w:id="1440680136">
      <w:bodyDiv w:val="1"/>
      <w:marLeft w:val="0"/>
      <w:marRight w:val="0"/>
      <w:marTop w:val="0"/>
      <w:marBottom w:val="0"/>
      <w:divBdr>
        <w:top w:val="none" w:sz="0" w:space="0" w:color="auto"/>
        <w:left w:val="none" w:sz="0" w:space="0" w:color="auto"/>
        <w:bottom w:val="none" w:sz="0" w:space="0" w:color="auto"/>
        <w:right w:val="none" w:sz="0" w:space="0" w:color="auto"/>
      </w:divBdr>
    </w:div>
    <w:div w:id="1442142273">
      <w:bodyDiv w:val="1"/>
      <w:marLeft w:val="0"/>
      <w:marRight w:val="0"/>
      <w:marTop w:val="0"/>
      <w:marBottom w:val="0"/>
      <w:divBdr>
        <w:top w:val="none" w:sz="0" w:space="0" w:color="auto"/>
        <w:left w:val="none" w:sz="0" w:space="0" w:color="auto"/>
        <w:bottom w:val="none" w:sz="0" w:space="0" w:color="auto"/>
        <w:right w:val="none" w:sz="0" w:space="0" w:color="auto"/>
      </w:divBdr>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
    <w:div w:id="1453204576">
      <w:bodyDiv w:val="1"/>
      <w:marLeft w:val="0"/>
      <w:marRight w:val="0"/>
      <w:marTop w:val="0"/>
      <w:marBottom w:val="0"/>
      <w:divBdr>
        <w:top w:val="none" w:sz="0" w:space="0" w:color="auto"/>
        <w:left w:val="none" w:sz="0" w:space="0" w:color="auto"/>
        <w:bottom w:val="none" w:sz="0" w:space="0" w:color="auto"/>
        <w:right w:val="none" w:sz="0" w:space="0" w:color="auto"/>
      </w:divBdr>
    </w:div>
    <w:div w:id="1458794017">
      <w:bodyDiv w:val="1"/>
      <w:marLeft w:val="0"/>
      <w:marRight w:val="0"/>
      <w:marTop w:val="0"/>
      <w:marBottom w:val="0"/>
      <w:divBdr>
        <w:top w:val="none" w:sz="0" w:space="0" w:color="auto"/>
        <w:left w:val="none" w:sz="0" w:space="0" w:color="auto"/>
        <w:bottom w:val="none" w:sz="0" w:space="0" w:color="auto"/>
        <w:right w:val="none" w:sz="0" w:space="0" w:color="auto"/>
      </w:divBdr>
    </w:div>
    <w:div w:id="1467121541">
      <w:bodyDiv w:val="1"/>
      <w:marLeft w:val="0"/>
      <w:marRight w:val="0"/>
      <w:marTop w:val="0"/>
      <w:marBottom w:val="0"/>
      <w:divBdr>
        <w:top w:val="none" w:sz="0" w:space="0" w:color="auto"/>
        <w:left w:val="none" w:sz="0" w:space="0" w:color="auto"/>
        <w:bottom w:val="none" w:sz="0" w:space="0" w:color="auto"/>
        <w:right w:val="none" w:sz="0" w:space="0" w:color="auto"/>
      </w:divBdr>
    </w:div>
    <w:div w:id="1476411922">
      <w:bodyDiv w:val="1"/>
      <w:marLeft w:val="0"/>
      <w:marRight w:val="0"/>
      <w:marTop w:val="0"/>
      <w:marBottom w:val="0"/>
      <w:divBdr>
        <w:top w:val="none" w:sz="0" w:space="0" w:color="auto"/>
        <w:left w:val="none" w:sz="0" w:space="0" w:color="auto"/>
        <w:bottom w:val="none" w:sz="0" w:space="0" w:color="auto"/>
        <w:right w:val="none" w:sz="0" w:space="0" w:color="auto"/>
      </w:divBdr>
    </w:div>
    <w:div w:id="1487933152">
      <w:bodyDiv w:val="1"/>
      <w:marLeft w:val="0"/>
      <w:marRight w:val="0"/>
      <w:marTop w:val="0"/>
      <w:marBottom w:val="0"/>
      <w:divBdr>
        <w:top w:val="none" w:sz="0" w:space="0" w:color="auto"/>
        <w:left w:val="none" w:sz="0" w:space="0" w:color="auto"/>
        <w:bottom w:val="none" w:sz="0" w:space="0" w:color="auto"/>
        <w:right w:val="none" w:sz="0" w:space="0" w:color="auto"/>
      </w:divBdr>
    </w:div>
    <w:div w:id="1490437952">
      <w:bodyDiv w:val="1"/>
      <w:marLeft w:val="0"/>
      <w:marRight w:val="0"/>
      <w:marTop w:val="0"/>
      <w:marBottom w:val="0"/>
      <w:divBdr>
        <w:top w:val="none" w:sz="0" w:space="0" w:color="auto"/>
        <w:left w:val="none" w:sz="0" w:space="0" w:color="auto"/>
        <w:bottom w:val="none" w:sz="0" w:space="0" w:color="auto"/>
        <w:right w:val="none" w:sz="0" w:space="0" w:color="auto"/>
      </w:divBdr>
    </w:div>
    <w:div w:id="149625964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193006">
      <w:bodyDiv w:val="1"/>
      <w:marLeft w:val="0"/>
      <w:marRight w:val="0"/>
      <w:marTop w:val="0"/>
      <w:marBottom w:val="0"/>
      <w:divBdr>
        <w:top w:val="none" w:sz="0" w:space="0" w:color="auto"/>
        <w:left w:val="none" w:sz="0" w:space="0" w:color="auto"/>
        <w:bottom w:val="none" w:sz="0" w:space="0" w:color="auto"/>
        <w:right w:val="none" w:sz="0" w:space="0" w:color="auto"/>
      </w:divBdr>
    </w:div>
    <w:div w:id="1504272193">
      <w:bodyDiv w:val="1"/>
      <w:marLeft w:val="0"/>
      <w:marRight w:val="0"/>
      <w:marTop w:val="0"/>
      <w:marBottom w:val="0"/>
      <w:divBdr>
        <w:top w:val="none" w:sz="0" w:space="0" w:color="auto"/>
        <w:left w:val="none" w:sz="0" w:space="0" w:color="auto"/>
        <w:bottom w:val="none" w:sz="0" w:space="0" w:color="auto"/>
        <w:right w:val="none" w:sz="0" w:space="0" w:color="auto"/>
      </w:divBdr>
    </w:div>
    <w:div w:id="1510364883">
      <w:bodyDiv w:val="1"/>
      <w:marLeft w:val="0"/>
      <w:marRight w:val="0"/>
      <w:marTop w:val="0"/>
      <w:marBottom w:val="0"/>
      <w:divBdr>
        <w:top w:val="none" w:sz="0" w:space="0" w:color="auto"/>
        <w:left w:val="none" w:sz="0" w:space="0" w:color="auto"/>
        <w:bottom w:val="none" w:sz="0" w:space="0" w:color="auto"/>
        <w:right w:val="none" w:sz="0" w:space="0" w:color="auto"/>
      </w:divBdr>
    </w:div>
    <w:div w:id="1511607312">
      <w:bodyDiv w:val="1"/>
      <w:marLeft w:val="0"/>
      <w:marRight w:val="0"/>
      <w:marTop w:val="0"/>
      <w:marBottom w:val="0"/>
      <w:divBdr>
        <w:top w:val="none" w:sz="0" w:space="0" w:color="auto"/>
        <w:left w:val="none" w:sz="0" w:space="0" w:color="auto"/>
        <w:bottom w:val="none" w:sz="0" w:space="0" w:color="auto"/>
        <w:right w:val="none" w:sz="0" w:space="0" w:color="auto"/>
      </w:divBdr>
    </w:div>
    <w:div w:id="1511673550">
      <w:bodyDiv w:val="1"/>
      <w:marLeft w:val="0"/>
      <w:marRight w:val="0"/>
      <w:marTop w:val="0"/>
      <w:marBottom w:val="0"/>
      <w:divBdr>
        <w:top w:val="none" w:sz="0" w:space="0" w:color="auto"/>
        <w:left w:val="none" w:sz="0" w:space="0" w:color="auto"/>
        <w:bottom w:val="none" w:sz="0" w:space="0" w:color="auto"/>
        <w:right w:val="none" w:sz="0" w:space="0" w:color="auto"/>
      </w:divBdr>
    </w:div>
    <w:div w:id="1512143492">
      <w:bodyDiv w:val="1"/>
      <w:marLeft w:val="0"/>
      <w:marRight w:val="0"/>
      <w:marTop w:val="0"/>
      <w:marBottom w:val="0"/>
      <w:divBdr>
        <w:top w:val="none" w:sz="0" w:space="0" w:color="auto"/>
        <w:left w:val="none" w:sz="0" w:space="0" w:color="auto"/>
        <w:bottom w:val="none" w:sz="0" w:space="0" w:color="auto"/>
        <w:right w:val="none" w:sz="0" w:space="0" w:color="auto"/>
      </w:divBdr>
    </w:div>
    <w:div w:id="1513647088">
      <w:bodyDiv w:val="1"/>
      <w:marLeft w:val="0"/>
      <w:marRight w:val="0"/>
      <w:marTop w:val="0"/>
      <w:marBottom w:val="0"/>
      <w:divBdr>
        <w:top w:val="none" w:sz="0" w:space="0" w:color="auto"/>
        <w:left w:val="none" w:sz="0" w:space="0" w:color="auto"/>
        <w:bottom w:val="none" w:sz="0" w:space="0" w:color="auto"/>
        <w:right w:val="none" w:sz="0" w:space="0" w:color="auto"/>
      </w:divBdr>
    </w:div>
    <w:div w:id="1514224443">
      <w:bodyDiv w:val="1"/>
      <w:marLeft w:val="0"/>
      <w:marRight w:val="0"/>
      <w:marTop w:val="0"/>
      <w:marBottom w:val="0"/>
      <w:divBdr>
        <w:top w:val="none" w:sz="0" w:space="0" w:color="auto"/>
        <w:left w:val="none" w:sz="0" w:space="0" w:color="auto"/>
        <w:bottom w:val="none" w:sz="0" w:space="0" w:color="auto"/>
        <w:right w:val="none" w:sz="0" w:space="0" w:color="auto"/>
      </w:divBdr>
    </w:div>
    <w:div w:id="1526552631">
      <w:bodyDiv w:val="1"/>
      <w:marLeft w:val="0"/>
      <w:marRight w:val="0"/>
      <w:marTop w:val="0"/>
      <w:marBottom w:val="0"/>
      <w:divBdr>
        <w:top w:val="none" w:sz="0" w:space="0" w:color="auto"/>
        <w:left w:val="none" w:sz="0" w:space="0" w:color="auto"/>
        <w:bottom w:val="none" w:sz="0" w:space="0" w:color="auto"/>
        <w:right w:val="none" w:sz="0" w:space="0" w:color="auto"/>
      </w:divBdr>
    </w:div>
    <w:div w:id="1536891116">
      <w:bodyDiv w:val="1"/>
      <w:marLeft w:val="0"/>
      <w:marRight w:val="0"/>
      <w:marTop w:val="0"/>
      <w:marBottom w:val="0"/>
      <w:divBdr>
        <w:top w:val="none" w:sz="0" w:space="0" w:color="auto"/>
        <w:left w:val="none" w:sz="0" w:space="0" w:color="auto"/>
        <w:bottom w:val="none" w:sz="0" w:space="0" w:color="auto"/>
        <w:right w:val="none" w:sz="0" w:space="0" w:color="auto"/>
      </w:divBdr>
    </w:div>
    <w:div w:id="1537426929">
      <w:bodyDiv w:val="1"/>
      <w:marLeft w:val="0"/>
      <w:marRight w:val="0"/>
      <w:marTop w:val="0"/>
      <w:marBottom w:val="0"/>
      <w:divBdr>
        <w:top w:val="none" w:sz="0" w:space="0" w:color="auto"/>
        <w:left w:val="none" w:sz="0" w:space="0" w:color="auto"/>
        <w:bottom w:val="none" w:sz="0" w:space="0" w:color="auto"/>
        <w:right w:val="none" w:sz="0" w:space="0" w:color="auto"/>
      </w:divBdr>
    </w:div>
    <w:div w:id="1538472834">
      <w:bodyDiv w:val="1"/>
      <w:marLeft w:val="0"/>
      <w:marRight w:val="0"/>
      <w:marTop w:val="0"/>
      <w:marBottom w:val="0"/>
      <w:divBdr>
        <w:top w:val="none" w:sz="0" w:space="0" w:color="auto"/>
        <w:left w:val="none" w:sz="0" w:space="0" w:color="auto"/>
        <w:bottom w:val="none" w:sz="0" w:space="0" w:color="auto"/>
        <w:right w:val="none" w:sz="0" w:space="0" w:color="auto"/>
      </w:divBdr>
    </w:div>
    <w:div w:id="1540973107">
      <w:bodyDiv w:val="1"/>
      <w:marLeft w:val="0"/>
      <w:marRight w:val="0"/>
      <w:marTop w:val="0"/>
      <w:marBottom w:val="0"/>
      <w:divBdr>
        <w:top w:val="none" w:sz="0" w:space="0" w:color="auto"/>
        <w:left w:val="none" w:sz="0" w:space="0" w:color="auto"/>
        <w:bottom w:val="none" w:sz="0" w:space="0" w:color="auto"/>
        <w:right w:val="none" w:sz="0" w:space="0" w:color="auto"/>
      </w:divBdr>
    </w:div>
    <w:div w:id="1561208095">
      <w:bodyDiv w:val="1"/>
      <w:marLeft w:val="0"/>
      <w:marRight w:val="0"/>
      <w:marTop w:val="0"/>
      <w:marBottom w:val="0"/>
      <w:divBdr>
        <w:top w:val="none" w:sz="0" w:space="0" w:color="auto"/>
        <w:left w:val="none" w:sz="0" w:space="0" w:color="auto"/>
        <w:bottom w:val="none" w:sz="0" w:space="0" w:color="auto"/>
        <w:right w:val="none" w:sz="0" w:space="0" w:color="auto"/>
      </w:divBdr>
    </w:div>
    <w:div w:id="1579436876">
      <w:bodyDiv w:val="1"/>
      <w:marLeft w:val="0"/>
      <w:marRight w:val="0"/>
      <w:marTop w:val="0"/>
      <w:marBottom w:val="0"/>
      <w:divBdr>
        <w:top w:val="none" w:sz="0" w:space="0" w:color="auto"/>
        <w:left w:val="none" w:sz="0" w:space="0" w:color="auto"/>
        <w:bottom w:val="none" w:sz="0" w:space="0" w:color="auto"/>
        <w:right w:val="none" w:sz="0" w:space="0" w:color="auto"/>
      </w:divBdr>
    </w:div>
    <w:div w:id="1580824479">
      <w:bodyDiv w:val="1"/>
      <w:marLeft w:val="0"/>
      <w:marRight w:val="0"/>
      <w:marTop w:val="0"/>
      <w:marBottom w:val="0"/>
      <w:divBdr>
        <w:top w:val="none" w:sz="0" w:space="0" w:color="auto"/>
        <w:left w:val="none" w:sz="0" w:space="0" w:color="auto"/>
        <w:bottom w:val="none" w:sz="0" w:space="0" w:color="auto"/>
        <w:right w:val="none" w:sz="0" w:space="0" w:color="auto"/>
      </w:divBdr>
    </w:div>
    <w:div w:id="1581138828">
      <w:bodyDiv w:val="1"/>
      <w:marLeft w:val="0"/>
      <w:marRight w:val="0"/>
      <w:marTop w:val="0"/>
      <w:marBottom w:val="0"/>
      <w:divBdr>
        <w:top w:val="none" w:sz="0" w:space="0" w:color="auto"/>
        <w:left w:val="none" w:sz="0" w:space="0" w:color="auto"/>
        <w:bottom w:val="none" w:sz="0" w:space="0" w:color="auto"/>
        <w:right w:val="none" w:sz="0" w:space="0" w:color="auto"/>
      </w:divBdr>
    </w:div>
    <w:div w:id="1582594361">
      <w:bodyDiv w:val="1"/>
      <w:marLeft w:val="0"/>
      <w:marRight w:val="0"/>
      <w:marTop w:val="0"/>
      <w:marBottom w:val="0"/>
      <w:divBdr>
        <w:top w:val="none" w:sz="0" w:space="0" w:color="auto"/>
        <w:left w:val="none" w:sz="0" w:space="0" w:color="auto"/>
        <w:bottom w:val="none" w:sz="0" w:space="0" w:color="auto"/>
        <w:right w:val="none" w:sz="0" w:space="0" w:color="auto"/>
      </w:divBdr>
    </w:div>
    <w:div w:id="1583837479">
      <w:bodyDiv w:val="1"/>
      <w:marLeft w:val="0"/>
      <w:marRight w:val="0"/>
      <w:marTop w:val="0"/>
      <w:marBottom w:val="0"/>
      <w:divBdr>
        <w:top w:val="none" w:sz="0" w:space="0" w:color="auto"/>
        <w:left w:val="none" w:sz="0" w:space="0" w:color="auto"/>
        <w:bottom w:val="none" w:sz="0" w:space="0" w:color="auto"/>
        <w:right w:val="none" w:sz="0" w:space="0" w:color="auto"/>
      </w:divBdr>
    </w:div>
    <w:div w:id="1583876334">
      <w:bodyDiv w:val="1"/>
      <w:marLeft w:val="0"/>
      <w:marRight w:val="0"/>
      <w:marTop w:val="0"/>
      <w:marBottom w:val="0"/>
      <w:divBdr>
        <w:top w:val="none" w:sz="0" w:space="0" w:color="auto"/>
        <w:left w:val="none" w:sz="0" w:space="0" w:color="auto"/>
        <w:bottom w:val="none" w:sz="0" w:space="0" w:color="auto"/>
        <w:right w:val="none" w:sz="0" w:space="0" w:color="auto"/>
      </w:divBdr>
    </w:div>
    <w:div w:id="1591231367">
      <w:bodyDiv w:val="1"/>
      <w:marLeft w:val="0"/>
      <w:marRight w:val="0"/>
      <w:marTop w:val="0"/>
      <w:marBottom w:val="0"/>
      <w:divBdr>
        <w:top w:val="none" w:sz="0" w:space="0" w:color="auto"/>
        <w:left w:val="none" w:sz="0" w:space="0" w:color="auto"/>
        <w:bottom w:val="none" w:sz="0" w:space="0" w:color="auto"/>
        <w:right w:val="none" w:sz="0" w:space="0" w:color="auto"/>
      </w:divBdr>
    </w:div>
    <w:div w:id="1600258466">
      <w:bodyDiv w:val="1"/>
      <w:marLeft w:val="0"/>
      <w:marRight w:val="0"/>
      <w:marTop w:val="0"/>
      <w:marBottom w:val="0"/>
      <w:divBdr>
        <w:top w:val="none" w:sz="0" w:space="0" w:color="auto"/>
        <w:left w:val="none" w:sz="0" w:space="0" w:color="auto"/>
        <w:bottom w:val="none" w:sz="0" w:space="0" w:color="auto"/>
        <w:right w:val="none" w:sz="0" w:space="0" w:color="auto"/>
      </w:divBdr>
    </w:div>
    <w:div w:id="1607344625">
      <w:bodyDiv w:val="1"/>
      <w:marLeft w:val="0"/>
      <w:marRight w:val="0"/>
      <w:marTop w:val="0"/>
      <w:marBottom w:val="0"/>
      <w:divBdr>
        <w:top w:val="none" w:sz="0" w:space="0" w:color="auto"/>
        <w:left w:val="none" w:sz="0" w:space="0" w:color="auto"/>
        <w:bottom w:val="none" w:sz="0" w:space="0" w:color="auto"/>
        <w:right w:val="none" w:sz="0" w:space="0" w:color="auto"/>
      </w:divBdr>
    </w:div>
    <w:div w:id="1618021835">
      <w:bodyDiv w:val="1"/>
      <w:marLeft w:val="0"/>
      <w:marRight w:val="0"/>
      <w:marTop w:val="0"/>
      <w:marBottom w:val="0"/>
      <w:divBdr>
        <w:top w:val="none" w:sz="0" w:space="0" w:color="auto"/>
        <w:left w:val="none" w:sz="0" w:space="0" w:color="auto"/>
        <w:bottom w:val="none" w:sz="0" w:space="0" w:color="auto"/>
        <w:right w:val="none" w:sz="0" w:space="0" w:color="auto"/>
      </w:divBdr>
    </w:div>
    <w:div w:id="1618830183">
      <w:bodyDiv w:val="1"/>
      <w:marLeft w:val="0"/>
      <w:marRight w:val="0"/>
      <w:marTop w:val="0"/>
      <w:marBottom w:val="0"/>
      <w:divBdr>
        <w:top w:val="none" w:sz="0" w:space="0" w:color="auto"/>
        <w:left w:val="none" w:sz="0" w:space="0" w:color="auto"/>
        <w:bottom w:val="none" w:sz="0" w:space="0" w:color="auto"/>
        <w:right w:val="none" w:sz="0" w:space="0" w:color="auto"/>
      </w:divBdr>
    </w:div>
    <w:div w:id="1621065143">
      <w:bodyDiv w:val="1"/>
      <w:marLeft w:val="0"/>
      <w:marRight w:val="0"/>
      <w:marTop w:val="0"/>
      <w:marBottom w:val="0"/>
      <w:divBdr>
        <w:top w:val="none" w:sz="0" w:space="0" w:color="auto"/>
        <w:left w:val="none" w:sz="0" w:space="0" w:color="auto"/>
        <w:bottom w:val="none" w:sz="0" w:space="0" w:color="auto"/>
        <w:right w:val="none" w:sz="0" w:space="0" w:color="auto"/>
      </w:divBdr>
    </w:div>
    <w:div w:id="1625385764">
      <w:bodyDiv w:val="1"/>
      <w:marLeft w:val="0"/>
      <w:marRight w:val="0"/>
      <w:marTop w:val="0"/>
      <w:marBottom w:val="0"/>
      <w:divBdr>
        <w:top w:val="none" w:sz="0" w:space="0" w:color="auto"/>
        <w:left w:val="none" w:sz="0" w:space="0" w:color="auto"/>
        <w:bottom w:val="none" w:sz="0" w:space="0" w:color="auto"/>
        <w:right w:val="none" w:sz="0" w:space="0" w:color="auto"/>
      </w:divBdr>
    </w:div>
    <w:div w:id="1627276266">
      <w:bodyDiv w:val="1"/>
      <w:marLeft w:val="0"/>
      <w:marRight w:val="0"/>
      <w:marTop w:val="0"/>
      <w:marBottom w:val="0"/>
      <w:divBdr>
        <w:top w:val="none" w:sz="0" w:space="0" w:color="auto"/>
        <w:left w:val="none" w:sz="0" w:space="0" w:color="auto"/>
        <w:bottom w:val="none" w:sz="0" w:space="0" w:color="auto"/>
        <w:right w:val="none" w:sz="0" w:space="0" w:color="auto"/>
      </w:divBdr>
    </w:div>
    <w:div w:id="1636447227">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1379536">
      <w:bodyDiv w:val="1"/>
      <w:marLeft w:val="0"/>
      <w:marRight w:val="0"/>
      <w:marTop w:val="0"/>
      <w:marBottom w:val="0"/>
      <w:divBdr>
        <w:top w:val="none" w:sz="0" w:space="0" w:color="auto"/>
        <w:left w:val="none" w:sz="0" w:space="0" w:color="auto"/>
        <w:bottom w:val="none" w:sz="0" w:space="0" w:color="auto"/>
        <w:right w:val="none" w:sz="0" w:space="0" w:color="auto"/>
      </w:divBdr>
    </w:div>
    <w:div w:id="1644236662">
      <w:bodyDiv w:val="1"/>
      <w:marLeft w:val="0"/>
      <w:marRight w:val="0"/>
      <w:marTop w:val="0"/>
      <w:marBottom w:val="0"/>
      <w:divBdr>
        <w:top w:val="none" w:sz="0" w:space="0" w:color="auto"/>
        <w:left w:val="none" w:sz="0" w:space="0" w:color="auto"/>
        <w:bottom w:val="none" w:sz="0" w:space="0" w:color="auto"/>
        <w:right w:val="none" w:sz="0" w:space="0" w:color="auto"/>
      </w:divBdr>
    </w:div>
    <w:div w:id="1645886599">
      <w:bodyDiv w:val="1"/>
      <w:marLeft w:val="0"/>
      <w:marRight w:val="0"/>
      <w:marTop w:val="0"/>
      <w:marBottom w:val="0"/>
      <w:divBdr>
        <w:top w:val="none" w:sz="0" w:space="0" w:color="auto"/>
        <w:left w:val="none" w:sz="0" w:space="0" w:color="auto"/>
        <w:bottom w:val="none" w:sz="0" w:space="0" w:color="auto"/>
        <w:right w:val="none" w:sz="0" w:space="0" w:color="auto"/>
      </w:divBdr>
    </w:div>
    <w:div w:id="1648129002">
      <w:bodyDiv w:val="1"/>
      <w:marLeft w:val="0"/>
      <w:marRight w:val="0"/>
      <w:marTop w:val="0"/>
      <w:marBottom w:val="0"/>
      <w:divBdr>
        <w:top w:val="none" w:sz="0" w:space="0" w:color="auto"/>
        <w:left w:val="none" w:sz="0" w:space="0" w:color="auto"/>
        <w:bottom w:val="none" w:sz="0" w:space="0" w:color="auto"/>
        <w:right w:val="none" w:sz="0" w:space="0" w:color="auto"/>
      </w:divBdr>
    </w:div>
    <w:div w:id="1653220154">
      <w:bodyDiv w:val="1"/>
      <w:marLeft w:val="0"/>
      <w:marRight w:val="0"/>
      <w:marTop w:val="0"/>
      <w:marBottom w:val="0"/>
      <w:divBdr>
        <w:top w:val="none" w:sz="0" w:space="0" w:color="auto"/>
        <w:left w:val="none" w:sz="0" w:space="0" w:color="auto"/>
        <w:bottom w:val="none" w:sz="0" w:space="0" w:color="auto"/>
        <w:right w:val="none" w:sz="0" w:space="0" w:color="auto"/>
      </w:divBdr>
    </w:div>
    <w:div w:id="1656833970">
      <w:bodyDiv w:val="1"/>
      <w:marLeft w:val="0"/>
      <w:marRight w:val="0"/>
      <w:marTop w:val="0"/>
      <w:marBottom w:val="0"/>
      <w:divBdr>
        <w:top w:val="none" w:sz="0" w:space="0" w:color="auto"/>
        <w:left w:val="none" w:sz="0" w:space="0" w:color="auto"/>
        <w:bottom w:val="none" w:sz="0" w:space="0" w:color="auto"/>
        <w:right w:val="none" w:sz="0" w:space="0" w:color="auto"/>
      </w:divBdr>
    </w:div>
    <w:div w:id="1658916115">
      <w:bodyDiv w:val="1"/>
      <w:marLeft w:val="0"/>
      <w:marRight w:val="0"/>
      <w:marTop w:val="0"/>
      <w:marBottom w:val="0"/>
      <w:divBdr>
        <w:top w:val="none" w:sz="0" w:space="0" w:color="auto"/>
        <w:left w:val="none" w:sz="0" w:space="0" w:color="auto"/>
        <w:bottom w:val="none" w:sz="0" w:space="0" w:color="auto"/>
        <w:right w:val="none" w:sz="0" w:space="0" w:color="auto"/>
      </w:divBdr>
    </w:div>
    <w:div w:id="1662271722">
      <w:bodyDiv w:val="1"/>
      <w:marLeft w:val="0"/>
      <w:marRight w:val="0"/>
      <w:marTop w:val="0"/>
      <w:marBottom w:val="0"/>
      <w:divBdr>
        <w:top w:val="none" w:sz="0" w:space="0" w:color="auto"/>
        <w:left w:val="none" w:sz="0" w:space="0" w:color="auto"/>
        <w:bottom w:val="none" w:sz="0" w:space="0" w:color="auto"/>
        <w:right w:val="none" w:sz="0" w:space="0" w:color="auto"/>
      </w:divBdr>
    </w:div>
    <w:div w:id="1679237100">
      <w:bodyDiv w:val="1"/>
      <w:marLeft w:val="0"/>
      <w:marRight w:val="0"/>
      <w:marTop w:val="0"/>
      <w:marBottom w:val="0"/>
      <w:divBdr>
        <w:top w:val="none" w:sz="0" w:space="0" w:color="auto"/>
        <w:left w:val="none" w:sz="0" w:space="0" w:color="auto"/>
        <w:bottom w:val="none" w:sz="0" w:space="0" w:color="auto"/>
        <w:right w:val="none" w:sz="0" w:space="0" w:color="auto"/>
      </w:divBdr>
    </w:div>
    <w:div w:id="1686982040">
      <w:bodyDiv w:val="1"/>
      <w:marLeft w:val="0"/>
      <w:marRight w:val="0"/>
      <w:marTop w:val="0"/>
      <w:marBottom w:val="0"/>
      <w:divBdr>
        <w:top w:val="none" w:sz="0" w:space="0" w:color="auto"/>
        <w:left w:val="none" w:sz="0" w:space="0" w:color="auto"/>
        <w:bottom w:val="none" w:sz="0" w:space="0" w:color="auto"/>
        <w:right w:val="none" w:sz="0" w:space="0" w:color="auto"/>
      </w:divBdr>
    </w:div>
    <w:div w:id="1695644951">
      <w:bodyDiv w:val="1"/>
      <w:marLeft w:val="0"/>
      <w:marRight w:val="0"/>
      <w:marTop w:val="0"/>
      <w:marBottom w:val="0"/>
      <w:divBdr>
        <w:top w:val="none" w:sz="0" w:space="0" w:color="auto"/>
        <w:left w:val="none" w:sz="0" w:space="0" w:color="auto"/>
        <w:bottom w:val="none" w:sz="0" w:space="0" w:color="auto"/>
        <w:right w:val="none" w:sz="0" w:space="0" w:color="auto"/>
      </w:divBdr>
    </w:div>
    <w:div w:id="1697271708">
      <w:bodyDiv w:val="1"/>
      <w:marLeft w:val="0"/>
      <w:marRight w:val="0"/>
      <w:marTop w:val="0"/>
      <w:marBottom w:val="0"/>
      <w:divBdr>
        <w:top w:val="none" w:sz="0" w:space="0" w:color="auto"/>
        <w:left w:val="none" w:sz="0" w:space="0" w:color="auto"/>
        <w:bottom w:val="none" w:sz="0" w:space="0" w:color="auto"/>
        <w:right w:val="none" w:sz="0" w:space="0" w:color="auto"/>
      </w:divBdr>
    </w:div>
    <w:div w:id="1698384676">
      <w:bodyDiv w:val="1"/>
      <w:marLeft w:val="0"/>
      <w:marRight w:val="0"/>
      <w:marTop w:val="0"/>
      <w:marBottom w:val="0"/>
      <w:divBdr>
        <w:top w:val="none" w:sz="0" w:space="0" w:color="auto"/>
        <w:left w:val="none" w:sz="0" w:space="0" w:color="auto"/>
        <w:bottom w:val="none" w:sz="0" w:space="0" w:color="auto"/>
        <w:right w:val="none" w:sz="0" w:space="0" w:color="auto"/>
      </w:divBdr>
    </w:div>
    <w:div w:id="1698850068">
      <w:bodyDiv w:val="1"/>
      <w:marLeft w:val="0"/>
      <w:marRight w:val="0"/>
      <w:marTop w:val="0"/>
      <w:marBottom w:val="0"/>
      <w:divBdr>
        <w:top w:val="none" w:sz="0" w:space="0" w:color="auto"/>
        <w:left w:val="none" w:sz="0" w:space="0" w:color="auto"/>
        <w:bottom w:val="none" w:sz="0" w:space="0" w:color="auto"/>
        <w:right w:val="none" w:sz="0" w:space="0" w:color="auto"/>
      </w:divBdr>
    </w:div>
    <w:div w:id="1700659567">
      <w:bodyDiv w:val="1"/>
      <w:marLeft w:val="0"/>
      <w:marRight w:val="0"/>
      <w:marTop w:val="0"/>
      <w:marBottom w:val="0"/>
      <w:divBdr>
        <w:top w:val="none" w:sz="0" w:space="0" w:color="auto"/>
        <w:left w:val="none" w:sz="0" w:space="0" w:color="auto"/>
        <w:bottom w:val="none" w:sz="0" w:space="0" w:color="auto"/>
        <w:right w:val="none" w:sz="0" w:space="0" w:color="auto"/>
      </w:divBdr>
    </w:div>
    <w:div w:id="1704943595">
      <w:bodyDiv w:val="1"/>
      <w:marLeft w:val="0"/>
      <w:marRight w:val="0"/>
      <w:marTop w:val="0"/>
      <w:marBottom w:val="0"/>
      <w:divBdr>
        <w:top w:val="none" w:sz="0" w:space="0" w:color="auto"/>
        <w:left w:val="none" w:sz="0" w:space="0" w:color="auto"/>
        <w:bottom w:val="none" w:sz="0" w:space="0" w:color="auto"/>
        <w:right w:val="none" w:sz="0" w:space="0" w:color="auto"/>
      </w:divBdr>
    </w:div>
    <w:div w:id="1709917483">
      <w:bodyDiv w:val="1"/>
      <w:marLeft w:val="0"/>
      <w:marRight w:val="0"/>
      <w:marTop w:val="0"/>
      <w:marBottom w:val="0"/>
      <w:divBdr>
        <w:top w:val="none" w:sz="0" w:space="0" w:color="auto"/>
        <w:left w:val="none" w:sz="0" w:space="0" w:color="auto"/>
        <w:bottom w:val="none" w:sz="0" w:space="0" w:color="auto"/>
        <w:right w:val="none" w:sz="0" w:space="0" w:color="auto"/>
      </w:divBdr>
    </w:div>
    <w:div w:id="1711881708">
      <w:bodyDiv w:val="1"/>
      <w:marLeft w:val="0"/>
      <w:marRight w:val="0"/>
      <w:marTop w:val="0"/>
      <w:marBottom w:val="0"/>
      <w:divBdr>
        <w:top w:val="none" w:sz="0" w:space="0" w:color="auto"/>
        <w:left w:val="none" w:sz="0" w:space="0" w:color="auto"/>
        <w:bottom w:val="none" w:sz="0" w:space="0" w:color="auto"/>
        <w:right w:val="none" w:sz="0" w:space="0" w:color="auto"/>
      </w:divBdr>
    </w:div>
    <w:div w:id="1716078312">
      <w:bodyDiv w:val="1"/>
      <w:marLeft w:val="0"/>
      <w:marRight w:val="0"/>
      <w:marTop w:val="0"/>
      <w:marBottom w:val="0"/>
      <w:divBdr>
        <w:top w:val="none" w:sz="0" w:space="0" w:color="auto"/>
        <w:left w:val="none" w:sz="0" w:space="0" w:color="auto"/>
        <w:bottom w:val="none" w:sz="0" w:space="0" w:color="auto"/>
        <w:right w:val="none" w:sz="0" w:space="0" w:color="auto"/>
      </w:divBdr>
    </w:div>
    <w:div w:id="1716613265">
      <w:bodyDiv w:val="1"/>
      <w:marLeft w:val="0"/>
      <w:marRight w:val="0"/>
      <w:marTop w:val="0"/>
      <w:marBottom w:val="0"/>
      <w:divBdr>
        <w:top w:val="none" w:sz="0" w:space="0" w:color="auto"/>
        <w:left w:val="none" w:sz="0" w:space="0" w:color="auto"/>
        <w:bottom w:val="none" w:sz="0" w:space="0" w:color="auto"/>
        <w:right w:val="none" w:sz="0" w:space="0" w:color="auto"/>
      </w:divBdr>
    </w:div>
    <w:div w:id="1717466304">
      <w:bodyDiv w:val="1"/>
      <w:marLeft w:val="0"/>
      <w:marRight w:val="0"/>
      <w:marTop w:val="0"/>
      <w:marBottom w:val="0"/>
      <w:divBdr>
        <w:top w:val="none" w:sz="0" w:space="0" w:color="auto"/>
        <w:left w:val="none" w:sz="0" w:space="0" w:color="auto"/>
        <w:bottom w:val="none" w:sz="0" w:space="0" w:color="auto"/>
        <w:right w:val="none" w:sz="0" w:space="0" w:color="auto"/>
      </w:divBdr>
    </w:div>
    <w:div w:id="1718310576">
      <w:bodyDiv w:val="1"/>
      <w:marLeft w:val="0"/>
      <w:marRight w:val="0"/>
      <w:marTop w:val="0"/>
      <w:marBottom w:val="0"/>
      <w:divBdr>
        <w:top w:val="none" w:sz="0" w:space="0" w:color="auto"/>
        <w:left w:val="none" w:sz="0" w:space="0" w:color="auto"/>
        <w:bottom w:val="none" w:sz="0" w:space="0" w:color="auto"/>
        <w:right w:val="none" w:sz="0" w:space="0" w:color="auto"/>
      </w:divBdr>
    </w:div>
    <w:div w:id="1719015617">
      <w:bodyDiv w:val="1"/>
      <w:marLeft w:val="0"/>
      <w:marRight w:val="0"/>
      <w:marTop w:val="0"/>
      <w:marBottom w:val="0"/>
      <w:divBdr>
        <w:top w:val="none" w:sz="0" w:space="0" w:color="auto"/>
        <w:left w:val="none" w:sz="0" w:space="0" w:color="auto"/>
        <w:bottom w:val="none" w:sz="0" w:space="0" w:color="auto"/>
        <w:right w:val="none" w:sz="0" w:space="0" w:color="auto"/>
      </w:divBdr>
    </w:div>
    <w:div w:id="1719625449">
      <w:bodyDiv w:val="1"/>
      <w:marLeft w:val="0"/>
      <w:marRight w:val="0"/>
      <w:marTop w:val="0"/>
      <w:marBottom w:val="0"/>
      <w:divBdr>
        <w:top w:val="none" w:sz="0" w:space="0" w:color="auto"/>
        <w:left w:val="none" w:sz="0" w:space="0" w:color="auto"/>
        <w:bottom w:val="none" w:sz="0" w:space="0" w:color="auto"/>
        <w:right w:val="none" w:sz="0" w:space="0" w:color="auto"/>
      </w:divBdr>
    </w:div>
    <w:div w:id="1720590099">
      <w:bodyDiv w:val="1"/>
      <w:marLeft w:val="0"/>
      <w:marRight w:val="0"/>
      <w:marTop w:val="0"/>
      <w:marBottom w:val="0"/>
      <w:divBdr>
        <w:top w:val="none" w:sz="0" w:space="0" w:color="auto"/>
        <w:left w:val="none" w:sz="0" w:space="0" w:color="auto"/>
        <w:bottom w:val="none" w:sz="0" w:space="0" w:color="auto"/>
        <w:right w:val="none" w:sz="0" w:space="0" w:color="auto"/>
      </w:divBdr>
    </w:div>
    <w:div w:id="1723166315">
      <w:bodyDiv w:val="1"/>
      <w:marLeft w:val="0"/>
      <w:marRight w:val="0"/>
      <w:marTop w:val="0"/>
      <w:marBottom w:val="0"/>
      <w:divBdr>
        <w:top w:val="none" w:sz="0" w:space="0" w:color="auto"/>
        <w:left w:val="none" w:sz="0" w:space="0" w:color="auto"/>
        <w:bottom w:val="none" w:sz="0" w:space="0" w:color="auto"/>
        <w:right w:val="none" w:sz="0" w:space="0" w:color="auto"/>
      </w:divBdr>
    </w:div>
    <w:div w:id="1727214144">
      <w:bodyDiv w:val="1"/>
      <w:marLeft w:val="0"/>
      <w:marRight w:val="0"/>
      <w:marTop w:val="0"/>
      <w:marBottom w:val="0"/>
      <w:divBdr>
        <w:top w:val="none" w:sz="0" w:space="0" w:color="auto"/>
        <w:left w:val="none" w:sz="0" w:space="0" w:color="auto"/>
        <w:bottom w:val="none" w:sz="0" w:space="0" w:color="auto"/>
        <w:right w:val="none" w:sz="0" w:space="0" w:color="auto"/>
      </w:divBdr>
    </w:div>
    <w:div w:id="1732121268">
      <w:bodyDiv w:val="1"/>
      <w:marLeft w:val="0"/>
      <w:marRight w:val="0"/>
      <w:marTop w:val="0"/>
      <w:marBottom w:val="0"/>
      <w:divBdr>
        <w:top w:val="none" w:sz="0" w:space="0" w:color="auto"/>
        <w:left w:val="none" w:sz="0" w:space="0" w:color="auto"/>
        <w:bottom w:val="none" w:sz="0" w:space="0" w:color="auto"/>
        <w:right w:val="none" w:sz="0" w:space="0" w:color="auto"/>
      </w:divBdr>
    </w:div>
    <w:div w:id="1733649016">
      <w:bodyDiv w:val="1"/>
      <w:marLeft w:val="0"/>
      <w:marRight w:val="0"/>
      <w:marTop w:val="0"/>
      <w:marBottom w:val="0"/>
      <w:divBdr>
        <w:top w:val="none" w:sz="0" w:space="0" w:color="auto"/>
        <w:left w:val="none" w:sz="0" w:space="0" w:color="auto"/>
        <w:bottom w:val="none" w:sz="0" w:space="0" w:color="auto"/>
        <w:right w:val="none" w:sz="0" w:space="0" w:color="auto"/>
      </w:divBdr>
    </w:div>
    <w:div w:id="1734504644">
      <w:bodyDiv w:val="1"/>
      <w:marLeft w:val="0"/>
      <w:marRight w:val="0"/>
      <w:marTop w:val="0"/>
      <w:marBottom w:val="0"/>
      <w:divBdr>
        <w:top w:val="none" w:sz="0" w:space="0" w:color="auto"/>
        <w:left w:val="none" w:sz="0" w:space="0" w:color="auto"/>
        <w:bottom w:val="none" w:sz="0" w:space="0" w:color="auto"/>
        <w:right w:val="none" w:sz="0" w:space="0" w:color="auto"/>
      </w:divBdr>
    </w:div>
    <w:div w:id="1741714053">
      <w:bodyDiv w:val="1"/>
      <w:marLeft w:val="0"/>
      <w:marRight w:val="0"/>
      <w:marTop w:val="0"/>
      <w:marBottom w:val="0"/>
      <w:divBdr>
        <w:top w:val="none" w:sz="0" w:space="0" w:color="auto"/>
        <w:left w:val="none" w:sz="0" w:space="0" w:color="auto"/>
        <w:bottom w:val="none" w:sz="0" w:space="0" w:color="auto"/>
        <w:right w:val="none" w:sz="0" w:space="0" w:color="auto"/>
      </w:divBdr>
    </w:div>
    <w:div w:id="1742016741">
      <w:bodyDiv w:val="1"/>
      <w:marLeft w:val="0"/>
      <w:marRight w:val="0"/>
      <w:marTop w:val="0"/>
      <w:marBottom w:val="0"/>
      <w:divBdr>
        <w:top w:val="none" w:sz="0" w:space="0" w:color="auto"/>
        <w:left w:val="none" w:sz="0" w:space="0" w:color="auto"/>
        <w:bottom w:val="none" w:sz="0" w:space="0" w:color="auto"/>
        <w:right w:val="none" w:sz="0" w:space="0" w:color="auto"/>
      </w:divBdr>
    </w:div>
    <w:div w:id="1754429541">
      <w:bodyDiv w:val="1"/>
      <w:marLeft w:val="0"/>
      <w:marRight w:val="0"/>
      <w:marTop w:val="0"/>
      <w:marBottom w:val="0"/>
      <w:divBdr>
        <w:top w:val="none" w:sz="0" w:space="0" w:color="auto"/>
        <w:left w:val="none" w:sz="0" w:space="0" w:color="auto"/>
        <w:bottom w:val="none" w:sz="0" w:space="0" w:color="auto"/>
        <w:right w:val="none" w:sz="0" w:space="0" w:color="auto"/>
      </w:divBdr>
    </w:div>
    <w:div w:id="1754626581">
      <w:bodyDiv w:val="1"/>
      <w:marLeft w:val="0"/>
      <w:marRight w:val="0"/>
      <w:marTop w:val="0"/>
      <w:marBottom w:val="0"/>
      <w:divBdr>
        <w:top w:val="none" w:sz="0" w:space="0" w:color="auto"/>
        <w:left w:val="none" w:sz="0" w:space="0" w:color="auto"/>
        <w:bottom w:val="none" w:sz="0" w:space="0" w:color="auto"/>
        <w:right w:val="none" w:sz="0" w:space="0" w:color="auto"/>
      </w:divBdr>
    </w:div>
    <w:div w:id="1755858611">
      <w:bodyDiv w:val="1"/>
      <w:marLeft w:val="0"/>
      <w:marRight w:val="0"/>
      <w:marTop w:val="0"/>
      <w:marBottom w:val="0"/>
      <w:divBdr>
        <w:top w:val="none" w:sz="0" w:space="0" w:color="auto"/>
        <w:left w:val="none" w:sz="0" w:space="0" w:color="auto"/>
        <w:bottom w:val="none" w:sz="0" w:space="0" w:color="auto"/>
        <w:right w:val="none" w:sz="0" w:space="0" w:color="auto"/>
      </w:divBdr>
    </w:div>
    <w:div w:id="1762218617">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344487">
      <w:bodyDiv w:val="1"/>
      <w:marLeft w:val="0"/>
      <w:marRight w:val="0"/>
      <w:marTop w:val="0"/>
      <w:marBottom w:val="0"/>
      <w:divBdr>
        <w:top w:val="none" w:sz="0" w:space="0" w:color="auto"/>
        <w:left w:val="none" w:sz="0" w:space="0" w:color="auto"/>
        <w:bottom w:val="none" w:sz="0" w:space="0" w:color="auto"/>
        <w:right w:val="none" w:sz="0" w:space="0" w:color="auto"/>
      </w:divBdr>
    </w:div>
    <w:div w:id="1775512531">
      <w:bodyDiv w:val="1"/>
      <w:marLeft w:val="0"/>
      <w:marRight w:val="0"/>
      <w:marTop w:val="0"/>
      <w:marBottom w:val="0"/>
      <w:divBdr>
        <w:top w:val="none" w:sz="0" w:space="0" w:color="auto"/>
        <w:left w:val="none" w:sz="0" w:space="0" w:color="auto"/>
        <w:bottom w:val="none" w:sz="0" w:space="0" w:color="auto"/>
        <w:right w:val="none" w:sz="0" w:space="0" w:color="auto"/>
      </w:divBdr>
    </w:div>
    <w:div w:id="1776751359">
      <w:bodyDiv w:val="1"/>
      <w:marLeft w:val="0"/>
      <w:marRight w:val="0"/>
      <w:marTop w:val="0"/>
      <w:marBottom w:val="0"/>
      <w:divBdr>
        <w:top w:val="none" w:sz="0" w:space="0" w:color="auto"/>
        <w:left w:val="none" w:sz="0" w:space="0" w:color="auto"/>
        <w:bottom w:val="none" w:sz="0" w:space="0" w:color="auto"/>
        <w:right w:val="none" w:sz="0" w:space="0" w:color="auto"/>
      </w:divBdr>
    </w:div>
    <w:div w:id="1783377632">
      <w:bodyDiv w:val="1"/>
      <w:marLeft w:val="0"/>
      <w:marRight w:val="0"/>
      <w:marTop w:val="0"/>
      <w:marBottom w:val="0"/>
      <w:divBdr>
        <w:top w:val="none" w:sz="0" w:space="0" w:color="auto"/>
        <w:left w:val="none" w:sz="0" w:space="0" w:color="auto"/>
        <w:bottom w:val="none" w:sz="0" w:space="0" w:color="auto"/>
        <w:right w:val="none" w:sz="0" w:space="0" w:color="auto"/>
      </w:divBdr>
    </w:div>
    <w:div w:id="1784156160">
      <w:bodyDiv w:val="1"/>
      <w:marLeft w:val="0"/>
      <w:marRight w:val="0"/>
      <w:marTop w:val="0"/>
      <w:marBottom w:val="0"/>
      <w:divBdr>
        <w:top w:val="none" w:sz="0" w:space="0" w:color="auto"/>
        <w:left w:val="none" w:sz="0" w:space="0" w:color="auto"/>
        <w:bottom w:val="none" w:sz="0" w:space="0" w:color="auto"/>
        <w:right w:val="none" w:sz="0" w:space="0" w:color="auto"/>
      </w:divBdr>
    </w:div>
    <w:div w:id="1787774923">
      <w:bodyDiv w:val="1"/>
      <w:marLeft w:val="0"/>
      <w:marRight w:val="0"/>
      <w:marTop w:val="0"/>
      <w:marBottom w:val="0"/>
      <w:divBdr>
        <w:top w:val="none" w:sz="0" w:space="0" w:color="auto"/>
        <w:left w:val="none" w:sz="0" w:space="0" w:color="auto"/>
        <w:bottom w:val="none" w:sz="0" w:space="0" w:color="auto"/>
        <w:right w:val="none" w:sz="0" w:space="0" w:color="auto"/>
      </w:divBdr>
    </w:div>
    <w:div w:id="1790852175">
      <w:bodyDiv w:val="1"/>
      <w:marLeft w:val="0"/>
      <w:marRight w:val="0"/>
      <w:marTop w:val="0"/>
      <w:marBottom w:val="0"/>
      <w:divBdr>
        <w:top w:val="none" w:sz="0" w:space="0" w:color="auto"/>
        <w:left w:val="none" w:sz="0" w:space="0" w:color="auto"/>
        <w:bottom w:val="none" w:sz="0" w:space="0" w:color="auto"/>
        <w:right w:val="none" w:sz="0" w:space="0" w:color="auto"/>
      </w:divBdr>
    </w:div>
    <w:div w:id="1793594026">
      <w:bodyDiv w:val="1"/>
      <w:marLeft w:val="0"/>
      <w:marRight w:val="0"/>
      <w:marTop w:val="0"/>
      <w:marBottom w:val="0"/>
      <w:divBdr>
        <w:top w:val="none" w:sz="0" w:space="0" w:color="auto"/>
        <w:left w:val="none" w:sz="0" w:space="0" w:color="auto"/>
        <w:bottom w:val="none" w:sz="0" w:space="0" w:color="auto"/>
        <w:right w:val="none" w:sz="0" w:space="0" w:color="auto"/>
      </w:divBdr>
    </w:div>
    <w:div w:id="1798454217">
      <w:bodyDiv w:val="1"/>
      <w:marLeft w:val="0"/>
      <w:marRight w:val="0"/>
      <w:marTop w:val="0"/>
      <w:marBottom w:val="0"/>
      <w:divBdr>
        <w:top w:val="none" w:sz="0" w:space="0" w:color="auto"/>
        <w:left w:val="none" w:sz="0" w:space="0" w:color="auto"/>
        <w:bottom w:val="none" w:sz="0" w:space="0" w:color="auto"/>
        <w:right w:val="none" w:sz="0" w:space="0" w:color="auto"/>
      </w:divBdr>
    </w:div>
    <w:div w:id="1807703703">
      <w:bodyDiv w:val="1"/>
      <w:marLeft w:val="0"/>
      <w:marRight w:val="0"/>
      <w:marTop w:val="0"/>
      <w:marBottom w:val="0"/>
      <w:divBdr>
        <w:top w:val="none" w:sz="0" w:space="0" w:color="auto"/>
        <w:left w:val="none" w:sz="0" w:space="0" w:color="auto"/>
        <w:bottom w:val="none" w:sz="0" w:space="0" w:color="auto"/>
        <w:right w:val="none" w:sz="0" w:space="0" w:color="auto"/>
      </w:divBdr>
    </w:div>
    <w:div w:id="1808547145">
      <w:bodyDiv w:val="1"/>
      <w:marLeft w:val="0"/>
      <w:marRight w:val="0"/>
      <w:marTop w:val="0"/>
      <w:marBottom w:val="0"/>
      <w:divBdr>
        <w:top w:val="none" w:sz="0" w:space="0" w:color="auto"/>
        <w:left w:val="none" w:sz="0" w:space="0" w:color="auto"/>
        <w:bottom w:val="none" w:sz="0" w:space="0" w:color="auto"/>
        <w:right w:val="none" w:sz="0" w:space="0" w:color="auto"/>
      </w:divBdr>
    </w:div>
    <w:div w:id="1813015204">
      <w:bodyDiv w:val="1"/>
      <w:marLeft w:val="0"/>
      <w:marRight w:val="0"/>
      <w:marTop w:val="0"/>
      <w:marBottom w:val="0"/>
      <w:divBdr>
        <w:top w:val="none" w:sz="0" w:space="0" w:color="auto"/>
        <w:left w:val="none" w:sz="0" w:space="0" w:color="auto"/>
        <w:bottom w:val="none" w:sz="0" w:space="0" w:color="auto"/>
        <w:right w:val="none" w:sz="0" w:space="0" w:color="auto"/>
      </w:divBdr>
    </w:div>
    <w:div w:id="1814323638">
      <w:bodyDiv w:val="1"/>
      <w:marLeft w:val="0"/>
      <w:marRight w:val="0"/>
      <w:marTop w:val="0"/>
      <w:marBottom w:val="0"/>
      <w:divBdr>
        <w:top w:val="none" w:sz="0" w:space="0" w:color="auto"/>
        <w:left w:val="none" w:sz="0" w:space="0" w:color="auto"/>
        <w:bottom w:val="none" w:sz="0" w:space="0" w:color="auto"/>
        <w:right w:val="none" w:sz="0" w:space="0" w:color="auto"/>
      </w:divBdr>
    </w:div>
    <w:div w:id="1823036247">
      <w:bodyDiv w:val="1"/>
      <w:marLeft w:val="0"/>
      <w:marRight w:val="0"/>
      <w:marTop w:val="0"/>
      <w:marBottom w:val="0"/>
      <w:divBdr>
        <w:top w:val="none" w:sz="0" w:space="0" w:color="auto"/>
        <w:left w:val="none" w:sz="0" w:space="0" w:color="auto"/>
        <w:bottom w:val="none" w:sz="0" w:space="0" w:color="auto"/>
        <w:right w:val="none" w:sz="0" w:space="0" w:color="auto"/>
      </w:divBdr>
    </w:div>
    <w:div w:id="1824658894">
      <w:bodyDiv w:val="1"/>
      <w:marLeft w:val="0"/>
      <w:marRight w:val="0"/>
      <w:marTop w:val="0"/>
      <w:marBottom w:val="0"/>
      <w:divBdr>
        <w:top w:val="none" w:sz="0" w:space="0" w:color="auto"/>
        <w:left w:val="none" w:sz="0" w:space="0" w:color="auto"/>
        <w:bottom w:val="none" w:sz="0" w:space="0" w:color="auto"/>
        <w:right w:val="none" w:sz="0" w:space="0" w:color="auto"/>
      </w:divBdr>
    </w:div>
    <w:div w:id="1843935295">
      <w:bodyDiv w:val="1"/>
      <w:marLeft w:val="0"/>
      <w:marRight w:val="0"/>
      <w:marTop w:val="0"/>
      <w:marBottom w:val="0"/>
      <w:divBdr>
        <w:top w:val="none" w:sz="0" w:space="0" w:color="auto"/>
        <w:left w:val="none" w:sz="0" w:space="0" w:color="auto"/>
        <w:bottom w:val="none" w:sz="0" w:space="0" w:color="auto"/>
        <w:right w:val="none" w:sz="0" w:space="0" w:color="auto"/>
      </w:divBdr>
    </w:div>
    <w:div w:id="1846675981">
      <w:bodyDiv w:val="1"/>
      <w:marLeft w:val="0"/>
      <w:marRight w:val="0"/>
      <w:marTop w:val="0"/>
      <w:marBottom w:val="0"/>
      <w:divBdr>
        <w:top w:val="none" w:sz="0" w:space="0" w:color="auto"/>
        <w:left w:val="none" w:sz="0" w:space="0" w:color="auto"/>
        <w:bottom w:val="none" w:sz="0" w:space="0" w:color="auto"/>
        <w:right w:val="none" w:sz="0" w:space="0" w:color="auto"/>
      </w:divBdr>
    </w:div>
    <w:div w:id="1857302413">
      <w:bodyDiv w:val="1"/>
      <w:marLeft w:val="0"/>
      <w:marRight w:val="0"/>
      <w:marTop w:val="0"/>
      <w:marBottom w:val="0"/>
      <w:divBdr>
        <w:top w:val="none" w:sz="0" w:space="0" w:color="auto"/>
        <w:left w:val="none" w:sz="0" w:space="0" w:color="auto"/>
        <w:bottom w:val="none" w:sz="0" w:space="0" w:color="auto"/>
        <w:right w:val="none" w:sz="0" w:space="0" w:color="auto"/>
      </w:divBdr>
    </w:div>
    <w:div w:id="1860074540">
      <w:bodyDiv w:val="1"/>
      <w:marLeft w:val="0"/>
      <w:marRight w:val="0"/>
      <w:marTop w:val="0"/>
      <w:marBottom w:val="0"/>
      <w:divBdr>
        <w:top w:val="none" w:sz="0" w:space="0" w:color="auto"/>
        <w:left w:val="none" w:sz="0" w:space="0" w:color="auto"/>
        <w:bottom w:val="none" w:sz="0" w:space="0" w:color="auto"/>
        <w:right w:val="none" w:sz="0" w:space="0" w:color="auto"/>
      </w:divBdr>
    </w:div>
    <w:div w:id="1865970867">
      <w:bodyDiv w:val="1"/>
      <w:marLeft w:val="0"/>
      <w:marRight w:val="0"/>
      <w:marTop w:val="0"/>
      <w:marBottom w:val="0"/>
      <w:divBdr>
        <w:top w:val="none" w:sz="0" w:space="0" w:color="auto"/>
        <w:left w:val="none" w:sz="0" w:space="0" w:color="auto"/>
        <w:bottom w:val="none" w:sz="0" w:space="0" w:color="auto"/>
        <w:right w:val="none" w:sz="0" w:space="0" w:color="auto"/>
      </w:divBdr>
    </w:div>
    <w:div w:id="1871910708">
      <w:bodyDiv w:val="1"/>
      <w:marLeft w:val="0"/>
      <w:marRight w:val="0"/>
      <w:marTop w:val="0"/>
      <w:marBottom w:val="0"/>
      <w:divBdr>
        <w:top w:val="none" w:sz="0" w:space="0" w:color="auto"/>
        <w:left w:val="none" w:sz="0" w:space="0" w:color="auto"/>
        <w:bottom w:val="none" w:sz="0" w:space="0" w:color="auto"/>
        <w:right w:val="none" w:sz="0" w:space="0" w:color="auto"/>
      </w:divBdr>
    </w:div>
    <w:div w:id="1875460829">
      <w:bodyDiv w:val="1"/>
      <w:marLeft w:val="0"/>
      <w:marRight w:val="0"/>
      <w:marTop w:val="0"/>
      <w:marBottom w:val="0"/>
      <w:divBdr>
        <w:top w:val="none" w:sz="0" w:space="0" w:color="auto"/>
        <w:left w:val="none" w:sz="0" w:space="0" w:color="auto"/>
        <w:bottom w:val="none" w:sz="0" w:space="0" w:color="auto"/>
        <w:right w:val="none" w:sz="0" w:space="0" w:color="auto"/>
      </w:divBdr>
    </w:div>
    <w:div w:id="1878421810">
      <w:bodyDiv w:val="1"/>
      <w:marLeft w:val="0"/>
      <w:marRight w:val="0"/>
      <w:marTop w:val="0"/>
      <w:marBottom w:val="0"/>
      <w:divBdr>
        <w:top w:val="none" w:sz="0" w:space="0" w:color="auto"/>
        <w:left w:val="none" w:sz="0" w:space="0" w:color="auto"/>
        <w:bottom w:val="none" w:sz="0" w:space="0" w:color="auto"/>
        <w:right w:val="none" w:sz="0" w:space="0" w:color="auto"/>
      </w:divBdr>
    </w:div>
    <w:div w:id="1884053899">
      <w:bodyDiv w:val="1"/>
      <w:marLeft w:val="0"/>
      <w:marRight w:val="0"/>
      <w:marTop w:val="0"/>
      <w:marBottom w:val="0"/>
      <w:divBdr>
        <w:top w:val="none" w:sz="0" w:space="0" w:color="auto"/>
        <w:left w:val="none" w:sz="0" w:space="0" w:color="auto"/>
        <w:bottom w:val="none" w:sz="0" w:space="0" w:color="auto"/>
        <w:right w:val="none" w:sz="0" w:space="0" w:color="auto"/>
      </w:divBdr>
    </w:div>
    <w:div w:id="1894383846">
      <w:bodyDiv w:val="1"/>
      <w:marLeft w:val="0"/>
      <w:marRight w:val="0"/>
      <w:marTop w:val="0"/>
      <w:marBottom w:val="0"/>
      <w:divBdr>
        <w:top w:val="none" w:sz="0" w:space="0" w:color="auto"/>
        <w:left w:val="none" w:sz="0" w:space="0" w:color="auto"/>
        <w:bottom w:val="none" w:sz="0" w:space="0" w:color="auto"/>
        <w:right w:val="none" w:sz="0" w:space="0" w:color="auto"/>
      </w:divBdr>
    </w:div>
    <w:div w:id="1895314707">
      <w:bodyDiv w:val="1"/>
      <w:marLeft w:val="0"/>
      <w:marRight w:val="0"/>
      <w:marTop w:val="0"/>
      <w:marBottom w:val="0"/>
      <w:divBdr>
        <w:top w:val="none" w:sz="0" w:space="0" w:color="auto"/>
        <w:left w:val="none" w:sz="0" w:space="0" w:color="auto"/>
        <w:bottom w:val="none" w:sz="0" w:space="0" w:color="auto"/>
        <w:right w:val="none" w:sz="0" w:space="0" w:color="auto"/>
      </w:divBdr>
    </w:div>
    <w:div w:id="1900168408">
      <w:bodyDiv w:val="1"/>
      <w:marLeft w:val="0"/>
      <w:marRight w:val="0"/>
      <w:marTop w:val="0"/>
      <w:marBottom w:val="0"/>
      <w:divBdr>
        <w:top w:val="none" w:sz="0" w:space="0" w:color="auto"/>
        <w:left w:val="none" w:sz="0" w:space="0" w:color="auto"/>
        <w:bottom w:val="none" w:sz="0" w:space="0" w:color="auto"/>
        <w:right w:val="none" w:sz="0" w:space="0" w:color="auto"/>
      </w:divBdr>
    </w:div>
    <w:div w:id="1901594816">
      <w:bodyDiv w:val="1"/>
      <w:marLeft w:val="0"/>
      <w:marRight w:val="0"/>
      <w:marTop w:val="0"/>
      <w:marBottom w:val="0"/>
      <w:divBdr>
        <w:top w:val="none" w:sz="0" w:space="0" w:color="auto"/>
        <w:left w:val="none" w:sz="0" w:space="0" w:color="auto"/>
        <w:bottom w:val="none" w:sz="0" w:space="0" w:color="auto"/>
        <w:right w:val="none" w:sz="0" w:space="0" w:color="auto"/>
      </w:divBdr>
    </w:div>
    <w:div w:id="1902709143">
      <w:bodyDiv w:val="1"/>
      <w:marLeft w:val="0"/>
      <w:marRight w:val="0"/>
      <w:marTop w:val="0"/>
      <w:marBottom w:val="0"/>
      <w:divBdr>
        <w:top w:val="none" w:sz="0" w:space="0" w:color="auto"/>
        <w:left w:val="none" w:sz="0" w:space="0" w:color="auto"/>
        <w:bottom w:val="none" w:sz="0" w:space="0" w:color="auto"/>
        <w:right w:val="none" w:sz="0" w:space="0" w:color="auto"/>
      </w:divBdr>
    </w:div>
    <w:div w:id="1904674457">
      <w:bodyDiv w:val="1"/>
      <w:marLeft w:val="0"/>
      <w:marRight w:val="0"/>
      <w:marTop w:val="0"/>
      <w:marBottom w:val="0"/>
      <w:divBdr>
        <w:top w:val="none" w:sz="0" w:space="0" w:color="auto"/>
        <w:left w:val="none" w:sz="0" w:space="0" w:color="auto"/>
        <w:bottom w:val="none" w:sz="0" w:space="0" w:color="auto"/>
        <w:right w:val="none" w:sz="0" w:space="0" w:color="auto"/>
      </w:divBdr>
    </w:div>
    <w:div w:id="1906527881">
      <w:bodyDiv w:val="1"/>
      <w:marLeft w:val="0"/>
      <w:marRight w:val="0"/>
      <w:marTop w:val="0"/>
      <w:marBottom w:val="0"/>
      <w:divBdr>
        <w:top w:val="none" w:sz="0" w:space="0" w:color="auto"/>
        <w:left w:val="none" w:sz="0" w:space="0" w:color="auto"/>
        <w:bottom w:val="none" w:sz="0" w:space="0" w:color="auto"/>
        <w:right w:val="none" w:sz="0" w:space="0" w:color="auto"/>
      </w:divBdr>
    </w:div>
    <w:div w:id="1916354952">
      <w:bodyDiv w:val="1"/>
      <w:marLeft w:val="0"/>
      <w:marRight w:val="0"/>
      <w:marTop w:val="0"/>
      <w:marBottom w:val="0"/>
      <w:divBdr>
        <w:top w:val="none" w:sz="0" w:space="0" w:color="auto"/>
        <w:left w:val="none" w:sz="0" w:space="0" w:color="auto"/>
        <w:bottom w:val="none" w:sz="0" w:space="0" w:color="auto"/>
        <w:right w:val="none" w:sz="0" w:space="0" w:color="auto"/>
      </w:divBdr>
    </w:div>
    <w:div w:id="1919635091">
      <w:bodyDiv w:val="1"/>
      <w:marLeft w:val="0"/>
      <w:marRight w:val="0"/>
      <w:marTop w:val="0"/>
      <w:marBottom w:val="0"/>
      <w:divBdr>
        <w:top w:val="none" w:sz="0" w:space="0" w:color="auto"/>
        <w:left w:val="none" w:sz="0" w:space="0" w:color="auto"/>
        <w:bottom w:val="none" w:sz="0" w:space="0" w:color="auto"/>
        <w:right w:val="none" w:sz="0" w:space="0" w:color="auto"/>
      </w:divBdr>
    </w:div>
    <w:div w:id="1936210654">
      <w:bodyDiv w:val="1"/>
      <w:marLeft w:val="0"/>
      <w:marRight w:val="0"/>
      <w:marTop w:val="0"/>
      <w:marBottom w:val="0"/>
      <w:divBdr>
        <w:top w:val="none" w:sz="0" w:space="0" w:color="auto"/>
        <w:left w:val="none" w:sz="0" w:space="0" w:color="auto"/>
        <w:bottom w:val="none" w:sz="0" w:space="0" w:color="auto"/>
        <w:right w:val="none" w:sz="0" w:space="0" w:color="auto"/>
      </w:divBdr>
    </w:div>
    <w:div w:id="1938171957">
      <w:bodyDiv w:val="1"/>
      <w:marLeft w:val="0"/>
      <w:marRight w:val="0"/>
      <w:marTop w:val="0"/>
      <w:marBottom w:val="0"/>
      <w:divBdr>
        <w:top w:val="none" w:sz="0" w:space="0" w:color="auto"/>
        <w:left w:val="none" w:sz="0" w:space="0" w:color="auto"/>
        <w:bottom w:val="none" w:sz="0" w:space="0" w:color="auto"/>
        <w:right w:val="none" w:sz="0" w:space="0" w:color="auto"/>
      </w:divBdr>
    </w:div>
    <w:div w:id="1944268140">
      <w:bodyDiv w:val="1"/>
      <w:marLeft w:val="0"/>
      <w:marRight w:val="0"/>
      <w:marTop w:val="0"/>
      <w:marBottom w:val="0"/>
      <w:divBdr>
        <w:top w:val="none" w:sz="0" w:space="0" w:color="auto"/>
        <w:left w:val="none" w:sz="0" w:space="0" w:color="auto"/>
        <w:bottom w:val="none" w:sz="0" w:space="0" w:color="auto"/>
        <w:right w:val="none" w:sz="0" w:space="0" w:color="auto"/>
      </w:divBdr>
    </w:div>
    <w:div w:id="1964268858">
      <w:bodyDiv w:val="1"/>
      <w:marLeft w:val="0"/>
      <w:marRight w:val="0"/>
      <w:marTop w:val="0"/>
      <w:marBottom w:val="0"/>
      <w:divBdr>
        <w:top w:val="none" w:sz="0" w:space="0" w:color="auto"/>
        <w:left w:val="none" w:sz="0" w:space="0" w:color="auto"/>
        <w:bottom w:val="none" w:sz="0" w:space="0" w:color="auto"/>
        <w:right w:val="none" w:sz="0" w:space="0" w:color="auto"/>
      </w:divBdr>
    </w:div>
    <w:div w:id="1968118374">
      <w:bodyDiv w:val="1"/>
      <w:marLeft w:val="0"/>
      <w:marRight w:val="0"/>
      <w:marTop w:val="0"/>
      <w:marBottom w:val="0"/>
      <w:divBdr>
        <w:top w:val="none" w:sz="0" w:space="0" w:color="auto"/>
        <w:left w:val="none" w:sz="0" w:space="0" w:color="auto"/>
        <w:bottom w:val="none" w:sz="0" w:space="0" w:color="auto"/>
        <w:right w:val="none" w:sz="0" w:space="0" w:color="auto"/>
      </w:divBdr>
    </w:div>
    <w:div w:id="1970478993">
      <w:bodyDiv w:val="1"/>
      <w:marLeft w:val="0"/>
      <w:marRight w:val="0"/>
      <w:marTop w:val="0"/>
      <w:marBottom w:val="0"/>
      <w:divBdr>
        <w:top w:val="none" w:sz="0" w:space="0" w:color="auto"/>
        <w:left w:val="none" w:sz="0" w:space="0" w:color="auto"/>
        <w:bottom w:val="none" w:sz="0" w:space="0" w:color="auto"/>
        <w:right w:val="none" w:sz="0" w:space="0" w:color="auto"/>
      </w:divBdr>
    </w:div>
    <w:div w:id="1977098113">
      <w:bodyDiv w:val="1"/>
      <w:marLeft w:val="0"/>
      <w:marRight w:val="0"/>
      <w:marTop w:val="0"/>
      <w:marBottom w:val="0"/>
      <w:divBdr>
        <w:top w:val="none" w:sz="0" w:space="0" w:color="auto"/>
        <w:left w:val="none" w:sz="0" w:space="0" w:color="auto"/>
        <w:bottom w:val="none" w:sz="0" w:space="0" w:color="auto"/>
        <w:right w:val="none" w:sz="0" w:space="0" w:color="auto"/>
      </w:divBdr>
    </w:div>
    <w:div w:id="1979454823">
      <w:bodyDiv w:val="1"/>
      <w:marLeft w:val="0"/>
      <w:marRight w:val="0"/>
      <w:marTop w:val="0"/>
      <w:marBottom w:val="0"/>
      <w:divBdr>
        <w:top w:val="none" w:sz="0" w:space="0" w:color="auto"/>
        <w:left w:val="none" w:sz="0" w:space="0" w:color="auto"/>
        <w:bottom w:val="none" w:sz="0" w:space="0" w:color="auto"/>
        <w:right w:val="none" w:sz="0" w:space="0" w:color="auto"/>
      </w:divBdr>
    </w:div>
    <w:div w:id="1980182665">
      <w:bodyDiv w:val="1"/>
      <w:marLeft w:val="0"/>
      <w:marRight w:val="0"/>
      <w:marTop w:val="0"/>
      <w:marBottom w:val="0"/>
      <w:divBdr>
        <w:top w:val="none" w:sz="0" w:space="0" w:color="auto"/>
        <w:left w:val="none" w:sz="0" w:space="0" w:color="auto"/>
        <w:bottom w:val="none" w:sz="0" w:space="0" w:color="auto"/>
        <w:right w:val="none" w:sz="0" w:space="0" w:color="auto"/>
      </w:divBdr>
    </w:div>
    <w:div w:id="1980727019">
      <w:bodyDiv w:val="1"/>
      <w:marLeft w:val="0"/>
      <w:marRight w:val="0"/>
      <w:marTop w:val="0"/>
      <w:marBottom w:val="0"/>
      <w:divBdr>
        <w:top w:val="none" w:sz="0" w:space="0" w:color="auto"/>
        <w:left w:val="none" w:sz="0" w:space="0" w:color="auto"/>
        <w:bottom w:val="none" w:sz="0" w:space="0" w:color="auto"/>
        <w:right w:val="none" w:sz="0" w:space="0" w:color="auto"/>
      </w:divBdr>
    </w:div>
    <w:div w:id="1981686334">
      <w:bodyDiv w:val="1"/>
      <w:marLeft w:val="0"/>
      <w:marRight w:val="0"/>
      <w:marTop w:val="0"/>
      <w:marBottom w:val="0"/>
      <w:divBdr>
        <w:top w:val="none" w:sz="0" w:space="0" w:color="auto"/>
        <w:left w:val="none" w:sz="0" w:space="0" w:color="auto"/>
        <w:bottom w:val="none" w:sz="0" w:space="0" w:color="auto"/>
        <w:right w:val="none" w:sz="0" w:space="0" w:color="auto"/>
      </w:divBdr>
    </w:div>
    <w:div w:id="1991639056">
      <w:bodyDiv w:val="1"/>
      <w:marLeft w:val="0"/>
      <w:marRight w:val="0"/>
      <w:marTop w:val="0"/>
      <w:marBottom w:val="0"/>
      <w:divBdr>
        <w:top w:val="none" w:sz="0" w:space="0" w:color="auto"/>
        <w:left w:val="none" w:sz="0" w:space="0" w:color="auto"/>
        <w:bottom w:val="none" w:sz="0" w:space="0" w:color="auto"/>
        <w:right w:val="none" w:sz="0" w:space="0" w:color="auto"/>
      </w:divBdr>
    </w:div>
    <w:div w:id="2000570941">
      <w:bodyDiv w:val="1"/>
      <w:marLeft w:val="0"/>
      <w:marRight w:val="0"/>
      <w:marTop w:val="0"/>
      <w:marBottom w:val="0"/>
      <w:divBdr>
        <w:top w:val="none" w:sz="0" w:space="0" w:color="auto"/>
        <w:left w:val="none" w:sz="0" w:space="0" w:color="auto"/>
        <w:bottom w:val="none" w:sz="0" w:space="0" w:color="auto"/>
        <w:right w:val="none" w:sz="0" w:space="0" w:color="auto"/>
      </w:divBdr>
    </w:div>
    <w:div w:id="2002584029">
      <w:bodyDiv w:val="1"/>
      <w:marLeft w:val="0"/>
      <w:marRight w:val="0"/>
      <w:marTop w:val="0"/>
      <w:marBottom w:val="0"/>
      <w:divBdr>
        <w:top w:val="none" w:sz="0" w:space="0" w:color="auto"/>
        <w:left w:val="none" w:sz="0" w:space="0" w:color="auto"/>
        <w:bottom w:val="none" w:sz="0" w:space="0" w:color="auto"/>
        <w:right w:val="none" w:sz="0" w:space="0" w:color="auto"/>
      </w:divBdr>
    </w:div>
    <w:div w:id="2008552387">
      <w:bodyDiv w:val="1"/>
      <w:marLeft w:val="0"/>
      <w:marRight w:val="0"/>
      <w:marTop w:val="0"/>
      <w:marBottom w:val="0"/>
      <w:divBdr>
        <w:top w:val="none" w:sz="0" w:space="0" w:color="auto"/>
        <w:left w:val="none" w:sz="0" w:space="0" w:color="auto"/>
        <w:bottom w:val="none" w:sz="0" w:space="0" w:color="auto"/>
        <w:right w:val="none" w:sz="0" w:space="0" w:color="auto"/>
      </w:divBdr>
    </w:div>
    <w:div w:id="2012683647">
      <w:bodyDiv w:val="1"/>
      <w:marLeft w:val="0"/>
      <w:marRight w:val="0"/>
      <w:marTop w:val="0"/>
      <w:marBottom w:val="0"/>
      <w:divBdr>
        <w:top w:val="none" w:sz="0" w:space="0" w:color="auto"/>
        <w:left w:val="none" w:sz="0" w:space="0" w:color="auto"/>
        <w:bottom w:val="none" w:sz="0" w:space="0" w:color="auto"/>
        <w:right w:val="none" w:sz="0" w:space="0" w:color="auto"/>
      </w:divBdr>
    </w:div>
    <w:div w:id="2014915201">
      <w:bodyDiv w:val="1"/>
      <w:marLeft w:val="0"/>
      <w:marRight w:val="0"/>
      <w:marTop w:val="0"/>
      <w:marBottom w:val="0"/>
      <w:divBdr>
        <w:top w:val="none" w:sz="0" w:space="0" w:color="auto"/>
        <w:left w:val="none" w:sz="0" w:space="0" w:color="auto"/>
        <w:bottom w:val="none" w:sz="0" w:space="0" w:color="auto"/>
        <w:right w:val="none" w:sz="0" w:space="0" w:color="auto"/>
      </w:divBdr>
    </w:div>
    <w:div w:id="2016686215">
      <w:bodyDiv w:val="1"/>
      <w:marLeft w:val="0"/>
      <w:marRight w:val="0"/>
      <w:marTop w:val="0"/>
      <w:marBottom w:val="0"/>
      <w:divBdr>
        <w:top w:val="none" w:sz="0" w:space="0" w:color="auto"/>
        <w:left w:val="none" w:sz="0" w:space="0" w:color="auto"/>
        <w:bottom w:val="none" w:sz="0" w:space="0" w:color="auto"/>
        <w:right w:val="none" w:sz="0" w:space="0" w:color="auto"/>
      </w:divBdr>
    </w:div>
    <w:div w:id="2023967063">
      <w:bodyDiv w:val="1"/>
      <w:marLeft w:val="0"/>
      <w:marRight w:val="0"/>
      <w:marTop w:val="0"/>
      <w:marBottom w:val="0"/>
      <w:divBdr>
        <w:top w:val="none" w:sz="0" w:space="0" w:color="auto"/>
        <w:left w:val="none" w:sz="0" w:space="0" w:color="auto"/>
        <w:bottom w:val="none" w:sz="0" w:space="0" w:color="auto"/>
        <w:right w:val="none" w:sz="0" w:space="0" w:color="auto"/>
      </w:divBdr>
    </w:div>
    <w:div w:id="2025595909">
      <w:bodyDiv w:val="1"/>
      <w:marLeft w:val="0"/>
      <w:marRight w:val="0"/>
      <w:marTop w:val="0"/>
      <w:marBottom w:val="0"/>
      <w:divBdr>
        <w:top w:val="none" w:sz="0" w:space="0" w:color="auto"/>
        <w:left w:val="none" w:sz="0" w:space="0" w:color="auto"/>
        <w:bottom w:val="none" w:sz="0" w:space="0" w:color="auto"/>
        <w:right w:val="none" w:sz="0" w:space="0" w:color="auto"/>
      </w:divBdr>
    </w:div>
    <w:div w:id="2030138471">
      <w:bodyDiv w:val="1"/>
      <w:marLeft w:val="0"/>
      <w:marRight w:val="0"/>
      <w:marTop w:val="0"/>
      <w:marBottom w:val="0"/>
      <w:divBdr>
        <w:top w:val="none" w:sz="0" w:space="0" w:color="auto"/>
        <w:left w:val="none" w:sz="0" w:space="0" w:color="auto"/>
        <w:bottom w:val="none" w:sz="0" w:space="0" w:color="auto"/>
        <w:right w:val="none" w:sz="0" w:space="0" w:color="auto"/>
      </w:divBdr>
    </w:div>
    <w:div w:id="2045598880">
      <w:bodyDiv w:val="1"/>
      <w:marLeft w:val="0"/>
      <w:marRight w:val="0"/>
      <w:marTop w:val="0"/>
      <w:marBottom w:val="0"/>
      <w:divBdr>
        <w:top w:val="none" w:sz="0" w:space="0" w:color="auto"/>
        <w:left w:val="none" w:sz="0" w:space="0" w:color="auto"/>
        <w:bottom w:val="none" w:sz="0" w:space="0" w:color="auto"/>
        <w:right w:val="none" w:sz="0" w:space="0" w:color="auto"/>
      </w:divBdr>
      <w:divsChild>
        <w:div w:id="476385718">
          <w:marLeft w:val="0"/>
          <w:marRight w:val="0"/>
          <w:marTop w:val="0"/>
          <w:marBottom w:val="0"/>
          <w:divBdr>
            <w:top w:val="none" w:sz="0" w:space="0" w:color="auto"/>
            <w:left w:val="none" w:sz="0" w:space="0" w:color="auto"/>
            <w:bottom w:val="none" w:sz="0" w:space="0" w:color="auto"/>
            <w:right w:val="none" w:sz="0" w:space="0" w:color="auto"/>
          </w:divBdr>
        </w:div>
      </w:divsChild>
    </w:div>
    <w:div w:id="2049061043">
      <w:bodyDiv w:val="1"/>
      <w:marLeft w:val="0"/>
      <w:marRight w:val="0"/>
      <w:marTop w:val="0"/>
      <w:marBottom w:val="0"/>
      <w:divBdr>
        <w:top w:val="none" w:sz="0" w:space="0" w:color="auto"/>
        <w:left w:val="none" w:sz="0" w:space="0" w:color="auto"/>
        <w:bottom w:val="none" w:sz="0" w:space="0" w:color="auto"/>
        <w:right w:val="none" w:sz="0" w:space="0" w:color="auto"/>
      </w:divBdr>
    </w:div>
    <w:div w:id="2058581998">
      <w:bodyDiv w:val="1"/>
      <w:marLeft w:val="0"/>
      <w:marRight w:val="0"/>
      <w:marTop w:val="0"/>
      <w:marBottom w:val="0"/>
      <w:divBdr>
        <w:top w:val="none" w:sz="0" w:space="0" w:color="auto"/>
        <w:left w:val="none" w:sz="0" w:space="0" w:color="auto"/>
        <w:bottom w:val="none" w:sz="0" w:space="0" w:color="auto"/>
        <w:right w:val="none" w:sz="0" w:space="0" w:color="auto"/>
      </w:divBdr>
    </w:div>
    <w:div w:id="2060129147">
      <w:bodyDiv w:val="1"/>
      <w:marLeft w:val="0"/>
      <w:marRight w:val="0"/>
      <w:marTop w:val="0"/>
      <w:marBottom w:val="0"/>
      <w:divBdr>
        <w:top w:val="none" w:sz="0" w:space="0" w:color="auto"/>
        <w:left w:val="none" w:sz="0" w:space="0" w:color="auto"/>
        <w:bottom w:val="none" w:sz="0" w:space="0" w:color="auto"/>
        <w:right w:val="none" w:sz="0" w:space="0" w:color="auto"/>
      </w:divBdr>
    </w:div>
    <w:div w:id="2061662020">
      <w:bodyDiv w:val="1"/>
      <w:marLeft w:val="0"/>
      <w:marRight w:val="0"/>
      <w:marTop w:val="0"/>
      <w:marBottom w:val="0"/>
      <w:divBdr>
        <w:top w:val="none" w:sz="0" w:space="0" w:color="auto"/>
        <w:left w:val="none" w:sz="0" w:space="0" w:color="auto"/>
        <w:bottom w:val="none" w:sz="0" w:space="0" w:color="auto"/>
        <w:right w:val="none" w:sz="0" w:space="0" w:color="auto"/>
      </w:divBdr>
    </w:div>
    <w:div w:id="2070422267">
      <w:bodyDiv w:val="1"/>
      <w:marLeft w:val="0"/>
      <w:marRight w:val="0"/>
      <w:marTop w:val="0"/>
      <w:marBottom w:val="0"/>
      <w:divBdr>
        <w:top w:val="none" w:sz="0" w:space="0" w:color="auto"/>
        <w:left w:val="none" w:sz="0" w:space="0" w:color="auto"/>
        <w:bottom w:val="none" w:sz="0" w:space="0" w:color="auto"/>
        <w:right w:val="none" w:sz="0" w:space="0" w:color="auto"/>
      </w:divBdr>
    </w:div>
    <w:div w:id="2072848965">
      <w:bodyDiv w:val="1"/>
      <w:marLeft w:val="0"/>
      <w:marRight w:val="0"/>
      <w:marTop w:val="0"/>
      <w:marBottom w:val="0"/>
      <w:divBdr>
        <w:top w:val="none" w:sz="0" w:space="0" w:color="auto"/>
        <w:left w:val="none" w:sz="0" w:space="0" w:color="auto"/>
        <w:bottom w:val="none" w:sz="0" w:space="0" w:color="auto"/>
        <w:right w:val="none" w:sz="0" w:space="0" w:color="auto"/>
      </w:divBdr>
    </w:div>
    <w:div w:id="2078359089">
      <w:bodyDiv w:val="1"/>
      <w:marLeft w:val="0"/>
      <w:marRight w:val="0"/>
      <w:marTop w:val="0"/>
      <w:marBottom w:val="0"/>
      <w:divBdr>
        <w:top w:val="none" w:sz="0" w:space="0" w:color="auto"/>
        <w:left w:val="none" w:sz="0" w:space="0" w:color="auto"/>
        <w:bottom w:val="none" w:sz="0" w:space="0" w:color="auto"/>
        <w:right w:val="none" w:sz="0" w:space="0" w:color="auto"/>
      </w:divBdr>
    </w:div>
    <w:div w:id="2084141794">
      <w:bodyDiv w:val="1"/>
      <w:marLeft w:val="0"/>
      <w:marRight w:val="0"/>
      <w:marTop w:val="0"/>
      <w:marBottom w:val="0"/>
      <w:divBdr>
        <w:top w:val="none" w:sz="0" w:space="0" w:color="auto"/>
        <w:left w:val="none" w:sz="0" w:space="0" w:color="auto"/>
        <w:bottom w:val="none" w:sz="0" w:space="0" w:color="auto"/>
        <w:right w:val="none" w:sz="0" w:space="0" w:color="auto"/>
      </w:divBdr>
    </w:div>
    <w:div w:id="2085058296">
      <w:bodyDiv w:val="1"/>
      <w:marLeft w:val="0"/>
      <w:marRight w:val="0"/>
      <w:marTop w:val="0"/>
      <w:marBottom w:val="0"/>
      <w:divBdr>
        <w:top w:val="none" w:sz="0" w:space="0" w:color="auto"/>
        <w:left w:val="none" w:sz="0" w:space="0" w:color="auto"/>
        <w:bottom w:val="none" w:sz="0" w:space="0" w:color="auto"/>
        <w:right w:val="none" w:sz="0" w:space="0" w:color="auto"/>
      </w:divBdr>
    </w:div>
    <w:div w:id="2085376419">
      <w:bodyDiv w:val="1"/>
      <w:marLeft w:val="0"/>
      <w:marRight w:val="0"/>
      <w:marTop w:val="0"/>
      <w:marBottom w:val="0"/>
      <w:divBdr>
        <w:top w:val="none" w:sz="0" w:space="0" w:color="auto"/>
        <w:left w:val="none" w:sz="0" w:space="0" w:color="auto"/>
        <w:bottom w:val="none" w:sz="0" w:space="0" w:color="auto"/>
        <w:right w:val="none" w:sz="0" w:space="0" w:color="auto"/>
      </w:divBdr>
    </w:div>
    <w:div w:id="2085833041">
      <w:bodyDiv w:val="1"/>
      <w:marLeft w:val="0"/>
      <w:marRight w:val="0"/>
      <w:marTop w:val="0"/>
      <w:marBottom w:val="0"/>
      <w:divBdr>
        <w:top w:val="none" w:sz="0" w:space="0" w:color="auto"/>
        <w:left w:val="none" w:sz="0" w:space="0" w:color="auto"/>
        <w:bottom w:val="none" w:sz="0" w:space="0" w:color="auto"/>
        <w:right w:val="none" w:sz="0" w:space="0" w:color="auto"/>
      </w:divBdr>
    </w:div>
    <w:div w:id="2091808146">
      <w:bodyDiv w:val="1"/>
      <w:marLeft w:val="0"/>
      <w:marRight w:val="0"/>
      <w:marTop w:val="0"/>
      <w:marBottom w:val="0"/>
      <w:divBdr>
        <w:top w:val="none" w:sz="0" w:space="0" w:color="auto"/>
        <w:left w:val="none" w:sz="0" w:space="0" w:color="auto"/>
        <w:bottom w:val="none" w:sz="0" w:space="0" w:color="auto"/>
        <w:right w:val="none" w:sz="0" w:space="0" w:color="auto"/>
      </w:divBdr>
    </w:div>
    <w:div w:id="2092193246">
      <w:bodyDiv w:val="1"/>
      <w:marLeft w:val="0"/>
      <w:marRight w:val="0"/>
      <w:marTop w:val="0"/>
      <w:marBottom w:val="0"/>
      <w:divBdr>
        <w:top w:val="none" w:sz="0" w:space="0" w:color="auto"/>
        <w:left w:val="none" w:sz="0" w:space="0" w:color="auto"/>
        <w:bottom w:val="none" w:sz="0" w:space="0" w:color="auto"/>
        <w:right w:val="none" w:sz="0" w:space="0" w:color="auto"/>
      </w:divBdr>
    </w:div>
    <w:div w:id="2106414557">
      <w:bodyDiv w:val="1"/>
      <w:marLeft w:val="0"/>
      <w:marRight w:val="0"/>
      <w:marTop w:val="0"/>
      <w:marBottom w:val="0"/>
      <w:divBdr>
        <w:top w:val="none" w:sz="0" w:space="0" w:color="auto"/>
        <w:left w:val="none" w:sz="0" w:space="0" w:color="auto"/>
        <w:bottom w:val="none" w:sz="0" w:space="0" w:color="auto"/>
        <w:right w:val="none" w:sz="0" w:space="0" w:color="auto"/>
      </w:divBdr>
    </w:div>
    <w:div w:id="2118022858">
      <w:bodyDiv w:val="1"/>
      <w:marLeft w:val="0"/>
      <w:marRight w:val="0"/>
      <w:marTop w:val="0"/>
      <w:marBottom w:val="0"/>
      <w:divBdr>
        <w:top w:val="none" w:sz="0" w:space="0" w:color="auto"/>
        <w:left w:val="none" w:sz="0" w:space="0" w:color="auto"/>
        <w:bottom w:val="none" w:sz="0" w:space="0" w:color="auto"/>
        <w:right w:val="none" w:sz="0" w:space="0" w:color="auto"/>
      </w:divBdr>
    </w:div>
    <w:div w:id="2124423750">
      <w:bodyDiv w:val="1"/>
      <w:marLeft w:val="0"/>
      <w:marRight w:val="0"/>
      <w:marTop w:val="0"/>
      <w:marBottom w:val="0"/>
      <w:divBdr>
        <w:top w:val="none" w:sz="0" w:space="0" w:color="auto"/>
        <w:left w:val="none" w:sz="0" w:space="0" w:color="auto"/>
        <w:bottom w:val="none" w:sz="0" w:space="0" w:color="auto"/>
        <w:right w:val="none" w:sz="0" w:space="0" w:color="auto"/>
      </w:divBdr>
    </w:div>
    <w:div w:id="2129464544">
      <w:bodyDiv w:val="1"/>
      <w:marLeft w:val="0"/>
      <w:marRight w:val="0"/>
      <w:marTop w:val="0"/>
      <w:marBottom w:val="0"/>
      <w:divBdr>
        <w:top w:val="none" w:sz="0" w:space="0" w:color="auto"/>
        <w:left w:val="none" w:sz="0" w:space="0" w:color="auto"/>
        <w:bottom w:val="none" w:sz="0" w:space="0" w:color="auto"/>
        <w:right w:val="none" w:sz="0" w:space="0" w:color="auto"/>
      </w:divBdr>
    </w:div>
    <w:div w:id="2131127143">
      <w:bodyDiv w:val="1"/>
      <w:marLeft w:val="0"/>
      <w:marRight w:val="0"/>
      <w:marTop w:val="0"/>
      <w:marBottom w:val="0"/>
      <w:divBdr>
        <w:top w:val="none" w:sz="0" w:space="0" w:color="auto"/>
        <w:left w:val="none" w:sz="0" w:space="0" w:color="auto"/>
        <w:bottom w:val="none" w:sz="0" w:space="0" w:color="auto"/>
        <w:right w:val="none" w:sz="0" w:space="0" w:color="auto"/>
      </w:divBdr>
    </w:div>
    <w:div w:id="2135101344">
      <w:bodyDiv w:val="1"/>
      <w:marLeft w:val="0"/>
      <w:marRight w:val="0"/>
      <w:marTop w:val="0"/>
      <w:marBottom w:val="0"/>
      <w:divBdr>
        <w:top w:val="none" w:sz="0" w:space="0" w:color="auto"/>
        <w:left w:val="none" w:sz="0" w:space="0" w:color="auto"/>
        <w:bottom w:val="none" w:sz="0" w:space="0" w:color="auto"/>
        <w:right w:val="none" w:sz="0" w:space="0" w:color="auto"/>
      </w:divBdr>
    </w:div>
    <w:div w:id="2139759407">
      <w:bodyDiv w:val="1"/>
      <w:marLeft w:val="0"/>
      <w:marRight w:val="0"/>
      <w:marTop w:val="0"/>
      <w:marBottom w:val="0"/>
      <w:divBdr>
        <w:top w:val="none" w:sz="0" w:space="0" w:color="auto"/>
        <w:left w:val="none" w:sz="0" w:space="0" w:color="auto"/>
        <w:bottom w:val="none" w:sz="0" w:space="0" w:color="auto"/>
        <w:right w:val="none" w:sz="0" w:space="0" w:color="auto"/>
      </w:divBdr>
    </w:div>
    <w:div w:id="2141343105">
      <w:bodyDiv w:val="1"/>
      <w:marLeft w:val="0"/>
      <w:marRight w:val="0"/>
      <w:marTop w:val="0"/>
      <w:marBottom w:val="0"/>
      <w:divBdr>
        <w:top w:val="none" w:sz="0" w:space="0" w:color="auto"/>
        <w:left w:val="none" w:sz="0" w:space="0" w:color="auto"/>
        <w:bottom w:val="none" w:sz="0" w:space="0" w:color="auto"/>
        <w:right w:val="none" w:sz="0" w:space="0" w:color="auto"/>
      </w:divBdr>
    </w:div>
    <w:div w:id="21417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E170-57FE-4D9A-931F-D703805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16186</Words>
  <Characters>89024</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Eunice Evangelina Barrera Flores </cp:lastModifiedBy>
  <cp:revision>2</cp:revision>
  <cp:lastPrinted>2023-01-27T00:57:00Z</cp:lastPrinted>
  <dcterms:created xsi:type="dcterms:W3CDTF">2023-01-27T17:51:00Z</dcterms:created>
  <dcterms:modified xsi:type="dcterms:W3CDTF">2023-01-27T17:51:00Z</dcterms:modified>
</cp:coreProperties>
</file>