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532"/>
        <w:gridCol w:w="883"/>
        <w:gridCol w:w="531"/>
        <w:gridCol w:w="636"/>
        <w:gridCol w:w="991"/>
        <w:gridCol w:w="991"/>
        <w:gridCol w:w="1255"/>
        <w:gridCol w:w="933"/>
        <w:gridCol w:w="991"/>
        <w:gridCol w:w="923"/>
        <w:gridCol w:w="865"/>
        <w:gridCol w:w="991"/>
        <w:gridCol w:w="991"/>
      </w:tblGrid>
      <w:tr w:rsidR="004956A7" w:rsidRPr="004956A7" w:rsidTr="00C9704D">
        <w:trPr>
          <w:trHeight w:val="600"/>
        </w:trPr>
        <w:tc>
          <w:tcPr>
            <w:tcW w:w="4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B0032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211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CLAVE PP</w:t>
            </w:r>
          </w:p>
        </w:tc>
        <w:tc>
          <w:tcPr>
            <w:tcW w:w="351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NOMBRE PROGRAMA</w:t>
            </w:r>
          </w:p>
        </w:tc>
        <w:tc>
          <w:tcPr>
            <w:tcW w:w="211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CLAVE ID</w:t>
            </w:r>
          </w:p>
        </w:tc>
        <w:tc>
          <w:tcPr>
            <w:tcW w:w="39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RESUMEN NARRATIVO</w:t>
            </w:r>
          </w:p>
        </w:tc>
        <w:tc>
          <w:tcPr>
            <w:tcW w:w="39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NOMBRE DEL INDICADOR</w:t>
            </w:r>
          </w:p>
        </w:tc>
        <w:tc>
          <w:tcPr>
            <w:tcW w:w="49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METODO CALCULO</w:t>
            </w:r>
          </w:p>
        </w:tc>
        <w:tc>
          <w:tcPr>
            <w:tcW w:w="371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REGISTRO</w:t>
            </w:r>
          </w:p>
        </w:tc>
        <w:tc>
          <w:tcPr>
            <w:tcW w:w="39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Ene - Mar</w:t>
            </w:r>
          </w:p>
        </w:tc>
        <w:tc>
          <w:tcPr>
            <w:tcW w:w="36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Abr - Jun</w:t>
            </w:r>
          </w:p>
        </w:tc>
        <w:tc>
          <w:tcPr>
            <w:tcW w:w="34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 xml:space="preserve">Jul - </w:t>
            </w:r>
            <w:proofErr w:type="spellStart"/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Sep</w:t>
            </w:r>
            <w:proofErr w:type="spellEnd"/>
          </w:p>
        </w:tc>
        <w:tc>
          <w:tcPr>
            <w:tcW w:w="39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AB0032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Oct - Dic</w:t>
            </w:r>
          </w:p>
        </w:tc>
        <w:tc>
          <w:tcPr>
            <w:tcW w:w="394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B0032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9704D">
              <w:rPr>
                <w:rFonts w:eastAsia="Times New Roman"/>
                <w:b/>
                <w:bCs/>
                <w:color w:val="FFFFFF"/>
                <w:sz w:val="14"/>
                <w:szCs w:val="14"/>
                <w:lang w:eastAsia="es-MX"/>
              </w:rPr>
              <w:t>ANUAL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E091F01,1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Contribuir a desarrollar una cultura de seguridad en el Estado de Tamaulipas, mediante la capacitación y profesionalización de los elementos policiacos.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Tasa de incremento de nivel de percepción de confianza en las autoridades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((Porcentaje de percepción de confianza en las autoridades en Tamaulipas en el período t/ Porcentaje de percepción de confianza en las autoridades en Tamaulipas en el período t-1)-</w:t>
            </w:r>
            <w:proofErr w:type="gramStart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1)*</w:t>
            </w:r>
            <w:proofErr w:type="gramEnd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62.6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62.6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61.3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61.3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214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La tasa de variación alcanzó un 2% en el periodo evaluado, lo cual está por debajo de la meta establecida, sin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embargo,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esto representa un incremento positivo a comparación ejercicio inmediato anterior.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La tasa de variación alcanzó un 2% en el periodo evaluado, lo cual está por debajo de la meta establecida, sin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embargo,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esto representa un incremento positivo a comparación ejercicio inmediato anterior. 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C9704D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E091P01,1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Los profesionistas en materia de seguridad, los agentes y cuerpos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policiales cuentan con la formación y competencias necesarias para responder a los avances y retos que en materia de seguridad y justicia enfrenta Tamaulipas.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Tasa de incremento de los servicios de formación y capacitación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de la Universidad de Seguridad y Justicia de Tamaulipas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((Sumatoria de egresados de los servicios de formación de la USJT en el período t/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sumatoria de egresados de los servicios de formación de la USJT en el período t-1))-1*100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3024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3024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2786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2786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META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292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El resultado en este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indicador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superó la meta establecida, debido al incremento de solicitud de cursos solicitados por las instituciones clientes en comparación del ejercicio inmediato anterior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El resultado en este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indicador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superó la meta establecida, debido al incremento de solicitud de cursos solicitados por las instituciones clientes en comparación del ejercicio inmediato anterior 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E091C01,1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educativos de nivel profesional otorgados.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egreso de programas de licenciatura en modalidad escolarizada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(sumatoria de alumnos en modalidad escolarizada egresados en generación t/sumatoria de alumnos inscritos en la modalidad escolarizada en generación </w:t>
            </w:r>
            <w:proofErr w:type="gramStart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t)*</w:t>
            </w:r>
            <w:proofErr w:type="gramEnd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123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114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E091C02,1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educativos de nivel profesional otorgados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titulados en el nivel licenciatura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(número de alumnos con título en trámite de programas de licenciatura en el período t/total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de alumnos egresados de programas de licenciatura en el período t) *100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140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181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37%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105.71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547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 ha sobrepasado la meta establecida en el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porcentaje de alumnos titulados debido al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incremento significativo en las solicitudes de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título. Este aumento responde a una mayor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concientización por parte de los egresados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sobre la importancia de contar con su título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para acceder a mejores oportunidades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laborales, así como a los esfuerzos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 xml:space="preserve">institucionales para facilitar los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procesos de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titulación.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Sobrepasó la meta debido al incremento de solicitudes de trámite de títulos estimado en el periodo.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E091C03,1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educativos de nivel profesional otorgados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egreso de programas de licenciatura en modalidad mixta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(sumatoria de alumnos en modalidad mixta egresados en generación t/sumatoria de alumnos inscritos en generación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66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96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UNIVERSIDAD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Servicios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Com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ponente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E091C0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4,1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Servicios de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nivel posgrado otorgados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Porcentaje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de egreso de programas de posgrado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(sumatoria de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alumnos de posgrado egresados en generación t/sumatoria de alumnos inscritos en generación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59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142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E091C05,1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egreso de programas de formación en procuración de justicia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(sumatoria de alumnos de procuración de justicia egresados en generación t/sumatoria de alumnos inscritos en generación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651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651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117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E091C06,1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egreso de programas de formación en seguridad pública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(sumatoria de alumnos egresados en generación t/sumatoria de alumnos inscritos en generación </w:t>
            </w:r>
            <w:proofErr w:type="gramStart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t)*</w:t>
            </w:r>
            <w:proofErr w:type="gramEnd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2262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2262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2359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118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E091C1A1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Formación académica de alumnos de nivel profesional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deserción a nivel profesional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(número de alumnos inscritos a fin de curso en el período t/ número de alumnos inscritos a inicio de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curso)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691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818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92%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84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519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El resultado de avance del indicador es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de acuerdo con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la formula, ya que lo que quiere decir es el porcentaje de permanencia en los programas de licenciatura. Y la meta establecida era para la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fórmula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de deserción que en realidad sería: (Número de alumnos que se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dieron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de baja en el perio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do/número alumnos inscritos al inicio de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curso)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100. Que en este caso daría un resultado del 7% (sobrepasando por dos puntos la meta trimestral).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El resultado de avance del indicador es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de acuerdo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a</w:t>
            </w:r>
            <w:proofErr w:type="gramEnd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la formula, ya que lo que quiere decir es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el porcentaje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de permanencia en los programas de Licenciatura. Y la meta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 xml:space="preserve">establecida era para la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fórmula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de deserción que en realidad sería (Número de alumnos que se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dieron de baja en el periodo/ Número de alumnos inscritos a inicio de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curso)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100. Que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en este caso da un resultado del 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E091C1A2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Evaluación de alumnos de nivel profesional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aprobación de licenciatura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(sumatoria de alumnos con materias aprobadas/sumatoria de alumnos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inscritos)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601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741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96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Servicios de formación de agentes y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E091C1A3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Actualización de docentes de nivel profe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sional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Porcentaje de docentes actualizados a nivel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licenciatura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(sumatoria de docentes actualizados en el perío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do/sumatoria de plantilla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docente)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42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96%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96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E091C4A1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Evaluación de alumnos de nivel posgrado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aprobación nivel posgrado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(sumatoria de alumnos con materias aprobadas en el período t/sumatoria de alumnos inscritos en período </w:t>
            </w:r>
            <w:r w:rsidR="00F157A0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34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82%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E091C4A2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Fomento, seguimiento y divulgación de proyectos de investigación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Tasa de incremento en productos de investigación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((número de productos de investigación terminados en el período t/ número de productos de investigación terminados en el período t-1)-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1)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-14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10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Este resultado negativo fue derivado a que los proyectos que se encontraban en proceso no fueron concluidos en el ejercicio. Esto no quiere decir que no hubo productos de investigación, sin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embargo,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la meta era desarrollar más productos en comparación con el ejercicio inmediato anterior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Este resultado negativo fue derivado a que los proyectos que se encontraban en proceso no fueron concluidos en el ejercicio. Esto no quiere decir que no hubo productos de investigación, sin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embargo,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la meta era desarrollar más productos en comparación con el ejercicio inmediato anterior 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E091C4A3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Seguimiento de difusión a Programas académicos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respuesta a eventos de difusión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(número de eventos de promoción asistidos para incremento de matrícula en el período t/total de eventos de promoción programados en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el período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517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No se cumplió la meta de difusión de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programas académicos en eventos debido a la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ausencia de programación de eventos durante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el periodo establecido. No obstante, se ha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continuado con la promoción de los programas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a través de redes sociales, lo que ha permitido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mantener una presencia activa y asegurar la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difusión hacia el público objetivo mediante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medios digitales.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E091C5A1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Capacitación en Formación Inicial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deserción en formación inicial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(número de bajas de alumnos de profesionalización/total de alumnos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inscritos)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91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334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17%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2.9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META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4395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El avance sobrepasa la meta debido a que las bajas académicas y de profesionalización son causas externas a la Universidad.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El indicador de porcentaje de deserción en los cursos de </w:t>
            </w:r>
            <w:proofErr w:type="spellStart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f.i</w:t>
            </w:r>
            <w:proofErr w:type="spellEnd"/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. de SSP y FGJ sobre pasa la meta ya que son factores externos a la universidad que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están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fuera del control, como factores personales, laborales o de salud. No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obstante,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la USJ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realiza todos los esfuerzos posibles para que los alumnos terminen los cursos de formación, ofreciendo apoyo académico, asesoramiento personal y profesional 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y recursos adicionales para facilitar su continuidad y éxito en los programas de capacitación.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El avance sobrepasa la meta ya que las bajas académicas y de profesionalización son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causas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externas a la Universidad. No obstante, la Universidad realiza todos los esfuerzos posibles para que los alumnos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terminen el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curso de formación, ofreciendo apoyo académico, asesoramiento personal y profesional para facilitar su continuidad y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éxito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en los programas que oferta.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El avance sobrepasa la meta ya que las bajas académicas y de profesionalización son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causas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externas a la Universidad. No obstante, la Universidad realiza todos los esfuerzos posibles para que los alumnos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terminen el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curso de formación, ofreciendo apoyo académico, asesoramiento personal y profesional para facilitar su continuidad y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éxito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 en los programas que oferta. 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E091C5A2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Actualización de docentes e instructores de profesionalización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instructores actualizados nivel profesionalización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 xml:space="preserve">(sumatoria de docentes e instructores actualizados/total de plantilla de instructores de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profesionalización)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96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UNIVERSIDAD DE SEGURIDAD Y JUSTICIA DE TAMAULIPAS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de formación de agentes y cuerpos policiales.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E091C6A1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Capacitación en Formación Continua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Porcentaje de egresados en los cursos de formación continua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(Número de elementos graduados/total de elementos que tomaron los cursos de forma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ción </w:t>
            </w:r>
            <w:r w:rsidR="00C9704D"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continua) *</w:t>
            </w: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VALOR V1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2339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VALOR V2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2387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2387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AVANCE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INICIAL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META AJUSTADA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</w:tr>
      <w:tr w:rsidR="004956A7" w:rsidRPr="00C9704D" w:rsidTr="00C9704D">
        <w:trPr>
          <w:trHeight w:val="30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56A7" w:rsidRPr="00C9704D" w:rsidTr="00C9704D">
        <w:trPr>
          <w:trHeight w:val="960"/>
        </w:trPr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La meta del indicador para este trimestre es de 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6A7" w:rsidRPr="00C9704D" w:rsidRDefault="004956A7" w:rsidP="004956A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C9704D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 w:rsidP="00F157A0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0E6" w:rsidRDefault="00CC00E6">
      <w:pPr>
        <w:spacing w:after="0" w:line="240" w:lineRule="auto"/>
      </w:pPr>
      <w:r>
        <w:separator/>
      </w:r>
    </w:p>
  </w:endnote>
  <w:endnote w:type="continuationSeparator" w:id="0">
    <w:p w:rsidR="00CC00E6" w:rsidRDefault="00CC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6A7" w:rsidRDefault="004956A7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6A7" w:rsidRDefault="004956A7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0E6" w:rsidRDefault="00CC00E6">
      <w:pPr>
        <w:spacing w:after="0" w:line="240" w:lineRule="auto"/>
      </w:pPr>
      <w:r>
        <w:separator/>
      </w:r>
    </w:p>
  </w:footnote>
  <w:footnote w:type="continuationSeparator" w:id="0">
    <w:p w:rsidR="00CC00E6" w:rsidRDefault="00CC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6A7" w:rsidRDefault="004956A7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35AAEA68">
              <wp:simplePos x="0" y="0"/>
              <wp:positionH relativeFrom="column">
                <wp:posOffset>7051040</wp:posOffset>
              </wp:positionH>
              <wp:positionV relativeFrom="paragraph">
                <wp:posOffset>-68580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7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56A7" w:rsidRDefault="00F157A0" w:rsidP="00F157A0">
                          <w:pPr>
                            <w:pStyle w:val="NormalWeb"/>
                            <w:spacing w:beforeAutospacing="0" w:after="0" w:afterAutospacing="0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0EED4" wp14:editId="40C6F77C">
                                <wp:extent cx="1160294" cy="333375"/>
                                <wp:effectExtent l="0" t="0" r="1905" b="0"/>
                                <wp:docPr id="6" name="Imagen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BE43F88F-C4A7-41B9-BB67-23D99FAD030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BE43F88F-C4A7-41B9-BB67-23D99FAD030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7955" cy="3355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956A7"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AAEA68" id="2 Rectángulo" o:spid="_x0000_s1026" style="position:absolute;left:0;text-align:left;margin-left:555.2pt;margin-top:-5.4pt;width:102.25pt;height:36.8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" o:allowincell="f" stroked="f" strokeweight="1pt">
              <v:textbox>
                <w:txbxContent>
                  <w:p w:rsidR="004956A7" w:rsidRDefault="00F157A0" w:rsidP="00F157A0">
                    <w:pPr>
                      <w:pStyle w:val="NormalWeb"/>
                      <w:spacing w:beforeAutospacing="0" w:after="0" w:afterAutospacing="0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B0EED4" wp14:editId="40C6F77C">
                          <wp:extent cx="1160294" cy="333375"/>
                          <wp:effectExtent l="0" t="0" r="1905" b="0"/>
                          <wp:docPr id="6" name="Imagen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BE43F88F-C4A7-41B9-BB67-23D99FAD030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2">
                                    <a:extLst>
                                      <a:ext uri="{FF2B5EF4-FFF2-40B4-BE49-F238E27FC236}">
                                        <a16:creationId xmlns:a16="http://schemas.microsoft.com/office/drawing/2014/main" id="{BE43F88F-C4A7-41B9-BB67-23D99FAD030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7955" cy="3355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956A7"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EL ENTE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56A7" w:rsidRDefault="00F157A0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DIN Pro Regular"/>
        <w:b/>
        <w:bCs/>
        <w:sz w:val="24"/>
        <w:szCs w:val="24"/>
      </w:rPr>
      <w:t xml:space="preserve">Universidad </w:t>
    </w:r>
    <w:r w:rsidR="00D32D4E">
      <w:rPr>
        <w:rFonts w:ascii="Encode Sans" w:hAnsi="Encode Sans" w:cs="DIN Pro Regular"/>
        <w:b/>
        <w:bCs/>
        <w:sz w:val="24"/>
        <w:szCs w:val="24"/>
      </w:rPr>
      <w:t>de</w:t>
    </w:r>
    <w:r>
      <w:rPr>
        <w:rFonts w:ascii="Encode Sans" w:hAnsi="Encode Sans" w:cs="DIN Pro Regular"/>
        <w:b/>
        <w:bCs/>
        <w:sz w:val="24"/>
        <w:szCs w:val="24"/>
      </w:rPr>
      <w:t xml:space="preserve"> Seguridad y Justicia de Tamaulipas</w:t>
    </w:r>
  </w:p>
  <w:p w:rsidR="004956A7" w:rsidRDefault="004956A7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9078F"/>
    <w:rsid w:val="00140411"/>
    <w:rsid w:val="00152FF9"/>
    <w:rsid w:val="003F3903"/>
    <w:rsid w:val="004956A7"/>
    <w:rsid w:val="005B76E5"/>
    <w:rsid w:val="00880030"/>
    <w:rsid w:val="00A800BB"/>
    <w:rsid w:val="00C9704D"/>
    <w:rsid w:val="00CC00E6"/>
    <w:rsid w:val="00D32D4E"/>
    <w:rsid w:val="00F157A0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3E962"/>
  <w15:docId w15:val="{98993DB9-CB7E-4AF5-BFE2-FACE600B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E0A6-84AB-41AA-9948-E3526514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2546</Words>
  <Characters>14008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Juan Carlos de la Cruz López</cp:lastModifiedBy>
  <cp:revision>25</cp:revision>
  <cp:lastPrinted>2022-12-20T20:35:00Z</cp:lastPrinted>
  <dcterms:created xsi:type="dcterms:W3CDTF">2021-01-09T00:44:00Z</dcterms:created>
  <dcterms:modified xsi:type="dcterms:W3CDTF">2025-02-18T18:32:00Z</dcterms:modified>
  <dc:language>es-MX</dc:language>
</cp:coreProperties>
</file>