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8A1D7" w14:textId="77777777" w:rsidR="005B1BB2" w:rsidRDefault="005B1BB2">
      <w:pPr>
        <w:pStyle w:val="Text"/>
      </w:pPr>
    </w:p>
    <w:p w14:paraId="7D159F20" w14:textId="77777777" w:rsidR="005B1BB2" w:rsidRDefault="00000000">
      <w:pPr>
        <w:pStyle w:val="Text"/>
        <w:spacing w:after="0" w:line="240" w:lineRule="exact"/>
        <w:jc w:val="center"/>
      </w:pPr>
      <w:r>
        <w:rPr>
          <w:rFonts w:ascii="Calibri" w:hAnsi="Calibri" w:cs="DIN Pro Regular"/>
          <w:b/>
          <w:sz w:val="24"/>
          <w:szCs w:val="24"/>
        </w:rPr>
        <w:t>Cuenta Pública 2024</w:t>
      </w:r>
    </w:p>
    <w:p w14:paraId="41868FA7" w14:textId="77777777" w:rsidR="005B1BB2" w:rsidRDefault="005B1BB2">
      <w:pPr>
        <w:pStyle w:val="Text"/>
        <w:spacing w:after="0" w:line="240" w:lineRule="exact"/>
        <w:jc w:val="center"/>
        <w:rPr>
          <w:rFonts w:ascii="Calibri" w:hAnsi="Calibri" w:cs="DIN Pro Regular"/>
          <w:b/>
          <w:sz w:val="24"/>
          <w:szCs w:val="24"/>
        </w:rPr>
      </w:pPr>
    </w:p>
    <w:p w14:paraId="6241CB6A" w14:textId="77777777" w:rsidR="005B1BB2" w:rsidRDefault="00000000">
      <w:pPr>
        <w:pStyle w:val="Text"/>
        <w:spacing w:after="0" w:line="240" w:lineRule="exact"/>
        <w:jc w:val="center"/>
      </w:pPr>
      <w:r>
        <w:rPr>
          <w:rFonts w:ascii="Calibri" w:hAnsi="Calibri" w:cs="DIN Pro Regular"/>
          <w:b/>
          <w:sz w:val="24"/>
          <w:szCs w:val="24"/>
        </w:rPr>
        <w:t>Notas a los Estados Financieros</w:t>
      </w:r>
    </w:p>
    <w:p w14:paraId="112581DE" w14:textId="77777777" w:rsidR="005B1BB2" w:rsidRDefault="005B1BB2">
      <w:pPr>
        <w:pStyle w:val="Text"/>
        <w:spacing w:after="0" w:line="240" w:lineRule="exact"/>
        <w:ind w:firstLine="0"/>
        <w:rPr>
          <w:rFonts w:ascii="Calibri" w:hAnsi="Calibri" w:cs="DIN Pro Regular"/>
          <w:b/>
          <w:sz w:val="24"/>
          <w:szCs w:val="24"/>
        </w:rPr>
      </w:pPr>
    </w:p>
    <w:p w14:paraId="66F3EBC0" w14:textId="77777777" w:rsidR="005B1BB2" w:rsidRDefault="005B1BB2">
      <w:pPr>
        <w:pStyle w:val="Text"/>
        <w:spacing w:after="0" w:line="240" w:lineRule="exact"/>
        <w:ind w:firstLine="0"/>
        <w:rPr>
          <w:rFonts w:ascii="Calibri" w:hAnsi="Calibri" w:cs="DIN Pro Regular"/>
          <w:b/>
          <w:sz w:val="24"/>
          <w:szCs w:val="24"/>
        </w:rPr>
      </w:pPr>
    </w:p>
    <w:p w14:paraId="36A8173E" w14:textId="77777777" w:rsidR="005B1BB2"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69906DFA" w14:textId="77777777" w:rsidR="005B1BB2" w:rsidRDefault="005B1BB2">
      <w:pPr>
        <w:pStyle w:val="Text"/>
        <w:spacing w:after="0" w:line="240" w:lineRule="exact"/>
        <w:ind w:firstLine="0"/>
        <w:jc w:val="left"/>
        <w:rPr>
          <w:rFonts w:ascii="Calibri" w:hAnsi="Calibri" w:cs="DIN Pro Regular"/>
          <w:b/>
          <w:sz w:val="20"/>
          <w:lang w:val="es-MX"/>
        </w:rPr>
      </w:pPr>
    </w:p>
    <w:p w14:paraId="64D80275" w14:textId="77777777" w:rsidR="005B1BB2"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 xml:space="preserve">Autorización e Historia. El 11 de Septiembre del 2002, el gobierno del Estado de Tamaulipas emitió decreto mediante el cual se aprobó la fundación de la Universidad Tecnológica de Nuevo Laredo, así mismo, existen dos reformas a su decreto de creación, siendo la primera el 23 de Noviembre del 2006 y la segunda el 5 de Noviembre de 2009, en el año 2007 la Universidad Tecnológica de Nuevo Laredo obtiene el nivel 1 del comité interinstitucional de evaluación de Educación Superior en las carreras de Clasificación Arancelaria y Despacho Aduanero, Administración de Auto Transporte y Logística, obteniendo el grado para la impartición del nivel de Licenciatura en Ingeniería en Logística Internacional. En 2009 las carreras de Técnico Superior Universitario en Mantenimiento Industrial, Electrónica y Automatización lograron la distinción de SIEES para lograr la continuidad de Ingeniero en Mantenimiento Industrial e Ingeniero en Mecatrónica </w:t>
      </w:r>
    </w:p>
    <w:p w14:paraId="4DE33F42" w14:textId="77777777" w:rsidR="005B1BB2" w:rsidRDefault="005B1BB2">
      <w:pPr>
        <w:pStyle w:val="Text"/>
        <w:spacing w:after="0" w:line="240" w:lineRule="exact"/>
        <w:ind w:left="288" w:firstLine="0"/>
        <w:rPr>
          <w:rFonts w:ascii="Calibri" w:hAnsi="Calibri" w:cs="DIN Pro Regular"/>
          <w:sz w:val="20"/>
          <w:lang w:val="es-MX"/>
        </w:rPr>
      </w:pPr>
    </w:p>
    <w:p w14:paraId="21FEB160" w14:textId="77777777" w:rsidR="005B1BB2" w:rsidRDefault="00000000">
      <w:pPr>
        <w:spacing w:after="101" w:line="216" w:lineRule="exact"/>
        <w:ind w:left="709"/>
        <w:jc w:val="both"/>
      </w:pPr>
      <w:r>
        <w:rPr>
          <w:rFonts w:ascii="DINPro-Regular" w:eastAsia="Times New Roman" w:hAnsi="DINPro-Regular"/>
          <w:lang w:val="es-ES" w:eastAsia="es-ES"/>
        </w:rPr>
        <w:t>E</w:t>
      </w:r>
      <w:r>
        <w:rPr>
          <w:rFonts w:eastAsia="Times New Roman"/>
          <w:lang w:val="es-ES" w:eastAsia="es-ES"/>
        </w:rPr>
        <w:t>n 2010 la carrera de comercialización y ventas en el área de mercadotecnia obtienen                                                                                                                                                                                                                                                                en el nivel 1 del cíes justificando la necesidad de la apertura de ingeniería en desarrollo de innovación empresarial.</w:t>
      </w:r>
    </w:p>
    <w:p w14:paraId="42E78704" w14:textId="77777777" w:rsidR="005B1BB2" w:rsidRDefault="00000000">
      <w:pPr>
        <w:spacing w:after="101" w:line="216" w:lineRule="exact"/>
        <w:ind w:left="709"/>
        <w:jc w:val="both"/>
        <w:rPr>
          <w:rFonts w:eastAsia="Times New Roman"/>
          <w:lang w:val="es-ES" w:eastAsia="es-ES"/>
        </w:rPr>
      </w:pPr>
      <w:r>
        <w:rPr>
          <w:rFonts w:eastAsia="Times New Roman"/>
          <w:lang w:val="es-ES" w:eastAsia="es-ES"/>
        </w:rPr>
        <w:t>en la actualidad, el título de técnico superior universitario se obtiene a los dos años, y para quienes continúan con la licenciatura, con un año y ocho meses más, se titulan como ingenieros.</w:t>
      </w:r>
    </w:p>
    <w:p w14:paraId="473387CF" w14:textId="77777777" w:rsidR="005B1BB2" w:rsidRDefault="005B1BB2">
      <w:pPr>
        <w:pStyle w:val="Text"/>
        <w:spacing w:after="0" w:line="240" w:lineRule="exact"/>
        <w:ind w:left="709" w:firstLine="0"/>
        <w:rPr>
          <w:rFonts w:ascii="Calibri" w:hAnsi="Calibri" w:cs="DIN Pro Regular"/>
          <w:sz w:val="20"/>
        </w:rPr>
      </w:pPr>
    </w:p>
    <w:p w14:paraId="1EEDE47F" w14:textId="77777777" w:rsidR="005B1BB2" w:rsidRDefault="00000000">
      <w:pPr>
        <w:spacing w:after="101" w:line="216" w:lineRule="exact"/>
        <w:ind w:left="709"/>
        <w:jc w:val="both"/>
      </w:pPr>
      <w:r>
        <w:rPr>
          <w:rFonts w:eastAsia="Times New Roman"/>
          <w:b/>
          <w:lang w:val="es-ES" w:eastAsia="es-ES"/>
        </w:rPr>
        <w:t>Implementación del modelo bilingüe, internacional y sustentable.</w:t>
      </w:r>
      <w:r>
        <w:rPr>
          <w:rFonts w:eastAsia="Times New Roman"/>
          <w:lang w:val="es-ES" w:eastAsia="es-ES"/>
        </w:rPr>
        <w:t xml:space="preserve"> - se autorizó la implementación del modelo </w:t>
      </w:r>
      <w:proofErr w:type="gramStart"/>
      <w:r>
        <w:rPr>
          <w:rFonts w:eastAsia="Times New Roman"/>
          <w:lang w:val="es-ES" w:eastAsia="es-ES"/>
        </w:rPr>
        <w:t>bis el</w:t>
      </w:r>
      <w:proofErr w:type="gramEnd"/>
      <w:r>
        <w:rPr>
          <w:rFonts w:eastAsia="Times New Roman"/>
          <w:lang w:val="es-ES" w:eastAsia="es-ES"/>
        </w:rPr>
        <w:t xml:space="preserve"> 7 de agosto de 2018, con el oficio núm. 514.1.934/2018….</w:t>
      </w:r>
    </w:p>
    <w:p w14:paraId="27639CE0" w14:textId="77777777" w:rsidR="005B1BB2" w:rsidRDefault="00000000">
      <w:pPr>
        <w:spacing w:after="101" w:line="216" w:lineRule="exact"/>
        <w:ind w:left="709"/>
        <w:jc w:val="both"/>
        <w:rPr>
          <w:rFonts w:eastAsia="Times New Roman"/>
          <w:lang w:val="es-ES" w:eastAsia="es-ES"/>
        </w:rPr>
      </w:pPr>
      <w:r>
        <w:rPr>
          <w:rFonts w:eastAsia="Times New Roman"/>
          <w:lang w:val="es-ES" w:eastAsia="es-ES"/>
        </w:rPr>
        <w:t>el modelo de universidades bis, opera bajo un régimen pedagógico bilingüe inglés-español.</w:t>
      </w:r>
    </w:p>
    <w:p w14:paraId="338614D1" w14:textId="77777777" w:rsidR="005B1BB2" w:rsidRDefault="00000000">
      <w:pPr>
        <w:spacing w:after="101" w:line="216" w:lineRule="exact"/>
        <w:ind w:left="709"/>
        <w:jc w:val="both"/>
        <w:rPr>
          <w:rFonts w:eastAsia="Times New Roman"/>
          <w:lang w:val="es-ES" w:eastAsia="es-ES"/>
        </w:rPr>
      </w:pPr>
      <w:r>
        <w:rPr>
          <w:rFonts w:eastAsia="Times New Roman"/>
          <w:lang w:val="es-ES" w:eastAsia="es-ES"/>
        </w:rPr>
        <w:t>los cursos son ofrecidos por personal docente calificado y certificado.</w:t>
      </w:r>
    </w:p>
    <w:p w14:paraId="39D96ECB" w14:textId="77777777" w:rsidR="005B1BB2" w:rsidRDefault="00000000">
      <w:pPr>
        <w:spacing w:after="101" w:line="216" w:lineRule="exact"/>
        <w:ind w:left="709"/>
        <w:jc w:val="both"/>
        <w:rPr>
          <w:rFonts w:eastAsia="Times New Roman"/>
          <w:lang w:val="es-ES" w:eastAsia="es-ES"/>
        </w:rPr>
      </w:pPr>
      <w:r>
        <w:rPr>
          <w:rFonts w:eastAsia="Times New Roman"/>
          <w:lang w:val="es-ES" w:eastAsia="es-ES"/>
        </w:rPr>
        <w:t>los alumnos comienzan en el modelo bis con un cuatrimestre de inmersión, donde cursan 525 horas de inglés, donde se adquieren las funciones del idioma, como lo son la gramática y vocabulario, y al mismo tiempo, se desarrollan las habilidades como lo son la comprensión auditiva, lectura, escritura y expresión oral.</w:t>
      </w:r>
    </w:p>
    <w:p w14:paraId="657C258E" w14:textId="77777777" w:rsidR="005B1BB2" w:rsidRDefault="00000000">
      <w:pPr>
        <w:spacing w:after="101" w:line="216" w:lineRule="exact"/>
        <w:ind w:left="709"/>
        <w:jc w:val="both"/>
        <w:rPr>
          <w:rFonts w:eastAsia="Times New Roman"/>
          <w:lang w:val="es-ES" w:eastAsia="es-ES"/>
        </w:rPr>
      </w:pPr>
      <w:r>
        <w:rPr>
          <w:rFonts w:eastAsia="Times New Roman"/>
          <w:lang w:val="es-ES" w:eastAsia="es-ES"/>
        </w:rPr>
        <w:t xml:space="preserve">al terminar el cuatrimestre de inmersión, los alumnos tendrán que acreditar el nivel a2, según el marco común europeo de referencia para las lenguas, con la certificación </w:t>
      </w:r>
      <w:proofErr w:type="spellStart"/>
      <w:r>
        <w:rPr>
          <w:rFonts w:eastAsia="Times New Roman"/>
          <w:lang w:val="es-ES" w:eastAsia="es-ES"/>
        </w:rPr>
        <w:t>itep</w:t>
      </w:r>
      <w:proofErr w:type="spellEnd"/>
      <w:r>
        <w:rPr>
          <w:rFonts w:eastAsia="Times New Roman"/>
          <w:lang w:val="es-ES" w:eastAsia="es-ES"/>
        </w:rPr>
        <w:t>.</w:t>
      </w:r>
    </w:p>
    <w:p w14:paraId="66B9A12F" w14:textId="77777777" w:rsidR="005B1BB2" w:rsidRDefault="00000000">
      <w:pPr>
        <w:spacing w:after="101" w:line="216" w:lineRule="exact"/>
        <w:ind w:left="709"/>
        <w:jc w:val="both"/>
        <w:rPr>
          <w:rFonts w:eastAsia="Times New Roman"/>
          <w:lang w:val="es-ES" w:eastAsia="es-ES"/>
        </w:rPr>
      </w:pPr>
      <w:r>
        <w:rPr>
          <w:rFonts w:eastAsia="Times New Roman"/>
          <w:lang w:val="es-ES" w:eastAsia="es-ES"/>
        </w:rPr>
        <w:t xml:space="preserve">una vez que los alumnos obtienen el nivel a2 ingresan a primer cuatrimestre, en el cual cursarán dos asignaturas de especialidad de su carrera, en inglés. en segundo cuatrimestre </w:t>
      </w:r>
    </w:p>
    <w:p w14:paraId="7A6977CA" w14:textId="77777777" w:rsidR="005B1BB2" w:rsidRDefault="005B1BB2">
      <w:pPr>
        <w:spacing w:after="101" w:line="216" w:lineRule="exact"/>
        <w:ind w:left="709"/>
        <w:jc w:val="both"/>
        <w:rPr>
          <w:rFonts w:eastAsia="Times New Roman"/>
          <w:lang w:val="es-ES" w:eastAsia="es-ES"/>
        </w:rPr>
      </w:pPr>
    </w:p>
    <w:p w14:paraId="3B2579EB" w14:textId="77777777" w:rsidR="005B1BB2" w:rsidRDefault="00000000">
      <w:pPr>
        <w:spacing w:after="101" w:line="216" w:lineRule="exact"/>
        <w:ind w:left="709"/>
        <w:jc w:val="both"/>
        <w:rPr>
          <w:rFonts w:eastAsia="Times New Roman"/>
          <w:lang w:val="es-ES" w:eastAsia="es-ES"/>
        </w:rPr>
      </w:pPr>
      <w:r>
        <w:rPr>
          <w:rFonts w:eastAsia="Times New Roman"/>
          <w:lang w:val="es-ES" w:eastAsia="es-ES"/>
        </w:rPr>
        <w:t xml:space="preserve">cursarán cuatro asignaturas en inglés y el resto en español, y así, sucesivamente las asignaturas de especialidad en el idioma </w:t>
      </w:r>
      <w:proofErr w:type="spellStart"/>
      <w:r>
        <w:rPr>
          <w:rFonts w:eastAsia="Times New Roman"/>
          <w:lang w:val="es-ES" w:eastAsia="es-ES"/>
        </w:rPr>
        <w:t>ingles</w:t>
      </w:r>
      <w:proofErr w:type="spellEnd"/>
      <w:r>
        <w:rPr>
          <w:rFonts w:eastAsia="Times New Roman"/>
          <w:lang w:val="es-ES" w:eastAsia="es-ES"/>
        </w:rPr>
        <w:t xml:space="preserve"> seguirán incrementando en cada cuatrimestre.</w:t>
      </w:r>
    </w:p>
    <w:p w14:paraId="27C2F7D3" w14:textId="77777777" w:rsidR="005B1BB2" w:rsidRDefault="00000000">
      <w:pPr>
        <w:spacing w:after="101" w:line="216" w:lineRule="exact"/>
        <w:ind w:left="709"/>
        <w:jc w:val="both"/>
      </w:pPr>
      <w:r>
        <w:rPr>
          <w:rFonts w:eastAsia="Times New Roman"/>
          <w:lang w:val="es-ES" w:eastAsia="es-ES"/>
        </w:rPr>
        <w:t xml:space="preserve">el concepto de </w:t>
      </w:r>
      <w:r>
        <w:rPr>
          <w:rFonts w:eastAsia="Times New Roman"/>
          <w:b/>
          <w:lang w:val="es-ES" w:eastAsia="es-ES"/>
        </w:rPr>
        <w:t>internacionalización</w:t>
      </w:r>
      <w:r>
        <w:rPr>
          <w:rFonts w:eastAsia="Times New Roman"/>
          <w:lang w:val="es-ES" w:eastAsia="es-ES"/>
        </w:rPr>
        <w:t xml:space="preserve"> implica que los alumnos tengan la oportunidad de participar en intercambios con universidades de otros países, así como también la internacionalización en casa.</w:t>
      </w:r>
    </w:p>
    <w:p w14:paraId="7DAA301E" w14:textId="77777777" w:rsidR="005B1BB2" w:rsidRDefault="005B1BB2">
      <w:pPr>
        <w:spacing w:after="101" w:line="216" w:lineRule="exact"/>
        <w:ind w:left="709" w:firstLine="288"/>
        <w:jc w:val="both"/>
        <w:rPr>
          <w:rFonts w:eastAsia="Times New Roman"/>
          <w:lang w:val="es-ES" w:eastAsia="es-ES"/>
        </w:rPr>
      </w:pPr>
    </w:p>
    <w:p w14:paraId="0504E045" w14:textId="77777777" w:rsidR="005B1BB2" w:rsidRDefault="00000000">
      <w:pPr>
        <w:spacing w:after="101" w:line="216" w:lineRule="exact"/>
        <w:ind w:left="709"/>
        <w:jc w:val="both"/>
      </w:pPr>
      <w:r>
        <w:rPr>
          <w:rFonts w:eastAsia="Times New Roman"/>
          <w:lang w:val="es-ES" w:eastAsia="es-ES"/>
        </w:rPr>
        <w:t xml:space="preserve">otro eje rector de este modelo es la </w:t>
      </w:r>
      <w:r>
        <w:rPr>
          <w:rFonts w:eastAsia="Times New Roman"/>
          <w:b/>
          <w:lang w:val="es-ES" w:eastAsia="es-ES"/>
        </w:rPr>
        <w:t>sustentabilidad,</w:t>
      </w:r>
      <w:r>
        <w:rPr>
          <w:rFonts w:eastAsia="Times New Roman"/>
          <w:lang w:val="es-ES" w:eastAsia="es-ES"/>
        </w:rPr>
        <w:t xml:space="preserve"> donde los alumnos son concientizados en el cuidado del medio ambiente, las instalaciones de la universidad, así como involucrarse en la cultura de la comunidad</w:t>
      </w:r>
      <w:r>
        <w:rPr>
          <w:rFonts w:ascii="DINPro-Regular" w:eastAsia="Times New Roman" w:hAnsi="DINPro-Regular"/>
          <w:lang w:val="es-ES" w:eastAsia="es-ES"/>
        </w:rPr>
        <w:t xml:space="preserve">.  </w:t>
      </w:r>
    </w:p>
    <w:p w14:paraId="271C63CD" w14:textId="77777777" w:rsidR="005B1BB2" w:rsidRDefault="005B1BB2">
      <w:pPr>
        <w:pStyle w:val="Text"/>
        <w:spacing w:after="0" w:line="240" w:lineRule="exact"/>
        <w:ind w:firstLine="0"/>
      </w:pPr>
    </w:p>
    <w:p w14:paraId="072D73D0" w14:textId="77777777" w:rsidR="005B1BB2" w:rsidRDefault="005B1BB2">
      <w:pPr>
        <w:pStyle w:val="Text"/>
        <w:spacing w:after="0" w:line="240" w:lineRule="exact"/>
        <w:ind w:firstLine="0"/>
      </w:pPr>
    </w:p>
    <w:p w14:paraId="75C098D9" w14:textId="77777777" w:rsidR="005B1BB2" w:rsidRDefault="005B1BB2">
      <w:pPr>
        <w:pStyle w:val="Text"/>
        <w:spacing w:after="0" w:line="240" w:lineRule="exact"/>
        <w:ind w:firstLine="0"/>
      </w:pPr>
    </w:p>
    <w:p w14:paraId="78B4B610" w14:textId="77777777" w:rsidR="005B1BB2" w:rsidRDefault="005B1BB2">
      <w:pPr>
        <w:pStyle w:val="Text"/>
        <w:spacing w:after="0" w:line="240" w:lineRule="exact"/>
        <w:ind w:firstLine="0"/>
      </w:pPr>
    </w:p>
    <w:p w14:paraId="47B9801E" w14:textId="77777777" w:rsidR="005B1BB2" w:rsidRDefault="005B1BB2">
      <w:pPr>
        <w:pStyle w:val="Text"/>
        <w:spacing w:after="0" w:line="240" w:lineRule="exact"/>
        <w:ind w:firstLine="0"/>
      </w:pPr>
    </w:p>
    <w:p w14:paraId="3274E5ED" w14:textId="77777777" w:rsidR="005B1BB2" w:rsidRDefault="005B1BB2">
      <w:pPr>
        <w:pStyle w:val="Text"/>
        <w:spacing w:after="0" w:line="240" w:lineRule="exact"/>
        <w:ind w:firstLine="0"/>
      </w:pPr>
    </w:p>
    <w:p w14:paraId="49A58592" w14:textId="77777777" w:rsidR="005B1BB2" w:rsidRDefault="00000000">
      <w:pPr>
        <w:pStyle w:val="Texto"/>
        <w:numPr>
          <w:ilvl w:val="0"/>
          <w:numId w:val="5"/>
        </w:numPr>
        <w:spacing w:after="0" w:line="240" w:lineRule="exact"/>
        <w:rPr>
          <w:rFonts w:ascii="Calibri" w:hAnsi="Calibri" w:cs="DIN Pro Regular"/>
          <w:sz w:val="20"/>
          <w:lang w:val="es-MX"/>
        </w:rPr>
      </w:pPr>
      <w:r>
        <w:rPr>
          <w:rFonts w:ascii="Calibri" w:hAnsi="Calibri" w:cs="DIN Pro Regular"/>
          <w:sz w:val="20"/>
          <w:lang w:val="es-MX"/>
        </w:rPr>
        <w:t>Panorama Económico y Financiero. Panorama Económico y Financiero. Los objetos de la institución se cumplieron durante el ejercicio con Ingresos Propios, Ingresos Federales e Ingresos del Estado, a través de subsidios aprobados previamente por el consejo directivo mediante presupuesto.</w:t>
      </w:r>
    </w:p>
    <w:p w14:paraId="6E020F06" w14:textId="77777777" w:rsidR="005B1BB2" w:rsidRDefault="005B1BB2">
      <w:pPr>
        <w:pStyle w:val="Text"/>
        <w:spacing w:after="0" w:line="240" w:lineRule="exact"/>
        <w:ind w:firstLine="0"/>
        <w:rPr>
          <w:rFonts w:ascii="Calibri" w:hAnsi="Calibri" w:cs="DIN Pro Regular"/>
          <w:sz w:val="20"/>
          <w:lang w:val="es-MX"/>
        </w:rPr>
      </w:pPr>
    </w:p>
    <w:p w14:paraId="600742FA" w14:textId="77777777" w:rsidR="005B1BB2" w:rsidRDefault="005B1BB2">
      <w:pPr>
        <w:pStyle w:val="Text"/>
        <w:spacing w:after="0" w:line="240" w:lineRule="exact"/>
        <w:ind w:firstLine="0"/>
      </w:pPr>
    </w:p>
    <w:p w14:paraId="11A15CF2" w14:textId="77777777" w:rsidR="005B1BB2" w:rsidRDefault="00000000">
      <w:pPr>
        <w:pStyle w:val="Prrafodelista"/>
        <w:numPr>
          <w:ilvl w:val="0"/>
          <w:numId w:val="5"/>
        </w:numPr>
        <w:spacing w:after="101" w:line="216" w:lineRule="exact"/>
        <w:jc w:val="both"/>
      </w:pPr>
      <w:r>
        <w:rPr>
          <w:rFonts w:cs="DIN Pro Regular"/>
          <w:sz w:val="20"/>
          <w:szCs w:val="20"/>
        </w:rPr>
        <w:t>Organización y Objeto Social.</w:t>
      </w:r>
      <w:r>
        <w:rPr>
          <w:rFonts w:cs="DIN Pro Regular"/>
        </w:rPr>
        <w:t xml:space="preserve">  </w:t>
      </w:r>
      <w:r>
        <w:rPr>
          <w:rFonts w:eastAsia="Times New Roman"/>
          <w:sz w:val="20"/>
          <w:szCs w:val="20"/>
          <w:lang w:val="es-ES" w:eastAsia="es-ES"/>
        </w:rPr>
        <w:t>la universidad tendrá por objeto: ofrecer los programas de formación de técnicos superiores universitarios, de licenciaturas y de posgrado pertinentes y contribuir al desarrollo del sistema de educación superior del estado de Tamaulipas, entre otros</w:t>
      </w:r>
      <w:r>
        <w:rPr>
          <w:rFonts w:eastAsia="Times New Roman"/>
          <w:lang w:val="es-ES" w:eastAsia="es-ES"/>
        </w:rPr>
        <w:t>.</w:t>
      </w:r>
    </w:p>
    <w:p w14:paraId="76776782" w14:textId="77777777" w:rsidR="005B1BB2" w:rsidRDefault="00000000">
      <w:pPr>
        <w:spacing w:after="101" w:line="216" w:lineRule="exact"/>
        <w:ind w:left="709"/>
        <w:jc w:val="both"/>
        <w:rPr>
          <w:rFonts w:eastAsia="Times New Roman"/>
          <w:lang w:val="es-ES" w:eastAsia="es-ES"/>
        </w:rPr>
      </w:pPr>
      <w:r>
        <w:rPr>
          <w:rFonts w:eastAsia="Times New Roman"/>
          <w:lang w:val="es-ES" w:eastAsia="es-ES"/>
        </w:rPr>
        <w:t>principal actividad: la formación de técnicos superiores universitarios e ingenieros para proveer la mano de obra suficientemente calificada en las principales actividades económicas   de la región.</w:t>
      </w:r>
    </w:p>
    <w:p w14:paraId="5DCADDE3" w14:textId="77777777" w:rsidR="005B1BB2" w:rsidRDefault="00000000">
      <w:pPr>
        <w:spacing w:after="101" w:line="216" w:lineRule="exact"/>
        <w:jc w:val="both"/>
        <w:rPr>
          <w:rFonts w:eastAsia="Times New Roman"/>
          <w:lang w:val="es-ES" w:eastAsia="es-ES"/>
        </w:rPr>
      </w:pPr>
      <w:r>
        <w:rPr>
          <w:rFonts w:eastAsia="Times New Roman"/>
          <w:lang w:val="es-ES" w:eastAsia="es-ES"/>
        </w:rPr>
        <w:t xml:space="preserve">               Ejercicio fiscal 2024.</w:t>
      </w:r>
    </w:p>
    <w:p w14:paraId="4AAF2A73" w14:textId="77777777" w:rsidR="005B1BB2" w:rsidRDefault="00000000">
      <w:pPr>
        <w:spacing w:after="101" w:line="216" w:lineRule="exact"/>
        <w:jc w:val="both"/>
        <w:rPr>
          <w:rFonts w:eastAsia="Times New Roman"/>
          <w:lang w:val="es-ES" w:eastAsia="es-ES"/>
        </w:rPr>
      </w:pPr>
      <w:r>
        <w:rPr>
          <w:rFonts w:eastAsia="Times New Roman"/>
          <w:lang w:val="es-ES" w:eastAsia="es-ES"/>
        </w:rPr>
        <w:t xml:space="preserve">               Régimen jurídico: régimen federal y estatal.</w:t>
      </w:r>
    </w:p>
    <w:p w14:paraId="3CFC6794" w14:textId="77777777" w:rsidR="005B1BB2" w:rsidRDefault="00000000">
      <w:pPr>
        <w:spacing w:after="101" w:line="216" w:lineRule="exact"/>
        <w:ind w:left="709"/>
        <w:jc w:val="both"/>
        <w:rPr>
          <w:rFonts w:eastAsia="Times New Roman"/>
          <w:lang w:val="es-ES" w:eastAsia="es-ES"/>
        </w:rPr>
      </w:pPr>
      <w:r>
        <w:rPr>
          <w:rFonts w:eastAsia="Times New Roman"/>
          <w:lang w:val="es-ES" w:eastAsia="es-ES"/>
        </w:rPr>
        <w:t>Tipo de contribuciones: esta universidad está obligada al entero de retenciones del impuesto sobre la renta por sueldos y salarios, asimilables a salarios, honorarios por servicios profesionales, así como de retenciones del impuesto al valor agregado por honorarios por servicios profesionales.</w:t>
      </w:r>
    </w:p>
    <w:p w14:paraId="3A1E5E86" w14:textId="77777777" w:rsidR="005B1BB2" w:rsidRDefault="00000000">
      <w:pPr>
        <w:spacing w:after="101" w:line="216" w:lineRule="exact"/>
        <w:ind w:left="709"/>
        <w:jc w:val="both"/>
        <w:rPr>
          <w:rFonts w:eastAsia="Times New Roman"/>
          <w:lang w:val="es-ES" w:eastAsia="es-ES"/>
        </w:rPr>
      </w:pPr>
      <w:r>
        <w:rPr>
          <w:rFonts w:eastAsia="Times New Roman"/>
          <w:lang w:val="es-ES" w:eastAsia="es-ES"/>
        </w:rPr>
        <w:t>Así mismo, al pago del Impuesto Sobre Nóminas al Estado.</w:t>
      </w:r>
    </w:p>
    <w:p w14:paraId="3A1D18A4" w14:textId="77777777" w:rsidR="005B1BB2" w:rsidRDefault="00000000">
      <w:pPr>
        <w:spacing w:after="101" w:line="216" w:lineRule="exact"/>
        <w:ind w:left="709"/>
        <w:jc w:val="both"/>
        <w:rPr>
          <w:rFonts w:eastAsia="Times New Roman"/>
          <w:lang w:val="es-ES" w:eastAsia="es-ES"/>
        </w:rPr>
      </w:pPr>
      <w:r>
        <w:rPr>
          <w:rFonts w:eastAsia="Times New Roman"/>
          <w:lang w:val="es-ES" w:eastAsia="es-ES"/>
        </w:rPr>
        <w:t xml:space="preserve">Estructura organizacional básica. - esta universidad cuenta con un manual de organización y un estatuto orgánico que permiten coadyuvar en su funcionamiento, así también mejorar la formación profesional, de igual manera </w:t>
      </w:r>
    </w:p>
    <w:p w14:paraId="09471CE1" w14:textId="77777777" w:rsidR="005B1BB2" w:rsidRDefault="00000000">
      <w:pPr>
        <w:spacing w:after="101" w:line="216" w:lineRule="exact"/>
        <w:ind w:left="709"/>
        <w:jc w:val="both"/>
        <w:rPr>
          <w:rFonts w:eastAsia="Times New Roman"/>
          <w:lang w:val="es-ES" w:eastAsia="es-ES"/>
        </w:rPr>
      </w:pPr>
      <w:r>
        <w:rPr>
          <w:rFonts w:eastAsia="Times New Roman"/>
          <w:lang w:val="es-ES" w:eastAsia="es-ES"/>
        </w:rPr>
        <w:t xml:space="preserve">estos manuales conjugan los puestos y funciones que permiten la interrelación entre personal de la universidad lo cual evita la duplicidad de funciones. </w:t>
      </w:r>
    </w:p>
    <w:p w14:paraId="082B9A4A" w14:textId="77777777" w:rsidR="005B1BB2" w:rsidRDefault="00000000">
      <w:pPr>
        <w:pStyle w:val="Text"/>
        <w:suppressAutoHyphens w:val="0"/>
        <w:spacing w:after="0" w:line="240" w:lineRule="exact"/>
        <w:ind w:left="709"/>
        <w:jc w:val="left"/>
        <w:textAlignment w:val="auto"/>
      </w:pPr>
      <w:r>
        <w:rPr>
          <w:rFonts w:ascii="Calibri" w:hAnsi="Calibri"/>
          <w:sz w:val="20"/>
        </w:rPr>
        <w:t>esto para un mejor servicio educativo a la comunidad estudianti</w:t>
      </w:r>
      <w:r>
        <w:rPr>
          <w:sz w:val="20"/>
        </w:rPr>
        <w:t>l.</w:t>
      </w:r>
    </w:p>
    <w:p w14:paraId="0BCAC55A" w14:textId="77777777" w:rsidR="005B1BB2" w:rsidRDefault="005B1BB2">
      <w:pPr>
        <w:pStyle w:val="Text"/>
        <w:spacing w:after="0" w:line="240" w:lineRule="exact"/>
        <w:ind w:firstLine="0"/>
      </w:pPr>
    </w:p>
    <w:p w14:paraId="7D01D792" w14:textId="77777777" w:rsidR="005B1BB2" w:rsidRDefault="00000000">
      <w:pPr>
        <w:pStyle w:val="Text"/>
        <w:numPr>
          <w:ilvl w:val="0"/>
          <w:numId w:val="5"/>
        </w:numPr>
        <w:spacing w:after="0" w:line="240" w:lineRule="exact"/>
      </w:pPr>
      <w:r>
        <w:rPr>
          <w:rFonts w:ascii="Calibri" w:hAnsi="Calibri" w:cs="DIN Pro Regular"/>
          <w:sz w:val="20"/>
          <w:lang w:val="es-MX"/>
        </w:rPr>
        <w:t xml:space="preserve">Bases de Preparación de los Estados Financieros. </w:t>
      </w:r>
      <w:r>
        <w:rPr>
          <w:rFonts w:ascii="Calibri" w:hAnsi="Calibri" w:cs="DIN Pro Regular"/>
          <w:sz w:val="20"/>
        </w:rPr>
        <w:t xml:space="preserve">la </w:t>
      </w:r>
      <w:r>
        <w:rPr>
          <w:rFonts w:ascii="Calibri" w:hAnsi="Calibri"/>
          <w:sz w:val="20"/>
        </w:rPr>
        <w:t xml:space="preserve">base para la presentación de los estados financieros; se ha observado la normatividad emitida por el </w:t>
      </w:r>
      <w:proofErr w:type="spellStart"/>
      <w:r>
        <w:rPr>
          <w:rFonts w:ascii="Calibri" w:hAnsi="Calibri"/>
          <w:sz w:val="20"/>
        </w:rPr>
        <w:t>conac</w:t>
      </w:r>
      <w:proofErr w:type="spellEnd"/>
      <w:r>
        <w:rPr>
          <w:rFonts w:ascii="Calibri" w:hAnsi="Calibri"/>
          <w:sz w:val="20"/>
        </w:rPr>
        <w:t xml:space="preserve"> y las disposiciones legales aplicables.</w:t>
      </w:r>
    </w:p>
    <w:p w14:paraId="4AB7FFFD" w14:textId="77777777" w:rsidR="005B1BB2" w:rsidRDefault="005B1BB2">
      <w:pPr>
        <w:pStyle w:val="Text"/>
        <w:spacing w:after="0" w:line="240" w:lineRule="exact"/>
        <w:ind w:firstLine="0"/>
      </w:pPr>
    </w:p>
    <w:p w14:paraId="0FE461CF" w14:textId="77777777" w:rsidR="005B1BB2"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Políticas de Contabilidad Significativas. No Aplica</w:t>
      </w:r>
    </w:p>
    <w:p w14:paraId="4788EDF5" w14:textId="77777777" w:rsidR="005B1BB2" w:rsidRDefault="005B1BB2">
      <w:pPr>
        <w:pStyle w:val="Text"/>
        <w:spacing w:after="0" w:line="240" w:lineRule="exact"/>
        <w:ind w:firstLine="0"/>
      </w:pPr>
    </w:p>
    <w:p w14:paraId="6B1DACD6" w14:textId="77777777" w:rsidR="005B1BB2"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Posición en Moneda Extranjera y Protección por Riesgo Cambiario. No aplica</w:t>
      </w:r>
    </w:p>
    <w:p w14:paraId="6C7C8FF7" w14:textId="77777777" w:rsidR="005B1BB2" w:rsidRDefault="005B1BB2">
      <w:pPr>
        <w:pStyle w:val="Text"/>
        <w:spacing w:after="0" w:line="240" w:lineRule="exact"/>
        <w:ind w:firstLine="0"/>
        <w:rPr>
          <w:rFonts w:ascii="Calibri" w:hAnsi="Calibri" w:cs="DIN Pro Regular"/>
          <w:sz w:val="20"/>
          <w:lang w:val="es-MX"/>
        </w:rPr>
      </w:pPr>
    </w:p>
    <w:p w14:paraId="01ABEB40" w14:textId="77777777" w:rsidR="005B1BB2" w:rsidRDefault="00000000">
      <w:pPr>
        <w:pStyle w:val="Texto"/>
        <w:numPr>
          <w:ilvl w:val="0"/>
          <w:numId w:val="5"/>
        </w:numPr>
        <w:spacing w:after="0" w:line="240" w:lineRule="exact"/>
      </w:pPr>
      <w:r>
        <w:rPr>
          <w:rFonts w:ascii="Calibri" w:hAnsi="Calibri" w:cs="DIN Pro Regular"/>
          <w:sz w:val="20"/>
          <w:lang w:val="es-MX"/>
        </w:rPr>
        <w:t>Reporte Analítico del Activo.</w:t>
      </w:r>
      <w:r>
        <w:rPr>
          <w:rFonts w:ascii="Calibri" w:hAnsi="Calibri"/>
          <w:sz w:val="20"/>
        </w:rPr>
        <w:t>a la fecha se han comenzado a aplicar las depreciaciones del activo fijo por un monto de 183,460.00 que se compone de la siguiente manera.</w:t>
      </w:r>
    </w:p>
    <w:p w14:paraId="3B6C94BF" w14:textId="77777777" w:rsidR="005B1BB2" w:rsidRDefault="005B1BB2">
      <w:pPr>
        <w:pStyle w:val="Texto"/>
        <w:spacing w:after="0" w:line="240" w:lineRule="exact"/>
        <w:ind w:firstLine="0"/>
        <w:rPr>
          <w:rFonts w:ascii="Calibri" w:hAnsi="Calibri"/>
          <w:sz w:val="20"/>
        </w:rPr>
      </w:pPr>
    </w:p>
    <w:p w14:paraId="4F933A75" w14:textId="77777777" w:rsidR="005B1BB2" w:rsidRDefault="005B1BB2">
      <w:pPr>
        <w:pStyle w:val="Texto"/>
        <w:spacing w:after="0" w:line="240" w:lineRule="exact"/>
        <w:ind w:firstLine="0"/>
        <w:rPr>
          <w:rFonts w:ascii="Calibri" w:hAnsi="Calibri"/>
          <w:sz w:val="20"/>
        </w:rPr>
      </w:pPr>
    </w:p>
    <w:tbl>
      <w:tblPr>
        <w:tblW w:w="9350" w:type="dxa"/>
        <w:tblCellMar>
          <w:left w:w="10" w:type="dxa"/>
          <w:right w:w="10" w:type="dxa"/>
        </w:tblCellMar>
        <w:tblLook w:val="0000" w:firstRow="0" w:lastRow="0" w:firstColumn="0" w:lastColumn="0" w:noHBand="0" w:noVBand="0"/>
      </w:tblPr>
      <w:tblGrid>
        <w:gridCol w:w="3116"/>
        <w:gridCol w:w="3123"/>
        <w:gridCol w:w="3111"/>
      </w:tblGrid>
      <w:tr w:rsidR="005B1BB2" w14:paraId="08B0AEA6"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6787" w14:textId="77777777" w:rsidR="005B1BB2" w:rsidRDefault="00000000">
            <w:pPr>
              <w:pStyle w:val="Texto"/>
              <w:spacing w:after="0" w:line="240" w:lineRule="exact"/>
              <w:ind w:firstLine="0"/>
              <w:jc w:val="center"/>
              <w:rPr>
                <w:rFonts w:ascii="Calibri" w:hAnsi="Calibri"/>
                <w:sz w:val="20"/>
              </w:rPr>
            </w:pPr>
            <w:r>
              <w:rPr>
                <w:rFonts w:ascii="Calibri" w:hAnsi="Calibri"/>
                <w:sz w:val="20"/>
              </w:rPr>
              <w:t>nombre de la cuenta</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E9BC1" w14:textId="77777777" w:rsidR="005B1BB2" w:rsidRDefault="00000000">
            <w:pPr>
              <w:pStyle w:val="Texto"/>
              <w:spacing w:after="0" w:line="240" w:lineRule="exact"/>
              <w:ind w:firstLine="0"/>
              <w:jc w:val="center"/>
              <w:rPr>
                <w:rFonts w:ascii="Calibri" w:hAnsi="Calibri"/>
                <w:sz w:val="20"/>
              </w:rPr>
            </w:pPr>
            <w:r>
              <w:rPr>
                <w:rFonts w:ascii="Calibri" w:hAnsi="Calibri"/>
                <w:sz w:val="20"/>
              </w:rPr>
              <w:t>monto depreciado</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22AA" w14:textId="77777777" w:rsidR="005B1BB2" w:rsidRDefault="00000000">
            <w:pPr>
              <w:pStyle w:val="Texto"/>
              <w:spacing w:after="0" w:line="240" w:lineRule="exact"/>
              <w:ind w:firstLine="0"/>
              <w:jc w:val="center"/>
              <w:rPr>
                <w:rFonts w:ascii="Calibri" w:hAnsi="Calibri"/>
                <w:sz w:val="20"/>
              </w:rPr>
            </w:pPr>
            <w:r>
              <w:rPr>
                <w:rFonts w:ascii="Calibri" w:hAnsi="Calibri"/>
                <w:sz w:val="20"/>
              </w:rPr>
              <w:t>Porcentaje</w:t>
            </w:r>
          </w:p>
        </w:tc>
      </w:tr>
      <w:tr w:rsidR="005B1BB2" w14:paraId="02D93EA6"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8D671" w14:textId="77777777" w:rsidR="005B1BB2" w:rsidRDefault="005B1BB2">
            <w:pPr>
              <w:pStyle w:val="Texto"/>
              <w:spacing w:after="0" w:line="240" w:lineRule="exact"/>
              <w:ind w:firstLine="0"/>
              <w:rPr>
                <w:rFonts w:ascii="Calibri" w:hAnsi="Calibri"/>
                <w:sz w:val="20"/>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79979" w14:textId="77777777" w:rsidR="005B1BB2" w:rsidRDefault="005B1BB2">
            <w:pPr>
              <w:pStyle w:val="Texto"/>
              <w:spacing w:after="0" w:line="240" w:lineRule="exact"/>
              <w:ind w:firstLine="0"/>
              <w:rPr>
                <w:rFonts w:ascii="Calibri" w:hAnsi="Calibri"/>
                <w:sz w:val="20"/>
              </w:rPr>
            </w:pP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78A80" w14:textId="77777777" w:rsidR="005B1BB2" w:rsidRDefault="005B1BB2">
            <w:pPr>
              <w:pStyle w:val="Texto"/>
              <w:spacing w:after="0" w:line="240" w:lineRule="exact"/>
              <w:ind w:firstLine="0"/>
              <w:rPr>
                <w:rFonts w:ascii="Calibri" w:hAnsi="Calibri"/>
                <w:sz w:val="20"/>
              </w:rPr>
            </w:pPr>
          </w:p>
        </w:tc>
      </w:tr>
      <w:tr w:rsidR="005B1BB2" w14:paraId="0057F66E"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51A61" w14:textId="77777777" w:rsidR="005B1BB2" w:rsidRDefault="00000000">
            <w:pPr>
              <w:pStyle w:val="Texto"/>
              <w:spacing w:after="0" w:line="240" w:lineRule="exact"/>
              <w:ind w:firstLine="0"/>
              <w:rPr>
                <w:rFonts w:ascii="Calibri" w:hAnsi="Calibri"/>
                <w:sz w:val="20"/>
              </w:rPr>
            </w:pPr>
            <w:r>
              <w:rPr>
                <w:rFonts w:ascii="Calibri" w:hAnsi="Calibri"/>
                <w:sz w:val="20"/>
              </w:rPr>
              <w:t>Mobiliario y equipo de administración</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1DE4B" w14:textId="77777777" w:rsidR="005B1BB2" w:rsidRDefault="00000000">
            <w:pPr>
              <w:pStyle w:val="Texto"/>
              <w:spacing w:after="0" w:line="240" w:lineRule="exact"/>
              <w:ind w:firstLine="0"/>
              <w:jc w:val="right"/>
              <w:rPr>
                <w:rFonts w:ascii="Calibri" w:hAnsi="Calibri"/>
                <w:sz w:val="20"/>
              </w:rPr>
            </w:pPr>
            <w:r>
              <w:rPr>
                <w:rFonts w:ascii="Calibri" w:hAnsi="Calibri"/>
                <w:sz w:val="20"/>
              </w:rPr>
              <w:t>34,035.00</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D908" w14:textId="77777777" w:rsidR="005B1BB2" w:rsidRDefault="00000000">
            <w:pPr>
              <w:pStyle w:val="Texto"/>
              <w:spacing w:after="0" w:line="240" w:lineRule="exact"/>
              <w:ind w:firstLine="0"/>
              <w:jc w:val="right"/>
              <w:rPr>
                <w:rFonts w:ascii="Calibri" w:hAnsi="Calibri"/>
                <w:sz w:val="20"/>
              </w:rPr>
            </w:pPr>
            <w:r>
              <w:rPr>
                <w:rFonts w:ascii="Calibri" w:hAnsi="Calibri"/>
                <w:sz w:val="20"/>
              </w:rPr>
              <w:t>3 %</w:t>
            </w:r>
          </w:p>
        </w:tc>
      </w:tr>
      <w:tr w:rsidR="005B1BB2" w14:paraId="6AD78DA4"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58A5D" w14:textId="77777777" w:rsidR="005B1BB2" w:rsidRDefault="00000000">
            <w:pPr>
              <w:pStyle w:val="Texto"/>
              <w:spacing w:after="0" w:line="240" w:lineRule="exact"/>
              <w:ind w:firstLine="0"/>
              <w:rPr>
                <w:rFonts w:ascii="Calibri" w:hAnsi="Calibri"/>
                <w:sz w:val="20"/>
                <w:lang w:val="es-MX"/>
              </w:rPr>
            </w:pPr>
            <w:r>
              <w:rPr>
                <w:rFonts w:ascii="Calibri" w:hAnsi="Calibri"/>
                <w:sz w:val="20"/>
                <w:lang w:val="es-MX"/>
              </w:rPr>
              <w:t>Mobiliario y equipo educacional y recreativo</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9F8AB" w14:textId="77777777" w:rsidR="005B1BB2" w:rsidRDefault="00000000">
            <w:pPr>
              <w:pStyle w:val="Texto"/>
              <w:spacing w:after="0" w:line="240" w:lineRule="exact"/>
              <w:ind w:firstLine="0"/>
              <w:jc w:val="right"/>
              <w:rPr>
                <w:rFonts w:ascii="Calibri" w:hAnsi="Calibri"/>
                <w:sz w:val="20"/>
              </w:rPr>
            </w:pPr>
            <w:r>
              <w:rPr>
                <w:rFonts w:ascii="Calibri" w:hAnsi="Calibri"/>
                <w:sz w:val="20"/>
              </w:rPr>
              <w:t>97,853.00</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562AF" w14:textId="77777777" w:rsidR="005B1BB2" w:rsidRDefault="00000000">
            <w:pPr>
              <w:pStyle w:val="Texto"/>
              <w:spacing w:after="0" w:line="240" w:lineRule="exact"/>
              <w:ind w:firstLine="0"/>
              <w:jc w:val="right"/>
              <w:rPr>
                <w:rFonts w:ascii="Calibri" w:hAnsi="Calibri"/>
                <w:sz w:val="20"/>
              </w:rPr>
            </w:pPr>
            <w:r>
              <w:rPr>
                <w:rFonts w:ascii="Calibri" w:hAnsi="Calibri"/>
                <w:sz w:val="20"/>
              </w:rPr>
              <w:t>42 %</w:t>
            </w:r>
          </w:p>
        </w:tc>
      </w:tr>
      <w:tr w:rsidR="005B1BB2" w14:paraId="5596A790"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C403" w14:textId="77777777" w:rsidR="005B1BB2" w:rsidRDefault="00000000">
            <w:pPr>
              <w:pStyle w:val="Texto"/>
              <w:spacing w:after="0" w:line="240" w:lineRule="exact"/>
              <w:ind w:firstLine="0"/>
              <w:rPr>
                <w:rFonts w:ascii="Calibri" w:hAnsi="Calibri"/>
                <w:sz w:val="20"/>
                <w:lang w:val="es-MX"/>
              </w:rPr>
            </w:pPr>
            <w:r>
              <w:rPr>
                <w:rFonts w:ascii="Calibri" w:hAnsi="Calibri"/>
                <w:sz w:val="20"/>
                <w:lang w:val="es-MX"/>
              </w:rPr>
              <w:t>Maquinaria, otros equipos y herramientas</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9959C" w14:textId="77777777" w:rsidR="005B1BB2" w:rsidRDefault="00000000">
            <w:pPr>
              <w:pStyle w:val="Texto"/>
              <w:spacing w:after="0" w:line="240" w:lineRule="exact"/>
              <w:ind w:firstLine="0"/>
              <w:jc w:val="right"/>
              <w:rPr>
                <w:rFonts w:ascii="Calibri" w:hAnsi="Calibri"/>
                <w:sz w:val="20"/>
              </w:rPr>
            </w:pPr>
            <w:r>
              <w:rPr>
                <w:rFonts w:ascii="Calibri" w:hAnsi="Calibri"/>
                <w:sz w:val="20"/>
              </w:rPr>
              <w:t>51,572.00</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D5870" w14:textId="77777777" w:rsidR="005B1BB2" w:rsidRDefault="00000000">
            <w:pPr>
              <w:pStyle w:val="Texto"/>
              <w:spacing w:after="0" w:line="240" w:lineRule="exact"/>
              <w:ind w:firstLine="0"/>
              <w:jc w:val="right"/>
              <w:rPr>
                <w:rFonts w:ascii="Calibri" w:hAnsi="Calibri"/>
                <w:sz w:val="20"/>
              </w:rPr>
            </w:pPr>
            <w:r>
              <w:rPr>
                <w:rFonts w:ascii="Calibri" w:hAnsi="Calibri"/>
                <w:sz w:val="20"/>
              </w:rPr>
              <w:t>36 %</w:t>
            </w:r>
          </w:p>
        </w:tc>
      </w:tr>
      <w:tr w:rsidR="005B1BB2" w14:paraId="56272A1E"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72837" w14:textId="77777777" w:rsidR="005B1BB2" w:rsidRDefault="00000000">
            <w:pPr>
              <w:pStyle w:val="Texto"/>
              <w:spacing w:after="0" w:line="240" w:lineRule="exact"/>
              <w:ind w:firstLine="0"/>
              <w:rPr>
                <w:rFonts w:ascii="Calibri" w:hAnsi="Calibri"/>
                <w:sz w:val="20"/>
                <w:lang w:val="es-MX"/>
              </w:rPr>
            </w:pPr>
            <w:r>
              <w:rPr>
                <w:rFonts w:ascii="Calibri" w:hAnsi="Calibri"/>
                <w:sz w:val="20"/>
                <w:lang w:val="es-MX"/>
              </w:rPr>
              <w:t>Total</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84D9" w14:textId="77777777" w:rsidR="005B1BB2" w:rsidRDefault="00000000">
            <w:pPr>
              <w:pStyle w:val="Texto"/>
              <w:spacing w:after="0" w:line="240" w:lineRule="exact"/>
              <w:ind w:firstLine="0"/>
              <w:jc w:val="right"/>
              <w:rPr>
                <w:rFonts w:ascii="Calibri" w:hAnsi="Calibri"/>
                <w:sz w:val="20"/>
              </w:rPr>
            </w:pPr>
            <w:r>
              <w:rPr>
                <w:rFonts w:ascii="Calibri" w:hAnsi="Calibri"/>
                <w:sz w:val="20"/>
              </w:rPr>
              <w:t>183,460.00</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B3B85" w14:textId="77777777" w:rsidR="005B1BB2" w:rsidRDefault="00000000">
            <w:pPr>
              <w:pStyle w:val="Texto"/>
              <w:spacing w:after="0" w:line="240" w:lineRule="exact"/>
              <w:ind w:firstLine="0"/>
              <w:jc w:val="right"/>
              <w:rPr>
                <w:rFonts w:ascii="Calibri" w:hAnsi="Calibri"/>
                <w:sz w:val="20"/>
              </w:rPr>
            </w:pPr>
            <w:r>
              <w:rPr>
                <w:rFonts w:ascii="Calibri" w:hAnsi="Calibri"/>
                <w:sz w:val="20"/>
              </w:rPr>
              <w:t xml:space="preserve">                                            81 %</w:t>
            </w:r>
          </w:p>
        </w:tc>
      </w:tr>
    </w:tbl>
    <w:p w14:paraId="3787A1B5" w14:textId="77777777" w:rsidR="005B1BB2" w:rsidRDefault="005B1BB2">
      <w:pPr>
        <w:pStyle w:val="Text"/>
        <w:spacing w:after="0" w:line="240" w:lineRule="exact"/>
        <w:ind w:firstLine="0"/>
        <w:rPr>
          <w:rFonts w:ascii="Calibri" w:hAnsi="Calibri" w:cs="DIN Pro Regular"/>
          <w:sz w:val="20"/>
          <w:lang w:val="es-MX"/>
        </w:rPr>
      </w:pPr>
    </w:p>
    <w:p w14:paraId="69536A4D" w14:textId="77777777" w:rsidR="005B1BB2" w:rsidRDefault="005B1BB2">
      <w:pPr>
        <w:pStyle w:val="Prrafodelista"/>
      </w:pPr>
    </w:p>
    <w:p w14:paraId="40220C1A" w14:textId="77777777" w:rsidR="005B1BB2" w:rsidRDefault="005B1BB2">
      <w:pPr>
        <w:pStyle w:val="Text"/>
        <w:spacing w:after="0" w:line="240" w:lineRule="exact"/>
      </w:pPr>
    </w:p>
    <w:p w14:paraId="75370C25" w14:textId="77777777" w:rsidR="005B1BB2" w:rsidRDefault="005B1BB2">
      <w:pPr>
        <w:pStyle w:val="Text"/>
        <w:spacing w:after="0" w:line="240" w:lineRule="exact"/>
      </w:pPr>
    </w:p>
    <w:p w14:paraId="5BD9EB50" w14:textId="77777777" w:rsidR="005B1BB2" w:rsidRDefault="005B1BB2">
      <w:pPr>
        <w:pStyle w:val="Text"/>
        <w:spacing w:after="0" w:line="240" w:lineRule="exact"/>
      </w:pPr>
    </w:p>
    <w:p w14:paraId="52255047" w14:textId="77777777" w:rsidR="005B1BB2" w:rsidRDefault="005B1BB2">
      <w:pPr>
        <w:pStyle w:val="Text"/>
        <w:spacing w:after="0" w:line="240" w:lineRule="exact"/>
        <w:ind w:firstLine="0"/>
      </w:pPr>
    </w:p>
    <w:p w14:paraId="7C858310" w14:textId="77777777" w:rsidR="005B1BB2"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Fideicomisos, Mandatos y Análogos. No Aplica</w:t>
      </w:r>
    </w:p>
    <w:p w14:paraId="290203C3" w14:textId="77777777" w:rsidR="005B1BB2" w:rsidRDefault="005B1BB2">
      <w:pPr>
        <w:pStyle w:val="Text"/>
        <w:spacing w:after="0" w:line="240" w:lineRule="exact"/>
        <w:ind w:firstLine="0"/>
      </w:pPr>
    </w:p>
    <w:p w14:paraId="4D57088F" w14:textId="77777777" w:rsidR="005B1BB2" w:rsidRDefault="00000000">
      <w:pPr>
        <w:pStyle w:val="Prrafodelista"/>
        <w:numPr>
          <w:ilvl w:val="0"/>
          <w:numId w:val="5"/>
        </w:numPr>
        <w:spacing w:after="101" w:line="216" w:lineRule="exact"/>
        <w:jc w:val="both"/>
      </w:pPr>
      <w:r>
        <w:rPr>
          <w:rFonts w:cs="DIN Pro Regular"/>
          <w:sz w:val="20"/>
          <w:szCs w:val="20"/>
        </w:rPr>
        <w:t xml:space="preserve">Reporte de la Recaudación. </w:t>
      </w:r>
      <w:r>
        <w:rPr>
          <w:rFonts w:eastAsia="Times New Roman"/>
          <w:sz w:val="20"/>
          <w:szCs w:val="20"/>
          <w:lang w:val="es-ES" w:eastAsia="es-ES"/>
        </w:rPr>
        <w:t xml:space="preserve">los ingresos de la institución se obtienen mediante subsidios otorgados por el gobierno del estado, así como el gobierno federal para sufragar los gastos de operación de </w:t>
      </w:r>
      <w:proofErr w:type="gramStart"/>
      <w:r>
        <w:rPr>
          <w:rFonts w:eastAsia="Times New Roman"/>
          <w:sz w:val="20"/>
          <w:szCs w:val="20"/>
          <w:lang w:val="es-ES" w:eastAsia="es-ES"/>
        </w:rPr>
        <w:t>la misma</w:t>
      </w:r>
      <w:proofErr w:type="gramEnd"/>
      <w:r>
        <w:rPr>
          <w:rFonts w:eastAsia="Times New Roman"/>
          <w:lang w:val="es-ES" w:eastAsia="es-ES"/>
        </w:rPr>
        <w:t>.</w:t>
      </w:r>
    </w:p>
    <w:p w14:paraId="1EF0430C" w14:textId="77777777" w:rsidR="005B1BB2" w:rsidRDefault="00000000">
      <w:pPr>
        <w:spacing w:after="101" w:line="216" w:lineRule="exact"/>
        <w:ind w:firstLine="288"/>
        <w:jc w:val="both"/>
        <w:rPr>
          <w:rFonts w:eastAsia="Times New Roman"/>
          <w:lang w:val="es-ES" w:eastAsia="es-ES"/>
        </w:rPr>
      </w:pPr>
      <w:r>
        <w:rPr>
          <w:rFonts w:eastAsia="Times New Roman"/>
          <w:lang w:val="es-ES" w:eastAsia="es-ES"/>
        </w:rPr>
        <w:t xml:space="preserve">        </w:t>
      </w:r>
    </w:p>
    <w:tbl>
      <w:tblPr>
        <w:tblW w:w="9350" w:type="dxa"/>
        <w:tblCellMar>
          <w:left w:w="10" w:type="dxa"/>
          <w:right w:w="10" w:type="dxa"/>
        </w:tblCellMar>
        <w:tblLook w:val="0000" w:firstRow="0" w:lastRow="0" w:firstColumn="0" w:lastColumn="0" w:noHBand="0" w:noVBand="0"/>
      </w:tblPr>
      <w:tblGrid>
        <w:gridCol w:w="7064"/>
        <w:gridCol w:w="2286"/>
      </w:tblGrid>
      <w:tr w:rsidR="005B1BB2" w14:paraId="414E7EA9" w14:textId="77777777">
        <w:tblPrEx>
          <w:tblCellMar>
            <w:top w:w="0" w:type="dxa"/>
            <w:bottom w:w="0" w:type="dxa"/>
          </w:tblCellMar>
        </w:tblPrEx>
        <w:tc>
          <w:tcPr>
            <w:tcW w:w="7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8E8D2" w14:textId="77777777" w:rsidR="005B1BB2" w:rsidRDefault="00000000">
            <w:pPr>
              <w:widowControl/>
              <w:spacing w:after="101" w:line="216" w:lineRule="exact"/>
              <w:jc w:val="both"/>
              <w:textAlignment w:val="auto"/>
              <w:rPr>
                <w:rFonts w:eastAsia="Times New Roman"/>
                <w:lang w:val="es-ES" w:eastAsia="es-ES"/>
              </w:rPr>
            </w:pPr>
            <w:r>
              <w:rPr>
                <w:rFonts w:eastAsia="Times New Roman"/>
                <w:lang w:val="es-ES" w:eastAsia="es-ES"/>
              </w:rPr>
              <w:t>Subsidio Estatal Recaudado</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8260" w14:textId="77777777" w:rsidR="005B1BB2" w:rsidRDefault="00000000">
            <w:pPr>
              <w:widowControl/>
              <w:spacing w:after="101" w:line="216" w:lineRule="exact"/>
              <w:ind w:firstLine="288"/>
              <w:jc w:val="right"/>
              <w:textAlignment w:val="auto"/>
              <w:rPr>
                <w:rFonts w:eastAsia="Times New Roman"/>
                <w:lang w:val="es-ES" w:eastAsia="es-ES"/>
              </w:rPr>
            </w:pPr>
            <w:r>
              <w:rPr>
                <w:rFonts w:eastAsia="Times New Roman"/>
                <w:lang w:val="es-ES" w:eastAsia="es-ES"/>
              </w:rPr>
              <w:t>$65,422,633.00</w:t>
            </w:r>
          </w:p>
        </w:tc>
      </w:tr>
      <w:tr w:rsidR="005B1BB2" w14:paraId="7253B740" w14:textId="77777777">
        <w:tblPrEx>
          <w:tblCellMar>
            <w:top w:w="0" w:type="dxa"/>
            <w:bottom w:w="0" w:type="dxa"/>
          </w:tblCellMar>
        </w:tblPrEx>
        <w:tc>
          <w:tcPr>
            <w:tcW w:w="7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DE572" w14:textId="77777777" w:rsidR="005B1BB2" w:rsidRDefault="00000000">
            <w:pPr>
              <w:widowControl/>
              <w:spacing w:after="101" w:line="216" w:lineRule="exact"/>
              <w:jc w:val="both"/>
              <w:textAlignment w:val="auto"/>
              <w:rPr>
                <w:rFonts w:eastAsia="Times New Roman"/>
                <w:lang w:val="es-ES" w:eastAsia="es-ES"/>
              </w:rPr>
            </w:pPr>
            <w:r>
              <w:rPr>
                <w:rFonts w:eastAsia="Times New Roman"/>
                <w:lang w:val="es-ES" w:eastAsia="es-ES"/>
              </w:rPr>
              <w:t>Subsidio Federal Recaudado</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2E43" w14:textId="77777777" w:rsidR="005B1BB2" w:rsidRDefault="00000000">
            <w:pPr>
              <w:widowControl/>
              <w:spacing w:after="101" w:line="216" w:lineRule="exact"/>
              <w:jc w:val="right"/>
              <w:textAlignment w:val="auto"/>
              <w:rPr>
                <w:rFonts w:eastAsia="Times New Roman"/>
                <w:lang w:val="es-ES" w:eastAsia="es-ES"/>
              </w:rPr>
            </w:pPr>
            <w:r>
              <w:rPr>
                <w:rFonts w:eastAsia="Times New Roman"/>
                <w:lang w:val="es-ES" w:eastAsia="es-ES"/>
              </w:rPr>
              <w:t xml:space="preserve">$43,574,862.00     </w:t>
            </w:r>
          </w:p>
        </w:tc>
      </w:tr>
      <w:tr w:rsidR="005B1BB2" w14:paraId="1DDC7CEA" w14:textId="77777777">
        <w:tblPrEx>
          <w:tblCellMar>
            <w:top w:w="0" w:type="dxa"/>
            <w:bottom w:w="0" w:type="dxa"/>
          </w:tblCellMar>
        </w:tblPrEx>
        <w:tc>
          <w:tcPr>
            <w:tcW w:w="7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9F635" w14:textId="77777777" w:rsidR="005B1BB2" w:rsidRDefault="00000000">
            <w:pPr>
              <w:widowControl/>
              <w:spacing w:after="101" w:line="216" w:lineRule="exact"/>
              <w:jc w:val="both"/>
              <w:textAlignment w:val="auto"/>
              <w:rPr>
                <w:rFonts w:eastAsia="Times New Roman"/>
                <w:lang w:val="es-ES" w:eastAsia="es-ES"/>
              </w:rPr>
            </w:pPr>
            <w:r>
              <w:rPr>
                <w:rFonts w:eastAsia="Times New Roman"/>
                <w:lang w:val="es-ES" w:eastAsia="es-ES"/>
              </w:rPr>
              <w:t xml:space="preserve">Total, Transferencias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70EB7" w14:textId="77777777" w:rsidR="005B1BB2" w:rsidRDefault="00000000">
            <w:pPr>
              <w:widowControl/>
              <w:spacing w:after="101" w:line="216" w:lineRule="exact"/>
              <w:jc w:val="right"/>
              <w:textAlignment w:val="auto"/>
              <w:rPr>
                <w:rFonts w:eastAsia="Times New Roman"/>
                <w:lang w:val="es-ES" w:eastAsia="es-ES"/>
              </w:rPr>
            </w:pPr>
            <w:r>
              <w:rPr>
                <w:rFonts w:eastAsia="Times New Roman"/>
                <w:lang w:val="es-ES" w:eastAsia="es-ES"/>
              </w:rPr>
              <w:t xml:space="preserve">     $108,997,495.00</w:t>
            </w:r>
          </w:p>
        </w:tc>
      </w:tr>
      <w:tr w:rsidR="005B1BB2" w14:paraId="1DDD6168" w14:textId="77777777">
        <w:tblPrEx>
          <w:tblCellMar>
            <w:top w:w="0" w:type="dxa"/>
            <w:bottom w:w="0" w:type="dxa"/>
          </w:tblCellMar>
        </w:tblPrEx>
        <w:tc>
          <w:tcPr>
            <w:tcW w:w="7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0EF35" w14:textId="77777777" w:rsidR="005B1BB2" w:rsidRDefault="00000000">
            <w:pPr>
              <w:widowControl/>
              <w:spacing w:after="101" w:line="216" w:lineRule="exact"/>
              <w:jc w:val="both"/>
              <w:textAlignment w:val="auto"/>
              <w:rPr>
                <w:rFonts w:eastAsia="Times New Roman"/>
                <w:lang w:val="es-ES" w:eastAsia="es-ES"/>
              </w:rPr>
            </w:pPr>
            <w:r>
              <w:rPr>
                <w:rFonts w:eastAsia="Times New Roman"/>
                <w:lang w:val="es-ES" w:eastAsia="es-ES"/>
              </w:rPr>
              <w:t xml:space="preserve">Recaudación de </w:t>
            </w:r>
            <w:proofErr w:type="spellStart"/>
            <w:r>
              <w:rPr>
                <w:rFonts w:eastAsia="Times New Roman"/>
                <w:lang w:val="es-ES" w:eastAsia="es-ES"/>
              </w:rPr>
              <w:t>Cotacyt</w:t>
            </w:r>
            <w:proofErr w:type="spellEnd"/>
            <w:r>
              <w:rPr>
                <w:rFonts w:eastAsia="Times New Roman"/>
                <w:lang w:val="es-ES" w:eastAsia="es-ES"/>
              </w:rPr>
              <w:t xml:space="preserve">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581B2" w14:textId="77777777" w:rsidR="005B1BB2" w:rsidRDefault="00000000">
            <w:pPr>
              <w:widowControl/>
              <w:spacing w:after="101" w:line="216" w:lineRule="exact"/>
              <w:jc w:val="right"/>
              <w:textAlignment w:val="auto"/>
              <w:rPr>
                <w:rFonts w:eastAsia="Times New Roman"/>
                <w:lang w:val="es-ES" w:eastAsia="es-ES"/>
              </w:rPr>
            </w:pPr>
            <w:r>
              <w:rPr>
                <w:rFonts w:eastAsia="Times New Roman"/>
                <w:lang w:val="es-ES" w:eastAsia="es-ES"/>
              </w:rPr>
              <w:t xml:space="preserve">      0.00</w:t>
            </w:r>
          </w:p>
        </w:tc>
      </w:tr>
      <w:tr w:rsidR="005B1BB2" w14:paraId="14372F72" w14:textId="77777777">
        <w:tblPrEx>
          <w:tblCellMar>
            <w:top w:w="0" w:type="dxa"/>
            <w:bottom w:w="0" w:type="dxa"/>
          </w:tblCellMar>
        </w:tblPrEx>
        <w:tc>
          <w:tcPr>
            <w:tcW w:w="7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EA128" w14:textId="77777777" w:rsidR="005B1BB2" w:rsidRDefault="00000000">
            <w:pPr>
              <w:widowControl/>
              <w:spacing w:after="101" w:line="216" w:lineRule="exact"/>
              <w:jc w:val="both"/>
              <w:textAlignment w:val="auto"/>
              <w:rPr>
                <w:rFonts w:eastAsia="Times New Roman"/>
                <w:lang w:val="es-ES" w:eastAsia="es-ES"/>
              </w:rPr>
            </w:pPr>
            <w:r>
              <w:rPr>
                <w:rFonts w:eastAsia="Times New Roman"/>
                <w:lang w:val="es-ES" w:eastAsia="es-ES"/>
              </w:rPr>
              <w:t>Total, Transferencias del Gobierno</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5538" w14:textId="77777777" w:rsidR="005B1BB2" w:rsidRDefault="00000000">
            <w:pPr>
              <w:widowControl/>
              <w:spacing w:after="101" w:line="216" w:lineRule="exact"/>
              <w:jc w:val="right"/>
              <w:textAlignment w:val="auto"/>
              <w:rPr>
                <w:rFonts w:eastAsia="Times New Roman"/>
                <w:lang w:val="es-ES" w:eastAsia="es-ES"/>
              </w:rPr>
            </w:pPr>
            <w:r>
              <w:rPr>
                <w:rFonts w:eastAsia="Times New Roman"/>
                <w:lang w:val="es-ES" w:eastAsia="es-ES"/>
              </w:rPr>
              <w:t xml:space="preserve">     $108,997,495.00</w:t>
            </w:r>
          </w:p>
        </w:tc>
      </w:tr>
      <w:tr w:rsidR="005B1BB2" w14:paraId="7F0A8B84" w14:textId="77777777">
        <w:tblPrEx>
          <w:tblCellMar>
            <w:top w:w="0" w:type="dxa"/>
            <w:bottom w:w="0" w:type="dxa"/>
          </w:tblCellMar>
        </w:tblPrEx>
        <w:tc>
          <w:tcPr>
            <w:tcW w:w="7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3E3AF" w14:textId="77777777" w:rsidR="005B1BB2" w:rsidRDefault="00000000">
            <w:pPr>
              <w:widowControl/>
              <w:spacing w:after="101" w:line="216" w:lineRule="exact"/>
              <w:jc w:val="both"/>
              <w:textAlignment w:val="auto"/>
              <w:rPr>
                <w:rFonts w:eastAsia="Times New Roman"/>
                <w:lang w:val="es-ES" w:eastAsia="es-ES"/>
              </w:rPr>
            </w:pPr>
            <w:r>
              <w:rPr>
                <w:rFonts w:eastAsia="Times New Roman"/>
                <w:lang w:val="es-ES" w:eastAsia="es-ES"/>
              </w:rPr>
              <w:t xml:space="preserve">Ingresos Propios por Venta de </w:t>
            </w:r>
            <w:proofErr w:type="gramStart"/>
            <w:r>
              <w:rPr>
                <w:rFonts w:eastAsia="Times New Roman"/>
                <w:lang w:val="es-ES" w:eastAsia="es-ES"/>
              </w:rPr>
              <w:t>Bienes  y</w:t>
            </w:r>
            <w:proofErr w:type="gramEnd"/>
            <w:r>
              <w:rPr>
                <w:rFonts w:eastAsia="Times New Roman"/>
                <w:lang w:val="es-ES" w:eastAsia="es-ES"/>
              </w:rPr>
              <w:t xml:space="preserve"> Servicios</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27E0E" w14:textId="77777777" w:rsidR="005B1BB2" w:rsidRDefault="00000000">
            <w:pPr>
              <w:widowControl/>
              <w:spacing w:after="101" w:line="216" w:lineRule="exact"/>
              <w:jc w:val="right"/>
              <w:textAlignment w:val="auto"/>
              <w:rPr>
                <w:rFonts w:eastAsia="Times New Roman"/>
                <w:lang w:val="es-ES" w:eastAsia="es-ES"/>
              </w:rPr>
            </w:pPr>
            <w:r>
              <w:rPr>
                <w:rFonts w:eastAsia="Times New Roman"/>
                <w:lang w:val="es-ES" w:eastAsia="es-ES"/>
              </w:rPr>
              <w:t>$1,281,380.00</w:t>
            </w:r>
          </w:p>
        </w:tc>
      </w:tr>
      <w:tr w:rsidR="005B1BB2" w14:paraId="6A8D255A" w14:textId="77777777">
        <w:tblPrEx>
          <w:tblCellMar>
            <w:top w:w="0" w:type="dxa"/>
            <w:bottom w:w="0" w:type="dxa"/>
          </w:tblCellMar>
        </w:tblPrEx>
        <w:tc>
          <w:tcPr>
            <w:tcW w:w="7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73C24" w14:textId="77777777" w:rsidR="005B1BB2" w:rsidRDefault="00000000">
            <w:pPr>
              <w:widowControl/>
              <w:spacing w:after="101" w:line="216" w:lineRule="exact"/>
              <w:jc w:val="both"/>
              <w:textAlignment w:val="auto"/>
              <w:rPr>
                <w:rFonts w:eastAsia="Times New Roman"/>
                <w:lang w:val="es-ES" w:eastAsia="es-ES"/>
              </w:rPr>
            </w:pPr>
            <w:r>
              <w:rPr>
                <w:rFonts w:eastAsia="Times New Roman"/>
                <w:lang w:val="es-ES" w:eastAsia="es-ES"/>
              </w:rPr>
              <w:t>total, recaudado por la institución</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B0E38" w14:textId="77777777" w:rsidR="005B1BB2" w:rsidRDefault="00000000">
            <w:pPr>
              <w:widowControl/>
              <w:spacing w:after="101" w:line="216" w:lineRule="exact"/>
              <w:jc w:val="right"/>
              <w:textAlignment w:val="auto"/>
              <w:rPr>
                <w:rFonts w:eastAsia="Times New Roman"/>
                <w:lang w:val="es-ES" w:eastAsia="es-ES"/>
              </w:rPr>
            </w:pPr>
            <w:r>
              <w:rPr>
                <w:rFonts w:eastAsia="Times New Roman"/>
                <w:lang w:val="es-ES" w:eastAsia="es-ES"/>
              </w:rPr>
              <w:t>$110,278,875.00</w:t>
            </w:r>
          </w:p>
        </w:tc>
      </w:tr>
    </w:tbl>
    <w:p w14:paraId="43DED193" w14:textId="77777777" w:rsidR="005B1BB2" w:rsidRDefault="005B1BB2">
      <w:pPr>
        <w:pStyle w:val="Text"/>
        <w:spacing w:after="0" w:line="240" w:lineRule="exact"/>
        <w:ind w:firstLine="0"/>
      </w:pPr>
    </w:p>
    <w:p w14:paraId="561AD31C" w14:textId="77777777" w:rsidR="005B1BB2"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sobre la Deuda y el Reporte Analítico de la Deuda. No Aplica</w:t>
      </w:r>
    </w:p>
    <w:p w14:paraId="5E21C9CA" w14:textId="77777777" w:rsidR="005B1BB2" w:rsidRDefault="005B1BB2">
      <w:pPr>
        <w:pStyle w:val="Text"/>
        <w:spacing w:after="0" w:line="240" w:lineRule="exact"/>
      </w:pPr>
    </w:p>
    <w:p w14:paraId="51472472" w14:textId="77777777" w:rsidR="005B1BB2"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Calificaciones otorgadas. No Aplica</w:t>
      </w:r>
    </w:p>
    <w:p w14:paraId="314E0FFE" w14:textId="77777777" w:rsidR="005B1BB2" w:rsidRDefault="005B1BB2">
      <w:pPr>
        <w:pStyle w:val="Text"/>
        <w:spacing w:after="0" w:line="240" w:lineRule="exact"/>
        <w:ind w:firstLine="0"/>
      </w:pPr>
    </w:p>
    <w:p w14:paraId="1AC8504D" w14:textId="77777777" w:rsidR="005B1BB2" w:rsidRDefault="00000000">
      <w:pPr>
        <w:pStyle w:val="Texto"/>
        <w:numPr>
          <w:ilvl w:val="0"/>
          <w:numId w:val="5"/>
        </w:numPr>
        <w:spacing w:after="0" w:line="240" w:lineRule="exact"/>
      </w:pPr>
      <w:r>
        <w:rPr>
          <w:rFonts w:ascii="Calibri" w:hAnsi="Calibri" w:cs="DIN Pro Regular"/>
          <w:sz w:val="20"/>
          <w:lang w:val="es-MX"/>
        </w:rPr>
        <w:t xml:space="preserve">Proceso de Mejora.  </w:t>
      </w:r>
      <w:r>
        <w:rPr>
          <w:rFonts w:ascii="Calibri" w:hAnsi="Calibri"/>
          <w:sz w:val="20"/>
        </w:rPr>
        <w:t>en esta institución se está trabajando continuamente en la actualización del personal docente para el mejoramiento en la impartición de las materias asignadas a cada uno de ellos atendiendo las siguientes estrategias</w:t>
      </w:r>
    </w:p>
    <w:p w14:paraId="11BD6953" w14:textId="77777777" w:rsidR="005B1BB2" w:rsidRDefault="005B1BB2">
      <w:pPr>
        <w:spacing w:after="101" w:line="216" w:lineRule="exact"/>
        <w:ind w:firstLine="288"/>
        <w:jc w:val="both"/>
      </w:pPr>
    </w:p>
    <w:p w14:paraId="2A7E5657" w14:textId="77777777" w:rsidR="005B1BB2" w:rsidRDefault="00000000">
      <w:pPr>
        <w:widowControl/>
        <w:numPr>
          <w:ilvl w:val="0"/>
          <w:numId w:val="6"/>
        </w:numPr>
        <w:suppressAutoHyphens w:val="0"/>
        <w:spacing w:after="101" w:line="216" w:lineRule="exact"/>
        <w:ind w:left="426"/>
        <w:jc w:val="both"/>
        <w:textAlignment w:val="auto"/>
        <w:rPr>
          <w:rFonts w:eastAsia="Times New Roman"/>
          <w:lang w:val="es-ES" w:eastAsia="es-ES"/>
        </w:rPr>
      </w:pPr>
      <w:r>
        <w:rPr>
          <w:rFonts w:eastAsia="Times New Roman"/>
          <w:lang w:val="es-ES" w:eastAsia="es-ES"/>
        </w:rPr>
        <w:t>Ampliar las oportunidades y servicios educativos con una visión vinculada al desarrollo humano, social y económico.</w:t>
      </w:r>
    </w:p>
    <w:p w14:paraId="4BC3227E" w14:textId="77777777" w:rsidR="005B1BB2" w:rsidRDefault="00000000">
      <w:pPr>
        <w:widowControl/>
        <w:numPr>
          <w:ilvl w:val="0"/>
          <w:numId w:val="6"/>
        </w:numPr>
        <w:suppressAutoHyphens w:val="0"/>
        <w:spacing w:after="101" w:line="216" w:lineRule="exact"/>
        <w:ind w:left="426"/>
        <w:jc w:val="both"/>
        <w:textAlignment w:val="auto"/>
        <w:rPr>
          <w:rFonts w:eastAsia="Times New Roman"/>
          <w:lang w:val="es-ES" w:eastAsia="es-ES"/>
        </w:rPr>
      </w:pPr>
      <w:r>
        <w:rPr>
          <w:rFonts w:eastAsia="Times New Roman"/>
          <w:lang w:val="es-ES" w:eastAsia="es-ES"/>
        </w:rPr>
        <w:t>Colocar al maestro en el centro de la transformación del sistema educativo con acciones que mejoren su práctica profesional y los resultados de aprendizaje de los alumnos mediante el proceso de calidad en la selección, actualización, desempeño y evaluación de competencias didácticas, científicas y humanas.</w:t>
      </w:r>
    </w:p>
    <w:p w14:paraId="180F2247" w14:textId="77777777" w:rsidR="005B1BB2" w:rsidRDefault="005B1BB2">
      <w:pPr>
        <w:spacing w:after="101" w:line="216" w:lineRule="exact"/>
        <w:jc w:val="both"/>
        <w:rPr>
          <w:rFonts w:eastAsia="Times New Roman"/>
          <w:lang w:val="es-ES" w:eastAsia="es-ES"/>
        </w:rPr>
      </w:pPr>
    </w:p>
    <w:p w14:paraId="17A2C3DB" w14:textId="77777777" w:rsidR="005B1BB2" w:rsidRDefault="00000000">
      <w:pPr>
        <w:widowControl/>
        <w:numPr>
          <w:ilvl w:val="0"/>
          <w:numId w:val="6"/>
        </w:numPr>
        <w:suppressAutoHyphens w:val="0"/>
        <w:spacing w:after="101" w:line="216" w:lineRule="exact"/>
        <w:ind w:left="426"/>
        <w:jc w:val="both"/>
        <w:textAlignment w:val="auto"/>
        <w:rPr>
          <w:rFonts w:eastAsia="Times New Roman"/>
          <w:lang w:val="es-ES" w:eastAsia="es-ES"/>
        </w:rPr>
      </w:pPr>
      <w:r>
        <w:rPr>
          <w:rFonts w:eastAsia="Times New Roman"/>
          <w:lang w:val="es-ES" w:eastAsia="es-ES"/>
        </w:rPr>
        <w:t>Impulsar la coordinación con la federación del sistema educativo para la atención a la demanda y cobertura, la actualización de los contenidos académicos y la gestión de calidad, equidad y pertinencia en la educación.</w:t>
      </w:r>
    </w:p>
    <w:p w14:paraId="5A4055AA" w14:textId="77777777" w:rsidR="005B1BB2" w:rsidRDefault="005B1BB2">
      <w:pPr>
        <w:widowControl/>
        <w:numPr>
          <w:ilvl w:val="0"/>
          <w:numId w:val="6"/>
        </w:numPr>
        <w:suppressAutoHyphens w:val="0"/>
        <w:spacing w:after="101" w:line="216" w:lineRule="exact"/>
        <w:ind w:left="426"/>
        <w:jc w:val="both"/>
        <w:textAlignment w:val="auto"/>
        <w:rPr>
          <w:rFonts w:eastAsia="Times New Roman"/>
          <w:lang w:val="es-ES" w:eastAsia="es-ES"/>
        </w:rPr>
      </w:pPr>
    </w:p>
    <w:p w14:paraId="712341EE" w14:textId="77777777" w:rsidR="005B1BB2" w:rsidRDefault="00000000">
      <w:pPr>
        <w:widowControl/>
        <w:numPr>
          <w:ilvl w:val="0"/>
          <w:numId w:val="6"/>
        </w:numPr>
        <w:suppressAutoHyphens w:val="0"/>
        <w:spacing w:after="101" w:line="216" w:lineRule="exact"/>
        <w:ind w:left="426"/>
        <w:jc w:val="both"/>
        <w:textAlignment w:val="auto"/>
        <w:rPr>
          <w:rFonts w:eastAsia="Times New Roman"/>
          <w:lang w:val="es-ES" w:eastAsia="es-ES"/>
        </w:rPr>
      </w:pPr>
      <w:r>
        <w:rPr>
          <w:rFonts w:eastAsia="Times New Roman"/>
          <w:lang w:val="es-ES" w:eastAsia="es-ES"/>
        </w:rPr>
        <w:t xml:space="preserve">Promover la corresponsabilidad de padres de familia, organismos de la sociedad civil, sectores productivos y de los consejos estatales, municipales y de participación social </w:t>
      </w:r>
    </w:p>
    <w:p w14:paraId="70A54C3B" w14:textId="77777777" w:rsidR="005B1BB2" w:rsidRDefault="005B1BB2">
      <w:pPr>
        <w:spacing w:after="101" w:line="216" w:lineRule="exact"/>
        <w:ind w:left="426"/>
        <w:jc w:val="both"/>
        <w:rPr>
          <w:rFonts w:eastAsia="Times New Roman"/>
          <w:lang w:val="es-ES" w:eastAsia="es-ES"/>
        </w:rPr>
      </w:pPr>
    </w:p>
    <w:p w14:paraId="106A6E8B" w14:textId="77777777" w:rsidR="005B1BB2" w:rsidRDefault="00000000">
      <w:pPr>
        <w:widowControl/>
        <w:numPr>
          <w:ilvl w:val="0"/>
          <w:numId w:val="6"/>
        </w:numPr>
        <w:suppressAutoHyphens w:val="0"/>
        <w:spacing w:after="101" w:line="216" w:lineRule="exact"/>
        <w:ind w:left="426"/>
        <w:jc w:val="both"/>
        <w:textAlignment w:val="auto"/>
        <w:rPr>
          <w:rFonts w:eastAsia="Times New Roman"/>
          <w:lang w:val="es-ES" w:eastAsia="es-ES"/>
        </w:rPr>
      </w:pPr>
      <w:r>
        <w:rPr>
          <w:rFonts w:eastAsia="Times New Roman"/>
          <w:lang w:val="es-ES" w:eastAsia="es-ES"/>
        </w:rPr>
        <w:t>De los planteles educativos en los programas de gestión escolar, y en la creación, modernización, conservación y mantenimiento de infraestructuras.</w:t>
      </w:r>
    </w:p>
    <w:p w14:paraId="5E1F8EC1" w14:textId="77777777" w:rsidR="005B1BB2" w:rsidRDefault="005B1BB2">
      <w:pPr>
        <w:spacing w:after="101" w:line="216" w:lineRule="exact"/>
        <w:jc w:val="both"/>
        <w:rPr>
          <w:rFonts w:eastAsia="Times New Roman"/>
          <w:lang w:val="es-ES" w:eastAsia="es-ES"/>
        </w:rPr>
      </w:pPr>
    </w:p>
    <w:p w14:paraId="7BB46E28" w14:textId="77777777" w:rsidR="005B1BB2" w:rsidRDefault="00000000">
      <w:pPr>
        <w:widowControl/>
        <w:numPr>
          <w:ilvl w:val="0"/>
          <w:numId w:val="6"/>
        </w:numPr>
        <w:suppressAutoHyphens w:val="0"/>
        <w:spacing w:after="101" w:line="216" w:lineRule="exact"/>
        <w:ind w:left="426"/>
        <w:jc w:val="both"/>
        <w:textAlignment w:val="auto"/>
        <w:rPr>
          <w:rFonts w:eastAsia="Times New Roman"/>
          <w:lang w:val="es-ES" w:eastAsia="es-ES"/>
        </w:rPr>
      </w:pPr>
      <w:r>
        <w:rPr>
          <w:rFonts w:eastAsia="Times New Roman"/>
          <w:lang w:val="es-ES" w:eastAsia="es-ES"/>
        </w:rPr>
        <w:t xml:space="preserve">Ampliar la cobertura educativa </w:t>
      </w:r>
      <w:proofErr w:type="gramStart"/>
      <w:r>
        <w:rPr>
          <w:rFonts w:eastAsia="Times New Roman"/>
          <w:lang w:val="es-ES" w:eastAsia="es-ES"/>
        </w:rPr>
        <w:t>en razón de</w:t>
      </w:r>
      <w:proofErr w:type="gramEnd"/>
      <w:r>
        <w:rPr>
          <w:rFonts w:eastAsia="Times New Roman"/>
          <w:lang w:val="es-ES" w:eastAsia="es-ES"/>
        </w:rPr>
        <w:t xml:space="preserve"> las necesidades de atención a los segmentos poblacionales en edad escolar y a las necesidades de desarrollo estatal, con suficiencia, oportunidad y calidad de los servicios del sistema educativo.</w:t>
      </w:r>
    </w:p>
    <w:p w14:paraId="53F2F1E3" w14:textId="77777777" w:rsidR="005B1BB2" w:rsidRDefault="005B1BB2">
      <w:pPr>
        <w:spacing w:after="101" w:line="216" w:lineRule="exact"/>
        <w:jc w:val="both"/>
        <w:rPr>
          <w:rFonts w:eastAsia="Times New Roman"/>
          <w:lang w:val="es-ES" w:eastAsia="es-ES"/>
        </w:rPr>
      </w:pPr>
    </w:p>
    <w:p w14:paraId="2A3666F6" w14:textId="77777777" w:rsidR="005B1BB2" w:rsidRDefault="00000000">
      <w:pPr>
        <w:widowControl/>
        <w:numPr>
          <w:ilvl w:val="0"/>
          <w:numId w:val="6"/>
        </w:numPr>
        <w:suppressAutoHyphens w:val="0"/>
        <w:spacing w:after="101" w:line="216" w:lineRule="exact"/>
        <w:ind w:left="426"/>
        <w:jc w:val="both"/>
        <w:textAlignment w:val="auto"/>
        <w:rPr>
          <w:rFonts w:eastAsia="Times New Roman"/>
          <w:lang w:val="es-ES" w:eastAsia="es-ES"/>
        </w:rPr>
      </w:pPr>
      <w:r>
        <w:rPr>
          <w:rFonts w:eastAsia="Times New Roman"/>
          <w:lang w:val="es-ES" w:eastAsia="es-ES"/>
        </w:rPr>
        <w:t>Impulsar la vinculación estratégica entre educación, ciencia y tecnología, que fortalezca la innovación e investigación tecnológica en todas las áreas del conocimiento y la pertinencia de la formación profesional.</w:t>
      </w:r>
    </w:p>
    <w:p w14:paraId="0418A883" w14:textId="77777777" w:rsidR="005B1BB2" w:rsidRDefault="005B1BB2">
      <w:pPr>
        <w:widowControl/>
        <w:suppressAutoHyphens w:val="0"/>
        <w:spacing w:after="101" w:line="216" w:lineRule="exact"/>
        <w:jc w:val="both"/>
        <w:textAlignment w:val="auto"/>
        <w:rPr>
          <w:rFonts w:eastAsia="Times New Roman"/>
          <w:lang w:val="es-ES" w:eastAsia="es-ES"/>
        </w:rPr>
      </w:pPr>
    </w:p>
    <w:p w14:paraId="0712185E" w14:textId="77777777" w:rsidR="005B1BB2" w:rsidRDefault="005B1BB2">
      <w:pPr>
        <w:widowControl/>
        <w:suppressAutoHyphens w:val="0"/>
        <w:spacing w:after="101" w:line="216" w:lineRule="exact"/>
        <w:jc w:val="both"/>
        <w:textAlignment w:val="auto"/>
        <w:rPr>
          <w:rFonts w:eastAsia="Times New Roman"/>
          <w:lang w:val="es-ES" w:eastAsia="es-ES"/>
        </w:rPr>
      </w:pPr>
    </w:p>
    <w:p w14:paraId="40EB5D77" w14:textId="77777777" w:rsidR="00DA272A" w:rsidRDefault="00DA272A">
      <w:pPr>
        <w:widowControl/>
        <w:suppressAutoHyphens w:val="0"/>
        <w:spacing w:after="101" w:line="216" w:lineRule="exact"/>
        <w:jc w:val="both"/>
        <w:textAlignment w:val="auto"/>
        <w:rPr>
          <w:rFonts w:eastAsia="Times New Roman"/>
          <w:lang w:val="es-ES" w:eastAsia="es-ES"/>
        </w:rPr>
      </w:pPr>
    </w:p>
    <w:p w14:paraId="21484BDD" w14:textId="77777777" w:rsidR="00DA272A" w:rsidRDefault="00DA272A">
      <w:pPr>
        <w:widowControl/>
        <w:suppressAutoHyphens w:val="0"/>
        <w:spacing w:after="101" w:line="216" w:lineRule="exact"/>
        <w:jc w:val="both"/>
        <w:textAlignment w:val="auto"/>
        <w:rPr>
          <w:rFonts w:eastAsia="Times New Roman"/>
          <w:lang w:val="es-ES" w:eastAsia="es-ES"/>
        </w:rPr>
      </w:pPr>
    </w:p>
    <w:p w14:paraId="5C3D7FF9" w14:textId="77777777" w:rsidR="005B1BB2" w:rsidRDefault="00000000">
      <w:pPr>
        <w:widowControl/>
        <w:numPr>
          <w:ilvl w:val="0"/>
          <w:numId w:val="6"/>
        </w:numPr>
        <w:suppressAutoHyphens w:val="0"/>
        <w:spacing w:after="101" w:line="216" w:lineRule="exact"/>
        <w:ind w:left="426"/>
        <w:jc w:val="both"/>
        <w:textAlignment w:val="auto"/>
        <w:rPr>
          <w:rFonts w:eastAsia="Times New Roman"/>
          <w:lang w:val="es-ES" w:eastAsia="es-ES"/>
        </w:rPr>
      </w:pPr>
      <w:r>
        <w:rPr>
          <w:rFonts w:eastAsia="Times New Roman"/>
          <w:lang w:val="es-ES" w:eastAsia="es-ES"/>
        </w:rPr>
        <w:t>Fortalecer las instituciones culturales mediante programas académicos para la formación artística, la creación de un inventario estatal de manifestaciones artísticas en el fomento de la participación privada de organismos de la sociedad civil en programas culturales en la preservación del patrimonio histórico, artístico y cultural.</w:t>
      </w:r>
    </w:p>
    <w:p w14:paraId="3E636BA4" w14:textId="77777777" w:rsidR="005B1BB2" w:rsidRDefault="005B1BB2">
      <w:pPr>
        <w:spacing w:after="101" w:line="216" w:lineRule="exact"/>
        <w:ind w:left="720"/>
        <w:jc w:val="both"/>
        <w:rPr>
          <w:rFonts w:eastAsia="Times New Roman"/>
          <w:lang w:val="es-ES" w:eastAsia="es-ES"/>
        </w:rPr>
      </w:pPr>
    </w:p>
    <w:p w14:paraId="072559E8" w14:textId="77777777" w:rsidR="005B1BB2" w:rsidRDefault="005B1BB2">
      <w:pPr>
        <w:spacing w:after="101" w:line="216" w:lineRule="exact"/>
        <w:ind w:left="720"/>
        <w:jc w:val="both"/>
        <w:rPr>
          <w:rFonts w:eastAsia="Times New Roman"/>
          <w:lang w:val="es-ES" w:eastAsia="es-ES"/>
        </w:rPr>
      </w:pPr>
    </w:p>
    <w:p w14:paraId="3EF6DF44" w14:textId="77777777" w:rsidR="005B1BB2" w:rsidRDefault="00000000">
      <w:pPr>
        <w:widowControl/>
        <w:numPr>
          <w:ilvl w:val="0"/>
          <w:numId w:val="6"/>
        </w:numPr>
        <w:suppressAutoHyphens w:val="0"/>
        <w:spacing w:after="101" w:line="216" w:lineRule="exact"/>
        <w:ind w:left="426"/>
        <w:jc w:val="both"/>
        <w:textAlignment w:val="auto"/>
        <w:rPr>
          <w:rFonts w:eastAsia="Times New Roman"/>
          <w:lang w:val="es-ES" w:eastAsia="es-ES"/>
        </w:rPr>
      </w:pPr>
      <w:r>
        <w:rPr>
          <w:rFonts w:eastAsia="Times New Roman"/>
          <w:lang w:val="es-ES" w:eastAsia="es-ES"/>
        </w:rPr>
        <w:t>Orientar las decisiones de la política educativa con base en sistemas de información como medición y análisis del desempeño, de la gestión educativa y el aprovechamiento académico.</w:t>
      </w:r>
    </w:p>
    <w:p w14:paraId="1FE00035" w14:textId="77777777" w:rsidR="005B1BB2" w:rsidRDefault="005B1BB2">
      <w:pPr>
        <w:spacing w:after="101" w:line="216" w:lineRule="exact"/>
        <w:ind w:left="720"/>
        <w:jc w:val="both"/>
        <w:rPr>
          <w:rFonts w:eastAsia="Times New Roman"/>
          <w:lang w:val="es-ES" w:eastAsia="es-ES"/>
        </w:rPr>
      </w:pPr>
    </w:p>
    <w:p w14:paraId="6F74B62F" w14:textId="77777777" w:rsidR="005B1BB2" w:rsidRDefault="00000000">
      <w:pPr>
        <w:widowControl/>
        <w:numPr>
          <w:ilvl w:val="0"/>
          <w:numId w:val="6"/>
        </w:numPr>
        <w:suppressAutoHyphens w:val="0"/>
        <w:spacing w:after="101" w:line="216" w:lineRule="exact"/>
        <w:ind w:left="426"/>
        <w:jc w:val="both"/>
        <w:textAlignment w:val="auto"/>
        <w:rPr>
          <w:rFonts w:eastAsia="Times New Roman"/>
          <w:lang w:val="es-ES" w:eastAsia="es-ES"/>
        </w:rPr>
      </w:pPr>
      <w:r>
        <w:rPr>
          <w:rFonts w:eastAsia="Times New Roman"/>
          <w:lang w:val="es-ES" w:eastAsia="es-ES"/>
        </w:rPr>
        <w:t>Implementar métodos de enseñanza pertinentes que proporcionen al alumno los conocimientos útiles para la vida, que le permitan aprender y orientar su conducta con base en valores cívicos, éticos y de responsabilidad social.</w:t>
      </w:r>
    </w:p>
    <w:p w14:paraId="6B7E2D78" w14:textId="77777777" w:rsidR="005B1BB2" w:rsidRDefault="00000000">
      <w:pPr>
        <w:widowControl/>
        <w:numPr>
          <w:ilvl w:val="0"/>
          <w:numId w:val="6"/>
        </w:numPr>
        <w:suppressAutoHyphens w:val="0"/>
        <w:spacing w:after="101" w:line="216" w:lineRule="exact"/>
        <w:ind w:left="426"/>
        <w:jc w:val="both"/>
        <w:textAlignment w:val="auto"/>
        <w:rPr>
          <w:rFonts w:eastAsia="Times New Roman"/>
          <w:lang w:val="es-ES" w:eastAsia="es-ES"/>
        </w:rPr>
      </w:pPr>
      <w:r>
        <w:rPr>
          <w:rFonts w:eastAsia="Times New Roman"/>
          <w:lang w:val="es-ES" w:eastAsia="es-ES"/>
        </w:rPr>
        <w:t>Aplicar las bases de los beneficiados para la permanencia y excelencia educativa, mediante un proceso de integración del sistema nacional de becas, estímulos y créditos educativos.</w:t>
      </w:r>
    </w:p>
    <w:p w14:paraId="62A3534C" w14:textId="77777777" w:rsidR="005B1BB2" w:rsidRDefault="00000000">
      <w:pPr>
        <w:widowControl/>
        <w:numPr>
          <w:ilvl w:val="0"/>
          <w:numId w:val="6"/>
        </w:numPr>
        <w:suppressAutoHyphens w:val="0"/>
        <w:spacing w:after="101" w:line="216" w:lineRule="exact"/>
        <w:ind w:left="426" w:hanging="349"/>
        <w:jc w:val="both"/>
        <w:textAlignment w:val="auto"/>
        <w:rPr>
          <w:rFonts w:eastAsia="Times New Roman"/>
          <w:lang w:val="es-ES" w:eastAsia="es-ES"/>
        </w:rPr>
      </w:pPr>
      <w:r>
        <w:rPr>
          <w:rFonts w:eastAsia="Times New Roman"/>
          <w:lang w:val="es-ES" w:eastAsia="es-ES"/>
        </w:rPr>
        <w:t>Multiplicar la capacidad creativa del arte y la cultura con actividades de formación desde la educación básica hasta los estudios superiores.</w:t>
      </w:r>
    </w:p>
    <w:p w14:paraId="2EBF6A72" w14:textId="77777777" w:rsidR="005B1BB2" w:rsidRDefault="00000000">
      <w:pPr>
        <w:pStyle w:val="Texto"/>
        <w:spacing w:after="0" w:line="240" w:lineRule="exact"/>
      </w:pPr>
      <w:r>
        <w:rPr>
          <w:rFonts w:ascii="Calibri" w:hAnsi="Calibri"/>
          <w:sz w:val="20"/>
        </w:rPr>
        <w:t>impulsar y transformar el desarrollo institucional del deporte que promueva la actividad física y la práctica del       deporte en todos los segmentos de la población</w:t>
      </w:r>
    </w:p>
    <w:p w14:paraId="0063571B" w14:textId="77777777" w:rsidR="005B1BB2" w:rsidRDefault="005B1BB2">
      <w:pPr>
        <w:pStyle w:val="Text"/>
        <w:spacing w:after="0" w:line="240" w:lineRule="exact"/>
        <w:ind w:firstLine="0"/>
        <w:rPr>
          <w:rFonts w:ascii="Calibri" w:hAnsi="Calibri" w:cs="DIN Pro Regular"/>
          <w:sz w:val="20"/>
        </w:rPr>
      </w:pPr>
    </w:p>
    <w:p w14:paraId="7E11696B" w14:textId="77777777" w:rsidR="005B1BB2" w:rsidRDefault="00000000">
      <w:pPr>
        <w:pStyle w:val="Text"/>
        <w:numPr>
          <w:ilvl w:val="0"/>
          <w:numId w:val="5"/>
        </w:numPr>
        <w:spacing w:after="0" w:line="240" w:lineRule="exact"/>
        <w:ind w:left="426"/>
        <w:rPr>
          <w:rFonts w:ascii="Calibri" w:hAnsi="Calibri" w:cs="DIN Pro Regular"/>
          <w:sz w:val="20"/>
          <w:lang w:val="es-MX"/>
        </w:rPr>
      </w:pPr>
      <w:r>
        <w:rPr>
          <w:rFonts w:ascii="Calibri" w:hAnsi="Calibri" w:cs="DIN Pro Regular"/>
          <w:sz w:val="20"/>
          <w:lang w:val="es-MX"/>
        </w:rPr>
        <w:t>Información por Segmentos. No Aplica</w:t>
      </w:r>
    </w:p>
    <w:p w14:paraId="7D061A11" w14:textId="77777777" w:rsidR="005B1BB2" w:rsidRDefault="005B1BB2">
      <w:pPr>
        <w:pStyle w:val="Text"/>
        <w:spacing w:after="0" w:line="240" w:lineRule="exact"/>
        <w:ind w:left="426" w:firstLine="0"/>
      </w:pPr>
    </w:p>
    <w:p w14:paraId="6E22F17D" w14:textId="77777777" w:rsidR="005B1BB2" w:rsidRDefault="00000000">
      <w:pPr>
        <w:pStyle w:val="Text"/>
        <w:numPr>
          <w:ilvl w:val="0"/>
          <w:numId w:val="5"/>
        </w:numPr>
        <w:spacing w:after="0" w:line="240" w:lineRule="exact"/>
        <w:ind w:left="426"/>
        <w:rPr>
          <w:rFonts w:ascii="Calibri" w:hAnsi="Calibri" w:cs="DIN Pro Regular"/>
          <w:sz w:val="20"/>
          <w:lang w:val="es-MX"/>
        </w:rPr>
      </w:pPr>
      <w:r>
        <w:rPr>
          <w:rFonts w:ascii="Calibri" w:hAnsi="Calibri" w:cs="DIN Pro Regular"/>
          <w:sz w:val="20"/>
          <w:lang w:val="es-MX"/>
        </w:rPr>
        <w:t>Eventos Posteriores al Cierre. No Aplica</w:t>
      </w:r>
    </w:p>
    <w:p w14:paraId="4D97373B" w14:textId="77777777" w:rsidR="005B1BB2" w:rsidRDefault="005B1BB2">
      <w:pPr>
        <w:pStyle w:val="Text"/>
        <w:spacing w:after="0" w:line="240" w:lineRule="exact"/>
        <w:ind w:left="426" w:firstLine="0"/>
      </w:pPr>
    </w:p>
    <w:p w14:paraId="3D2E9EC9" w14:textId="77777777" w:rsidR="005B1BB2" w:rsidRDefault="00000000">
      <w:pPr>
        <w:pStyle w:val="Text"/>
        <w:numPr>
          <w:ilvl w:val="0"/>
          <w:numId w:val="5"/>
        </w:numPr>
        <w:spacing w:after="0" w:line="240" w:lineRule="exact"/>
        <w:ind w:left="426"/>
        <w:rPr>
          <w:rFonts w:ascii="Calibri" w:hAnsi="Calibri" w:cs="DIN Pro Regular"/>
          <w:sz w:val="20"/>
          <w:lang w:val="es-MX"/>
        </w:rPr>
      </w:pPr>
      <w:r>
        <w:rPr>
          <w:rFonts w:ascii="Calibri" w:hAnsi="Calibri" w:cs="DIN Pro Regular"/>
          <w:sz w:val="20"/>
          <w:lang w:val="es-MX"/>
        </w:rPr>
        <w:t>Partes Relacionadas. No Aplica</w:t>
      </w:r>
    </w:p>
    <w:p w14:paraId="408E6261" w14:textId="77777777" w:rsidR="005B1BB2" w:rsidRDefault="00000000">
      <w:pPr>
        <w:pStyle w:val="Text"/>
        <w:spacing w:after="0" w:line="240" w:lineRule="exact"/>
        <w:ind w:left="426" w:firstLine="0"/>
      </w:pPr>
      <w:r>
        <w:rPr>
          <w:rFonts w:ascii="Calibri" w:hAnsi="Calibri" w:cs="DIN Pro Regular"/>
          <w:sz w:val="20"/>
          <w:lang w:val="es-MX"/>
        </w:rPr>
        <w:t xml:space="preserve"> </w:t>
      </w:r>
    </w:p>
    <w:p w14:paraId="31610984" w14:textId="77777777" w:rsidR="005B1BB2" w:rsidRDefault="00000000">
      <w:pPr>
        <w:pStyle w:val="Texto"/>
        <w:spacing w:after="0" w:line="240" w:lineRule="exact"/>
        <w:ind w:firstLine="0"/>
      </w:pPr>
      <w:r>
        <w:rPr>
          <w:rFonts w:ascii="Calibri" w:hAnsi="Calibri" w:cs="DIN Pro Regular"/>
          <w:sz w:val="20"/>
          <w:lang w:val="es-MX"/>
        </w:rPr>
        <w:t xml:space="preserve">16.   </w:t>
      </w:r>
      <w:r>
        <w:t xml:space="preserve"> </w:t>
      </w:r>
      <w:r>
        <w:rPr>
          <w:rFonts w:ascii="Calibri" w:hAnsi="Calibri" w:cs="DIN Pro Regular"/>
          <w:sz w:val="20"/>
          <w:lang w:val="es-MX"/>
        </w:rPr>
        <w:t>Responsabilidad Sobre la Presentación Razonable de la Información Contable. Postulados básicos, principios de contabilidad generalmente aceptados.</w:t>
      </w:r>
    </w:p>
    <w:p w14:paraId="72B6E477" w14:textId="77777777" w:rsidR="005B1BB2" w:rsidRDefault="005B1BB2">
      <w:pPr>
        <w:pStyle w:val="Text"/>
        <w:spacing w:after="0" w:line="240" w:lineRule="exact"/>
      </w:pPr>
    </w:p>
    <w:p w14:paraId="6D67AF6D" w14:textId="77777777" w:rsidR="005B1BB2" w:rsidRDefault="005B1BB2">
      <w:pPr>
        <w:pStyle w:val="Text"/>
        <w:spacing w:after="0" w:line="240" w:lineRule="exact"/>
        <w:ind w:firstLine="0"/>
        <w:rPr>
          <w:rFonts w:ascii="Calibri" w:hAnsi="Calibri" w:cs="DIN Pro Regular"/>
          <w:sz w:val="20"/>
        </w:rPr>
      </w:pPr>
    </w:p>
    <w:p w14:paraId="3DC1CEBA" w14:textId="77777777" w:rsidR="005B1BB2" w:rsidRDefault="005B1BB2">
      <w:pPr>
        <w:pStyle w:val="Text"/>
        <w:spacing w:after="0" w:line="240" w:lineRule="exact"/>
        <w:ind w:firstLine="0"/>
        <w:rPr>
          <w:rFonts w:ascii="Calibri" w:hAnsi="Calibri" w:cs="DIN Pro Regular"/>
          <w:sz w:val="20"/>
        </w:rPr>
      </w:pPr>
    </w:p>
    <w:p w14:paraId="4F247F39" w14:textId="77777777" w:rsidR="005B1BB2" w:rsidRDefault="005B1BB2">
      <w:pPr>
        <w:pStyle w:val="Text"/>
        <w:spacing w:after="0" w:line="240" w:lineRule="exact"/>
        <w:ind w:firstLine="0"/>
        <w:rPr>
          <w:rFonts w:ascii="Calibri" w:hAnsi="Calibri" w:cs="DIN Pro Regular"/>
          <w:sz w:val="20"/>
        </w:rPr>
      </w:pPr>
    </w:p>
    <w:p w14:paraId="46319CC0" w14:textId="77777777" w:rsidR="005B1BB2" w:rsidRDefault="005B1BB2">
      <w:pPr>
        <w:pStyle w:val="Text"/>
        <w:spacing w:after="0" w:line="240" w:lineRule="exact"/>
        <w:ind w:firstLine="0"/>
        <w:rPr>
          <w:rFonts w:ascii="Calibri" w:hAnsi="Calibri" w:cs="DIN Pro Regular"/>
          <w:sz w:val="20"/>
        </w:rPr>
      </w:pPr>
    </w:p>
    <w:p w14:paraId="785752EE" w14:textId="77777777" w:rsidR="005B1BB2" w:rsidRDefault="005B1BB2">
      <w:pPr>
        <w:pStyle w:val="Text"/>
        <w:spacing w:after="0" w:line="240" w:lineRule="exact"/>
        <w:ind w:firstLine="0"/>
        <w:rPr>
          <w:rFonts w:ascii="Calibri" w:hAnsi="Calibri" w:cs="DIN Pro Regular"/>
          <w:sz w:val="20"/>
        </w:rPr>
      </w:pPr>
    </w:p>
    <w:p w14:paraId="491564DA" w14:textId="77777777" w:rsidR="005B1BB2" w:rsidRDefault="005B1BB2">
      <w:pPr>
        <w:pStyle w:val="Text"/>
        <w:spacing w:after="0" w:line="240" w:lineRule="exact"/>
        <w:ind w:firstLine="0"/>
        <w:rPr>
          <w:rFonts w:ascii="Calibri" w:hAnsi="Calibri" w:cs="DIN Pro Regular"/>
          <w:sz w:val="20"/>
        </w:rPr>
      </w:pPr>
    </w:p>
    <w:p w14:paraId="54CAEAB7" w14:textId="77777777" w:rsidR="005B1BB2"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079B616D" w14:textId="77777777" w:rsidR="005B1BB2" w:rsidRDefault="005B1BB2">
      <w:pPr>
        <w:pStyle w:val="Text"/>
        <w:spacing w:after="0" w:line="240" w:lineRule="exact"/>
        <w:ind w:firstLine="0"/>
        <w:rPr>
          <w:rFonts w:ascii="Calibri" w:hAnsi="Calibri" w:cs="DIN Pro Regular"/>
          <w:sz w:val="20"/>
        </w:rPr>
      </w:pPr>
    </w:p>
    <w:p w14:paraId="6EF53822" w14:textId="77777777" w:rsidR="005B1BB2" w:rsidRDefault="005B1BB2">
      <w:pPr>
        <w:pStyle w:val="Text"/>
        <w:spacing w:after="0" w:line="240" w:lineRule="exact"/>
        <w:ind w:firstLine="0"/>
        <w:rPr>
          <w:rFonts w:ascii="Calibri" w:hAnsi="Calibri" w:cs="DIN Pro Regular"/>
          <w:sz w:val="20"/>
        </w:rPr>
      </w:pPr>
    </w:p>
    <w:p w14:paraId="507770A1" w14:textId="77777777" w:rsidR="005B1BB2" w:rsidRDefault="005B1BB2">
      <w:pPr>
        <w:pStyle w:val="Text"/>
        <w:spacing w:after="0" w:line="240" w:lineRule="exact"/>
        <w:ind w:firstLine="0"/>
        <w:rPr>
          <w:rFonts w:ascii="Calibri" w:hAnsi="Calibri" w:cs="DIN Pro Regular"/>
          <w:sz w:val="20"/>
        </w:rPr>
      </w:pPr>
    </w:p>
    <w:p w14:paraId="1128A922" w14:textId="77777777" w:rsidR="005B1BB2" w:rsidRDefault="005B1BB2">
      <w:pPr>
        <w:pStyle w:val="Text"/>
        <w:spacing w:after="0" w:line="240" w:lineRule="exact"/>
        <w:ind w:firstLine="0"/>
        <w:rPr>
          <w:rFonts w:ascii="Calibri" w:hAnsi="Calibri" w:cs="DIN Pro Regular"/>
          <w:sz w:val="20"/>
        </w:rPr>
      </w:pPr>
    </w:p>
    <w:p w14:paraId="5FED2C41" w14:textId="77777777" w:rsidR="005B1BB2" w:rsidRDefault="005B1BB2">
      <w:pPr>
        <w:pStyle w:val="Text"/>
        <w:spacing w:after="0" w:line="240" w:lineRule="exact"/>
        <w:ind w:firstLine="0"/>
        <w:rPr>
          <w:rFonts w:ascii="Calibri" w:hAnsi="Calibri" w:cs="DIN Pro Regular"/>
          <w:sz w:val="20"/>
        </w:rPr>
      </w:pPr>
    </w:p>
    <w:p w14:paraId="28C7AE94" w14:textId="77777777" w:rsidR="005B1BB2" w:rsidRDefault="005B1BB2">
      <w:pPr>
        <w:pStyle w:val="Text"/>
        <w:spacing w:after="0" w:line="240" w:lineRule="exact"/>
        <w:rPr>
          <w:rFonts w:ascii="Calibri" w:hAnsi="Calibri" w:cs="DIN Pro Regular"/>
          <w:sz w:val="20"/>
        </w:rPr>
      </w:pPr>
    </w:p>
    <w:p w14:paraId="1F87E7FB" w14:textId="77777777" w:rsidR="005B1BB2" w:rsidRDefault="005B1BB2">
      <w:pPr>
        <w:pStyle w:val="Text"/>
        <w:spacing w:after="0" w:line="240" w:lineRule="exact"/>
        <w:jc w:val="center"/>
        <w:rPr>
          <w:rFonts w:ascii="Calibri" w:hAnsi="Calibri" w:cs="DIN Pro Regular"/>
          <w:sz w:val="22"/>
          <w:szCs w:val="22"/>
        </w:rPr>
      </w:pPr>
    </w:p>
    <w:p w14:paraId="3BDB4387" w14:textId="77777777" w:rsidR="005B1BB2" w:rsidRDefault="005B1BB2">
      <w:pPr>
        <w:pStyle w:val="Text"/>
        <w:spacing w:after="0" w:line="240" w:lineRule="exact"/>
        <w:ind w:firstLine="0"/>
        <w:rPr>
          <w:rFonts w:ascii="Calibri" w:hAnsi="Calibri" w:cs="DIN Pro Regular"/>
          <w:b/>
          <w:sz w:val="20"/>
        </w:rPr>
      </w:pPr>
    </w:p>
    <w:p w14:paraId="65BA667C" w14:textId="77777777" w:rsidR="005B1BB2" w:rsidRDefault="005B1BB2">
      <w:pPr>
        <w:pStyle w:val="Text"/>
        <w:spacing w:after="0" w:line="240" w:lineRule="exact"/>
        <w:ind w:firstLine="0"/>
        <w:rPr>
          <w:rFonts w:ascii="Calibri" w:hAnsi="Calibri" w:cs="DIN Pro Regular"/>
          <w:b/>
          <w:sz w:val="20"/>
        </w:rPr>
      </w:pPr>
    </w:p>
    <w:p w14:paraId="3AFA9816" w14:textId="77777777" w:rsidR="005B1BB2" w:rsidRDefault="005B1BB2">
      <w:pPr>
        <w:pStyle w:val="Text"/>
        <w:spacing w:after="0" w:line="240" w:lineRule="exact"/>
        <w:ind w:firstLine="0"/>
        <w:rPr>
          <w:rFonts w:ascii="Calibri" w:hAnsi="Calibri" w:cs="DIN Pro Regular"/>
          <w:b/>
          <w:sz w:val="20"/>
        </w:rPr>
      </w:pPr>
    </w:p>
    <w:p w14:paraId="3AA95331" w14:textId="77777777" w:rsidR="005B1BB2" w:rsidRDefault="005B1BB2">
      <w:pPr>
        <w:pStyle w:val="Text"/>
        <w:spacing w:after="0" w:line="240" w:lineRule="exact"/>
        <w:ind w:firstLine="0"/>
        <w:rPr>
          <w:rFonts w:ascii="Calibri" w:hAnsi="Calibri" w:cs="DIN Pro Regular"/>
          <w:b/>
          <w:sz w:val="20"/>
        </w:rPr>
      </w:pPr>
    </w:p>
    <w:p w14:paraId="0CE9586B" w14:textId="77777777" w:rsidR="005B1BB2" w:rsidRDefault="005B1BB2">
      <w:pPr>
        <w:pStyle w:val="Text"/>
        <w:spacing w:after="0" w:line="240" w:lineRule="exact"/>
        <w:ind w:firstLine="0"/>
        <w:rPr>
          <w:rFonts w:ascii="Calibri" w:hAnsi="Calibri" w:cs="DIN Pro Regular"/>
          <w:b/>
          <w:sz w:val="20"/>
        </w:rPr>
      </w:pPr>
    </w:p>
    <w:p w14:paraId="6EF1BDA3" w14:textId="77777777" w:rsidR="005B1BB2" w:rsidRDefault="005B1BB2">
      <w:pPr>
        <w:pStyle w:val="Text"/>
        <w:spacing w:after="0" w:line="240" w:lineRule="exact"/>
        <w:ind w:firstLine="0"/>
        <w:rPr>
          <w:rFonts w:ascii="Calibri" w:hAnsi="Calibri" w:cs="DIN Pro Regular"/>
          <w:b/>
          <w:sz w:val="20"/>
        </w:rPr>
      </w:pPr>
    </w:p>
    <w:p w14:paraId="4B04FBF8" w14:textId="77777777" w:rsidR="005B1BB2" w:rsidRDefault="005B1BB2">
      <w:pPr>
        <w:pStyle w:val="Text"/>
        <w:spacing w:after="0" w:line="240" w:lineRule="exact"/>
        <w:ind w:firstLine="0"/>
        <w:rPr>
          <w:rFonts w:ascii="Calibri" w:hAnsi="Calibri" w:cs="DIN Pro Regular"/>
          <w:b/>
          <w:sz w:val="20"/>
        </w:rPr>
      </w:pPr>
    </w:p>
    <w:p w14:paraId="19432659" w14:textId="77777777" w:rsidR="005B1BB2" w:rsidRDefault="005B1BB2">
      <w:pPr>
        <w:pStyle w:val="Text"/>
        <w:spacing w:after="0" w:line="240" w:lineRule="exact"/>
        <w:ind w:firstLine="0"/>
        <w:rPr>
          <w:rFonts w:ascii="Calibri" w:hAnsi="Calibri" w:cs="DIN Pro Regular"/>
          <w:b/>
          <w:sz w:val="20"/>
        </w:rPr>
      </w:pPr>
    </w:p>
    <w:p w14:paraId="4022E239" w14:textId="77777777" w:rsidR="005B1BB2" w:rsidRDefault="005B1BB2">
      <w:pPr>
        <w:pStyle w:val="Text"/>
        <w:spacing w:after="0" w:line="240" w:lineRule="exact"/>
        <w:ind w:firstLine="0"/>
        <w:rPr>
          <w:rFonts w:ascii="Calibri" w:hAnsi="Calibri" w:cs="DIN Pro Regular"/>
          <w:b/>
          <w:sz w:val="20"/>
        </w:rPr>
      </w:pPr>
    </w:p>
    <w:p w14:paraId="154D7FE6" w14:textId="77777777" w:rsidR="005B1BB2" w:rsidRDefault="005B1BB2">
      <w:pPr>
        <w:pStyle w:val="Text"/>
        <w:spacing w:after="0" w:line="240" w:lineRule="exact"/>
        <w:ind w:firstLine="0"/>
        <w:rPr>
          <w:rFonts w:ascii="Calibri" w:hAnsi="Calibri" w:cs="DIN Pro Regular"/>
          <w:b/>
          <w:sz w:val="20"/>
        </w:rPr>
      </w:pPr>
    </w:p>
    <w:p w14:paraId="59305034" w14:textId="77777777" w:rsidR="005B1BB2" w:rsidRDefault="005B1BB2">
      <w:pPr>
        <w:pStyle w:val="Text"/>
        <w:spacing w:after="0" w:line="240" w:lineRule="exact"/>
        <w:ind w:firstLine="0"/>
        <w:rPr>
          <w:rFonts w:ascii="Calibri" w:hAnsi="Calibri" w:cs="DIN Pro Regular"/>
          <w:b/>
          <w:sz w:val="20"/>
        </w:rPr>
      </w:pPr>
    </w:p>
    <w:p w14:paraId="2D81B6D4" w14:textId="77777777" w:rsidR="005B1BB2" w:rsidRDefault="00000000">
      <w:pPr>
        <w:pStyle w:val="Text"/>
        <w:spacing w:after="0" w:line="240" w:lineRule="exact"/>
        <w:jc w:val="center"/>
      </w:pPr>
      <w:r>
        <w:rPr>
          <w:rFonts w:ascii="Calibri" w:hAnsi="Calibri" w:cs="DIN Pro Regular"/>
          <w:b/>
          <w:sz w:val="24"/>
          <w:szCs w:val="24"/>
        </w:rPr>
        <w:t>Cuenta Pública 2024</w:t>
      </w:r>
    </w:p>
    <w:p w14:paraId="644FB7FB" w14:textId="77777777" w:rsidR="005B1BB2" w:rsidRDefault="005B1BB2">
      <w:pPr>
        <w:pStyle w:val="Text"/>
        <w:spacing w:after="0" w:line="240" w:lineRule="exact"/>
        <w:ind w:firstLine="0"/>
        <w:rPr>
          <w:rFonts w:ascii="Calibri" w:hAnsi="Calibri" w:cs="DIN Pro Regular"/>
          <w:b/>
          <w:sz w:val="24"/>
          <w:szCs w:val="24"/>
        </w:rPr>
      </w:pPr>
    </w:p>
    <w:p w14:paraId="615217A3" w14:textId="77777777" w:rsidR="005B1BB2" w:rsidRDefault="00000000">
      <w:pPr>
        <w:pStyle w:val="Text"/>
        <w:spacing w:after="0" w:line="240" w:lineRule="exact"/>
        <w:jc w:val="center"/>
      </w:pPr>
      <w:r>
        <w:rPr>
          <w:rFonts w:ascii="Calibri" w:hAnsi="Calibri" w:cs="DIN Pro Regular"/>
          <w:b/>
          <w:sz w:val="24"/>
          <w:szCs w:val="24"/>
        </w:rPr>
        <w:t>b) NOTAS DE DESGLOSE</w:t>
      </w:r>
    </w:p>
    <w:p w14:paraId="2561A0EF" w14:textId="77777777" w:rsidR="005B1BB2" w:rsidRDefault="005B1BB2">
      <w:pPr>
        <w:pStyle w:val="Text"/>
        <w:spacing w:after="0" w:line="240" w:lineRule="exact"/>
        <w:jc w:val="center"/>
        <w:rPr>
          <w:rFonts w:ascii="Calibri" w:hAnsi="Calibri" w:cs="DIN Pro Regular"/>
          <w:b/>
          <w:sz w:val="20"/>
        </w:rPr>
      </w:pPr>
    </w:p>
    <w:p w14:paraId="2D67A6B3" w14:textId="77777777" w:rsidR="005B1BB2"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7C72EB81" w14:textId="77777777" w:rsidR="005B1BB2" w:rsidRDefault="005B1BB2">
      <w:pPr>
        <w:pStyle w:val="Text"/>
        <w:spacing w:after="0" w:line="240" w:lineRule="exact"/>
        <w:rPr>
          <w:rFonts w:ascii="Calibri" w:hAnsi="Calibri" w:cs="DIN Pro Regular"/>
          <w:sz w:val="20"/>
          <w:lang w:val="es-MX"/>
        </w:rPr>
      </w:pPr>
    </w:p>
    <w:p w14:paraId="5FC1A2D5" w14:textId="77777777" w:rsidR="005B1BB2"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22909FAB" w14:textId="77777777" w:rsidR="005B1BB2" w:rsidRDefault="00000000">
      <w:pPr>
        <w:pStyle w:val="ROMANOS"/>
        <w:spacing w:after="0" w:line="240" w:lineRule="exact"/>
        <w:ind w:left="1140"/>
        <w:rPr>
          <w:rFonts w:ascii="Calibri" w:hAnsi="Calibri"/>
          <w:b/>
          <w:sz w:val="20"/>
          <w:szCs w:val="20"/>
        </w:rPr>
      </w:pPr>
      <w:r>
        <w:rPr>
          <w:rFonts w:ascii="Calibri" w:hAnsi="Calibri"/>
          <w:b/>
          <w:sz w:val="20"/>
          <w:szCs w:val="20"/>
        </w:rPr>
        <w:t>Ingresos de Gestión.</w:t>
      </w:r>
    </w:p>
    <w:p w14:paraId="214A383E" w14:textId="77777777" w:rsidR="005B1BB2" w:rsidRDefault="005B1BB2">
      <w:pPr>
        <w:pStyle w:val="ROMANOS"/>
        <w:spacing w:after="0" w:line="240" w:lineRule="exact"/>
        <w:ind w:left="1140"/>
        <w:rPr>
          <w:rFonts w:ascii="Calibri" w:hAnsi="Calibri"/>
          <w:b/>
          <w:sz w:val="20"/>
          <w:szCs w:val="20"/>
        </w:rPr>
      </w:pPr>
    </w:p>
    <w:tbl>
      <w:tblPr>
        <w:tblW w:w="8210" w:type="dxa"/>
        <w:tblInd w:w="1140" w:type="dxa"/>
        <w:tblCellMar>
          <w:left w:w="10" w:type="dxa"/>
          <w:right w:w="10" w:type="dxa"/>
        </w:tblCellMar>
        <w:tblLook w:val="0000" w:firstRow="0" w:lastRow="0" w:firstColumn="0" w:lastColumn="0" w:noHBand="0" w:noVBand="0"/>
      </w:tblPr>
      <w:tblGrid>
        <w:gridCol w:w="4114"/>
        <w:gridCol w:w="4096"/>
      </w:tblGrid>
      <w:tr w:rsidR="005B1BB2" w14:paraId="733ADFA1" w14:textId="77777777">
        <w:tblPrEx>
          <w:tblCellMar>
            <w:top w:w="0" w:type="dxa"/>
            <w:bottom w:w="0" w:type="dxa"/>
          </w:tblCellMar>
        </w:tblPrEx>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6330" w14:textId="77777777" w:rsidR="005B1BB2" w:rsidRDefault="00000000">
            <w:pPr>
              <w:pStyle w:val="ROMANOS"/>
              <w:spacing w:after="0" w:line="240" w:lineRule="exact"/>
              <w:ind w:left="0" w:firstLine="0"/>
              <w:textAlignment w:val="auto"/>
              <w:rPr>
                <w:rFonts w:ascii="Calibri" w:hAnsi="Calibri" w:cs="DIN Pro Regular"/>
                <w:b/>
                <w:sz w:val="20"/>
                <w:szCs w:val="20"/>
                <w:lang w:val="es-MX"/>
              </w:rPr>
            </w:pPr>
            <w:r>
              <w:rPr>
                <w:rFonts w:ascii="Calibri" w:hAnsi="Calibri" w:cs="DIN Pro Regular"/>
                <w:b/>
                <w:sz w:val="20"/>
                <w:szCs w:val="20"/>
                <w:lang w:val="es-MX"/>
              </w:rPr>
              <w:t>Ingresos por Venta de Bienes y Servicios</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5F8E8" w14:textId="77777777" w:rsidR="005B1BB2" w:rsidRDefault="00000000">
            <w:pPr>
              <w:pStyle w:val="ROMANOS"/>
              <w:spacing w:after="0" w:line="240" w:lineRule="exact"/>
              <w:ind w:left="0" w:firstLine="0"/>
              <w:jc w:val="right"/>
              <w:textAlignment w:val="auto"/>
              <w:rPr>
                <w:rFonts w:ascii="Calibri" w:hAnsi="Calibri" w:cs="DIN Pro Regular"/>
                <w:b/>
                <w:sz w:val="20"/>
                <w:szCs w:val="20"/>
                <w:lang w:val="es-MX"/>
              </w:rPr>
            </w:pPr>
            <w:r>
              <w:rPr>
                <w:rFonts w:ascii="Calibri" w:hAnsi="Calibri" w:cs="DIN Pro Regular"/>
                <w:b/>
                <w:sz w:val="20"/>
                <w:szCs w:val="20"/>
                <w:lang w:val="es-MX"/>
              </w:rPr>
              <w:t>$1,281,380.00</w:t>
            </w:r>
          </w:p>
        </w:tc>
      </w:tr>
      <w:tr w:rsidR="005B1BB2" w14:paraId="1596DC4D" w14:textId="77777777">
        <w:tblPrEx>
          <w:tblCellMar>
            <w:top w:w="0" w:type="dxa"/>
            <w:bottom w:w="0" w:type="dxa"/>
          </w:tblCellMar>
        </w:tblPrEx>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20D5D" w14:textId="77777777" w:rsidR="005B1BB2" w:rsidRDefault="00000000">
            <w:pPr>
              <w:pStyle w:val="ROMANOS"/>
              <w:spacing w:after="0" w:line="240" w:lineRule="exact"/>
              <w:ind w:left="0" w:firstLine="0"/>
              <w:textAlignment w:val="auto"/>
              <w:rPr>
                <w:rFonts w:ascii="Calibri" w:hAnsi="Calibri" w:cs="DIN Pro Regular"/>
                <w:b/>
                <w:sz w:val="20"/>
                <w:szCs w:val="20"/>
                <w:lang w:val="es-MX"/>
              </w:rPr>
            </w:pPr>
            <w:r>
              <w:rPr>
                <w:rFonts w:ascii="Calibri" w:hAnsi="Calibri" w:cs="DIN Pro Regular"/>
                <w:b/>
                <w:sz w:val="20"/>
                <w:szCs w:val="20"/>
                <w:lang w:val="es-MX"/>
              </w:rPr>
              <w:t>Transferencias y Asignaciones</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7596" w14:textId="77777777" w:rsidR="005B1BB2" w:rsidRDefault="00000000">
            <w:pPr>
              <w:pStyle w:val="ROMANOS"/>
              <w:spacing w:after="0" w:line="240" w:lineRule="exact"/>
              <w:ind w:left="0" w:firstLine="0"/>
              <w:jc w:val="right"/>
              <w:textAlignment w:val="auto"/>
              <w:rPr>
                <w:rFonts w:ascii="Calibri" w:hAnsi="Calibri" w:cs="DIN Pro Regular"/>
                <w:b/>
                <w:sz w:val="20"/>
                <w:szCs w:val="20"/>
                <w:lang w:val="es-MX"/>
              </w:rPr>
            </w:pPr>
            <w:r>
              <w:rPr>
                <w:rFonts w:ascii="Calibri" w:hAnsi="Calibri" w:cs="DIN Pro Regular"/>
                <w:b/>
                <w:sz w:val="20"/>
                <w:szCs w:val="20"/>
                <w:lang w:val="es-MX"/>
              </w:rPr>
              <w:t>$108,997,495.00</w:t>
            </w:r>
          </w:p>
        </w:tc>
      </w:tr>
      <w:tr w:rsidR="005B1BB2" w14:paraId="1C91F11F" w14:textId="77777777">
        <w:tblPrEx>
          <w:tblCellMar>
            <w:top w:w="0" w:type="dxa"/>
            <w:bottom w:w="0" w:type="dxa"/>
          </w:tblCellMar>
        </w:tblPrEx>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E4386" w14:textId="77777777" w:rsidR="005B1BB2" w:rsidRDefault="00000000">
            <w:pPr>
              <w:pStyle w:val="ROMANOS"/>
              <w:spacing w:after="0" w:line="240" w:lineRule="exact"/>
              <w:ind w:left="0" w:firstLine="0"/>
              <w:textAlignment w:val="auto"/>
              <w:rPr>
                <w:rFonts w:ascii="Calibri" w:hAnsi="Calibri" w:cs="DIN Pro Regular"/>
                <w:b/>
                <w:sz w:val="20"/>
                <w:szCs w:val="20"/>
                <w:lang w:val="es-MX"/>
              </w:rPr>
            </w:pPr>
            <w:r>
              <w:rPr>
                <w:rFonts w:ascii="Calibri" w:hAnsi="Calibri" w:cs="DIN Pro Regular"/>
                <w:b/>
                <w:sz w:val="20"/>
                <w:szCs w:val="20"/>
                <w:lang w:val="es-MX"/>
              </w:rPr>
              <w:t>Productos Financieros</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14573" w14:textId="77777777" w:rsidR="005B1BB2" w:rsidRDefault="00000000">
            <w:pPr>
              <w:pStyle w:val="ROMANOS"/>
              <w:spacing w:after="0" w:line="240" w:lineRule="exact"/>
              <w:ind w:left="0" w:firstLine="0"/>
              <w:jc w:val="right"/>
              <w:textAlignment w:val="auto"/>
              <w:rPr>
                <w:rFonts w:ascii="Calibri" w:hAnsi="Calibri" w:cs="DIN Pro Regular"/>
                <w:b/>
                <w:sz w:val="20"/>
                <w:szCs w:val="20"/>
                <w:lang w:val="es-MX"/>
              </w:rPr>
            </w:pPr>
            <w:r>
              <w:rPr>
                <w:rFonts w:ascii="Calibri" w:hAnsi="Calibri" w:cs="DIN Pro Regular"/>
                <w:b/>
                <w:sz w:val="20"/>
                <w:szCs w:val="20"/>
                <w:lang w:val="es-MX"/>
              </w:rPr>
              <w:t>$1,886,601.00</w:t>
            </w:r>
          </w:p>
        </w:tc>
      </w:tr>
      <w:tr w:rsidR="005B1BB2" w14:paraId="1C95BBEA" w14:textId="77777777">
        <w:tblPrEx>
          <w:tblCellMar>
            <w:top w:w="0" w:type="dxa"/>
            <w:bottom w:w="0" w:type="dxa"/>
          </w:tblCellMar>
        </w:tblPrEx>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E969" w14:textId="77777777" w:rsidR="005B1BB2" w:rsidRDefault="00000000">
            <w:pPr>
              <w:pStyle w:val="ROMANOS"/>
              <w:spacing w:after="0" w:line="240" w:lineRule="exact"/>
              <w:ind w:left="0" w:firstLine="0"/>
              <w:textAlignment w:val="auto"/>
              <w:rPr>
                <w:rFonts w:ascii="Calibri" w:hAnsi="Calibri" w:cs="DIN Pro Regular"/>
                <w:b/>
                <w:sz w:val="20"/>
                <w:szCs w:val="20"/>
                <w:lang w:val="es-MX"/>
              </w:rPr>
            </w:pPr>
            <w:proofErr w:type="gramStart"/>
            <w:r>
              <w:rPr>
                <w:rFonts w:ascii="Calibri" w:hAnsi="Calibri" w:cs="DIN Pro Regular"/>
                <w:b/>
                <w:sz w:val="20"/>
                <w:szCs w:val="20"/>
                <w:lang w:val="es-MX"/>
              </w:rPr>
              <w:t>Total</w:t>
            </w:r>
            <w:proofErr w:type="gramEnd"/>
            <w:r>
              <w:rPr>
                <w:rFonts w:ascii="Calibri" w:hAnsi="Calibri" w:cs="DIN Pro Regular"/>
                <w:b/>
                <w:sz w:val="20"/>
                <w:szCs w:val="20"/>
                <w:lang w:val="es-MX"/>
              </w:rPr>
              <w:t xml:space="preserve"> de Ingresos de Gestión</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62F00" w14:textId="77777777" w:rsidR="005B1BB2" w:rsidRDefault="00000000">
            <w:pPr>
              <w:pStyle w:val="ROMANOS"/>
              <w:spacing w:after="0" w:line="240" w:lineRule="exact"/>
              <w:ind w:left="0" w:firstLine="0"/>
              <w:jc w:val="right"/>
              <w:textAlignment w:val="auto"/>
              <w:rPr>
                <w:rFonts w:ascii="Calibri" w:hAnsi="Calibri" w:cs="DIN Pro Regular"/>
                <w:b/>
                <w:sz w:val="20"/>
                <w:szCs w:val="20"/>
                <w:lang w:val="es-MX"/>
              </w:rPr>
            </w:pPr>
            <w:r>
              <w:rPr>
                <w:rFonts w:ascii="Calibri" w:hAnsi="Calibri" w:cs="DIN Pro Regular"/>
                <w:b/>
                <w:sz w:val="20"/>
                <w:szCs w:val="20"/>
                <w:lang w:val="es-MX"/>
              </w:rPr>
              <w:t>$112,165,476.00</w:t>
            </w:r>
          </w:p>
        </w:tc>
      </w:tr>
      <w:tr w:rsidR="005B1BB2" w14:paraId="67687B80" w14:textId="77777777">
        <w:tblPrEx>
          <w:tblCellMar>
            <w:top w:w="0" w:type="dxa"/>
            <w:bottom w:w="0" w:type="dxa"/>
          </w:tblCellMar>
        </w:tblPrEx>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6BA3B" w14:textId="77777777" w:rsidR="005B1BB2" w:rsidRDefault="005B1BB2">
            <w:pPr>
              <w:pStyle w:val="ROMANOS"/>
              <w:spacing w:after="0" w:line="240" w:lineRule="exact"/>
              <w:ind w:left="0" w:firstLine="0"/>
              <w:textAlignment w:val="auto"/>
              <w:rPr>
                <w:rFonts w:ascii="Calibri" w:hAnsi="Calibri" w:cs="DIN Pro Regular"/>
                <w:b/>
                <w:sz w:val="20"/>
                <w:szCs w:val="20"/>
                <w:lang w:val="es-MX"/>
              </w:rPr>
            </w:pP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2D95" w14:textId="77777777" w:rsidR="005B1BB2" w:rsidRDefault="005B1BB2">
            <w:pPr>
              <w:pStyle w:val="ROMANOS"/>
              <w:spacing w:after="0" w:line="240" w:lineRule="exact"/>
              <w:ind w:left="0" w:firstLine="0"/>
              <w:jc w:val="right"/>
              <w:textAlignment w:val="auto"/>
              <w:rPr>
                <w:rFonts w:ascii="Calibri" w:hAnsi="Calibri" w:cs="DIN Pro Regular"/>
                <w:b/>
                <w:sz w:val="20"/>
                <w:szCs w:val="20"/>
                <w:lang w:val="es-MX"/>
              </w:rPr>
            </w:pPr>
          </w:p>
        </w:tc>
      </w:tr>
    </w:tbl>
    <w:p w14:paraId="2E56DD8E" w14:textId="77777777" w:rsidR="005B1BB2" w:rsidRDefault="00000000">
      <w:pPr>
        <w:pStyle w:val="ROMANOS"/>
        <w:spacing w:after="0" w:line="240" w:lineRule="exact"/>
        <w:ind w:left="1140" w:hanging="6"/>
        <w:rPr>
          <w:rFonts w:ascii="Calibri" w:hAnsi="Calibri" w:cs="DIN Pro Regular"/>
          <w:sz w:val="20"/>
          <w:szCs w:val="20"/>
          <w:lang w:val="es-MX"/>
        </w:rPr>
      </w:pPr>
      <w:r>
        <w:rPr>
          <w:rFonts w:ascii="Calibri" w:hAnsi="Calibri" w:cs="DIN Pro Regular"/>
          <w:sz w:val="20"/>
          <w:szCs w:val="20"/>
          <w:lang w:val="es-MX"/>
        </w:rPr>
        <w:t xml:space="preserve">Durante el ejercicio 2024 se hicieron ampliaciones presupuestales a la cuenta de ingresos por $763,500.00en la cuenta Subsidio Estatal Ingresos Propios para la compra de equipo de cómputo con remanente del ejercicio 2023 según acuerdo 011/LXXIV/2023 aprobado por la Junta de Consejo de esta Institución el día 23 de Noviembre del año 2023, una a la cuenta presupuestal de ingresos por $2,497,940.93 en la cuenta Subsidio Estatal Ingresos Propios porque se recibió más de lo presupuestado en el ejercicio 2024, una a la cuenta presupuestal Otros Fondos Federales por $90,00.00 porque se recibió del programa </w:t>
      </w:r>
      <w:proofErr w:type="spellStart"/>
      <w:r>
        <w:rPr>
          <w:rFonts w:ascii="Calibri" w:hAnsi="Calibri" w:cs="DIN Pro Regular"/>
          <w:sz w:val="20"/>
          <w:szCs w:val="20"/>
          <w:lang w:val="es-MX"/>
        </w:rPr>
        <w:t>Prodep</w:t>
      </w:r>
      <w:proofErr w:type="spellEnd"/>
      <w:r>
        <w:rPr>
          <w:rFonts w:ascii="Calibri" w:hAnsi="Calibri" w:cs="DIN Pro Regular"/>
          <w:sz w:val="20"/>
          <w:szCs w:val="20"/>
          <w:lang w:val="es-MX"/>
        </w:rPr>
        <w:t xml:space="preserve"> el 30 de Agosto del 2024, una a la cuenta presupuestal Ingresos Federales por $2,482,280.09 por modificación al convenio U006, una a la cuenta presupuestal de ingresos Subsidio Estatal por $2,989,926.27 por ampliación al convenio U006, una a la cuenta de Ingresos Propios Subsidio Estatal por $428,828.80 para registrar facturas pendientes de pago. </w:t>
      </w:r>
    </w:p>
    <w:p w14:paraId="557E5452" w14:textId="77777777" w:rsidR="005B1BB2" w:rsidRDefault="005B1BB2">
      <w:pPr>
        <w:pStyle w:val="ROMANOS"/>
        <w:spacing w:after="0" w:line="240" w:lineRule="exact"/>
        <w:ind w:left="0" w:firstLine="0"/>
        <w:rPr>
          <w:rFonts w:ascii="Calibri" w:hAnsi="Calibri"/>
          <w:b/>
          <w:sz w:val="20"/>
          <w:szCs w:val="20"/>
        </w:rPr>
      </w:pPr>
    </w:p>
    <w:p w14:paraId="6A75AF6B" w14:textId="77777777" w:rsidR="005B1BB2" w:rsidRDefault="005B1BB2">
      <w:pPr>
        <w:pStyle w:val="ROMANOS"/>
        <w:spacing w:after="0" w:line="240" w:lineRule="exact"/>
        <w:ind w:left="1140"/>
        <w:rPr>
          <w:rFonts w:ascii="Calibri" w:hAnsi="Calibri" w:cs="DIN Pro Regular"/>
          <w:b/>
          <w:sz w:val="20"/>
          <w:szCs w:val="20"/>
          <w:lang w:val="es-MX"/>
        </w:rPr>
      </w:pPr>
    </w:p>
    <w:p w14:paraId="3FD78FB6" w14:textId="77777777" w:rsidR="005B1BB2"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4BB10BEA" w14:textId="77777777" w:rsidR="005B1BB2" w:rsidRDefault="005B1BB2">
      <w:pPr>
        <w:pStyle w:val="ROMANOS"/>
        <w:spacing w:after="0" w:line="240" w:lineRule="exact"/>
        <w:ind w:left="1140"/>
      </w:pPr>
    </w:p>
    <w:tbl>
      <w:tblPr>
        <w:tblW w:w="8210" w:type="dxa"/>
        <w:tblInd w:w="1140" w:type="dxa"/>
        <w:tblCellMar>
          <w:left w:w="10" w:type="dxa"/>
          <w:right w:w="10" w:type="dxa"/>
        </w:tblCellMar>
        <w:tblLook w:val="0000" w:firstRow="0" w:lastRow="0" w:firstColumn="0" w:lastColumn="0" w:noHBand="0" w:noVBand="0"/>
      </w:tblPr>
      <w:tblGrid>
        <w:gridCol w:w="4102"/>
        <w:gridCol w:w="4108"/>
      </w:tblGrid>
      <w:tr w:rsidR="005B1BB2" w14:paraId="0D5B8F54" w14:textId="77777777">
        <w:tblPrEx>
          <w:tblCellMar>
            <w:top w:w="0" w:type="dxa"/>
            <w:bottom w:w="0" w:type="dxa"/>
          </w:tblCellMar>
        </w:tblPrEx>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DED5" w14:textId="77777777" w:rsidR="005B1BB2" w:rsidRDefault="00000000">
            <w:pPr>
              <w:pStyle w:val="ROMANOS"/>
              <w:spacing w:after="0" w:line="240" w:lineRule="exact"/>
              <w:ind w:left="0" w:firstLine="0"/>
              <w:textAlignment w:val="auto"/>
              <w:rPr>
                <w:rFonts w:ascii="Calibri" w:hAnsi="Calibri" w:cs="DIN Pro Regular"/>
                <w:b/>
                <w:sz w:val="20"/>
                <w:szCs w:val="20"/>
                <w:lang w:val="es-MX"/>
              </w:rPr>
            </w:pPr>
            <w:r>
              <w:rPr>
                <w:rFonts w:ascii="Calibri" w:hAnsi="Calibri" w:cs="DIN Pro Regular"/>
                <w:b/>
                <w:sz w:val="20"/>
                <w:szCs w:val="20"/>
                <w:lang w:val="es-MX"/>
              </w:rPr>
              <w:t>Servicios Personales</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B6E83" w14:textId="77777777" w:rsidR="005B1BB2" w:rsidRDefault="00000000">
            <w:pPr>
              <w:pStyle w:val="ROMANOS"/>
              <w:spacing w:after="0" w:line="240" w:lineRule="exact"/>
              <w:ind w:left="0" w:firstLine="0"/>
              <w:jc w:val="right"/>
              <w:textAlignment w:val="auto"/>
              <w:rPr>
                <w:rFonts w:ascii="Calibri" w:hAnsi="Calibri" w:cs="DIN Pro Regular"/>
                <w:b/>
                <w:sz w:val="20"/>
                <w:szCs w:val="20"/>
                <w:lang w:val="es-MX"/>
              </w:rPr>
            </w:pPr>
            <w:r>
              <w:rPr>
                <w:rFonts w:ascii="Calibri" w:hAnsi="Calibri" w:cs="DIN Pro Regular"/>
                <w:b/>
                <w:sz w:val="20"/>
                <w:szCs w:val="20"/>
                <w:lang w:val="es-MX"/>
              </w:rPr>
              <w:t>$67,051,068.00</w:t>
            </w:r>
          </w:p>
        </w:tc>
      </w:tr>
      <w:tr w:rsidR="005B1BB2" w14:paraId="2FBC376F" w14:textId="77777777">
        <w:tblPrEx>
          <w:tblCellMar>
            <w:top w:w="0" w:type="dxa"/>
            <w:bottom w:w="0" w:type="dxa"/>
          </w:tblCellMar>
        </w:tblPrEx>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6472F" w14:textId="77777777" w:rsidR="005B1BB2" w:rsidRDefault="00000000">
            <w:pPr>
              <w:pStyle w:val="ROMANOS"/>
              <w:spacing w:after="0" w:line="240" w:lineRule="exact"/>
              <w:ind w:left="0" w:firstLine="0"/>
              <w:textAlignment w:val="auto"/>
              <w:rPr>
                <w:rFonts w:ascii="Calibri" w:hAnsi="Calibri" w:cs="DIN Pro Regular"/>
                <w:b/>
                <w:sz w:val="20"/>
                <w:szCs w:val="20"/>
                <w:lang w:val="es-MX"/>
              </w:rPr>
            </w:pPr>
            <w:r>
              <w:rPr>
                <w:rFonts w:ascii="Calibri" w:hAnsi="Calibri" w:cs="DIN Pro Regular"/>
                <w:b/>
                <w:sz w:val="20"/>
                <w:szCs w:val="20"/>
                <w:lang w:val="es-MX"/>
              </w:rPr>
              <w:t>Materiales y Suministros</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59C5B" w14:textId="77777777" w:rsidR="005B1BB2" w:rsidRDefault="00000000">
            <w:pPr>
              <w:pStyle w:val="ROMANOS"/>
              <w:spacing w:after="0" w:line="240" w:lineRule="exact"/>
              <w:ind w:left="0" w:firstLine="0"/>
              <w:jc w:val="right"/>
              <w:textAlignment w:val="auto"/>
              <w:rPr>
                <w:rFonts w:ascii="Calibri" w:hAnsi="Calibri" w:cs="DIN Pro Regular"/>
                <w:b/>
                <w:sz w:val="20"/>
                <w:szCs w:val="20"/>
                <w:lang w:val="es-MX"/>
              </w:rPr>
            </w:pPr>
            <w:r>
              <w:rPr>
                <w:rFonts w:ascii="Calibri" w:hAnsi="Calibri" w:cs="DIN Pro Regular"/>
                <w:b/>
                <w:sz w:val="20"/>
                <w:szCs w:val="20"/>
                <w:lang w:val="es-MX"/>
              </w:rPr>
              <w:t>$5,681,236.00</w:t>
            </w:r>
          </w:p>
        </w:tc>
      </w:tr>
      <w:tr w:rsidR="005B1BB2" w14:paraId="307AE952" w14:textId="77777777">
        <w:tblPrEx>
          <w:tblCellMar>
            <w:top w:w="0" w:type="dxa"/>
            <w:bottom w:w="0" w:type="dxa"/>
          </w:tblCellMar>
        </w:tblPrEx>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77836" w14:textId="77777777" w:rsidR="005B1BB2" w:rsidRDefault="00000000">
            <w:pPr>
              <w:pStyle w:val="ROMANOS"/>
              <w:spacing w:after="0" w:line="240" w:lineRule="exact"/>
              <w:ind w:left="0" w:firstLine="0"/>
              <w:textAlignment w:val="auto"/>
              <w:rPr>
                <w:rFonts w:ascii="Calibri" w:hAnsi="Calibri" w:cs="DIN Pro Regular"/>
                <w:b/>
                <w:sz w:val="20"/>
                <w:szCs w:val="20"/>
                <w:lang w:val="es-MX"/>
              </w:rPr>
            </w:pPr>
            <w:r>
              <w:rPr>
                <w:rFonts w:ascii="Calibri" w:hAnsi="Calibri" w:cs="DIN Pro Regular"/>
                <w:b/>
                <w:sz w:val="20"/>
                <w:szCs w:val="20"/>
                <w:lang w:val="es-MX"/>
              </w:rPr>
              <w:t>Servicios Generales</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B961E" w14:textId="77777777" w:rsidR="005B1BB2" w:rsidRDefault="00000000">
            <w:pPr>
              <w:pStyle w:val="ROMANOS"/>
              <w:spacing w:after="0" w:line="240" w:lineRule="exact"/>
              <w:ind w:left="0" w:firstLine="0"/>
              <w:jc w:val="right"/>
              <w:textAlignment w:val="auto"/>
              <w:rPr>
                <w:rFonts w:ascii="Calibri" w:hAnsi="Calibri" w:cs="DIN Pro Regular"/>
                <w:b/>
                <w:sz w:val="20"/>
                <w:szCs w:val="20"/>
                <w:lang w:val="es-MX"/>
              </w:rPr>
            </w:pPr>
            <w:r>
              <w:rPr>
                <w:rFonts w:ascii="Calibri" w:hAnsi="Calibri" w:cs="DIN Pro Regular"/>
                <w:b/>
                <w:sz w:val="20"/>
                <w:szCs w:val="20"/>
                <w:lang w:val="es-MX"/>
              </w:rPr>
              <w:t>$24,711,716.00</w:t>
            </w:r>
          </w:p>
        </w:tc>
      </w:tr>
      <w:tr w:rsidR="005B1BB2" w14:paraId="4C0BC7A7" w14:textId="77777777">
        <w:tblPrEx>
          <w:tblCellMar>
            <w:top w:w="0" w:type="dxa"/>
            <w:bottom w:w="0" w:type="dxa"/>
          </w:tblCellMar>
        </w:tblPrEx>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5C242" w14:textId="77777777" w:rsidR="005B1BB2" w:rsidRDefault="00000000">
            <w:pPr>
              <w:pStyle w:val="ROMANOS"/>
              <w:spacing w:after="0" w:line="240" w:lineRule="exact"/>
              <w:ind w:left="0" w:firstLine="0"/>
              <w:textAlignment w:val="auto"/>
              <w:rPr>
                <w:rFonts w:ascii="Calibri" w:hAnsi="Calibri" w:cs="DIN Pro Regular"/>
                <w:b/>
                <w:sz w:val="20"/>
                <w:szCs w:val="20"/>
                <w:lang w:val="es-MX"/>
              </w:rPr>
            </w:pPr>
            <w:proofErr w:type="gramStart"/>
            <w:r>
              <w:rPr>
                <w:rFonts w:ascii="Calibri" w:hAnsi="Calibri" w:cs="DIN Pro Regular"/>
                <w:b/>
                <w:sz w:val="20"/>
                <w:szCs w:val="20"/>
                <w:lang w:val="es-MX"/>
              </w:rPr>
              <w:t>Total</w:t>
            </w:r>
            <w:proofErr w:type="gramEnd"/>
            <w:r>
              <w:rPr>
                <w:rFonts w:ascii="Calibri" w:hAnsi="Calibri" w:cs="DIN Pro Regular"/>
                <w:b/>
                <w:sz w:val="20"/>
                <w:szCs w:val="20"/>
                <w:lang w:val="es-MX"/>
              </w:rPr>
              <w:t xml:space="preserve"> de Gastos y Otras Perdidas</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4527" w14:textId="77777777" w:rsidR="005B1BB2" w:rsidRDefault="00000000">
            <w:pPr>
              <w:pStyle w:val="ROMANOS"/>
              <w:spacing w:after="0" w:line="240" w:lineRule="exact"/>
              <w:ind w:left="0" w:firstLine="0"/>
              <w:jc w:val="right"/>
              <w:textAlignment w:val="auto"/>
              <w:rPr>
                <w:rFonts w:ascii="Calibri" w:hAnsi="Calibri" w:cs="DIN Pro Regular"/>
                <w:b/>
                <w:sz w:val="20"/>
                <w:szCs w:val="20"/>
                <w:lang w:val="es-MX"/>
              </w:rPr>
            </w:pPr>
            <w:r>
              <w:rPr>
                <w:rFonts w:ascii="Calibri" w:hAnsi="Calibri" w:cs="DIN Pro Regular"/>
                <w:b/>
                <w:sz w:val="20"/>
                <w:szCs w:val="20"/>
                <w:lang w:val="es-MX"/>
              </w:rPr>
              <w:t>97,444,021.00</w:t>
            </w:r>
          </w:p>
        </w:tc>
      </w:tr>
    </w:tbl>
    <w:p w14:paraId="7AF72D60" w14:textId="77777777" w:rsidR="005B1BB2" w:rsidRDefault="00000000">
      <w:pPr>
        <w:pStyle w:val="ROMANOS"/>
        <w:spacing w:after="0" w:line="240" w:lineRule="exact"/>
        <w:ind w:left="1140"/>
      </w:pPr>
      <w:r>
        <w:rPr>
          <w:rFonts w:ascii="Calibri" w:hAnsi="Calibri" w:cs="DIN Pro Regular"/>
          <w:sz w:val="20"/>
          <w:szCs w:val="20"/>
          <w:lang w:val="es-MX"/>
        </w:rPr>
        <w:t xml:space="preserve">        Durante el ejercicio 2024 se hicieron ampliaciones a las cuentas del capítulo 1000 por $818,430.36 $1,081000.00 en cuentas del Capítulo 2000, $6,428,545.73 en cuentas del Capítulo 3000, también se hizo una ampliación en la cuenta del capítulo 5000 por 924,500.00   </w:t>
      </w:r>
    </w:p>
    <w:p w14:paraId="7794C8AA" w14:textId="77777777" w:rsidR="005B1BB2" w:rsidRDefault="005B1BB2">
      <w:pPr>
        <w:pStyle w:val="ROMANOS"/>
        <w:spacing w:after="0" w:line="240" w:lineRule="exact"/>
        <w:ind w:left="1140"/>
      </w:pPr>
    </w:p>
    <w:p w14:paraId="21E3074A" w14:textId="77777777" w:rsidR="005B1BB2" w:rsidRDefault="005B1BB2">
      <w:pPr>
        <w:pStyle w:val="ROMANOS"/>
        <w:spacing w:after="0" w:line="240" w:lineRule="exact"/>
        <w:ind w:left="1140"/>
      </w:pPr>
    </w:p>
    <w:p w14:paraId="1D9B5A28" w14:textId="77777777" w:rsidR="005B1BB2" w:rsidRDefault="005B1BB2">
      <w:pPr>
        <w:pStyle w:val="ROMANOS"/>
        <w:spacing w:after="0" w:line="240" w:lineRule="exact"/>
        <w:ind w:left="1140"/>
      </w:pPr>
    </w:p>
    <w:p w14:paraId="6BDE73D1" w14:textId="77777777" w:rsidR="005B1BB2" w:rsidRDefault="005B1BB2">
      <w:pPr>
        <w:pStyle w:val="ROMANOS"/>
        <w:spacing w:after="0" w:line="240" w:lineRule="exact"/>
        <w:ind w:left="1140"/>
      </w:pPr>
    </w:p>
    <w:p w14:paraId="500DF71C" w14:textId="77777777" w:rsidR="005B1BB2" w:rsidRDefault="005B1BB2">
      <w:pPr>
        <w:pStyle w:val="ROMANOS"/>
        <w:spacing w:after="0" w:line="240" w:lineRule="exact"/>
        <w:ind w:left="1140"/>
      </w:pPr>
    </w:p>
    <w:p w14:paraId="42CDD373" w14:textId="77777777" w:rsidR="005B1BB2" w:rsidRDefault="005B1BB2">
      <w:pPr>
        <w:pStyle w:val="ROMANOS"/>
        <w:spacing w:after="0" w:line="240" w:lineRule="exact"/>
        <w:ind w:left="1140"/>
      </w:pPr>
    </w:p>
    <w:p w14:paraId="6D35BA4B" w14:textId="77777777" w:rsidR="005B1BB2" w:rsidRDefault="005B1BB2">
      <w:pPr>
        <w:pStyle w:val="ROMANOS"/>
        <w:spacing w:after="0" w:line="240" w:lineRule="exact"/>
        <w:ind w:left="1140"/>
      </w:pPr>
    </w:p>
    <w:p w14:paraId="4138AF14" w14:textId="77777777" w:rsidR="005B1BB2" w:rsidRDefault="005B1BB2">
      <w:pPr>
        <w:pStyle w:val="ROMANOS"/>
        <w:spacing w:after="0" w:line="240" w:lineRule="exact"/>
        <w:ind w:left="1140"/>
      </w:pPr>
    </w:p>
    <w:p w14:paraId="3DE2BB6B" w14:textId="77777777" w:rsidR="00DA272A" w:rsidRDefault="00DA272A">
      <w:pPr>
        <w:pStyle w:val="ROMANOS"/>
        <w:spacing w:after="0" w:line="240" w:lineRule="exact"/>
        <w:ind w:left="1140"/>
      </w:pPr>
    </w:p>
    <w:p w14:paraId="3CCA95DC" w14:textId="77777777" w:rsidR="00DA272A" w:rsidRDefault="00DA272A">
      <w:pPr>
        <w:pStyle w:val="ROMANOS"/>
        <w:spacing w:after="0" w:line="240" w:lineRule="exact"/>
        <w:ind w:left="1140"/>
      </w:pPr>
    </w:p>
    <w:p w14:paraId="36A17865" w14:textId="77777777" w:rsidR="005B1BB2" w:rsidRDefault="005B1BB2">
      <w:pPr>
        <w:pStyle w:val="ROMANOS"/>
        <w:spacing w:after="0" w:line="240" w:lineRule="exact"/>
        <w:ind w:left="1140"/>
      </w:pPr>
    </w:p>
    <w:p w14:paraId="6B948445" w14:textId="77777777" w:rsidR="005B1BB2" w:rsidRDefault="005B1BB2">
      <w:pPr>
        <w:pStyle w:val="ROMANOS"/>
        <w:spacing w:after="0" w:line="240" w:lineRule="exact"/>
        <w:ind w:left="0" w:firstLine="0"/>
      </w:pPr>
    </w:p>
    <w:p w14:paraId="3BA33324" w14:textId="77777777" w:rsidR="005B1BB2" w:rsidRDefault="005B1BB2">
      <w:pPr>
        <w:pStyle w:val="ROMANOS"/>
        <w:spacing w:after="0" w:line="240" w:lineRule="exact"/>
        <w:ind w:left="1140"/>
        <w:rPr>
          <w:rFonts w:ascii="Calibri" w:hAnsi="Calibri" w:cs="DIN Pro Regular"/>
          <w:sz w:val="20"/>
          <w:szCs w:val="20"/>
          <w:lang w:val="es-MX"/>
        </w:rPr>
      </w:pPr>
    </w:p>
    <w:p w14:paraId="7EEDD174" w14:textId="77777777" w:rsidR="005B1BB2"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04894621" w14:textId="77777777" w:rsidR="005B1BB2" w:rsidRDefault="005B1BB2">
      <w:pPr>
        <w:pStyle w:val="INCISO"/>
        <w:spacing w:after="0" w:line="240" w:lineRule="exact"/>
        <w:ind w:left="360"/>
        <w:rPr>
          <w:rFonts w:ascii="Calibri" w:hAnsi="Calibri" w:cs="DIN Pro Regular"/>
          <w:b/>
          <w:smallCaps/>
          <w:sz w:val="20"/>
          <w:szCs w:val="20"/>
        </w:rPr>
      </w:pPr>
    </w:p>
    <w:p w14:paraId="2154248D" w14:textId="77777777" w:rsidR="005B1BB2" w:rsidRDefault="00000000">
      <w:pPr>
        <w:pStyle w:val="Text"/>
        <w:spacing w:after="80" w:line="203" w:lineRule="exact"/>
      </w:pPr>
      <w:r>
        <w:rPr>
          <w:rFonts w:ascii="Calibri" w:hAnsi="Calibri" w:cs="DIN Pro Regular"/>
          <w:b/>
          <w:sz w:val="20"/>
          <w:lang w:val="es-MX"/>
        </w:rPr>
        <w:t>Activo</w:t>
      </w:r>
    </w:p>
    <w:p w14:paraId="340AF06B" w14:textId="77777777" w:rsidR="005B1BB2"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 En esta cuenta se tiene un saldo de $ 47,126,241 de los cuales no existen fondos de afectación especifica.</w:t>
      </w:r>
    </w:p>
    <w:p w14:paraId="22B5FF61" w14:textId="77777777" w:rsidR="005B1BB2" w:rsidRDefault="005B1BB2">
      <w:pPr>
        <w:pStyle w:val="Text"/>
        <w:spacing w:after="80" w:line="203" w:lineRule="exact"/>
        <w:ind w:left="624" w:firstLine="0"/>
        <w:rPr>
          <w:rFonts w:ascii="Calibri" w:hAnsi="Calibri" w:cs="DIN Pro Regular"/>
          <w:b/>
          <w:sz w:val="20"/>
          <w:lang w:val="es-MX"/>
        </w:rPr>
      </w:pPr>
    </w:p>
    <w:tbl>
      <w:tblPr>
        <w:tblW w:w="8585" w:type="dxa"/>
        <w:tblInd w:w="624" w:type="dxa"/>
        <w:tblCellMar>
          <w:left w:w="10" w:type="dxa"/>
          <w:right w:w="10" w:type="dxa"/>
        </w:tblCellMar>
        <w:tblLook w:val="0000" w:firstRow="0" w:lastRow="0" w:firstColumn="0" w:lastColumn="0" w:noHBand="0" w:noVBand="0"/>
      </w:tblPr>
      <w:tblGrid>
        <w:gridCol w:w="4333"/>
        <w:gridCol w:w="4252"/>
      </w:tblGrid>
      <w:tr w:rsidR="005B1BB2" w14:paraId="6372F4D7" w14:textId="77777777">
        <w:tblPrEx>
          <w:tblCellMar>
            <w:top w:w="0" w:type="dxa"/>
            <w:bottom w:w="0" w:type="dxa"/>
          </w:tblCellMar>
        </w:tblPrEx>
        <w:tc>
          <w:tcPr>
            <w:tcW w:w="4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0328" w14:textId="77777777" w:rsidR="005B1BB2" w:rsidRDefault="00000000">
            <w:pPr>
              <w:pStyle w:val="Text"/>
              <w:spacing w:after="80" w:line="203" w:lineRule="exact"/>
              <w:ind w:firstLine="0"/>
              <w:rPr>
                <w:rFonts w:ascii="Calibri" w:hAnsi="Calibri" w:cs="DIN Pro Regular"/>
                <w:b/>
                <w:sz w:val="20"/>
                <w:lang w:val="es-MX"/>
              </w:rPr>
            </w:pPr>
            <w:r>
              <w:rPr>
                <w:rFonts w:ascii="Calibri" w:hAnsi="Calibri" w:cs="DIN Pro Regular"/>
                <w:b/>
                <w:sz w:val="20"/>
                <w:lang w:val="es-MX"/>
              </w:rPr>
              <w:t>Institución Bancaria</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E3FB" w14:textId="77777777" w:rsidR="005B1BB2" w:rsidRDefault="00000000">
            <w:pPr>
              <w:pStyle w:val="Text"/>
              <w:spacing w:after="80" w:line="203" w:lineRule="exact"/>
              <w:ind w:firstLine="0"/>
              <w:jc w:val="center"/>
              <w:rPr>
                <w:rFonts w:ascii="Calibri" w:hAnsi="Calibri" w:cs="DIN Pro Regular"/>
                <w:b/>
                <w:sz w:val="20"/>
                <w:lang w:val="es-MX"/>
              </w:rPr>
            </w:pPr>
            <w:r>
              <w:rPr>
                <w:rFonts w:ascii="Calibri" w:hAnsi="Calibri" w:cs="DIN Pro Regular"/>
                <w:b/>
                <w:sz w:val="20"/>
                <w:lang w:val="es-MX"/>
              </w:rPr>
              <w:t>Importe</w:t>
            </w:r>
          </w:p>
        </w:tc>
      </w:tr>
      <w:tr w:rsidR="005B1BB2" w14:paraId="3473142C" w14:textId="77777777">
        <w:tblPrEx>
          <w:tblCellMar>
            <w:top w:w="0" w:type="dxa"/>
            <w:bottom w:w="0" w:type="dxa"/>
          </w:tblCellMar>
        </w:tblPrEx>
        <w:tc>
          <w:tcPr>
            <w:tcW w:w="4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C215" w14:textId="77777777" w:rsidR="005B1BB2" w:rsidRDefault="00000000">
            <w:pPr>
              <w:pStyle w:val="Text"/>
              <w:spacing w:after="80" w:line="203" w:lineRule="exact"/>
              <w:ind w:firstLine="0"/>
              <w:rPr>
                <w:rFonts w:ascii="Calibri" w:hAnsi="Calibri" w:cs="DIN Pro Regular"/>
                <w:b/>
                <w:sz w:val="20"/>
                <w:lang w:val="es-MX"/>
              </w:rPr>
            </w:pPr>
            <w:r>
              <w:rPr>
                <w:rFonts w:ascii="Calibri" w:hAnsi="Calibri" w:cs="DIN Pro Regular"/>
                <w:b/>
                <w:sz w:val="20"/>
                <w:lang w:val="es-MX"/>
              </w:rPr>
              <w:t>HCBC 4041868860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D81A3" w14:textId="77777777" w:rsidR="005B1BB2" w:rsidRDefault="00000000">
            <w:pPr>
              <w:pStyle w:val="Text"/>
              <w:spacing w:after="80" w:line="203" w:lineRule="exact"/>
              <w:ind w:firstLine="0"/>
              <w:jc w:val="right"/>
              <w:rPr>
                <w:rFonts w:ascii="Calibri" w:hAnsi="Calibri" w:cs="DIN Pro Regular"/>
                <w:b/>
                <w:sz w:val="20"/>
                <w:lang w:val="es-MX"/>
              </w:rPr>
            </w:pPr>
            <w:r>
              <w:rPr>
                <w:rFonts w:ascii="Calibri" w:hAnsi="Calibri" w:cs="DIN Pro Regular"/>
                <w:b/>
                <w:sz w:val="20"/>
                <w:lang w:val="es-MX"/>
              </w:rPr>
              <w:t>$4,296.00</w:t>
            </w:r>
          </w:p>
        </w:tc>
      </w:tr>
      <w:tr w:rsidR="005B1BB2" w14:paraId="74EF74E2" w14:textId="77777777">
        <w:tblPrEx>
          <w:tblCellMar>
            <w:top w:w="0" w:type="dxa"/>
            <w:bottom w:w="0" w:type="dxa"/>
          </w:tblCellMar>
        </w:tblPrEx>
        <w:tc>
          <w:tcPr>
            <w:tcW w:w="4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9A2D" w14:textId="77777777" w:rsidR="005B1BB2" w:rsidRDefault="00000000">
            <w:pPr>
              <w:pStyle w:val="Text"/>
              <w:spacing w:after="80" w:line="203" w:lineRule="exact"/>
              <w:ind w:firstLine="0"/>
              <w:rPr>
                <w:rFonts w:ascii="Calibri" w:hAnsi="Calibri" w:cs="DIN Pro Regular"/>
                <w:b/>
                <w:sz w:val="20"/>
                <w:lang w:val="es-MX"/>
              </w:rPr>
            </w:pPr>
            <w:r>
              <w:rPr>
                <w:rFonts w:ascii="Calibri" w:hAnsi="Calibri" w:cs="DIN Pro Regular"/>
                <w:b/>
                <w:sz w:val="20"/>
                <w:lang w:val="es-MX"/>
              </w:rPr>
              <w:t>Santander Recurso Estatal</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C810B" w14:textId="77777777" w:rsidR="005B1BB2" w:rsidRDefault="00000000">
            <w:pPr>
              <w:pStyle w:val="Text"/>
              <w:spacing w:after="80" w:line="203" w:lineRule="exact"/>
              <w:ind w:firstLine="0"/>
              <w:jc w:val="right"/>
              <w:rPr>
                <w:rFonts w:ascii="Calibri" w:hAnsi="Calibri" w:cs="DIN Pro Regular"/>
                <w:b/>
                <w:sz w:val="20"/>
                <w:lang w:val="es-MX"/>
              </w:rPr>
            </w:pPr>
            <w:r>
              <w:rPr>
                <w:rFonts w:ascii="Calibri" w:hAnsi="Calibri" w:cs="DIN Pro Regular"/>
                <w:b/>
                <w:sz w:val="20"/>
                <w:lang w:val="es-MX"/>
              </w:rPr>
              <w:t>$25,399,715.00</w:t>
            </w:r>
          </w:p>
        </w:tc>
      </w:tr>
      <w:tr w:rsidR="005B1BB2" w14:paraId="4E76ACBD" w14:textId="77777777">
        <w:tblPrEx>
          <w:tblCellMar>
            <w:top w:w="0" w:type="dxa"/>
            <w:bottom w:w="0" w:type="dxa"/>
          </w:tblCellMar>
        </w:tblPrEx>
        <w:tc>
          <w:tcPr>
            <w:tcW w:w="4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405E7" w14:textId="77777777" w:rsidR="005B1BB2" w:rsidRDefault="00000000">
            <w:pPr>
              <w:pStyle w:val="Text"/>
              <w:spacing w:after="80" w:line="203" w:lineRule="exact"/>
              <w:ind w:firstLine="0"/>
              <w:rPr>
                <w:rFonts w:ascii="Calibri" w:hAnsi="Calibri" w:cs="DIN Pro Regular"/>
                <w:b/>
                <w:sz w:val="20"/>
                <w:lang w:val="es-MX"/>
              </w:rPr>
            </w:pPr>
            <w:r>
              <w:rPr>
                <w:rFonts w:ascii="Calibri" w:hAnsi="Calibri" w:cs="DIN Pro Regular"/>
                <w:b/>
                <w:sz w:val="20"/>
                <w:lang w:val="es-MX"/>
              </w:rPr>
              <w:t>Santander Recurso Federal</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35E1" w14:textId="77777777" w:rsidR="005B1BB2" w:rsidRDefault="00000000">
            <w:pPr>
              <w:pStyle w:val="Text"/>
              <w:spacing w:after="80" w:line="203" w:lineRule="exact"/>
              <w:ind w:firstLine="0"/>
              <w:jc w:val="right"/>
              <w:rPr>
                <w:rFonts w:ascii="Calibri" w:hAnsi="Calibri" w:cs="DIN Pro Regular"/>
                <w:b/>
                <w:sz w:val="20"/>
                <w:lang w:val="es-MX"/>
              </w:rPr>
            </w:pPr>
            <w:r>
              <w:rPr>
                <w:rFonts w:ascii="Calibri" w:hAnsi="Calibri" w:cs="DIN Pro Regular"/>
                <w:b/>
                <w:sz w:val="20"/>
                <w:lang w:val="es-MX"/>
              </w:rPr>
              <w:t>$2,182,916.00</w:t>
            </w:r>
          </w:p>
        </w:tc>
      </w:tr>
      <w:tr w:rsidR="005B1BB2" w14:paraId="3174C218" w14:textId="77777777">
        <w:tblPrEx>
          <w:tblCellMar>
            <w:top w:w="0" w:type="dxa"/>
            <w:bottom w:w="0" w:type="dxa"/>
          </w:tblCellMar>
        </w:tblPrEx>
        <w:tc>
          <w:tcPr>
            <w:tcW w:w="4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DAABF" w14:textId="77777777" w:rsidR="005B1BB2" w:rsidRDefault="00000000">
            <w:pPr>
              <w:pStyle w:val="Text"/>
              <w:spacing w:after="80" w:line="203" w:lineRule="exact"/>
              <w:ind w:firstLine="0"/>
              <w:rPr>
                <w:rFonts w:ascii="Calibri" w:hAnsi="Calibri" w:cs="DIN Pro Regular"/>
                <w:b/>
                <w:sz w:val="20"/>
                <w:lang w:val="es-MX"/>
              </w:rPr>
            </w:pPr>
            <w:r>
              <w:rPr>
                <w:rFonts w:ascii="Calibri" w:hAnsi="Calibri" w:cs="DIN Pro Regular"/>
                <w:b/>
                <w:sz w:val="20"/>
                <w:lang w:val="es-MX"/>
              </w:rPr>
              <w:t>Inversiones Temporales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C444B" w14:textId="77777777" w:rsidR="005B1BB2" w:rsidRDefault="00000000">
            <w:pPr>
              <w:pStyle w:val="Text"/>
              <w:spacing w:after="80" w:line="203" w:lineRule="exact"/>
              <w:ind w:firstLine="0"/>
              <w:jc w:val="right"/>
              <w:rPr>
                <w:rFonts w:ascii="Calibri" w:hAnsi="Calibri" w:cs="DIN Pro Regular"/>
                <w:b/>
                <w:sz w:val="20"/>
                <w:lang w:val="es-MX"/>
              </w:rPr>
            </w:pPr>
            <w:r>
              <w:rPr>
                <w:rFonts w:ascii="Calibri" w:hAnsi="Calibri" w:cs="DIN Pro Regular"/>
                <w:b/>
                <w:sz w:val="20"/>
                <w:lang w:val="es-MX"/>
              </w:rPr>
              <w:t>$19,539,314.00</w:t>
            </w:r>
          </w:p>
        </w:tc>
      </w:tr>
      <w:tr w:rsidR="005B1BB2" w14:paraId="6B7ACAB2" w14:textId="77777777">
        <w:tblPrEx>
          <w:tblCellMar>
            <w:top w:w="0" w:type="dxa"/>
            <w:bottom w:w="0" w:type="dxa"/>
          </w:tblCellMar>
        </w:tblPrEx>
        <w:tc>
          <w:tcPr>
            <w:tcW w:w="4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6EC2E" w14:textId="77777777" w:rsidR="005B1BB2" w:rsidRDefault="00000000">
            <w:pPr>
              <w:pStyle w:val="Text"/>
              <w:spacing w:after="80" w:line="203" w:lineRule="exact"/>
              <w:ind w:firstLine="0"/>
              <w:rPr>
                <w:rFonts w:ascii="Calibri" w:hAnsi="Calibri" w:cs="DIN Pro Regular"/>
                <w:b/>
                <w:sz w:val="20"/>
                <w:lang w:val="es-MX"/>
              </w:rPr>
            </w:pPr>
            <w:r>
              <w:rPr>
                <w:rFonts w:ascii="Calibri" w:hAnsi="Calibri" w:cs="DIN Pro Regular"/>
                <w:b/>
                <w:sz w:val="20"/>
                <w:lang w:val="es-MX"/>
              </w:rPr>
              <w:t>Total</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9C45" w14:textId="77777777" w:rsidR="005B1BB2" w:rsidRDefault="00000000">
            <w:pPr>
              <w:pStyle w:val="Text"/>
              <w:spacing w:after="80" w:line="203" w:lineRule="exact"/>
              <w:ind w:firstLine="0"/>
              <w:jc w:val="right"/>
              <w:rPr>
                <w:rFonts w:ascii="Calibri" w:hAnsi="Calibri" w:cs="DIN Pro Regular"/>
                <w:b/>
                <w:sz w:val="20"/>
                <w:lang w:val="es-MX"/>
              </w:rPr>
            </w:pPr>
            <w:r>
              <w:rPr>
                <w:rFonts w:ascii="Calibri" w:hAnsi="Calibri" w:cs="DIN Pro Regular"/>
                <w:b/>
                <w:sz w:val="20"/>
                <w:lang w:val="es-MX"/>
              </w:rPr>
              <w:t>$47,126,241.00</w:t>
            </w:r>
          </w:p>
        </w:tc>
      </w:tr>
    </w:tbl>
    <w:p w14:paraId="60BF0161" w14:textId="77777777" w:rsidR="005B1BB2" w:rsidRDefault="005B1BB2">
      <w:pPr>
        <w:pStyle w:val="Text"/>
        <w:spacing w:after="80" w:line="203" w:lineRule="exact"/>
        <w:ind w:firstLine="0"/>
        <w:rPr>
          <w:rFonts w:ascii="Calibri" w:hAnsi="Calibri" w:cs="DIN Pro Regular"/>
          <w:b/>
          <w:sz w:val="20"/>
          <w:lang w:val="es-MX"/>
        </w:rPr>
      </w:pPr>
    </w:p>
    <w:p w14:paraId="1AA4C3AD" w14:textId="77777777" w:rsidR="005B1BB2" w:rsidRDefault="005B1BB2">
      <w:pPr>
        <w:pStyle w:val="Text"/>
        <w:spacing w:after="80" w:line="203" w:lineRule="exact"/>
        <w:ind w:left="624" w:firstLine="0"/>
      </w:pPr>
    </w:p>
    <w:p w14:paraId="3DF38ABB" w14:textId="77777777" w:rsidR="005B1BB2"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431DFB54" w14:textId="77777777" w:rsidR="005B1BB2" w:rsidRDefault="005B1BB2">
      <w:pPr>
        <w:pStyle w:val="Text"/>
        <w:spacing w:after="80" w:line="203" w:lineRule="exact"/>
        <w:ind w:left="624" w:firstLine="0"/>
        <w:rPr>
          <w:rFonts w:ascii="Calibri" w:hAnsi="Calibri" w:cs="DIN Pro Regular"/>
          <w:b/>
          <w:sz w:val="20"/>
          <w:lang w:val="es-MX"/>
        </w:rPr>
      </w:pPr>
    </w:p>
    <w:tbl>
      <w:tblPr>
        <w:tblW w:w="8726" w:type="dxa"/>
        <w:tblInd w:w="624" w:type="dxa"/>
        <w:tblCellMar>
          <w:left w:w="10" w:type="dxa"/>
          <w:right w:w="10" w:type="dxa"/>
        </w:tblCellMar>
        <w:tblLook w:val="0000" w:firstRow="0" w:lastRow="0" w:firstColumn="0" w:lastColumn="0" w:noHBand="0" w:noVBand="0"/>
      </w:tblPr>
      <w:tblGrid>
        <w:gridCol w:w="4474"/>
        <w:gridCol w:w="4252"/>
      </w:tblGrid>
      <w:tr w:rsidR="005B1BB2" w14:paraId="39B5031B" w14:textId="77777777">
        <w:tblPrEx>
          <w:tblCellMar>
            <w:top w:w="0" w:type="dxa"/>
            <w:bottom w:w="0" w:type="dxa"/>
          </w:tblCellMar>
        </w:tblPrEx>
        <w:tc>
          <w:tcPr>
            <w:tcW w:w="4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A5B9" w14:textId="77777777" w:rsidR="005B1BB2" w:rsidRDefault="00000000">
            <w:pPr>
              <w:pStyle w:val="Texto"/>
              <w:spacing w:after="80" w:line="203" w:lineRule="exact"/>
              <w:ind w:firstLine="0"/>
              <w:rPr>
                <w:rFonts w:ascii="Calibri" w:hAnsi="Calibri" w:cs="DIN Pro Regular"/>
                <w:b/>
                <w:sz w:val="20"/>
                <w:lang w:val="es-MX"/>
              </w:rPr>
            </w:pPr>
            <w:r>
              <w:rPr>
                <w:rFonts w:ascii="Calibri" w:hAnsi="Calibri" w:cs="DIN Pro Regular"/>
                <w:b/>
                <w:sz w:val="20"/>
                <w:lang w:val="es-MX"/>
              </w:rPr>
              <w:t>En esta cuenta traemos los siguientes saldos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58CBD" w14:textId="77777777" w:rsidR="005B1BB2" w:rsidRDefault="005B1BB2">
            <w:pPr>
              <w:pStyle w:val="Texto"/>
              <w:spacing w:after="80" w:line="203" w:lineRule="exact"/>
              <w:ind w:firstLine="0"/>
              <w:rPr>
                <w:rFonts w:ascii="Calibri" w:hAnsi="Calibri" w:cs="DIN Pro Regular"/>
                <w:b/>
                <w:sz w:val="20"/>
                <w:lang w:val="es-MX"/>
              </w:rPr>
            </w:pPr>
          </w:p>
        </w:tc>
      </w:tr>
      <w:tr w:rsidR="005B1BB2" w14:paraId="7963D793" w14:textId="77777777">
        <w:tblPrEx>
          <w:tblCellMar>
            <w:top w:w="0" w:type="dxa"/>
            <w:bottom w:w="0" w:type="dxa"/>
          </w:tblCellMar>
        </w:tblPrEx>
        <w:tc>
          <w:tcPr>
            <w:tcW w:w="4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4F17B" w14:textId="77777777" w:rsidR="005B1BB2" w:rsidRDefault="00000000">
            <w:pPr>
              <w:pStyle w:val="Texto"/>
              <w:spacing w:after="80" w:line="203" w:lineRule="exact"/>
              <w:ind w:firstLine="0"/>
              <w:rPr>
                <w:rFonts w:ascii="Calibri" w:hAnsi="Calibri" w:cs="DIN Pro Regular"/>
                <w:b/>
                <w:sz w:val="20"/>
                <w:lang w:val="es-MX"/>
              </w:rPr>
            </w:pPr>
            <w:r>
              <w:rPr>
                <w:rFonts w:ascii="Calibri" w:hAnsi="Calibri" w:cs="DIN Pro Regular"/>
                <w:b/>
                <w:sz w:val="20"/>
                <w:lang w:val="es-MX"/>
              </w:rPr>
              <w:t>Cuentas por cobrar a corto plazo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F140" w14:textId="77777777" w:rsidR="005B1BB2" w:rsidRDefault="00000000">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$175,062.00</w:t>
            </w:r>
          </w:p>
        </w:tc>
      </w:tr>
      <w:tr w:rsidR="005B1BB2" w14:paraId="355F21D4" w14:textId="77777777">
        <w:tblPrEx>
          <w:tblCellMar>
            <w:top w:w="0" w:type="dxa"/>
            <w:bottom w:w="0" w:type="dxa"/>
          </w:tblCellMar>
        </w:tblPrEx>
        <w:tc>
          <w:tcPr>
            <w:tcW w:w="4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20C81" w14:textId="77777777" w:rsidR="005B1BB2" w:rsidRDefault="00000000">
            <w:pPr>
              <w:pStyle w:val="Texto"/>
              <w:spacing w:after="80" w:line="203" w:lineRule="exact"/>
              <w:ind w:firstLine="0"/>
              <w:rPr>
                <w:rFonts w:ascii="Calibri" w:hAnsi="Calibri" w:cs="DIN Pro Regular"/>
                <w:b/>
                <w:sz w:val="20"/>
                <w:lang w:val="es-MX"/>
              </w:rPr>
            </w:pPr>
            <w:r>
              <w:rPr>
                <w:rFonts w:ascii="Calibri" w:hAnsi="Calibri" w:cs="DIN Pro Regular"/>
                <w:b/>
                <w:sz w:val="20"/>
                <w:lang w:val="es-MX"/>
              </w:rPr>
              <w:t>Deudores Diversos por Cobrar a Corto Plazo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66C22" w14:textId="77777777" w:rsidR="005B1BB2" w:rsidRDefault="00000000">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$497,718.00</w:t>
            </w:r>
          </w:p>
        </w:tc>
      </w:tr>
      <w:tr w:rsidR="005B1BB2" w14:paraId="7B52B919" w14:textId="77777777">
        <w:tblPrEx>
          <w:tblCellMar>
            <w:top w:w="0" w:type="dxa"/>
            <w:bottom w:w="0" w:type="dxa"/>
          </w:tblCellMar>
        </w:tblPrEx>
        <w:tc>
          <w:tcPr>
            <w:tcW w:w="4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4D0" w14:textId="77777777" w:rsidR="005B1BB2" w:rsidRDefault="00000000">
            <w:pPr>
              <w:pStyle w:val="Texto"/>
              <w:spacing w:after="80" w:line="203" w:lineRule="exact"/>
              <w:ind w:firstLine="0"/>
              <w:rPr>
                <w:rFonts w:ascii="Calibri" w:hAnsi="Calibri" w:cs="DIN Pro Regular"/>
                <w:b/>
                <w:sz w:val="20"/>
                <w:lang w:val="es-MX"/>
              </w:rPr>
            </w:pPr>
            <w:proofErr w:type="gramStart"/>
            <w:r>
              <w:rPr>
                <w:rFonts w:ascii="Calibri" w:hAnsi="Calibri" w:cs="DIN Pro Regular"/>
                <w:b/>
                <w:sz w:val="20"/>
                <w:lang w:val="es-MX"/>
              </w:rPr>
              <w:t>Total</w:t>
            </w:r>
            <w:proofErr w:type="gramEnd"/>
            <w:r>
              <w:rPr>
                <w:rFonts w:ascii="Calibri" w:hAnsi="Calibri" w:cs="DIN Pro Regular"/>
                <w:b/>
                <w:sz w:val="20"/>
                <w:lang w:val="es-MX"/>
              </w:rPr>
              <w:t xml:space="preserve"> de Derechos a Recibir Efectivo y Equivalentes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BE63" w14:textId="77777777" w:rsidR="005B1BB2" w:rsidRDefault="00000000">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$672,780.00</w:t>
            </w:r>
          </w:p>
        </w:tc>
      </w:tr>
    </w:tbl>
    <w:p w14:paraId="2F93EBD2" w14:textId="77777777" w:rsidR="005B1BB2" w:rsidRDefault="005B1BB2">
      <w:pPr>
        <w:pStyle w:val="Text"/>
        <w:spacing w:after="80" w:line="203" w:lineRule="exact"/>
        <w:ind w:firstLine="0"/>
      </w:pPr>
    </w:p>
    <w:p w14:paraId="58CA94F4" w14:textId="77777777" w:rsidR="005B1BB2" w:rsidRDefault="00000000">
      <w:pPr>
        <w:pStyle w:val="Text"/>
        <w:spacing w:after="80" w:line="203" w:lineRule="exact"/>
        <w:ind w:left="624" w:firstLine="0"/>
      </w:pPr>
      <w:r>
        <w:rPr>
          <w:rFonts w:ascii="Calibri" w:hAnsi="Calibri" w:cs="DIN Pro Regular"/>
          <w:b/>
          <w:sz w:val="20"/>
          <w:lang w:val="es-MX"/>
        </w:rPr>
        <w:t xml:space="preserve">Inventarios. No Aplica </w:t>
      </w:r>
    </w:p>
    <w:p w14:paraId="6EC14149" w14:textId="77777777" w:rsidR="005B1BB2" w:rsidRDefault="00000000">
      <w:pPr>
        <w:pStyle w:val="Text"/>
        <w:spacing w:after="80" w:line="203" w:lineRule="exact"/>
        <w:ind w:left="624" w:firstLine="0"/>
      </w:pPr>
      <w:r>
        <w:rPr>
          <w:rFonts w:ascii="Calibri" w:hAnsi="Calibri" w:cs="DIN Pro Regular"/>
          <w:b/>
          <w:sz w:val="20"/>
          <w:lang w:val="es-MX"/>
        </w:rPr>
        <w:t xml:space="preserve">Almacenes. No Aplica </w:t>
      </w:r>
    </w:p>
    <w:p w14:paraId="06F275E6" w14:textId="77777777" w:rsidR="005B1BB2" w:rsidRDefault="00000000">
      <w:pPr>
        <w:pStyle w:val="Text"/>
        <w:spacing w:after="80" w:line="203" w:lineRule="exact"/>
        <w:ind w:left="624" w:firstLine="0"/>
      </w:pPr>
      <w:r>
        <w:rPr>
          <w:rFonts w:ascii="Calibri" w:hAnsi="Calibri" w:cs="DIN Pro Regular"/>
          <w:b/>
          <w:sz w:val="20"/>
          <w:lang w:val="es-MX"/>
        </w:rPr>
        <w:t>Inversiones Financieras. No Aplica</w:t>
      </w:r>
    </w:p>
    <w:p w14:paraId="1EA1AD15" w14:textId="77777777" w:rsidR="005B1BB2"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 En esta cuenta traemos un sado de $72,228,269.26 que componen el patrimonio de esta Institución y se componen de la siguiente manera</w:t>
      </w:r>
    </w:p>
    <w:tbl>
      <w:tblPr>
        <w:tblW w:w="8726" w:type="dxa"/>
        <w:tblInd w:w="624" w:type="dxa"/>
        <w:tblCellMar>
          <w:left w:w="10" w:type="dxa"/>
          <w:right w:w="10" w:type="dxa"/>
        </w:tblCellMar>
        <w:tblLook w:val="0000" w:firstRow="0" w:lastRow="0" w:firstColumn="0" w:lastColumn="0" w:noHBand="0" w:noVBand="0"/>
      </w:tblPr>
      <w:tblGrid>
        <w:gridCol w:w="4333"/>
        <w:gridCol w:w="4393"/>
      </w:tblGrid>
      <w:tr w:rsidR="005B1BB2" w14:paraId="16803A99" w14:textId="77777777">
        <w:tblPrEx>
          <w:tblCellMar>
            <w:top w:w="0" w:type="dxa"/>
            <w:bottom w:w="0" w:type="dxa"/>
          </w:tblCellMar>
        </w:tblPrEx>
        <w:tc>
          <w:tcPr>
            <w:tcW w:w="4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BEC5" w14:textId="77777777" w:rsidR="005B1BB2" w:rsidRDefault="00000000">
            <w:pPr>
              <w:pStyle w:val="Text"/>
              <w:spacing w:after="80" w:line="203" w:lineRule="exact"/>
              <w:ind w:firstLine="0"/>
              <w:rPr>
                <w:rFonts w:ascii="Calibri" w:hAnsi="Calibri" w:cs="DIN Pro Regular"/>
                <w:b/>
                <w:sz w:val="20"/>
                <w:lang w:val="es-MX"/>
              </w:rPr>
            </w:pPr>
            <w:proofErr w:type="spellStart"/>
            <w:r>
              <w:rPr>
                <w:rFonts w:ascii="Calibri" w:hAnsi="Calibri" w:cs="DIN Pro Regular"/>
                <w:b/>
                <w:sz w:val="20"/>
                <w:lang w:val="es-MX"/>
              </w:rPr>
              <w:t>Terenos</w:t>
            </w:r>
            <w:proofErr w:type="spellEnd"/>
            <w:r>
              <w:rPr>
                <w:rFonts w:ascii="Calibri" w:hAnsi="Calibri" w:cs="DIN Pro Regular"/>
                <w:b/>
                <w:sz w:val="20"/>
                <w:lang w:val="es-MX"/>
              </w:rPr>
              <w:t xml:space="preserve"> </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51A0" w14:textId="77777777" w:rsidR="005B1BB2" w:rsidRDefault="00000000">
            <w:pPr>
              <w:pStyle w:val="Text"/>
              <w:spacing w:after="80" w:line="203" w:lineRule="exact"/>
              <w:ind w:firstLine="0"/>
              <w:jc w:val="right"/>
              <w:rPr>
                <w:rFonts w:ascii="Calibri" w:hAnsi="Calibri" w:cs="DIN Pro Regular"/>
                <w:b/>
                <w:sz w:val="20"/>
                <w:lang w:val="es-MX"/>
              </w:rPr>
            </w:pPr>
            <w:r>
              <w:rPr>
                <w:rFonts w:ascii="Calibri" w:hAnsi="Calibri" w:cs="DIN Pro Regular"/>
                <w:b/>
                <w:sz w:val="20"/>
                <w:lang w:val="es-MX"/>
              </w:rPr>
              <w:t>$1,003,062.00</w:t>
            </w:r>
          </w:p>
        </w:tc>
      </w:tr>
      <w:tr w:rsidR="005B1BB2" w14:paraId="00ADD732" w14:textId="77777777">
        <w:tblPrEx>
          <w:tblCellMar>
            <w:top w:w="0" w:type="dxa"/>
            <w:bottom w:w="0" w:type="dxa"/>
          </w:tblCellMar>
        </w:tblPrEx>
        <w:tc>
          <w:tcPr>
            <w:tcW w:w="4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4C065" w14:textId="77777777" w:rsidR="005B1BB2" w:rsidRDefault="00000000">
            <w:pPr>
              <w:pStyle w:val="Text"/>
              <w:spacing w:after="80" w:line="203" w:lineRule="exact"/>
              <w:ind w:firstLine="0"/>
              <w:rPr>
                <w:rFonts w:ascii="Calibri" w:hAnsi="Calibri" w:cs="DIN Pro Regular"/>
                <w:b/>
                <w:sz w:val="20"/>
                <w:lang w:val="es-MX"/>
              </w:rPr>
            </w:pPr>
            <w:r>
              <w:rPr>
                <w:rFonts w:ascii="Calibri" w:hAnsi="Calibri" w:cs="DIN Pro Regular"/>
                <w:b/>
                <w:sz w:val="20"/>
                <w:lang w:val="es-MX"/>
              </w:rPr>
              <w:t>Edificios no Habitacionales</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5C119" w14:textId="77777777" w:rsidR="005B1BB2" w:rsidRDefault="00000000">
            <w:pPr>
              <w:pStyle w:val="Text"/>
              <w:spacing w:after="80" w:line="203" w:lineRule="exact"/>
              <w:ind w:firstLine="0"/>
              <w:jc w:val="right"/>
              <w:rPr>
                <w:rFonts w:ascii="Calibri" w:hAnsi="Calibri" w:cs="DIN Pro Regular"/>
                <w:b/>
                <w:sz w:val="20"/>
                <w:lang w:val="es-MX"/>
              </w:rPr>
            </w:pPr>
            <w:r>
              <w:rPr>
                <w:rFonts w:ascii="Calibri" w:hAnsi="Calibri" w:cs="DIN Pro Regular"/>
                <w:b/>
                <w:sz w:val="20"/>
                <w:lang w:val="es-MX"/>
              </w:rPr>
              <w:t>$71,218,595.00</w:t>
            </w:r>
          </w:p>
        </w:tc>
      </w:tr>
      <w:tr w:rsidR="005B1BB2" w14:paraId="49914EBD" w14:textId="77777777">
        <w:tblPrEx>
          <w:tblCellMar>
            <w:top w:w="0" w:type="dxa"/>
            <w:bottom w:w="0" w:type="dxa"/>
          </w:tblCellMar>
        </w:tblPrEx>
        <w:tc>
          <w:tcPr>
            <w:tcW w:w="4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536FD" w14:textId="77777777" w:rsidR="005B1BB2" w:rsidRDefault="00000000">
            <w:pPr>
              <w:pStyle w:val="Text"/>
              <w:spacing w:after="80" w:line="203" w:lineRule="exact"/>
              <w:ind w:firstLine="0"/>
              <w:rPr>
                <w:rFonts w:ascii="Calibri" w:hAnsi="Calibri" w:cs="DIN Pro Regular"/>
                <w:b/>
                <w:sz w:val="20"/>
                <w:lang w:val="es-MX"/>
              </w:rPr>
            </w:pPr>
            <w:r>
              <w:rPr>
                <w:rFonts w:ascii="Calibri" w:hAnsi="Calibri" w:cs="DIN Pro Regular"/>
                <w:b/>
                <w:sz w:val="20"/>
                <w:lang w:val="es-MX"/>
              </w:rPr>
              <w:t>Infraestructura</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46A1" w14:textId="77777777" w:rsidR="005B1BB2" w:rsidRDefault="00000000">
            <w:pPr>
              <w:pStyle w:val="Text"/>
              <w:spacing w:after="80" w:line="203" w:lineRule="exact"/>
              <w:ind w:firstLine="0"/>
              <w:jc w:val="right"/>
              <w:rPr>
                <w:rFonts w:ascii="Calibri" w:hAnsi="Calibri" w:cs="DIN Pro Regular"/>
                <w:b/>
                <w:sz w:val="20"/>
                <w:lang w:val="es-MX"/>
              </w:rPr>
            </w:pPr>
            <w:r>
              <w:rPr>
                <w:rFonts w:ascii="Calibri" w:hAnsi="Calibri" w:cs="DIN Pro Regular"/>
                <w:b/>
                <w:sz w:val="20"/>
                <w:lang w:val="es-MX"/>
              </w:rPr>
              <w:t>$6,612.00</w:t>
            </w:r>
          </w:p>
        </w:tc>
      </w:tr>
    </w:tbl>
    <w:p w14:paraId="66868C50" w14:textId="77777777" w:rsidR="005B1BB2" w:rsidRDefault="005B1BB2">
      <w:pPr>
        <w:pStyle w:val="Text"/>
        <w:spacing w:after="80" w:line="203" w:lineRule="exact"/>
        <w:ind w:left="624" w:firstLine="0"/>
        <w:rPr>
          <w:rFonts w:ascii="Calibri" w:hAnsi="Calibri" w:cs="DIN Pro Regular"/>
          <w:b/>
          <w:sz w:val="20"/>
          <w:lang w:val="es-MX"/>
        </w:rPr>
      </w:pPr>
    </w:p>
    <w:p w14:paraId="52C1C93B" w14:textId="77777777" w:rsidR="005B1BB2" w:rsidRDefault="005B1BB2">
      <w:pPr>
        <w:pStyle w:val="Text"/>
        <w:spacing w:after="80" w:line="203" w:lineRule="exact"/>
        <w:ind w:left="624" w:firstLine="0"/>
        <w:rPr>
          <w:rFonts w:ascii="Calibri" w:hAnsi="Calibri" w:cs="DIN Pro Regular"/>
          <w:b/>
          <w:sz w:val="20"/>
          <w:lang w:val="es-MX"/>
        </w:rPr>
      </w:pPr>
    </w:p>
    <w:p w14:paraId="6F51B30C" w14:textId="77777777" w:rsidR="005B1BB2" w:rsidRDefault="005B1BB2">
      <w:pPr>
        <w:pStyle w:val="Text"/>
        <w:spacing w:after="80" w:line="203" w:lineRule="exact"/>
        <w:ind w:firstLine="0"/>
        <w:rPr>
          <w:rFonts w:ascii="Calibri" w:hAnsi="Calibri" w:cs="DIN Pro Regular"/>
          <w:b/>
          <w:sz w:val="20"/>
          <w:lang w:val="es-MX"/>
        </w:rPr>
      </w:pPr>
    </w:p>
    <w:p w14:paraId="2C4ED2AA" w14:textId="77777777" w:rsidR="005B1BB2" w:rsidRDefault="005B1BB2">
      <w:pPr>
        <w:pStyle w:val="Text"/>
        <w:spacing w:after="80" w:line="203" w:lineRule="exact"/>
        <w:ind w:firstLine="0"/>
        <w:rPr>
          <w:rFonts w:ascii="Calibri" w:hAnsi="Calibri" w:cs="DIN Pro Regular"/>
          <w:b/>
          <w:sz w:val="20"/>
          <w:lang w:val="es-MX"/>
        </w:rPr>
      </w:pPr>
    </w:p>
    <w:p w14:paraId="66F48E9C" w14:textId="77777777" w:rsidR="005B1BB2" w:rsidRDefault="00000000">
      <w:pPr>
        <w:pStyle w:val="Text"/>
        <w:spacing w:after="80" w:line="203" w:lineRule="exact"/>
        <w:ind w:left="624" w:firstLine="0"/>
      </w:pPr>
      <w:r>
        <w:rPr>
          <w:rFonts w:ascii="Calibri" w:hAnsi="Calibri" w:cs="DIN Pro Regular"/>
          <w:b/>
          <w:sz w:val="20"/>
          <w:lang w:val="es-MX"/>
        </w:rPr>
        <w:t>Estimaciones y Deterioros. No Aplica</w:t>
      </w:r>
    </w:p>
    <w:p w14:paraId="4F0FE21E" w14:textId="77777777" w:rsidR="005B1BB2"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2F6284DF" w14:textId="77777777" w:rsidR="005B1BB2" w:rsidRDefault="00000000">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En la cuenta de Activos Intangibles tenemos un saldo de 519,718.29 y en el periodo no se adquirieron Activos de este tipo y se componen de la siguiente manera</w:t>
      </w:r>
    </w:p>
    <w:p w14:paraId="71902F08" w14:textId="77777777" w:rsidR="005B1BB2" w:rsidRDefault="005B1BB2">
      <w:pPr>
        <w:pStyle w:val="Texto"/>
        <w:spacing w:after="80" w:line="203" w:lineRule="exact"/>
        <w:ind w:left="624" w:firstLine="0"/>
        <w:rPr>
          <w:rFonts w:ascii="Calibri" w:hAnsi="Calibri" w:cs="DIN Pro Regular"/>
          <w:b/>
          <w:sz w:val="20"/>
          <w:lang w:val="es-MX"/>
        </w:rPr>
      </w:pPr>
    </w:p>
    <w:tbl>
      <w:tblPr>
        <w:tblW w:w="8726" w:type="dxa"/>
        <w:tblInd w:w="624" w:type="dxa"/>
        <w:tblCellMar>
          <w:left w:w="10" w:type="dxa"/>
          <w:right w:w="10" w:type="dxa"/>
        </w:tblCellMar>
        <w:tblLook w:val="0000" w:firstRow="0" w:lastRow="0" w:firstColumn="0" w:lastColumn="0" w:noHBand="0" w:noVBand="0"/>
      </w:tblPr>
      <w:tblGrid>
        <w:gridCol w:w="4349"/>
        <w:gridCol w:w="4377"/>
      </w:tblGrid>
      <w:tr w:rsidR="005B1BB2" w14:paraId="1E0C7D2B" w14:textId="77777777">
        <w:tblPrEx>
          <w:tblCellMar>
            <w:top w:w="0" w:type="dxa"/>
            <w:bottom w:w="0" w:type="dxa"/>
          </w:tblCellMar>
        </w:tblPrEx>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945CF" w14:textId="77777777" w:rsidR="005B1BB2" w:rsidRDefault="00000000">
            <w:pPr>
              <w:pStyle w:val="Texto"/>
              <w:spacing w:after="80" w:line="203" w:lineRule="exact"/>
              <w:ind w:firstLine="0"/>
              <w:rPr>
                <w:rFonts w:ascii="Calibri" w:hAnsi="Calibri" w:cs="DIN Pro Regular"/>
                <w:b/>
                <w:sz w:val="20"/>
                <w:lang w:val="es-MX"/>
              </w:rPr>
            </w:pPr>
            <w:proofErr w:type="spellStart"/>
            <w:r>
              <w:rPr>
                <w:rFonts w:ascii="Calibri" w:hAnsi="Calibri" w:cs="DIN Pro Regular"/>
                <w:b/>
                <w:sz w:val="20"/>
                <w:lang w:val="es-MX"/>
              </w:rPr>
              <w:t>Sofware</w:t>
            </w:r>
            <w:proofErr w:type="spellEnd"/>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F270" w14:textId="77777777" w:rsidR="005B1BB2" w:rsidRDefault="00000000">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$287,138.00</w:t>
            </w:r>
          </w:p>
        </w:tc>
      </w:tr>
      <w:tr w:rsidR="005B1BB2" w14:paraId="3D5E38AC" w14:textId="77777777">
        <w:tblPrEx>
          <w:tblCellMar>
            <w:top w:w="0" w:type="dxa"/>
            <w:bottom w:w="0" w:type="dxa"/>
          </w:tblCellMar>
        </w:tblPrEx>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AA33A" w14:textId="77777777" w:rsidR="005B1BB2" w:rsidRDefault="00000000">
            <w:pPr>
              <w:pStyle w:val="Texto"/>
              <w:spacing w:after="80" w:line="203" w:lineRule="exact"/>
              <w:ind w:firstLine="0"/>
              <w:rPr>
                <w:rFonts w:ascii="Calibri" w:hAnsi="Calibri" w:cs="DIN Pro Regular"/>
                <w:b/>
                <w:sz w:val="20"/>
                <w:lang w:val="es-MX"/>
              </w:rPr>
            </w:pPr>
            <w:r>
              <w:rPr>
                <w:rFonts w:ascii="Calibri" w:hAnsi="Calibri" w:cs="DIN Pro Regular"/>
                <w:b/>
                <w:sz w:val="20"/>
                <w:lang w:val="es-MX"/>
              </w:rPr>
              <w:t>Licencias</w:t>
            </w: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C248" w14:textId="77777777" w:rsidR="005B1BB2" w:rsidRDefault="00000000">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$232,580.00</w:t>
            </w:r>
          </w:p>
        </w:tc>
      </w:tr>
    </w:tbl>
    <w:p w14:paraId="62B0E344" w14:textId="77777777" w:rsidR="005B1BB2" w:rsidRDefault="005B1BB2">
      <w:pPr>
        <w:pStyle w:val="Text"/>
        <w:spacing w:after="80" w:line="203" w:lineRule="exact"/>
        <w:ind w:firstLine="0"/>
      </w:pPr>
    </w:p>
    <w:p w14:paraId="370B9E2A" w14:textId="77777777" w:rsidR="005B1BB2" w:rsidRDefault="005B1BB2">
      <w:pPr>
        <w:pStyle w:val="Text"/>
        <w:spacing w:after="80" w:line="203" w:lineRule="exact"/>
        <w:ind w:firstLine="0"/>
      </w:pPr>
    </w:p>
    <w:p w14:paraId="53BF91C4" w14:textId="77777777" w:rsidR="005B1BB2" w:rsidRDefault="005B1BB2">
      <w:pPr>
        <w:pStyle w:val="Text"/>
        <w:spacing w:after="80" w:line="203" w:lineRule="exact"/>
        <w:ind w:firstLine="0"/>
      </w:pPr>
    </w:p>
    <w:p w14:paraId="7747E43E" w14:textId="77777777" w:rsidR="005B1BB2" w:rsidRDefault="005B1BB2">
      <w:pPr>
        <w:pStyle w:val="Text"/>
        <w:spacing w:after="80" w:line="203" w:lineRule="exact"/>
        <w:ind w:firstLine="0"/>
      </w:pPr>
    </w:p>
    <w:p w14:paraId="1C0C08C6" w14:textId="77777777" w:rsidR="005B1BB2" w:rsidRDefault="005B1BB2">
      <w:pPr>
        <w:pStyle w:val="Text"/>
        <w:spacing w:after="80" w:line="203" w:lineRule="exact"/>
        <w:ind w:firstLine="0"/>
      </w:pPr>
    </w:p>
    <w:p w14:paraId="14B95D4A" w14:textId="77777777" w:rsidR="005B1BB2" w:rsidRDefault="00000000">
      <w:pPr>
        <w:pStyle w:val="ROMANOS"/>
        <w:spacing w:after="0" w:line="240" w:lineRule="exact"/>
        <w:ind w:left="432"/>
      </w:pPr>
      <w:r>
        <w:rPr>
          <w:rFonts w:ascii="Calibri" w:hAnsi="Calibri" w:cs="DIN Pro Regular"/>
          <w:b/>
          <w:sz w:val="20"/>
          <w:szCs w:val="20"/>
          <w:lang w:val="es-MX"/>
        </w:rPr>
        <w:t xml:space="preserve">      Pasivo</w:t>
      </w:r>
    </w:p>
    <w:p w14:paraId="263C8CB1" w14:textId="77777777" w:rsidR="005B1BB2" w:rsidRDefault="00000000">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7BEE2D9A" w14:textId="77777777" w:rsidR="005B1BB2" w:rsidRDefault="00000000">
      <w:pPr>
        <w:pStyle w:val="ROMANOS"/>
        <w:numPr>
          <w:ilvl w:val="0"/>
          <w:numId w:val="7"/>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7B585BD6" w14:textId="77777777" w:rsidR="005B1BB2" w:rsidRDefault="005B1BB2">
      <w:pPr>
        <w:pStyle w:val="ROMANOS"/>
        <w:spacing w:after="0" w:line="240" w:lineRule="exact"/>
      </w:pPr>
    </w:p>
    <w:tbl>
      <w:tblPr>
        <w:tblW w:w="8788" w:type="dxa"/>
        <w:tblInd w:w="562" w:type="dxa"/>
        <w:tblCellMar>
          <w:left w:w="10" w:type="dxa"/>
          <w:right w:w="10" w:type="dxa"/>
        </w:tblCellMar>
        <w:tblLook w:val="0000" w:firstRow="0" w:lastRow="0" w:firstColumn="0" w:lastColumn="0" w:noHBand="0" w:noVBand="0"/>
      </w:tblPr>
      <w:tblGrid>
        <w:gridCol w:w="4662"/>
        <w:gridCol w:w="4126"/>
      </w:tblGrid>
      <w:tr w:rsidR="005B1BB2" w14:paraId="18A58E60" w14:textId="77777777">
        <w:tblPrEx>
          <w:tblCellMar>
            <w:top w:w="0" w:type="dxa"/>
            <w:bottom w:w="0" w:type="dxa"/>
          </w:tblCellMar>
        </w:tblPrEx>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81A5B" w14:textId="77777777" w:rsidR="005B1BB2" w:rsidRDefault="00000000">
            <w:pPr>
              <w:pStyle w:val="ROMANOS"/>
              <w:spacing w:after="0" w:line="240" w:lineRule="exact"/>
              <w:ind w:left="0" w:firstLine="0"/>
              <w:textAlignment w:val="auto"/>
              <w:rPr>
                <w:rFonts w:ascii="Calibri" w:hAnsi="Calibri" w:cs="DIN Pro Regular"/>
                <w:b/>
                <w:sz w:val="20"/>
                <w:szCs w:val="20"/>
                <w:lang w:val="es-MX"/>
              </w:rPr>
            </w:pPr>
            <w:r>
              <w:rPr>
                <w:rFonts w:ascii="Calibri" w:hAnsi="Calibri" w:cs="DIN Pro Regular"/>
                <w:b/>
                <w:sz w:val="20"/>
                <w:szCs w:val="20"/>
                <w:lang w:val="es-MX"/>
              </w:rPr>
              <w:t>Servicios Personales por Pagar a Corto Plazo</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7C10B" w14:textId="77777777" w:rsidR="005B1BB2" w:rsidRDefault="00000000">
            <w:pPr>
              <w:pStyle w:val="ROMANOS"/>
              <w:spacing w:after="0" w:line="240" w:lineRule="exact"/>
              <w:ind w:left="0" w:firstLine="0"/>
              <w:jc w:val="right"/>
              <w:textAlignment w:val="auto"/>
              <w:rPr>
                <w:rFonts w:ascii="Calibri" w:hAnsi="Calibri" w:cs="DIN Pro Regular"/>
                <w:b/>
                <w:sz w:val="20"/>
                <w:szCs w:val="20"/>
                <w:lang w:val="es-MX"/>
              </w:rPr>
            </w:pPr>
            <w:r>
              <w:rPr>
                <w:rFonts w:ascii="Calibri" w:hAnsi="Calibri" w:cs="DIN Pro Regular"/>
                <w:b/>
                <w:sz w:val="20"/>
                <w:szCs w:val="20"/>
                <w:lang w:val="es-MX"/>
              </w:rPr>
              <w:t>$182,594.00</w:t>
            </w:r>
          </w:p>
        </w:tc>
      </w:tr>
      <w:tr w:rsidR="005B1BB2" w14:paraId="03CA04A6" w14:textId="77777777">
        <w:tblPrEx>
          <w:tblCellMar>
            <w:top w:w="0" w:type="dxa"/>
            <w:bottom w:w="0" w:type="dxa"/>
          </w:tblCellMar>
        </w:tblPrEx>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3C860" w14:textId="77777777" w:rsidR="005B1BB2" w:rsidRDefault="00000000">
            <w:pPr>
              <w:pStyle w:val="ROMANOS"/>
              <w:spacing w:after="0" w:line="240" w:lineRule="exact"/>
              <w:ind w:left="0" w:firstLine="0"/>
              <w:textAlignment w:val="auto"/>
              <w:rPr>
                <w:rFonts w:ascii="Calibri" w:hAnsi="Calibri" w:cs="DIN Pro Regular"/>
                <w:b/>
                <w:sz w:val="20"/>
                <w:szCs w:val="20"/>
                <w:lang w:val="es-MX"/>
              </w:rPr>
            </w:pPr>
            <w:r>
              <w:rPr>
                <w:rFonts w:ascii="Calibri" w:hAnsi="Calibri" w:cs="DIN Pro Regular"/>
                <w:b/>
                <w:sz w:val="20"/>
                <w:szCs w:val="20"/>
                <w:lang w:val="es-MX"/>
              </w:rPr>
              <w:t>Proveedores por Pagar a Corto Plazo</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ADA01" w14:textId="77777777" w:rsidR="005B1BB2" w:rsidRDefault="00000000">
            <w:pPr>
              <w:pStyle w:val="ROMANOS"/>
              <w:spacing w:after="0" w:line="240" w:lineRule="exact"/>
              <w:ind w:left="0" w:firstLine="0"/>
              <w:jc w:val="right"/>
              <w:textAlignment w:val="auto"/>
              <w:rPr>
                <w:rFonts w:ascii="Calibri" w:hAnsi="Calibri" w:cs="DIN Pro Regular"/>
                <w:b/>
                <w:sz w:val="20"/>
                <w:szCs w:val="20"/>
                <w:lang w:val="es-MX"/>
              </w:rPr>
            </w:pPr>
            <w:r>
              <w:rPr>
                <w:rFonts w:ascii="Calibri" w:hAnsi="Calibri" w:cs="DIN Pro Regular"/>
                <w:b/>
                <w:sz w:val="20"/>
                <w:szCs w:val="20"/>
                <w:lang w:val="es-MX"/>
              </w:rPr>
              <w:t>$7,986,479.00</w:t>
            </w:r>
          </w:p>
        </w:tc>
      </w:tr>
      <w:tr w:rsidR="005B1BB2" w14:paraId="5F6877C4" w14:textId="77777777">
        <w:tblPrEx>
          <w:tblCellMar>
            <w:top w:w="0" w:type="dxa"/>
            <w:bottom w:w="0" w:type="dxa"/>
          </w:tblCellMar>
        </w:tblPrEx>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1531" w14:textId="77777777" w:rsidR="005B1BB2" w:rsidRDefault="00000000">
            <w:pPr>
              <w:pStyle w:val="ROMANOS"/>
              <w:spacing w:after="0" w:line="240" w:lineRule="exact"/>
              <w:ind w:left="0" w:firstLine="0"/>
              <w:textAlignment w:val="auto"/>
              <w:rPr>
                <w:rFonts w:ascii="Calibri" w:hAnsi="Calibri" w:cs="DIN Pro Regular"/>
                <w:b/>
                <w:sz w:val="20"/>
                <w:szCs w:val="20"/>
                <w:lang w:val="es-MX"/>
              </w:rPr>
            </w:pPr>
            <w:r>
              <w:rPr>
                <w:rFonts w:ascii="Calibri" w:hAnsi="Calibri" w:cs="DIN Pro Regular"/>
                <w:b/>
                <w:sz w:val="20"/>
                <w:szCs w:val="20"/>
                <w:lang w:val="es-MX"/>
              </w:rPr>
              <w:t xml:space="preserve">Retenciones y Contribuciones </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F52D" w14:textId="77777777" w:rsidR="005B1BB2" w:rsidRDefault="00000000">
            <w:pPr>
              <w:pStyle w:val="ROMANOS"/>
              <w:spacing w:after="0" w:line="240" w:lineRule="exact"/>
              <w:ind w:left="0" w:firstLine="0"/>
              <w:jc w:val="right"/>
              <w:textAlignment w:val="auto"/>
              <w:rPr>
                <w:rFonts w:ascii="Calibri" w:hAnsi="Calibri" w:cs="DIN Pro Regular"/>
                <w:b/>
                <w:sz w:val="20"/>
                <w:szCs w:val="20"/>
                <w:lang w:val="es-MX"/>
              </w:rPr>
            </w:pPr>
            <w:r>
              <w:rPr>
                <w:rFonts w:ascii="Calibri" w:hAnsi="Calibri" w:cs="DIN Pro Regular"/>
                <w:b/>
                <w:sz w:val="20"/>
                <w:szCs w:val="20"/>
                <w:lang w:val="es-MX"/>
              </w:rPr>
              <w:t>$1,577,635.00</w:t>
            </w:r>
          </w:p>
        </w:tc>
      </w:tr>
      <w:tr w:rsidR="005B1BB2" w14:paraId="2E81FF1B" w14:textId="77777777">
        <w:tblPrEx>
          <w:tblCellMar>
            <w:top w:w="0" w:type="dxa"/>
            <w:bottom w:w="0" w:type="dxa"/>
          </w:tblCellMar>
        </w:tblPrEx>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91CA" w14:textId="77777777" w:rsidR="005B1BB2" w:rsidRDefault="00000000">
            <w:pPr>
              <w:pStyle w:val="ROMANOS"/>
              <w:spacing w:after="0" w:line="240" w:lineRule="exact"/>
              <w:ind w:left="0" w:firstLine="0"/>
              <w:textAlignment w:val="auto"/>
              <w:rPr>
                <w:rFonts w:ascii="Calibri" w:hAnsi="Calibri" w:cs="DIN Pro Regular"/>
                <w:b/>
                <w:sz w:val="20"/>
                <w:szCs w:val="20"/>
                <w:lang w:val="es-MX"/>
              </w:rPr>
            </w:pPr>
            <w:proofErr w:type="gramStart"/>
            <w:r>
              <w:rPr>
                <w:rFonts w:ascii="Calibri" w:hAnsi="Calibri" w:cs="DIN Pro Regular"/>
                <w:b/>
                <w:sz w:val="20"/>
                <w:szCs w:val="20"/>
                <w:lang w:val="es-MX"/>
              </w:rPr>
              <w:t>Total</w:t>
            </w:r>
            <w:proofErr w:type="gramEnd"/>
            <w:r>
              <w:rPr>
                <w:rFonts w:ascii="Calibri" w:hAnsi="Calibri" w:cs="DIN Pro Regular"/>
                <w:b/>
                <w:sz w:val="20"/>
                <w:szCs w:val="20"/>
                <w:lang w:val="es-MX"/>
              </w:rPr>
              <w:t xml:space="preserve"> del Pasivo</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0C854" w14:textId="77777777" w:rsidR="005B1BB2" w:rsidRDefault="00000000">
            <w:pPr>
              <w:pStyle w:val="ROMANOS"/>
              <w:spacing w:after="0" w:line="240" w:lineRule="exact"/>
              <w:ind w:left="0" w:firstLine="0"/>
              <w:jc w:val="right"/>
              <w:textAlignment w:val="auto"/>
              <w:rPr>
                <w:rFonts w:ascii="Calibri" w:hAnsi="Calibri" w:cs="DIN Pro Regular"/>
                <w:b/>
                <w:sz w:val="20"/>
                <w:szCs w:val="20"/>
                <w:lang w:val="es-MX"/>
              </w:rPr>
            </w:pPr>
            <w:r>
              <w:rPr>
                <w:rFonts w:ascii="Calibri" w:hAnsi="Calibri" w:cs="DIN Pro Regular"/>
                <w:b/>
                <w:sz w:val="20"/>
                <w:szCs w:val="20"/>
                <w:lang w:val="es-MX"/>
              </w:rPr>
              <w:t>$9,746,708.00</w:t>
            </w:r>
          </w:p>
        </w:tc>
      </w:tr>
    </w:tbl>
    <w:p w14:paraId="4C247850" w14:textId="77777777" w:rsidR="005B1BB2" w:rsidRDefault="005B1BB2">
      <w:pPr>
        <w:pStyle w:val="ROMANOS"/>
        <w:spacing w:after="0" w:line="240" w:lineRule="exact"/>
        <w:ind w:left="0" w:firstLine="0"/>
      </w:pPr>
    </w:p>
    <w:p w14:paraId="2E28762C" w14:textId="77777777" w:rsidR="005B1BB2" w:rsidRDefault="00000000">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 No Aplica</w:t>
      </w:r>
    </w:p>
    <w:p w14:paraId="614A390B" w14:textId="77777777" w:rsidR="005B1BB2" w:rsidRDefault="00000000">
      <w:pPr>
        <w:pStyle w:val="ROMANOS"/>
        <w:numPr>
          <w:ilvl w:val="0"/>
          <w:numId w:val="2"/>
        </w:numPr>
        <w:spacing w:after="0" w:line="240" w:lineRule="exact"/>
      </w:pPr>
      <w:r>
        <w:rPr>
          <w:rFonts w:ascii="Calibri" w:hAnsi="Calibri" w:cs="DIN Pro Regular"/>
          <w:b/>
          <w:bCs/>
          <w:sz w:val="20"/>
          <w:szCs w:val="20"/>
          <w:lang w:val="es-MX"/>
        </w:rPr>
        <w:t>Pasivos Diferidos. No Aplica</w:t>
      </w:r>
    </w:p>
    <w:p w14:paraId="777B4AA3" w14:textId="77777777" w:rsidR="005B1BB2" w:rsidRDefault="00000000">
      <w:pPr>
        <w:pStyle w:val="ROMANOS"/>
        <w:numPr>
          <w:ilvl w:val="0"/>
          <w:numId w:val="2"/>
        </w:numPr>
        <w:spacing w:after="0" w:line="240" w:lineRule="exact"/>
      </w:pPr>
      <w:r>
        <w:rPr>
          <w:rFonts w:ascii="Calibri" w:hAnsi="Calibri" w:cs="DIN Pro Regular"/>
          <w:b/>
          <w:bCs/>
          <w:sz w:val="20"/>
          <w:szCs w:val="20"/>
          <w:lang w:val="es-MX"/>
        </w:rPr>
        <w:t xml:space="preserve">Provisiones. Durante el ejercicio 2024 se provisiono la cantidad de$ 1,110,225.00 en gastos los cuales serán cubiertos en el ejercicio 2025 </w:t>
      </w:r>
    </w:p>
    <w:p w14:paraId="4FEB41C8" w14:textId="77777777" w:rsidR="005B1BB2" w:rsidRDefault="005B1BB2">
      <w:pPr>
        <w:pStyle w:val="ROMANOS"/>
        <w:spacing w:after="0" w:line="240" w:lineRule="exact"/>
        <w:ind w:left="288" w:firstLine="0"/>
      </w:pPr>
    </w:p>
    <w:p w14:paraId="0F476529" w14:textId="77777777" w:rsidR="005B1BB2" w:rsidRDefault="00000000">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 No Aplica</w:t>
      </w:r>
    </w:p>
    <w:p w14:paraId="41007EA8" w14:textId="77777777" w:rsidR="005B1BB2" w:rsidRDefault="005B1BB2">
      <w:pPr>
        <w:pStyle w:val="ROMANOS"/>
        <w:spacing w:after="0" w:line="240" w:lineRule="exact"/>
        <w:ind w:left="0" w:firstLine="0"/>
        <w:rPr>
          <w:rFonts w:ascii="Calibri" w:hAnsi="Calibri" w:cs="DIN Pro Regular"/>
          <w:sz w:val="20"/>
          <w:szCs w:val="20"/>
          <w:lang w:val="es-MX"/>
        </w:rPr>
      </w:pPr>
    </w:p>
    <w:p w14:paraId="4B07C5AD" w14:textId="77777777" w:rsidR="005B1BB2" w:rsidRDefault="005B1BB2">
      <w:pPr>
        <w:pStyle w:val="ROMANOS"/>
        <w:spacing w:after="0" w:line="240" w:lineRule="exact"/>
        <w:ind w:left="0" w:firstLine="0"/>
        <w:rPr>
          <w:rFonts w:ascii="Calibri" w:hAnsi="Calibri" w:cs="DIN Pro Regular"/>
          <w:sz w:val="20"/>
          <w:szCs w:val="20"/>
          <w:lang w:val="es-MX"/>
        </w:rPr>
      </w:pPr>
    </w:p>
    <w:p w14:paraId="0437651A" w14:textId="77777777" w:rsidR="005B1BB2" w:rsidRDefault="00000000">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5C2E5575" w14:textId="77777777" w:rsidR="005B1BB2" w:rsidRDefault="005B1BB2">
      <w:pPr>
        <w:pStyle w:val="INCISO"/>
        <w:spacing w:after="0" w:line="240" w:lineRule="exact"/>
        <w:ind w:left="360"/>
        <w:rPr>
          <w:rFonts w:ascii="Calibri" w:hAnsi="Calibri" w:cs="DIN Pro Regular"/>
          <w:b/>
          <w:smallCaps/>
          <w:sz w:val="20"/>
          <w:szCs w:val="20"/>
        </w:rPr>
      </w:pPr>
    </w:p>
    <w:p w14:paraId="7891607D" w14:textId="77777777" w:rsidR="005B1BB2" w:rsidRDefault="00000000">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Durante el ejercicio 2024 La Hacienda Pública/Patrimonio Contribuido no sufrió alguna modificación quedando un monto de $113,234,092, en Hacienda Publica Patrimonio Generado se generó una variación de $1,170,841 derivado de la diferencia entre Resultados de Ejercicios Anteriores entre el 2023 y 2024, Durante el ejercicio 2024 se generó un ahorro de $14,721,455</w:t>
      </w:r>
    </w:p>
    <w:p w14:paraId="7C2F8654" w14:textId="77777777" w:rsidR="005B1BB2"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46414C83" w14:textId="77777777" w:rsidR="005B1BB2" w:rsidRDefault="00000000">
      <w:pPr>
        <w:pStyle w:val="ROMANOS"/>
        <w:spacing w:after="0" w:line="240" w:lineRule="exact"/>
        <w:ind w:left="1140"/>
      </w:pPr>
      <w:r>
        <w:rPr>
          <w:rFonts w:ascii="Calibri" w:hAnsi="Calibri" w:cs="DIN Pro Regular"/>
          <w:b/>
          <w:sz w:val="20"/>
          <w:szCs w:val="20"/>
          <w:lang w:val="es-MX"/>
        </w:rPr>
        <w:t>Efectivo y equivalentes</w:t>
      </w:r>
    </w:p>
    <w:p w14:paraId="52210B24" w14:textId="77777777" w:rsidR="005B1BB2" w:rsidRDefault="00000000">
      <w:pPr>
        <w:pStyle w:val="ROMANOS"/>
        <w:numPr>
          <w:ilvl w:val="0"/>
          <w:numId w:val="8"/>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58B53DD7" w14:textId="77777777" w:rsidR="005B1BB2" w:rsidRDefault="005B1BB2">
      <w:pPr>
        <w:pStyle w:val="ROMANOS"/>
        <w:spacing w:after="0" w:line="240" w:lineRule="exact"/>
        <w:ind w:left="1140"/>
        <w:rPr>
          <w:rFonts w:ascii="Calibri" w:hAnsi="Calibri" w:cs="DIN Pro Regular"/>
          <w:b/>
          <w:sz w:val="20"/>
          <w:szCs w:val="20"/>
          <w:lang w:val="es-MX"/>
        </w:rPr>
      </w:pPr>
    </w:p>
    <w:tbl>
      <w:tblPr>
        <w:tblW w:w="6229" w:type="dxa"/>
        <w:jc w:val="center"/>
        <w:tblLayout w:type="fixed"/>
        <w:tblCellMar>
          <w:left w:w="10" w:type="dxa"/>
          <w:right w:w="10" w:type="dxa"/>
        </w:tblCellMar>
        <w:tblLook w:val="0000" w:firstRow="0" w:lastRow="0" w:firstColumn="0" w:lastColumn="0" w:noHBand="0" w:noVBand="0"/>
      </w:tblPr>
      <w:tblGrid>
        <w:gridCol w:w="3122"/>
        <w:gridCol w:w="1548"/>
        <w:gridCol w:w="1559"/>
      </w:tblGrid>
      <w:tr w:rsidR="005B1BB2" w14:paraId="2C749130"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C12522C" w14:textId="77777777" w:rsidR="005B1BB2" w:rsidRDefault="005B1BB2">
            <w:pPr>
              <w:pStyle w:val="Standard"/>
              <w:widowControl w:val="0"/>
              <w:spacing w:after="0" w:line="224" w:lineRule="exact"/>
              <w:jc w:val="both"/>
              <w:rPr>
                <w:rFonts w:eastAsia="Times New Roman" w:cs="DIN Pro Regular"/>
                <w:sz w:val="20"/>
                <w:szCs w:val="20"/>
                <w:lang w:eastAsia="es-ES"/>
              </w:rPr>
            </w:pPr>
          </w:p>
        </w:tc>
        <w:tc>
          <w:tcPr>
            <w:tcW w:w="154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5E73F7F" w14:textId="77777777" w:rsidR="005B1BB2"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55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37BB8FD" w14:textId="77777777" w:rsidR="005B1BB2"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5B1BB2" w14:paraId="079B176C"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F298A9" w14:textId="77777777" w:rsidR="005B1BB2"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D7440B" w14:textId="77777777" w:rsidR="005B1BB2" w:rsidRDefault="005B1BB2">
            <w:pPr>
              <w:pStyle w:val="Standard"/>
              <w:widowControl w:val="0"/>
              <w:spacing w:after="101" w:line="224" w:lineRule="exact"/>
              <w:jc w:val="right"/>
              <w:rPr>
                <w:rFonts w:eastAsia="Times New Roman" w:cs="DIN Pro Regular"/>
                <w:sz w:val="20"/>
                <w:szCs w:val="20"/>
                <w:lang w:eastAsia="es-ES"/>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5A19C2" w14:textId="77777777" w:rsidR="005B1BB2" w:rsidRDefault="005B1BB2">
            <w:pPr>
              <w:pStyle w:val="Standard"/>
              <w:widowControl w:val="0"/>
              <w:spacing w:after="101" w:line="224" w:lineRule="exact"/>
              <w:jc w:val="right"/>
              <w:rPr>
                <w:rFonts w:eastAsia="Times New Roman" w:cs="DIN Pro Regular"/>
                <w:sz w:val="20"/>
                <w:szCs w:val="20"/>
                <w:lang w:eastAsia="es-ES"/>
              </w:rPr>
            </w:pPr>
          </w:p>
        </w:tc>
      </w:tr>
      <w:tr w:rsidR="005B1BB2" w14:paraId="416026AE"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DE4BF2" w14:textId="77777777" w:rsidR="005B1BB2"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146837" w14:textId="77777777" w:rsidR="005B1BB2" w:rsidRDefault="00000000">
            <w:pPr>
              <w:pStyle w:val="Standard"/>
              <w:widowControl w:val="0"/>
              <w:spacing w:after="101" w:line="224" w:lineRule="exact"/>
              <w:rPr>
                <w:rFonts w:eastAsia="Times New Roman" w:cs="DIN Pro Regular"/>
                <w:sz w:val="20"/>
                <w:szCs w:val="20"/>
                <w:lang w:eastAsia="es-ES"/>
              </w:rPr>
            </w:pPr>
            <w:r>
              <w:rPr>
                <w:rFonts w:eastAsia="Times New Roman" w:cs="DIN Pro Regular"/>
                <w:sz w:val="20"/>
                <w:szCs w:val="20"/>
                <w:lang w:eastAsia="es-ES"/>
              </w:rPr>
              <w:t>$27,586,927.00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EEF600" w14:textId="77777777" w:rsidR="005B1BB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$40,603,544.00</w:t>
            </w:r>
          </w:p>
        </w:tc>
      </w:tr>
      <w:tr w:rsidR="005B1BB2" w14:paraId="56D8BECD"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B8C265" w14:textId="77777777" w:rsidR="005B1BB2"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0666B8" w14:textId="77777777" w:rsidR="005B1BB2" w:rsidRDefault="005B1BB2">
            <w:pPr>
              <w:pStyle w:val="Standard"/>
              <w:widowControl w:val="0"/>
              <w:spacing w:after="101" w:line="224" w:lineRule="exact"/>
              <w:jc w:val="right"/>
              <w:rPr>
                <w:rFonts w:eastAsia="Times New Roman" w:cs="DIN Pro Regular"/>
                <w:sz w:val="20"/>
                <w:szCs w:val="20"/>
                <w:lang w:eastAsia="es-ES"/>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9F8C5D" w14:textId="77777777" w:rsidR="005B1BB2" w:rsidRDefault="005B1BB2">
            <w:pPr>
              <w:pStyle w:val="Standard"/>
              <w:widowControl w:val="0"/>
              <w:spacing w:after="101" w:line="224" w:lineRule="exact"/>
              <w:jc w:val="right"/>
              <w:rPr>
                <w:rFonts w:eastAsia="Times New Roman" w:cs="DIN Pro Regular"/>
                <w:sz w:val="20"/>
                <w:szCs w:val="20"/>
                <w:lang w:eastAsia="es-ES"/>
              </w:rPr>
            </w:pPr>
          </w:p>
        </w:tc>
      </w:tr>
      <w:tr w:rsidR="005B1BB2" w14:paraId="6C3DE281"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1C916B" w14:textId="77777777" w:rsidR="005B1BB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392A1" w14:textId="77777777" w:rsidR="005B1BB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$19,539,314.00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1D25C0" w14:textId="77777777" w:rsidR="005B1BB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$20,622,886.00</w:t>
            </w:r>
          </w:p>
        </w:tc>
      </w:tr>
      <w:tr w:rsidR="005B1BB2" w14:paraId="7FEDA0EE"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277211" w14:textId="77777777" w:rsidR="005B1BB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4FABC1" w14:textId="77777777" w:rsidR="005B1BB2" w:rsidRDefault="005B1BB2">
            <w:pPr>
              <w:pStyle w:val="Standard"/>
              <w:widowControl w:val="0"/>
              <w:spacing w:after="101" w:line="224" w:lineRule="exact"/>
              <w:jc w:val="right"/>
              <w:rPr>
                <w:rFonts w:eastAsia="Times New Roman" w:cs="DIN Pro Regular"/>
                <w:sz w:val="20"/>
                <w:szCs w:val="20"/>
                <w:lang w:eastAsia="es-ES"/>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CB9B8" w14:textId="77777777" w:rsidR="005B1BB2" w:rsidRDefault="005B1BB2">
            <w:pPr>
              <w:pStyle w:val="Standard"/>
              <w:widowControl w:val="0"/>
              <w:spacing w:after="101" w:line="224" w:lineRule="exact"/>
              <w:jc w:val="right"/>
              <w:rPr>
                <w:rFonts w:eastAsia="Times New Roman" w:cs="DIN Pro Regular"/>
                <w:sz w:val="20"/>
                <w:szCs w:val="20"/>
                <w:lang w:eastAsia="es-ES"/>
              </w:rPr>
            </w:pPr>
          </w:p>
        </w:tc>
      </w:tr>
      <w:tr w:rsidR="005B1BB2" w14:paraId="607A4E07"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43C98A" w14:textId="77777777" w:rsidR="005B1BB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978F5E" w14:textId="77777777" w:rsidR="005B1BB2" w:rsidRDefault="005B1BB2">
            <w:pPr>
              <w:pStyle w:val="Standard"/>
              <w:widowControl w:val="0"/>
              <w:spacing w:after="101" w:line="224" w:lineRule="exact"/>
              <w:jc w:val="right"/>
              <w:rPr>
                <w:rFonts w:eastAsia="Times New Roman" w:cs="DIN Pro Regular"/>
                <w:sz w:val="20"/>
                <w:szCs w:val="20"/>
                <w:lang w:eastAsia="es-ES"/>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63F9FD" w14:textId="77777777" w:rsidR="005B1BB2" w:rsidRDefault="005B1BB2">
            <w:pPr>
              <w:pStyle w:val="Standard"/>
              <w:widowControl w:val="0"/>
              <w:spacing w:after="101" w:line="224" w:lineRule="exact"/>
              <w:jc w:val="right"/>
              <w:rPr>
                <w:rFonts w:eastAsia="Times New Roman" w:cs="DIN Pro Regular"/>
                <w:sz w:val="20"/>
                <w:szCs w:val="20"/>
                <w:lang w:eastAsia="es-ES"/>
              </w:rPr>
            </w:pPr>
          </w:p>
        </w:tc>
      </w:tr>
      <w:tr w:rsidR="005B1BB2" w14:paraId="6360D03E" w14:textId="77777777">
        <w:tblPrEx>
          <w:tblCellMar>
            <w:top w:w="0" w:type="dxa"/>
            <w:bottom w:w="0" w:type="dxa"/>
          </w:tblCellMar>
        </w:tblPrEx>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104AB1" w14:textId="77777777" w:rsidR="005B1BB2" w:rsidRDefault="00000000">
            <w:pPr>
              <w:pStyle w:val="Standard"/>
              <w:widowControl w:val="0"/>
              <w:rPr>
                <w:rFonts w:cs="DIN Pro Regular"/>
                <w:sz w:val="20"/>
                <w:szCs w:val="20"/>
              </w:rPr>
            </w:pPr>
            <w:r>
              <w:rPr>
                <w:rFonts w:cs="DIN Pro Regular"/>
                <w:sz w:val="20"/>
                <w:szCs w:val="20"/>
              </w:rPr>
              <w:t>Otros Efectivos y Equivalentes</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0E5493" w14:textId="77777777" w:rsidR="005B1BB2" w:rsidRDefault="005B1BB2">
            <w:pPr>
              <w:pStyle w:val="Standard"/>
              <w:widowControl w:val="0"/>
              <w:jc w:val="right"/>
              <w:rPr>
                <w:rFonts w:cs="DIN Pro Regular"/>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F50F0" w14:textId="77777777" w:rsidR="005B1BB2" w:rsidRDefault="005B1BB2">
            <w:pPr>
              <w:pStyle w:val="Standard"/>
              <w:widowControl w:val="0"/>
              <w:jc w:val="right"/>
              <w:rPr>
                <w:rFonts w:cs="DIN Pro Regular"/>
                <w:sz w:val="20"/>
                <w:szCs w:val="20"/>
              </w:rPr>
            </w:pPr>
          </w:p>
        </w:tc>
      </w:tr>
      <w:tr w:rsidR="005B1BB2" w14:paraId="3C9963C2"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21B830" w14:textId="77777777" w:rsidR="005B1BB2" w:rsidRDefault="00000000">
            <w:pPr>
              <w:pStyle w:val="Standard"/>
              <w:widowControl w:val="0"/>
              <w:spacing w:after="101" w:line="224" w:lineRule="exact"/>
              <w:jc w:val="both"/>
              <w:rPr>
                <w:rFonts w:eastAsia="Times New Roman" w:cs="DIN Pro Regular"/>
                <w:b/>
                <w:sz w:val="20"/>
                <w:szCs w:val="20"/>
                <w:lang w:eastAsia="es-ES"/>
              </w:rPr>
            </w:pPr>
            <w:proofErr w:type="gramStart"/>
            <w:r>
              <w:rPr>
                <w:rFonts w:eastAsia="Times New Roman" w:cs="DIN Pro Regular"/>
                <w:b/>
                <w:sz w:val="20"/>
                <w:szCs w:val="20"/>
                <w:lang w:eastAsia="es-ES"/>
              </w:rPr>
              <w:t>Total</w:t>
            </w:r>
            <w:proofErr w:type="gramEnd"/>
            <w:r>
              <w:rPr>
                <w:rFonts w:eastAsia="Times New Roman" w:cs="DIN Pro Regular"/>
                <w:b/>
                <w:sz w:val="20"/>
                <w:szCs w:val="20"/>
                <w:lang w:eastAsia="es-ES"/>
              </w:rPr>
              <w:t xml:space="preserve"> de Efectivo y Equivalentes</w:t>
            </w:r>
          </w:p>
        </w:tc>
        <w:tc>
          <w:tcPr>
            <w:tcW w:w="15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A3BEDC" w14:textId="77777777" w:rsidR="005B1BB2"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$47,126,241.00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DDEB51" w14:textId="77777777" w:rsidR="005B1BB2"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$61,226,430.00</w:t>
            </w:r>
          </w:p>
        </w:tc>
      </w:tr>
    </w:tbl>
    <w:p w14:paraId="6394E171" w14:textId="77777777" w:rsidR="005B1BB2" w:rsidRDefault="005B1BB2">
      <w:pPr>
        <w:pStyle w:val="ROMANOS"/>
        <w:spacing w:after="0" w:line="240" w:lineRule="exact"/>
        <w:ind w:left="0" w:firstLine="0"/>
        <w:rPr>
          <w:rFonts w:ascii="Calibri" w:hAnsi="Calibri" w:cs="DIN Pro Regular"/>
          <w:b/>
          <w:sz w:val="20"/>
          <w:szCs w:val="20"/>
          <w:lang w:val="es-MX"/>
        </w:rPr>
      </w:pPr>
    </w:p>
    <w:p w14:paraId="61998F54" w14:textId="77777777" w:rsidR="005B1BB2" w:rsidRDefault="005B1BB2">
      <w:pPr>
        <w:pStyle w:val="ROMANOS"/>
        <w:spacing w:after="0" w:line="240" w:lineRule="exact"/>
        <w:ind w:left="0" w:firstLine="0"/>
        <w:rPr>
          <w:rFonts w:ascii="Calibri" w:hAnsi="Calibri" w:cs="DIN Pro Regular"/>
          <w:b/>
          <w:sz w:val="20"/>
          <w:szCs w:val="20"/>
          <w:lang w:val="es-MX"/>
        </w:rPr>
      </w:pPr>
    </w:p>
    <w:p w14:paraId="5B1C7D34" w14:textId="77777777" w:rsidR="005B1BB2" w:rsidRDefault="005B1BB2">
      <w:pPr>
        <w:pStyle w:val="ROMANOS"/>
        <w:spacing w:after="0" w:line="240" w:lineRule="exact"/>
        <w:ind w:left="0" w:firstLine="0"/>
        <w:rPr>
          <w:rFonts w:ascii="Calibri" w:hAnsi="Calibri" w:cs="DIN Pro Regular"/>
          <w:b/>
          <w:sz w:val="20"/>
          <w:szCs w:val="20"/>
          <w:lang w:val="es-MX"/>
        </w:rPr>
      </w:pPr>
    </w:p>
    <w:p w14:paraId="6EFC1F1C" w14:textId="77777777" w:rsidR="005B1BB2" w:rsidRDefault="005B1BB2">
      <w:pPr>
        <w:pStyle w:val="ROMANOS"/>
        <w:spacing w:after="0" w:line="240" w:lineRule="exact"/>
        <w:ind w:left="0" w:firstLine="0"/>
        <w:rPr>
          <w:rFonts w:ascii="Calibri" w:hAnsi="Calibri" w:cs="DIN Pro Regular"/>
          <w:b/>
          <w:sz w:val="20"/>
          <w:szCs w:val="20"/>
          <w:lang w:val="es-MX"/>
        </w:rPr>
      </w:pPr>
    </w:p>
    <w:p w14:paraId="5942729A" w14:textId="77777777" w:rsidR="005B1BB2" w:rsidRDefault="005B1BB2">
      <w:pPr>
        <w:pStyle w:val="ROMANOS"/>
        <w:spacing w:after="0" w:line="240" w:lineRule="exact"/>
        <w:ind w:left="0" w:firstLine="0"/>
        <w:rPr>
          <w:rFonts w:ascii="Calibri" w:hAnsi="Calibri" w:cs="DIN Pro Regular"/>
          <w:b/>
          <w:sz w:val="20"/>
          <w:szCs w:val="20"/>
          <w:lang w:val="es-MX"/>
        </w:rPr>
      </w:pPr>
    </w:p>
    <w:p w14:paraId="65335A7B" w14:textId="77777777" w:rsidR="005B1BB2" w:rsidRDefault="005B1BB2">
      <w:pPr>
        <w:pStyle w:val="ROMANOS"/>
        <w:spacing w:after="0" w:line="240" w:lineRule="exact"/>
        <w:ind w:left="0" w:firstLine="0"/>
        <w:rPr>
          <w:rFonts w:ascii="Calibri" w:hAnsi="Calibri" w:cs="DIN Pro Regular"/>
          <w:b/>
          <w:sz w:val="20"/>
          <w:szCs w:val="20"/>
          <w:lang w:val="es-MX"/>
        </w:rPr>
      </w:pPr>
    </w:p>
    <w:p w14:paraId="7E230708" w14:textId="77777777" w:rsidR="005B1BB2" w:rsidRDefault="005B1BB2">
      <w:pPr>
        <w:pStyle w:val="ROMANOS"/>
        <w:spacing w:after="0" w:line="240" w:lineRule="exact"/>
        <w:ind w:left="0" w:firstLine="0"/>
        <w:rPr>
          <w:rFonts w:ascii="Calibri" w:hAnsi="Calibri" w:cs="DIN Pro Regular"/>
          <w:b/>
          <w:sz w:val="20"/>
          <w:szCs w:val="20"/>
          <w:lang w:val="es-MX"/>
        </w:rPr>
      </w:pPr>
    </w:p>
    <w:p w14:paraId="20D1C2C2" w14:textId="77777777" w:rsidR="005B1BB2" w:rsidRDefault="005B1BB2">
      <w:pPr>
        <w:pStyle w:val="ROMANOS"/>
        <w:spacing w:after="0" w:line="240" w:lineRule="exact"/>
        <w:ind w:left="0" w:firstLine="0"/>
        <w:rPr>
          <w:rFonts w:ascii="Calibri" w:hAnsi="Calibri" w:cs="DIN Pro Regular"/>
          <w:b/>
          <w:sz w:val="20"/>
          <w:szCs w:val="20"/>
          <w:lang w:val="es-MX"/>
        </w:rPr>
      </w:pPr>
    </w:p>
    <w:p w14:paraId="2A2941E7" w14:textId="77777777" w:rsidR="005B1BB2" w:rsidRDefault="005B1BB2">
      <w:pPr>
        <w:pStyle w:val="ROMANOS"/>
        <w:spacing w:after="0" w:line="240" w:lineRule="exact"/>
        <w:ind w:left="0" w:firstLine="0"/>
        <w:rPr>
          <w:rFonts w:ascii="Calibri" w:hAnsi="Calibri" w:cs="DIN Pro Regular"/>
          <w:b/>
          <w:sz w:val="20"/>
          <w:szCs w:val="20"/>
          <w:lang w:val="es-MX"/>
        </w:rPr>
      </w:pPr>
    </w:p>
    <w:p w14:paraId="0BD201F4" w14:textId="77777777" w:rsidR="005B1BB2" w:rsidRDefault="005B1BB2">
      <w:pPr>
        <w:pStyle w:val="ROMANOS"/>
        <w:spacing w:after="0" w:line="240" w:lineRule="exact"/>
        <w:ind w:left="0" w:firstLine="0"/>
        <w:rPr>
          <w:rFonts w:ascii="Calibri" w:hAnsi="Calibri" w:cs="DIN Pro Regular"/>
          <w:b/>
          <w:sz w:val="20"/>
          <w:szCs w:val="20"/>
          <w:lang w:val="es-MX"/>
        </w:rPr>
      </w:pPr>
    </w:p>
    <w:p w14:paraId="12A1A89D" w14:textId="77777777" w:rsidR="005B1BB2" w:rsidRDefault="005B1BB2">
      <w:pPr>
        <w:pStyle w:val="ROMANOS"/>
        <w:spacing w:after="0" w:line="240" w:lineRule="exact"/>
        <w:ind w:left="0" w:firstLine="0"/>
        <w:rPr>
          <w:rFonts w:ascii="Calibri" w:hAnsi="Calibri" w:cs="DIN Pro Regular"/>
          <w:b/>
          <w:sz w:val="20"/>
          <w:szCs w:val="20"/>
          <w:lang w:val="es-MX"/>
        </w:rPr>
      </w:pPr>
    </w:p>
    <w:p w14:paraId="5ECE40A3" w14:textId="77777777" w:rsidR="005B1BB2" w:rsidRDefault="005B1BB2">
      <w:pPr>
        <w:pStyle w:val="ROMANOS"/>
        <w:spacing w:after="0" w:line="240" w:lineRule="exact"/>
        <w:ind w:left="0" w:firstLine="0"/>
        <w:rPr>
          <w:rFonts w:ascii="Calibri" w:hAnsi="Calibri" w:cs="DIN Pro Regular"/>
          <w:b/>
          <w:sz w:val="20"/>
          <w:szCs w:val="20"/>
          <w:lang w:val="es-MX"/>
        </w:rPr>
      </w:pPr>
    </w:p>
    <w:p w14:paraId="2992907F" w14:textId="77777777" w:rsidR="005B1BB2" w:rsidRDefault="005B1BB2">
      <w:pPr>
        <w:pStyle w:val="ROMANOS"/>
        <w:spacing w:after="0" w:line="240" w:lineRule="exact"/>
        <w:ind w:left="0" w:firstLine="0"/>
        <w:rPr>
          <w:rFonts w:ascii="Calibri" w:hAnsi="Calibri" w:cs="DIN Pro Regular"/>
          <w:b/>
          <w:sz w:val="20"/>
          <w:szCs w:val="20"/>
          <w:lang w:val="es-MX"/>
        </w:rPr>
      </w:pPr>
    </w:p>
    <w:p w14:paraId="76BE2576" w14:textId="77777777" w:rsidR="005B1BB2" w:rsidRDefault="0000000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77B00B16" w14:textId="77777777" w:rsidR="005B1BB2" w:rsidRDefault="005B1BB2">
      <w:pPr>
        <w:pStyle w:val="ROMANOS"/>
        <w:spacing w:after="0" w:line="240" w:lineRule="exact"/>
        <w:ind w:left="1140"/>
        <w:rPr>
          <w:rFonts w:ascii="Calibri" w:hAnsi="Calibri" w:cs="DIN Pro Regular"/>
          <w:b/>
          <w:sz w:val="20"/>
          <w:szCs w:val="20"/>
          <w:lang w:val="es-MX"/>
        </w:rPr>
      </w:pPr>
    </w:p>
    <w:tbl>
      <w:tblPr>
        <w:tblW w:w="6088" w:type="dxa"/>
        <w:jc w:val="center"/>
        <w:tblLayout w:type="fixed"/>
        <w:tblCellMar>
          <w:left w:w="10" w:type="dxa"/>
          <w:right w:w="10" w:type="dxa"/>
        </w:tblCellMar>
        <w:tblLook w:val="0000" w:firstRow="0" w:lastRow="0" w:firstColumn="0" w:lastColumn="0" w:noHBand="0" w:noVBand="0"/>
      </w:tblPr>
      <w:tblGrid>
        <w:gridCol w:w="3115"/>
        <w:gridCol w:w="1413"/>
        <w:gridCol w:w="1560"/>
      </w:tblGrid>
      <w:tr w:rsidR="005B1BB2" w14:paraId="20ECE62C"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7A6487F" w14:textId="77777777" w:rsidR="005B1BB2" w:rsidRDefault="00000000">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4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1381392" w14:textId="77777777" w:rsidR="005B1BB2" w:rsidRDefault="005B1BB2">
            <w:pPr>
              <w:pStyle w:val="Standard"/>
              <w:widowControl w:val="0"/>
              <w:spacing w:after="0" w:line="224" w:lineRule="exact"/>
              <w:jc w:val="center"/>
              <w:rPr>
                <w:rFonts w:eastAsia="Times New Roman" w:cs="DIN Pro Regular"/>
                <w:b/>
                <w:color w:val="FFFFFF"/>
                <w:sz w:val="20"/>
                <w:szCs w:val="20"/>
                <w:lang w:eastAsia="es-ES"/>
              </w:rPr>
            </w:pPr>
          </w:p>
        </w:tc>
        <w:tc>
          <w:tcPr>
            <w:tcW w:w="156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F537CF0" w14:textId="77777777" w:rsidR="005B1BB2" w:rsidRDefault="005B1BB2">
            <w:pPr>
              <w:pStyle w:val="Standard"/>
              <w:widowControl w:val="0"/>
              <w:spacing w:after="0" w:line="224" w:lineRule="exact"/>
              <w:rPr>
                <w:rFonts w:eastAsia="Times New Roman" w:cs="DIN Pro Regular"/>
                <w:b/>
                <w:color w:val="FFFFFF"/>
                <w:sz w:val="20"/>
                <w:szCs w:val="20"/>
                <w:lang w:eastAsia="es-ES"/>
              </w:rPr>
            </w:pPr>
          </w:p>
        </w:tc>
      </w:tr>
      <w:tr w:rsidR="005B1BB2" w14:paraId="3C45247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B46E2E7" w14:textId="77777777" w:rsidR="005B1BB2" w:rsidRDefault="00000000">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4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97B853F" w14:textId="77777777" w:rsidR="005B1BB2"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56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2B386C0" w14:textId="77777777" w:rsidR="005B1BB2"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5B1BB2" w14:paraId="650386D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945288" w14:textId="77777777" w:rsidR="005B1BB2" w:rsidRDefault="00000000">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2EF476" w14:textId="77777777" w:rsidR="005B1BB2" w:rsidRDefault="005B1BB2">
            <w:pPr>
              <w:pStyle w:val="Standard"/>
              <w:widowControl w:val="0"/>
              <w:spacing w:after="101" w:line="224" w:lineRule="exact"/>
              <w:jc w:val="right"/>
              <w:rPr>
                <w:rFonts w:eastAsia="Times New Roman" w:cs="DIN Pro Regular"/>
                <w:b/>
                <w:sz w:val="20"/>
                <w:szCs w:val="20"/>
                <w:lang w:eastAsia="es-E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653088" w14:textId="77777777" w:rsidR="005B1BB2" w:rsidRDefault="005B1BB2">
            <w:pPr>
              <w:pStyle w:val="Standard"/>
              <w:widowControl w:val="0"/>
              <w:spacing w:after="101" w:line="224" w:lineRule="exact"/>
              <w:jc w:val="right"/>
              <w:rPr>
                <w:rFonts w:eastAsia="Times New Roman" w:cs="DIN Pro Regular"/>
                <w:b/>
                <w:sz w:val="20"/>
                <w:szCs w:val="20"/>
                <w:lang w:eastAsia="es-ES"/>
              </w:rPr>
            </w:pPr>
          </w:p>
        </w:tc>
      </w:tr>
      <w:tr w:rsidR="005B1BB2" w14:paraId="6C4098C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586069" w14:textId="77777777" w:rsidR="005B1BB2" w:rsidRDefault="00000000">
            <w:pPr>
              <w:pStyle w:val="Standard"/>
              <w:widowControl w:val="0"/>
              <w:spacing w:after="101" w:line="224" w:lineRule="exact"/>
              <w:jc w:val="both"/>
              <w:rPr>
                <w:rFonts w:cs="DIN Pro Regular"/>
                <w:sz w:val="20"/>
                <w:szCs w:val="20"/>
              </w:rPr>
            </w:pPr>
            <w:r>
              <w:rPr>
                <w:rFonts w:cs="DIN Pro Regular"/>
                <w:sz w:val="20"/>
                <w:szCs w:val="20"/>
              </w:rPr>
              <w:t>Terrenos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777D7B" w14:textId="77777777" w:rsidR="005B1BB2" w:rsidRDefault="005B1BB2">
            <w:pPr>
              <w:pStyle w:val="Standard"/>
              <w:widowControl w:val="0"/>
              <w:spacing w:after="101" w:line="224" w:lineRule="exact"/>
              <w:jc w:val="right"/>
              <w:rPr>
                <w:rFonts w:eastAsia="Times New Roman" w:cs="DIN Pro Regular"/>
                <w:sz w:val="20"/>
                <w:szCs w:val="20"/>
                <w:lang w:eastAsia="es-E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15894A" w14:textId="77777777" w:rsidR="005B1BB2" w:rsidRDefault="005B1BB2">
            <w:pPr>
              <w:pStyle w:val="Standard"/>
              <w:widowControl w:val="0"/>
              <w:spacing w:after="101" w:line="224" w:lineRule="exact"/>
              <w:jc w:val="right"/>
              <w:rPr>
                <w:rFonts w:eastAsia="Times New Roman" w:cs="DIN Pro Regular"/>
                <w:sz w:val="20"/>
                <w:szCs w:val="20"/>
                <w:lang w:eastAsia="es-ES"/>
              </w:rPr>
            </w:pPr>
          </w:p>
        </w:tc>
      </w:tr>
      <w:tr w:rsidR="005B1BB2" w14:paraId="189C16D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32C94D" w14:textId="77777777" w:rsidR="005B1BB2" w:rsidRDefault="00000000">
            <w:pPr>
              <w:pStyle w:val="Standard"/>
              <w:widowControl w:val="0"/>
              <w:spacing w:after="101" w:line="224" w:lineRule="exact"/>
              <w:jc w:val="both"/>
              <w:rPr>
                <w:rFonts w:cs="DIN Pro Regular"/>
                <w:sz w:val="20"/>
                <w:szCs w:val="20"/>
              </w:rPr>
            </w:pPr>
            <w:r>
              <w:rPr>
                <w:rFonts w:cs="DIN Pro Regular"/>
                <w:sz w:val="20"/>
                <w:szCs w:val="20"/>
              </w:rPr>
              <w:t>Viviendas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614B98" w14:textId="77777777" w:rsidR="005B1BB2" w:rsidRDefault="005B1BB2">
            <w:pPr>
              <w:pStyle w:val="Standard"/>
              <w:widowControl w:val="0"/>
              <w:spacing w:after="101" w:line="224" w:lineRule="exact"/>
              <w:jc w:val="right"/>
              <w:rPr>
                <w:rFonts w:eastAsia="Times New Roman" w:cs="DIN Pro Regular"/>
                <w:sz w:val="20"/>
                <w:szCs w:val="20"/>
                <w:lang w:eastAsia="es-E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9DB7AD" w14:textId="77777777" w:rsidR="005B1BB2" w:rsidRDefault="005B1BB2">
            <w:pPr>
              <w:pStyle w:val="Standard"/>
              <w:widowControl w:val="0"/>
              <w:spacing w:after="101" w:line="224" w:lineRule="exact"/>
              <w:jc w:val="right"/>
              <w:rPr>
                <w:rFonts w:eastAsia="Times New Roman" w:cs="DIN Pro Regular"/>
                <w:sz w:val="20"/>
                <w:szCs w:val="20"/>
                <w:lang w:eastAsia="es-ES"/>
              </w:rPr>
            </w:pPr>
          </w:p>
        </w:tc>
      </w:tr>
      <w:tr w:rsidR="005B1BB2" w14:paraId="54F2885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249896" w14:textId="77777777" w:rsidR="005B1BB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FE769B" w14:textId="77777777" w:rsidR="005B1BB2" w:rsidRDefault="005B1BB2">
            <w:pPr>
              <w:pStyle w:val="Standard"/>
              <w:widowControl w:val="0"/>
              <w:spacing w:after="101" w:line="224" w:lineRule="exact"/>
              <w:jc w:val="right"/>
              <w:rPr>
                <w:rFonts w:eastAsia="Times New Roman" w:cs="DIN Pro Regular"/>
                <w:sz w:val="20"/>
                <w:szCs w:val="20"/>
                <w:lang w:eastAsia="es-E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18D00E" w14:textId="77777777" w:rsidR="005B1BB2" w:rsidRDefault="005B1BB2">
            <w:pPr>
              <w:pStyle w:val="Standard"/>
              <w:widowControl w:val="0"/>
              <w:spacing w:after="101" w:line="224" w:lineRule="exact"/>
              <w:jc w:val="right"/>
              <w:rPr>
                <w:rFonts w:eastAsia="Times New Roman" w:cs="DIN Pro Regular"/>
                <w:sz w:val="20"/>
                <w:szCs w:val="20"/>
                <w:lang w:eastAsia="es-ES"/>
              </w:rPr>
            </w:pPr>
          </w:p>
        </w:tc>
      </w:tr>
      <w:tr w:rsidR="005B1BB2" w14:paraId="765DFF9F"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648674" w14:textId="77777777" w:rsidR="005B1BB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871A15" w14:textId="77777777" w:rsidR="005B1BB2" w:rsidRDefault="005B1BB2">
            <w:pPr>
              <w:pStyle w:val="Standard"/>
              <w:widowControl w:val="0"/>
              <w:spacing w:after="101" w:line="224" w:lineRule="exact"/>
              <w:jc w:val="right"/>
              <w:rPr>
                <w:rFonts w:eastAsia="Times New Roman" w:cs="DIN Pro Regular"/>
                <w:sz w:val="20"/>
                <w:szCs w:val="20"/>
                <w:lang w:eastAsia="es-E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0080E7" w14:textId="77777777" w:rsidR="005B1BB2" w:rsidRDefault="005B1BB2">
            <w:pPr>
              <w:pStyle w:val="Standard"/>
              <w:widowControl w:val="0"/>
              <w:spacing w:after="101" w:line="224" w:lineRule="exact"/>
              <w:jc w:val="right"/>
              <w:rPr>
                <w:rFonts w:eastAsia="Times New Roman" w:cs="DIN Pro Regular"/>
                <w:sz w:val="20"/>
                <w:szCs w:val="20"/>
                <w:lang w:eastAsia="es-ES"/>
              </w:rPr>
            </w:pPr>
          </w:p>
        </w:tc>
      </w:tr>
      <w:tr w:rsidR="005B1BB2" w14:paraId="413961B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247193" w14:textId="77777777" w:rsidR="005B1BB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25BCCB" w14:textId="77777777" w:rsidR="005B1BB2" w:rsidRDefault="005B1BB2">
            <w:pPr>
              <w:pStyle w:val="Standard"/>
              <w:widowControl w:val="0"/>
              <w:spacing w:after="101" w:line="224" w:lineRule="exact"/>
              <w:jc w:val="right"/>
              <w:rPr>
                <w:rFonts w:eastAsia="Times New Roman" w:cs="DIN Pro Regular"/>
                <w:sz w:val="20"/>
                <w:szCs w:val="20"/>
                <w:lang w:eastAsia="es-E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C8678D" w14:textId="77777777" w:rsidR="005B1BB2" w:rsidRDefault="005B1BB2">
            <w:pPr>
              <w:pStyle w:val="Standard"/>
              <w:widowControl w:val="0"/>
              <w:spacing w:after="101" w:line="224" w:lineRule="exact"/>
              <w:jc w:val="right"/>
              <w:rPr>
                <w:rFonts w:eastAsia="Times New Roman" w:cs="DIN Pro Regular"/>
                <w:sz w:val="20"/>
                <w:szCs w:val="20"/>
                <w:lang w:eastAsia="es-ES"/>
              </w:rPr>
            </w:pPr>
          </w:p>
        </w:tc>
      </w:tr>
      <w:tr w:rsidR="005B1BB2" w14:paraId="41D0465C" w14:textId="77777777">
        <w:tblPrEx>
          <w:tblCellMar>
            <w:top w:w="0" w:type="dxa"/>
            <w:bottom w:w="0" w:type="dxa"/>
          </w:tblCellMar>
        </w:tblPrEx>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668CFC" w14:textId="77777777" w:rsidR="005B1BB2" w:rsidRDefault="00000000">
            <w:pPr>
              <w:pStyle w:val="Standard"/>
              <w:widowControl w:val="0"/>
              <w:rPr>
                <w:rFonts w:cs="DIN Pro Regular"/>
                <w:sz w:val="20"/>
                <w:szCs w:val="20"/>
              </w:rPr>
            </w:pPr>
            <w:r>
              <w:rPr>
                <w:rFonts w:cs="DIN Pro Regular"/>
                <w:sz w:val="20"/>
                <w:szCs w:val="20"/>
              </w:rPr>
              <w:t>Construcciones en Proceso de Bienes Propios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3B81C7" w14:textId="77777777" w:rsidR="005B1BB2" w:rsidRDefault="005B1BB2">
            <w:pPr>
              <w:pStyle w:val="Standard"/>
              <w:widowControl w:val="0"/>
              <w:jc w:val="right"/>
              <w:rPr>
                <w:rFonts w:cs="DIN Pro Regular"/>
                <w:sz w:val="20"/>
                <w:szCs w:val="20"/>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EE8E28" w14:textId="77777777" w:rsidR="005B1BB2" w:rsidRDefault="005B1BB2">
            <w:pPr>
              <w:pStyle w:val="Standard"/>
              <w:widowControl w:val="0"/>
              <w:jc w:val="right"/>
              <w:rPr>
                <w:rFonts w:cs="DIN Pro Regular"/>
                <w:sz w:val="20"/>
                <w:szCs w:val="20"/>
              </w:rPr>
            </w:pPr>
          </w:p>
        </w:tc>
      </w:tr>
      <w:tr w:rsidR="005B1BB2" w14:paraId="47C8441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8093E" w14:textId="77777777" w:rsidR="005B1BB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F776DA" w14:textId="77777777" w:rsidR="005B1BB2" w:rsidRDefault="005B1BB2">
            <w:pPr>
              <w:pStyle w:val="Standard"/>
              <w:widowControl w:val="0"/>
              <w:spacing w:after="101" w:line="224" w:lineRule="exact"/>
              <w:jc w:val="right"/>
              <w:rPr>
                <w:rFonts w:eastAsia="Times New Roman" w:cs="DIN Pro Regular"/>
                <w:sz w:val="20"/>
                <w:szCs w:val="20"/>
                <w:lang w:eastAsia="es-E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974F42" w14:textId="77777777" w:rsidR="005B1BB2" w:rsidRDefault="005B1BB2">
            <w:pPr>
              <w:pStyle w:val="Standard"/>
              <w:widowControl w:val="0"/>
              <w:spacing w:after="101" w:line="224" w:lineRule="exact"/>
              <w:jc w:val="right"/>
              <w:rPr>
                <w:rFonts w:eastAsia="Times New Roman" w:cs="DIN Pro Regular"/>
                <w:sz w:val="20"/>
                <w:szCs w:val="20"/>
                <w:lang w:eastAsia="es-ES"/>
              </w:rPr>
            </w:pPr>
          </w:p>
        </w:tc>
      </w:tr>
      <w:tr w:rsidR="005B1BB2" w14:paraId="6DFB8A4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E8C0CE" w14:textId="77777777" w:rsidR="005B1BB2"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3988B6" w14:textId="77777777" w:rsidR="005B1BB2"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$2,020,287.00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3E7AD7" w14:textId="77777777" w:rsidR="005B1BB2"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$3,663,952.00</w:t>
            </w:r>
          </w:p>
        </w:tc>
      </w:tr>
      <w:tr w:rsidR="005B1BB2" w14:paraId="6A48BC4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F5CA72" w14:textId="77777777" w:rsidR="005B1BB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6457D9" w14:textId="77777777" w:rsidR="005B1BB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$1,025,124.00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8AF0E8" w14:textId="77777777" w:rsidR="005B1BB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$298,533.00</w:t>
            </w:r>
          </w:p>
        </w:tc>
      </w:tr>
      <w:tr w:rsidR="005B1BB2" w14:paraId="428AD53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C2BB8" w14:textId="77777777" w:rsidR="005B1BB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D5D43C" w14:textId="77777777" w:rsidR="005B1BB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$627,451.00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3BE9F3" w14:textId="77777777" w:rsidR="005B1BB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$40,409.00</w:t>
            </w:r>
          </w:p>
        </w:tc>
      </w:tr>
      <w:tr w:rsidR="005B1BB2" w14:paraId="7727EA0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2157F8" w14:textId="77777777" w:rsidR="005B1BB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38B484" w14:textId="77777777" w:rsidR="005B1BB2" w:rsidRDefault="005B1BB2">
            <w:pPr>
              <w:pStyle w:val="Standard"/>
              <w:widowControl w:val="0"/>
              <w:spacing w:after="101" w:line="224" w:lineRule="exact"/>
              <w:jc w:val="right"/>
              <w:rPr>
                <w:rFonts w:eastAsia="Times New Roman" w:cs="DIN Pro Regular"/>
                <w:sz w:val="20"/>
                <w:szCs w:val="20"/>
                <w:lang w:eastAsia="es-E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71E340" w14:textId="77777777" w:rsidR="005B1BB2" w:rsidRDefault="005B1BB2">
            <w:pPr>
              <w:pStyle w:val="Standard"/>
              <w:widowControl w:val="0"/>
              <w:spacing w:after="101" w:line="224" w:lineRule="exact"/>
              <w:jc w:val="right"/>
              <w:rPr>
                <w:rFonts w:eastAsia="Times New Roman" w:cs="DIN Pro Regular"/>
                <w:sz w:val="20"/>
                <w:szCs w:val="20"/>
                <w:lang w:eastAsia="es-ES"/>
              </w:rPr>
            </w:pPr>
          </w:p>
        </w:tc>
      </w:tr>
      <w:tr w:rsidR="005B1BB2" w14:paraId="58FFEA1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4A48AA" w14:textId="77777777" w:rsidR="005B1BB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D28317" w14:textId="77777777" w:rsidR="005B1BB2" w:rsidRDefault="005B1BB2">
            <w:pPr>
              <w:pStyle w:val="Standard"/>
              <w:widowControl w:val="0"/>
              <w:spacing w:after="101" w:line="224" w:lineRule="exact"/>
              <w:jc w:val="right"/>
              <w:rPr>
                <w:rFonts w:eastAsia="Times New Roman" w:cs="DIN Pro Regular"/>
                <w:sz w:val="20"/>
                <w:szCs w:val="20"/>
                <w:lang w:eastAsia="es-E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FBE153" w14:textId="77777777" w:rsidR="005B1BB2" w:rsidRDefault="005B1BB2">
            <w:pPr>
              <w:pStyle w:val="Standard"/>
              <w:widowControl w:val="0"/>
              <w:spacing w:after="101" w:line="224" w:lineRule="exact"/>
              <w:jc w:val="center"/>
              <w:rPr>
                <w:rFonts w:eastAsia="Times New Roman" w:cs="DIN Pro Regular"/>
                <w:sz w:val="20"/>
                <w:szCs w:val="20"/>
                <w:lang w:eastAsia="es-ES"/>
              </w:rPr>
            </w:pPr>
          </w:p>
        </w:tc>
      </w:tr>
      <w:tr w:rsidR="005B1BB2" w14:paraId="7C68598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C381DD" w14:textId="77777777" w:rsidR="005B1BB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59E682" w14:textId="77777777" w:rsidR="005B1BB2" w:rsidRDefault="005B1BB2">
            <w:pPr>
              <w:pStyle w:val="Standard"/>
              <w:widowControl w:val="0"/>
              <w:spacing w:after="101" w:line="224" w:lineRule="exact"/>
              <w:jc w:val="right"/>
              <w:rPr>
                <w:rFonts w:eastAsia="Times New Roman" w:cs="DIN Pro Regular"/>
                <w:sz w:val="20"/>
                <w:szCs w:val="20"/>
                <w:lang w:eastAsia="es-E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ECE05E" w14:textId="77777777" w:rsidR="005B1BB2" w:rsidRDefault="005B1BB2">
            <w:pPr>
              <w:pStyle w:val="Standard"/>
              <w:widowControl w:val="0"/>
              <w:spacing w:after="101" w:line="224" w:lineRule="exact"/>
              <w:jc w:val="right"/>
              <w:rPr>
                <w:rFonts w:eastAsia="Times New Roman" w:cs="DIN Pro Regular"/>
                <w:sz w:val="20"/>
                <w:szCs w:val="20"/>
                <w:lang w:eastAsia="es-ES"/>
              </w:rPr>
            </w:pPr>
          </w:p>
        </w:tc>
      </w:tr>
      <w:tr w:rsidR="005B1BB2" w14:paraId="17DDA90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3E7E28" w14:textId="77777777" w:rsidR="005B1BB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7AABB5" w14:textId="77777777" w:rsidR="005B1BB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$367,712.00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1A1D2A" w14:textId="77777777" w:rsidR="005B1BB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$3,325,010.00</w:t>
            </w:r>
          </w:p>
        </w:tc>
      </w:tr>
      <w:tr w:rsidR="005B1BB2" w14:paraId="32424B0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A94F8D" w14:textId="77777777" w:rsidR="005B1BB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5D92F0" w14:textId="77777777" w:rsidR="005B1BB2" w:rsidRDefault="005B1BB2">
            <w:pPr>
              <w:pStyle w:val="Standard"/>
              <w:widowControl w:val="0"/>
              <w:spacing w:after="101" w:line="224" w:lineRule="exact"/>
              <w:jc w:val="right"/>
              <w:rPr>
                <w:rFonts w:eastAsia="Times New Roman" w:cs="DIN Pro Regular"/>
                <w:sz w:val="20"/>
                <w:szCs w:val="20"/>
                <w:lang w:eastAsia="es-E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DADC4D" w14:textId="77777777" w:rsidR="005B1BB2" w:rsidRDefault="005B1BB2">
            <w:pPr>
              <w:pStyle w:val="Standard"/>
              <w:widowControl w:val="0"/>
              <w:spacing w:after="101" w:line="224" w:lineRule="exact"/>
              <w:jc w:val="right"/>
              <w:rPr>
                <w:rFonts w:eastAsia="Times New Roman" w:cs="DIN Pro Regular"/>
                <w:sz w:val="20"/>
                <w:szCs w:val="20"/>
                <w:lang w:eastAsia="es-ES"/>
              </w:rPr>
            </w:pPr>
          </w:p>
        </w:tc>
      </w:tr>
      <w:tr w:rsidR="005B1BB2" w14:paraId="105E4FE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44B883" w14:textId="77777777" w:rsidR="005B1BB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674E2F" w14:textId="77777777" w:rsidR="005B1BB2" w:rsidRDefault="005B1BB2">
            <w:pPr>
              <w:pStyle w:val="Standard"/>
              <w:widowControl w:val="0"/>
              <w:spacing w:after="101" w:line="224" w:lineRule="exact"/>
              <w:jc w:val="right"/>
              <w:rPr>
                <w:rFonts w:eastAsia="Times New Roman" w:cs="DIN Pro Regular"/>
                <w:sz w:val="20"/>
                <w:szCs w:val="20"/>
                <w:lang w:eastAsia="es-E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2F3DAF" w14:textId="77777777" w:rsidR="005B1BB2" w:rsidRDefault="005B1BB2">
            <w:pPr>
              <w:pStyle w:val="Standard"/>
              <w:widowControl w:val="0"/>
              <w:spacing w:after="101" w:line="224" w:lineRule="exact"/>
              <w:jc w:val="right"/>
              <w:rPr>
                <w:rFonts w:eastAsia="Times New Roman" w:cs="DIN Pro Regular"/>
                <w:sz w:val="20"/>
                <w:szCs w:val="20"/>
                <w:lang w:eastAsia="es-ES"/>
              </w:rPr>
            </w:pPr>
          </w:p>
        </w:tc>
      </w:tr>
      <w:tr w:rsidR="005B1BB2" w14:paraId="552D032D"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2BDE8F" w14:textId="77777777" w:rsidR="005B1BB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5C9AC" w14:textId="77777777" w:rsidR="005B1BB2" w:rsidRDefault="005B1BB2">
            <w:pPr>
              <w:pStyle w:val="Standard"/>
              <w:widowControl w:val="0"/>
              <w:spacing w:after="101" w:line="224" w:lineRule="exact"/>
              <w:jc w:val="right"/>
              <w:rPr>
                <w:rFonts w:eastAsia="Times New Roman" w:cs="DIN Pro Regular"/>
                <w:sz w:val="20"/>
                <w:szCs w:val="20"/>
                <w:lang w:eastAsia="es-E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16AE63" w14:textId="77777777" w:rsidR="005B1BB2" w:rsidRDefault="005B1BB2">
            <w:pPr>
              <w:pStyle w:val="Standard"/>
              <w:widowControl w:val="0"/>
              <w:spacing w:after="101" w:line="224" w:lineRule="exact"/>
              <w:jc w:val="right"/>
              <w:rPr>
                <w:rFonts w:eastAsia="Times New Roman" w:cs="DIN Pro Regular"/>
                <w:sz w:val="20"/>
                <w:szCs w:val="20"/>
                <w:lang w:eastAsia="es-ES"/>
              </w:rPr>
            </w:pPr>
          </w:p>
        </w:tc>
      </w:tr>
      <w:tr w:rsidR="005B1BB2" w14:paraId="517B968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DFAED0" w14:textId="77777777" w:rsidR="005B1BB2"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4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236C2" w14:textId="77777777" w:rsidR="005B1BB2"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$2,020,287.00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3B781C" w14:textId="77777777" w:rsidR="005B1BB2"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$3,663,952.00</w:t>
            </w:r>
          </w:p>
        </w:tc>
      </w:tr>
    </w:tbl>
    <w:p w14:paraId="0D4A700B" w14:textId="77777777" w:rsidR="005B1BB2" w:rsidRDefault="005B1BB2">
      <w:pPr>
        <w:pStyle w:val="ROMANOS"/>
        <w:spacing w:after="0" w:line="240" w:lineRule="exact"/>
        <w:ind w:left="1140"/>
        <w:rPr>
          <w:rFonts w:ascii="Calibri" w:hAnsi="Calibri" w:cs="DIN Pro Regular"/>
          <w:b/>
          <w:sz w:val="20"/>
          <w:szCs w:val="20"/>
          <w:lang w:val="es-MX"/>
        </w:rPr>
      </w:pPr>
    </w:p>
    <w:p w14:paraId="7BB915E8" w14:textId="77777777" w:rsidR="005B1BB2"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En el ejercicio 2024 las adquisiciones de bienes muebles fueron cubiertas con Ingresos Propios por la cantidad de $1,962,402.33 los cuales representan un 97.13% y el resto fue cubierto con Otros Fondos Federales por $57,884.00 el cual representa un 2.87 %</w:t>
      </w:r>
    </w:p>
    <w:p w14:paraId="068A632A" w14:textId="77777777" w:rsidR="005B1BB2" w:rsidRDefault="005B1BB2">
      <w:pPr>
        <w:pStyle w:val="ROMANOS"/>
        <w:spacing w:after="0" w:line="240" w:lineRule="exact"/>
        <w:ind w:left="1140"/>
        <w:rPr>
          <w:rFonts w:ascii="Calibri" w:hAnsi="Calibri" w:cs="DIN Pro Regular"/>
          <w:b/>
          <w:sz w:val="20"/>
          <w:szCs w:val="20"/>
          <w:lang w:val="es-MX"/>
        </w:rPr>
      </w:pPr>
    </w:p>
    <w:p w14:paraId="060AFBBB" w14:textId="77777777" w:rsidR="005B1BB2" w:rsidRDefault="005B1BB2">
      <w:pPr>
        <w:pStyle w:val="ROMANOS"/>
        <w:spacing w:after="0" w:line="240" w:lineRule="exact"/>
        <w:ind w:left="1140"/>
        <w:rPr>
          <w:rFonts w:ascii="Calibri" w:hAnsi="Calibri" w:cs="DIN Pro Regular"/>
          <w:b/>
          <w:sz w:val="20"/>
          <w:szCs w:val="20"/>
          <w:lang w:val="es-MX"/>
        </w:rPr>
      </w:pPr>
    </w:p>
    <w:p w14:paraId="6E67F49F" w14:textId="77777777" w:rsidR="005B1BB2" w:rsidRDefault="005B1BB2">
      <w:pPr>
        <w:pStyle w:val="ROMANOS"/>
        <w:spacing w:after="0" w:line="240" w:lineRule="exact"/>
        <w:ind w:left="1140"/>
        <w:rPr>
          <w:rFonts w:ascii="Calibri" w:hAnsi="Calibri" w:cs="DIN Pro Regular"/>
          <w:b/>
          <w:sz w:val="20"/>
          <w:szCs w:val="20"/>
          <w:lang w:val="es-MX"/>
        </w:rPr>
      </w:pPr>
    </w:p>
    <w:p w14:paraId="252060BD" w14:textId="77777777" w:rsidR="005B1BB2" w:rsidRDefault="005B1BB2">
      <w:pPr>
        <w:pStyle w:val="ROMANOS"/>
        <w:spacing w:after="0" w:line="240" w:lineRule="exact"/>
        <w:ind w:left="1140"/>
        <w:rPr>
          <w:rFonts w:ascii="Calibri" w:hAnsi="Calibri" w:cs="DIN Pro Regular"/>
          <w:b/>
          <w:sz w:val="20"/>
          <w:szCs w:val="20"/>
          <w:lang w:val="es-MX"/>
        </w:rPr>
      </w:pPr>
    </w:p>
    <w:p w14:paraId="662BF891" w14:textId="77777777" w:rsidR="005B1BB2" w:rsidRDefault="005B1BB2">
      <w:pPr>
        <w:pStyle w:val="ROMANOS"/>
        <w:spacing w:after="0" w:line="240" w:lineRule="exact"/>
        <w:ind w:left="1140"/>
        <w:rPr>
          <w:rFonts w:ascii="Calibri" w:hAnsi="Calibri" w:cs="DIN Pro Regular"/>
          <w:b/>
          <w:sz w:val="20"/>
          <w:szCs w:val="20"/>
          <w:lang w:val="es-MX"/>
        </w:rPr>
      </w:pPr>
    </w:p>
    <w:p w14:paraId="3FEBBE93" w14:textId="77777777" w:rsidR="005B1BB2" w:rsidRDefault="005B1BB2">
      <w:pPr>
        <w:pStyle w:val="ROMANOS"/>
        <w:spacing w:after="0" w:line="240" w:lineRule="exact"/>
        <w:ind w:left="0" w:firstLine="0"/>
        <w:rPr>
          <w:rFonts w:ascii="Calibri" w:hAnsi="Calibri" w:cs="DIN Pro Regular"/>
          <w:b/>
          <w:sz w:val="20"/>
          <w:szCs w:val="20"/>
          <w:lang w:val="es-MX"/>
        </w:rPr>
      </w:pPr>
    </w:p>
    <w:p w14:paraId="51FAD675" w14:textId="77777777" w:rsidR="005B1BB2" w:rsidRDefault="005B1BB2">
      <w:pPr>
        <w:pStyle w:val="ROMANOS"/>
        <w:spacing w:after="0" w:line="240" w:lineRule="exact"/>
        <w:ind w:left="0" w:firstLine="0"/>
        <w:rPr>
          <w:rFonts w:ascii="Calibri" w:hAnsi="Calibri" w:cs="DIN Pro Regular"/>
          <w:b/>
          <w:sz w:val="20"/>
          <w:szCs w:val="20"/>
          <w:lang w:val="es-MX"/>
        </w:rPr>
      </w:pPr>
    </w:p>
    <w:p w14:paraId="1F02242B" w14:textId="77777777" w:rsidR="005B1BB2"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30323B0C" w14:textId="77777777" w:rsidR="005B1BB2" w:rsidRDefault="005B1BB2">
      <w:pPr>
        <w:pStyle w:val="ROMANOS"/>
        <w:spacing w:after="0" w:line="240" w:lineRule="exact"/>
        <w:ind w:left="1140"/>
        <w:rPr>
          <w:rFonts w:ascii="Calibri" w:hAnsi="Calibri" w:cs="DIN Pro Regular"/>
          <w:b/>
          <w:sz w:val="20"/>
          <w:szCs w:val="20"/>
          <w:lang w:val="es-MX"/>
        </w:rPr>
      </w:pPr>
    </w:p>
    <w:tbl>
      <w:tblPr>
        <w:tblW w:w="9773" w:type="dxa"/>
        <w:jc w:val="center"/>
        <w:tblLayout w:type="fixed"/>
        <w:tblCellMar>
          <w:left w:w="10" w:type="dxa"/>
          <w:right w:w="10" w:type="dxa"/>
        </w:tblCellMar>
        <w:tblLook w:val="0000" w:firstRow="0" w:lastRow="0" w:firstColumn="0" w:lastColumn="0" w:noHBand="0" w:noVBand="0"/>
      </w:tblPr>
      <w:tblGrid>
        <w:gridCol w:w="6677"/>
        <w:gridCol w:w="1537"/>
        <w:gridCol w:w="1559"/>
      </w:tblGrid>
      <w:tr w:rsidR="005B1BB2" w14:paraId="6243DAB3"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2100265" w14:textId="77777777" w:rsidR="005B1BB2" w:rsidRDefault="005B1BB2">
            <w:pPr>
              <w:pStyle w:val="Text"/>
              <w:widowControl w:val="0"/>
              <w:spacing w:after="0" w:line="240" w:lineRule="exact"/>
              <w:ind w:firstLine="0"/>
              <w:rPr>
                <w:rFonts w:ascii="Calibri" w:hAnsi="Calibri" w:cs="DIN Pro Regular"/>
                <w:b/>
                <w:color w:val="FFFFFF"/>
                <w:sz w:val="20"/>
                <w:lang w:val="es-MX"/>
              </w:rPr>
            </w:pPr>
          </w:p>
        </w:tc>
        <w:tc>
          <w:tcPr>
            <w:tcW w:w="153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B3897AA" w14:textId="77777777" w:rsidR="005B1BB2"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55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51F065D" w14:textId="77777777" w:rsidR="005B1BB2"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5B1BB2" w14:paraId="77EE1BE3"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29F8B7" w14:textId="77777777" w:rsidR="005B1BB2"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376FB4" w14:textId="77777777" w:rsidR="005B1BB2"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$14,721,455.00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C52374" w14:textId="77777777" w:rsidR="005B1BB2"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$21,201,644.00</w:t>
            </w:r>
          </w:p>
        </w:tc>
      </w:tr>
      <w:tr w:rsidR="005B1BB2" w14:paraId="3FD8BC2E"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B0D253" w14:textId="77777777" w:rsidR="005B1BB2"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815B33" w14:textId="77777777" w:rsidR="005B1BB2" w:rsidRDefault="005B1BB2">
            <w:pPr>
              <w:pStyle w:val="Text"/>
              <w:widowControl w:val="0"/>
              <w:spacing w:after="0" w:line="240" w:lineRule="exact"/>
              <w:ind w:firstLine="0"/>
              <w:jc w:val="right"/>
              <w:rPr>
                <w:rFonts w:ascii="Calibri" w:hAnsi="Calibri" w:cs="DIN Pro Regular"/>
                <w:sz w:val="20"/>
                <w:lang w:val="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46AFA" w14:textId="77777777" w:rsidR="005B1BB2" w:rsidRDefault="005B1BB2">
            <w:pPr>
              <w:pStyle w:val="Text"/>
              <w:widowControl w:val="0"/>
              <w:spacing w:after="0" w:line="240" w:lineRule="exact"/>
              <w:ind w:firstLine="0"/>
              <w:jc w:val="right"/>
              <w:rPr>
                <w:rFonts w:ascii="Calibri" w:hAnsi="Calibri" w:cs="DIN Pro Regular"/>
                <w:sz w:val="20"/>
                <w:lang w:val="es-MX"/>
              </w:rPr>
            </w:pPr>
          </w:p>
        </w:tc>
      </w:tr>
      <w:tr w:rsidR="005B1BB2" w14:paraId="3A40C6D8"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B815DC" w14:textId="77777777" w:rsidR="005B1BB2"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2BA15E" w14:textId="77777777" w:rsidR="005B1BB2" w:rsidRDefault="005B1BB2">
            <w:pPr>
              <w:pStyle w:val="Text"/>
              <w:widowControl w:val="0"/>
              <w:spacing w:after="0" w:line="240" w:lineRule="exact"/>
              <w:ind w:firstLine="0"/>
              <w:jc w:val="right"/>
              <w:rPr>
                <w:rFonts w:ascii="Calibri" w:hAnsi="Calibri" w:cs="DIN Pro Regular"/>
                <w:sz w:val="20"/>
                <w:lang w:val="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DA6426" w14:textId="77777777" w:rsidR="005B1BB2" w:rsidRDefault="005B1BB2">
            <w:pPr>
              <w:pStyle w:val="Text"/>
              <w:widowControl w:val="0"/>
              <w:spacing w:after="0" w:line="240" w:lineRule="exact"/>
              <w:ind w:firstLine="0"/>
              <w:jc w:val="right"/>
              <w:rPr>
                <w:rFonts w:ascii="Calibri" w:hAnsi="Calibri" w:cs="DIN Pro Regular"/>
                <w:sz w:val="20"/>
                <w:lang w:val="es-MX"/>
              </w:rPr>
            </w:pPr>
          </w:p>
        </w:tc>
      </w:tr>
      <w:tr w:rsidR="005B1BB2" w14:paraId="766FD057"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19196B" w14:textId="77777777" w:rsidR="005B1BB2"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10C9D" w14:textId="77777777" w:rsidR="005B1BB2" w:rsidRDefault="005B1BB2">
            <w:pPr>
              <w:pStyle w:val="Text"/>
              <w:widowControl w:val="0"/>
              <w:spacing w:after="0" w:line="240" w:lineRule="exact"/>
              <w:ind w:firstLine="0"/>
              <w:jc w:val="right"/>
              <w:rPr>
                <w:rFonts w:ascii="Calibri" w:hAnsi="Calibri" w:cs="DIN Pro Regular"/>
                <w:sz w:val="20"/>
                <w:lang w:val="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7DCEB4" w14:textId="77777777" w:rsidR="005B1BB2" w:rsidRDefault="005B1BB2">
            <w:pPr>
              <w:pStyle w:val="Text"/>
              <w:widowControl w:val="0"/>
              <w:spacing w:after="0" w:line="240" w:lineRule="exact"/>
              <w:ind w:firstLine="0"/>
              <w:jc w:val="right"/>
              <w:rPr>
                <w:rFonts w:ascii="Calibri" w:hAnsi="Calibri" w:cs="DIN Pro Regular"/>
                <w:sz w:val="20"/>
                <w:lang w:val="es-MX"/>
              </w:rPr>
            </w:pPr>
          </w:p>
        </w:tc>
      </w:tr>
      <w:tr w:rsidR="005B1BB2" w14:paraId="00FE1594"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88AAC" w14:textId="77777777" w:rsidR="005B1BB2"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0CC613" w14:textId="77777777" w:rsidR="005B1BB2" w:rsidRDefault="005B1BB2">
            <w:pPr>
              <w:pStyle w:val="Text"/>
              <w:widowControl w:val="0"/>
              <w:spacing w:after="0" w:line="240" w:lineRule="exact"/>
              <w:ind w:firstLine="0"/>
              <w:jc w:val="right"/>
              <w:rPr>
                <w:rFonts w:ascii="Calibri" w:hAnsi="Calibri" w:cs="DIN Pro Regular"/>
                <w:sz w:val="20"/>
                <w:lang w:val="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17755C" w14:textId="77777777" w:rsidR="005B1BB2" w:rsidRDefault="005B1BB2">
            <w:pPr>
              <w:pStyle w:val="Text"/>
              <w:widowControl w:val="0"/>
              <w:spacing w:after="0" w:line="240" w:lineRule="exact"/>
              <w:ind w:firstLine="0"/>
              <w:jc w:val="right"/>
              <w:rPr>
                <w:rFonts w:ascii="Calibri" w:hAnsi="Calibri" w:cs="DIN Pro Regular"/>
                <w:sz w:val="20"/>
                <w:lang w:val="es-MX"/>
              </w:rPr>
            </w:pPr>
          </w:p>
        </w:tc>
      </w:tr>
      <w:tr w:rsidR="005B1BB2" w14:paraId="10DB363A" w14:textId="77777777">
        <w:tblPrEx>
          <w:tblCellMar>
            <w:top w:w="0" w:type="dxa"/>
            <w:bottom w:w="0" w:type="dxa"/>
          </w:tblCellMar>
        </w:tblPrEx>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8E895C" w14:textId="77777777" w:rsidR="005B1BB2"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3869E9" w14:textId="77777777" w:rsidR="005B1BB2" w:rsidRDefault="005B1BB2">
            <w:pPr>
              <w:pStyle w:val="Text"/>
              <w:widowControl w:val="0"/>
              <w:spacing w:after="0" w:line="240" w:lineRule="exact"/>
              <w:ind w:firstLine="0"/>
              <w:jc w:val="right"/>
              <w:rPr>
                <w:rFonts w:ascii="Calibri" w:hAnsi="Calibri" w:cs="DIN Pro Regular"/>
                <w:sz w:val="20"/>
                <w:lang w:val="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43ECAA" w14:textId="77777777" w:rsidR="005B1BB2" w:rsidRDefault="005B1BB2">
            <w:pPr>
              <w:pStyle w:val="Text"/>
              <w:widowControl w:val="0"/>
              <w:spacing w:after="0" w:line="240" w:lineRule="exact"/>
              <w:ind w:firstLine="0"/>
              <w:jc w:val="right"/>
              <w:rPr>
                <w:rFonts w:ascii="Calibri" w:hAnsi="Calibri" w:cs="DIN Pro Regular"/>
                <w:sz w:val="20"/>
                <w:lang w:val="es-MX"/>
              </w:rPr>
            </w:pPr>
          </w:p>
        </w:tc>
      </w:tr>
      <w:tr w:rsidR="005B1BB2" w14:paraId="389A7094"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BBFFA0" w14:textId="77777777" w:rsidR="005B1BB2" w:rsidRDefault="00000000">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4A6B92" w14:textId="77777777" w:rsidR="005B1BB2" w:rsidRDefault="005B1BB2">
            <w:pPr>
              <w:pStyle w:val="Text"/>
              <w:widowControl w:val="0"/>
              <w:spacing w:after="0" w:line="240" w:lineRule="exact"/>
              <w:ind w:firstLine="0"/>
              <w:jc w:val="right"/>
              <w:rPr>
                <w:rFonts w:ascii="Calibri" w:hAnsi="Calibri" w:cs="DIN Pro Regular"/>
                <w:sz w:val="20"/>
                <w:lang w:val="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0DC70F" w14:textId="77777777" w:rsidR="005B1BB2" w:rsidRDefault="005B1BB2">
            <w:pPr>
              <w:pStyle w:val="Text"/>
              <w:widowControl w:val="0"/>
              <w:spacing w:after="0" w:line="240" w:lineRule="exact"/>
              <w:ind w:firstLine="0"/>
              <w:jc w:val="right"/>
              <w:rPr>
                <w:rFonts w:ascii="Calibri" w:hAnsi="Calibri" w:cs="DIN Pro Regular"/>
                <w:sz w:val="20"/>
                <w:lang w:val="es-MX"/>
              </w:rPr>
            </w:pPr>
          </w:p>
        </w:tc>
      </w:tr>
      <w:tr w:rsidR="005B1BB2" w14:paraId="55503DD4"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DDA76C" w14:textId="77777777" w:rsidR="005B1BB2"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6CA2EB" w14:textId="77777777" w:rsidR="005B1BB2" w:rsidRDefault="005B1BB2">
            <w:pPr>
              <w:pStyle w:val="Text"/>
              <w:widowControl w:val="0"/>
              <w:spacing w:after="0" w:line="240" w:lineRule="exact"/>
              <w:ind w:firstLine="0"/>
              <w:jc w:val="right"/>
              <w:rPr>
                <w:rFonts w:ascii="Calibri" w:hAnsi="Calibri" w:cs="DIN Pro Regular"/>
                <w:sz w:val="20"/>
                <w:lang w:val="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B2CC31" w14:textId="77777777" w:rsidR="005B1BB2" w:rsidRDefault="005B1BB2">
            <w:pPr>
              <w:pStyle w:val="Text"/>
              <w:widowControl w:val="0"/>
              <w:spacing w:after="0" w:line="240" w:lineRule="exact"/>
              <w:ind w:firstLine="0"/>
              <w:jc w:val="right"/>
              <w:rPr>
                <w:rFonts w:ascii="Calibri" w:hAnsi="Calibri" w:cs="DIN Pro Regular"/>
                <w:sz w:val="20"/>
                <w:lang w:val="es-MX"/>
              </w:rPr>
            </w:pPr>
          </w:p>
        </w:tc>
      </w:tr>
      <w:tr w:rsidR="005B1BB2" w14:paraId="060F41BD"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60D98B" w14:textId="77777777" w:rsidR="005B1BB2"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864FB5" w14:textId="77777777" w:rsidR="005B1BB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$14,721,455.00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ACC506" w14:textId="77777777" w:rsidR="005B1BB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$21,201,644.00</w:t>
            </w:r>
          </w:p>
        </w:tc>
      </w:tr>
    </w:tbl>
    <w:p w14:paraId="125998E0" w14:textId="77777777" w:rsidR="005B1BB2" w:rsidRDefault="005B1BB2">
      <w:pPr>
        <w:pStyle w:val="ROMANOS"/>
        <w:spacing w:after="0" w:line="240" w:lineRule="exact"/>
        <w:ind w:left="0" w:firstLine="0"/>
        <w:rPr>
          <w:rFonts w:ascii="Calibri" w:hAnsi="Calibri" w:cs="DIN Pro Regular"/>
          <w:b/>
          <w:sz w:val="20"/>
          <w:szCs w:val="20"/>
          <w:lang w:val="es-MX"/>
        </w:rPr>
      </w:pPr>
    </w:p>
    <w:p w14:paraId="124A791C" w14:textId="77777777" w:rsidR="005B1BB2" w:rsidRDefault="005B1BB2">
      <w:pPr>
        <w:pStyle w:val="ROMANOS"/>
        <w:spacing w:after="0" w:line="240" w:lineRule="exact"/>
        <w:ind w:left="1140"/>
        <w:rPr>
          <w:rFonts w:ascii="Calibri" w:hAnsi="Calibri" w:cs="DIN Pro Regular"/>
          <w:b/>
          <w:sz w:val="20"/>
          <w:szCs w:val="20"/>
          <w:lang w:val="es-MX"/>
        </w:rPr>
      </w:pPr>
    </w:p>
    <w:p w14:paraId="4E14CF55" w14:textId="77777777" w:rsidR="005B1BB2" w:rsidRDefault="005B1BB2">
      <w:pPr>
        <w:pStyle w:val="INCISO"/>
        <w:spacing w:after="0" w:line="240" w:lineRule="exact"/>
        <w:ind w:left="360"/>
        <w:rPr>
          <w:rFonts w:ascii="Calibri" w:hAnsi="Calibri" w:cs="DIN Pro Regular"/>
          <w:b/>
          <w:smallCaps/>
          <w:sz w:val="20"/>
          <w:szCs w:val="20"/>
        </w:rPr>
      </w:pPr>
    </w:p>
    <w:p w14:paraId="0F62D782" w14:textId="77777777" w:rsidR="005B1BB2" w:rsidRDefault="005B1BB2">
      <w:pPr>
        <w:pStyle w:val="INCISO"/>
        <w:spacing w:after="0" w:line="240" w:lineRule="exact"/>
        <w:ind w:left="360"/>
        <w:rPr>
          <w:rFonts w:ascii="Calibri" w:hAnsi="Calibri" w:cs="DIN Pro Regular"/>
          <w:b/>
          <w:smallCaps/>
          <w:sz w:val="20"/>
          <w:szCs w:val="20"/>
        </w:rPr>
      </w:pPr>
    </w:p>
    <w:p w14:paraId="5DF251B8" w14:textId="77777777" w:rsidR="005B1BB2" w:rsidRDefault="005B1BB2">
      <w:pPr>
        <w:pStyle w:val="INCISO"/>
        <w:spacing w:after="0" w:line="240" w:lineRule="exact"/>
        <w:ind w:left="360"/>
        <w:rPr>
          <w:rFonts w:ascii="Calibri" w:hAnsi="Calibri" w:cs="DIN Pro Regular"/>
          <w:b/>
          <w:smallCaps/>
          <w:sz w:val="20"/>
          <w:szCs w:val="20"/>
        </w:rPr>
      </w:pPr>
    </w:p>
    <w:p w14:paraId="3435E23A" w14:textId="77777777" w:rsidR="005B1BB2" w:rsidRDefault="005B1BB2">
      <w:pPr>
        <w:pStyle w:val="INCISO"/>
        <w:spacing w:after="0" w:line="240" w:lineRule="exact"/>
        <w:ind w:left="360"/>
        <w:rPr>
          <w:rFonts w:ascii="Calibri" w:hAnsi="Calibri" w:cs="DIN Pro Regular"/>
          <w:b/>
          <w:smallCaps/>
          <w:sz w:val="20"/>
          <w:szCs w:val="20"/>
        </w:rPr>
      </w:pPr>
    </w:p>
    <w:p w14:paraId="12349182" w14:textId="77777777" w:rsidR="005B1BB2" w:rsidRDefault="005B1BB2">
      <w:pPr>
        <w:pStyle w:val="INCISO"/>
        <w:spacing w:after="0" w:line="240" w:lineRule="exact"/>
        <w:ind w:left="360"/>
        <w:rPr>
          <w:rFonts w:ascii="Calibri" w:hAnsi="Calibri" w:cs="DIN Pro Regular"/>
          <w:b/>
          <w:smallCaps/>
          <w:sz w:val="20"/>
          <w:szCs w:val="20"/>
        </w:rPr>
      </w:pPr>
    </w:p>
    <w:p w14:paraId="05BED1D1" w14:textId="77777777" w:rsidR="005B1BB2" w:rsidRDefault="005B1BB2">
      <w:pPr>
        <w:pStyle w:val="INCISO"/>
        <w:spacing w:after="0" w:line="240" w:lineRule="exact"/>
        <w:ind w:left="360"/>
        <w:rPr>
          <w:rFonts w:ascii="Calibri" w:hAnsi="Calibri" w:cs="DIN Pro Regular"/>
          <w:b/>
          <w:smallCaps/>
          <w:sz w:val="20"/>
          <w:szCs w:val="20"/>
        </w:rPr>
      </w:pPr>
    </w:p>
    <w:p w14:paraId="0483EB23" w14:textId="77777777" w:rsidR="005B1BB2" w:rsidRDefault="005B1BB2">
      <w:pPr>
        <w:pStyle w:val="INCISO"/>
        <w:spacing w:after="0" w:line="240" w:lineRule="exact"/>
        <w:ind w:left="360"/>
        <w:rPr>
          <w:rFonts w:ascii="Calibri" w:hAnsi="Calibri" w:cs="DIN Pro Regular"/>
          <w:b/>
          <w:smallCaps/>
          <w:sz w:val="20"/>
          <w:szCs w:val="20"/>
        </w:rPr>
      </w:pPr>
    </w:p>
    <w:p w14:paraId="53E057A2" w14:textId="77777777" w:rsidR="005B1BB2" w:rsidRDefault="005B1BB2">
      <w:pPr>
        <w:pStyle w:val="INCISO"/>
        <w:spacing w:after="0" w:line="240" w:lineRule="exact"/>
        <w:ind w:left="360"/>
        <w:rPr>
          <w:rFonts w:ascii="Calibri" w:hAnsi="Calibri" w:cs="DIN Pro Regular"/>
          <w:b/>
          <w:smallCaps/>
          <w:sz w:val="20"/>
          <w:szCs w:val="20"/>
        </w:rPr>
      </w:pPr>
    </w:p>
    <w:p w14:paraId="608ECB59" w14:textId="77777777" w:rsidR="005B1BB2" w:rsidRDefault="005B1BB2">
      <w:pPr>
        <w:pStyle w:val="INCISO"/>
        <w:spacing w:after="0" w:line="240" w:lineRule="exact"/>
        <w:ind w:left="360"/>
        <w:rPr>
          <w:rFonts w:ascii="Calibri" w:hAnsi="Calibri" w:cs="DIN Pro Regular"/>
          <w:b/>
          <w:smallCaps/>
          <w:sz w:val="20"/>
          <w:szCs w:val="20"/>
        </w:rPr>
      </w:pPr>
    </w:p>
    <w:p w14:paraId="611C0BF1" w14:textId="77777777" w:rsidR="005B1BB2" w:rsidRDefault="005B1BB2">
      <w:pPr>
        <w:pStyle w:val="INCISO"/>
        <w:spacing w:after="0" w:line="240" w:lineRule="exact"/>
        <w:ind w:left="360"/>
        <w:rPr>
          <w:rFonts w:ascii="Calibri" w:hAnsi="Calibri" w:cs="DIN Pro Regular"/>
          <w:b/>
          <w:smallCaps/>
          <w:sz w:val="20"/>
          <w:szCs w:val="20"/>
        </w:rPr>
      </w:pPr>
    </w:p>
    <w:p w14:paraId="0C030B00" w14:textId="77777777" w:rsidR="005B1BB2" w:rsidRDefault="005B1BB2">
      <w:pPr>
        <w:pStyle w:val="INCISO"/>
        <w:spacing w:after="0" w:line="240" w:lineRule="exact"/>
        <w:ind w:left="360"/>
        <w:rPr>
          <w:rFonts w:ascii="Calibri" w:hAnsi="Calibri" w:cs="DIN Pro Regular"/>
          <w:b/>
          <w:smallCaps/>
          <w:sz w:val="20"/>
          <w:szCs w:val="20"/>
        </w:rPr>
      </w:pPr>
    </w:p>
    <w:p w14:paraId="6BC9A86F" w14:textId="77777777" w:rsidR="005B1BB2" w:rsidRDefault="005B1BB2">
      <w:pPr>
        <w:pStyle w:val="INCISO"/>
        <w:spacing w:after="0" w:line="240" w:lineRule="exact"/>
        <w:ind w:left="360"/>
        <w:rPr>
          <w:rFonts w:ascii="Calibri" w:hAnsi="Calibri" w:cs="DIN Pro Regular"/>
          <w:b/>
          <w:smallCaps/>
          <w:sz w:val="20"/>
          <w:szCs w:val="20"/>
        </w:rPr>
      </w:pPr>
    </w:p>
    <w:p w14:paraId="324F9553" w14:textId="77777777" w:rsidR="005B1BB2" w:rsidRDefault="005B1BB2">
      <w:pPr>
        <w:pStyle w:val="INCISO"/>
        <w:spacing w:after="0" w:line="240" w:lineRule="exact"/>
        <w:ind w:left="360"/>
        <w:rPr>
          <w:rFonts w:ascii="Calibri" w:hAnsi="Calibri" w:cs="DIN Pro Regular"/>
          <w:b/>
          <w:smallCaps/>
          <w:sz w:val="20"/>
          <w:szCs w:val="20"/>
        </w:rPr>
      </w:pPr>
    </w:p>
    <w:p w14:paraId="32205351" w14:textId="77777777" w:rsidR="005B1BB2" w:rsidRDefault="005B1BB2">
      <w:pPr>
        <w:pStyle w:val="INCISO"/>
        <w:spacing w:after="0" w:line="240" w:lineRule="exact"/>
        <w:ind w:left="360"/>
        <w:rPr>
          <w:rFonts w:ascii="Calibri" w:hAnsi="Calibri" w:cs="DIN Pro Regular"/>
          <w:b/>
          <w:smallCaps/>
          <w:sz w:val="20"/>
          <w:szCs w:val="20"/>
        </w:rPr>
      </w:pPr>
    </w:p>
    <w:p w14:paraId="1D290CD1" w14:textId="77777777" w:rsidR="005B1BB2" w:rsidRDefault="005B1BB2">
      <w:pPr>
        <w:pStyle w:val="INCISO"/>
        <w:spacing w:after="0" w:line="240" w:lineRule="exact"/>
        <w:ind w:left="0" w:firstLine="0"/>
        <w:rPr>
          <w:rFonts w:ascii="Calibri" w:hAnsi="Calibri" w:cs="DIN Pro Regular"/>
          <w:b/>
          <w:smallCaps/>
          <w:sz w:val="20"/>
          <w:szCs w:val="20"/>
        </w:rPr>
      </w:pPr>
    </w:p>
    <w:p w14:paraId="4ADD5EDB" w14:textId="77777777" w:rsidR="005B1BB2" w:rsidRDefault="005B1BB2">
      <w:pPr>
        <w:pStyle w:val="INCISO"/>
        <w:spacing w:after="0" w:line="240" w:lineRule="exact"/>
        <w:ind w:left="360"/>
        <w:rPr>
          <w:rFonts w:ascii="Calibri" w:hAnsi="Calibri" w:cs="DIN Pro Regular"/>
          <w:b/>
          <w:smallCaps/>
          <w:sz w:val="20"/>
          <w:szCs w:val="20"/>
        </w:rPr>
      </w:pPr>
    </w:p>
    <w:p w14:paraId="298CC27D" w14:textId="77777777" w:rsidR="005B1BB2" w:rsidRDefault="005B1BB2">
      <w:pPr>
        <w:pStyle w:val="INCISO"/>
        <w:spacing w:after="0" w:line="240" w:lineRule="exact"/>
        <w:ind w:left="360"/>
        <w:rPr>
          <w:rFonts w:ascii="Calibri" w:hAnsi="Calibri" w:cs="DIN Pro Regular"/>
          <w:b/>
          <w:smallCaps/>
          <w:sz w:val="20"/>
          <w:szCs w:val="20"/>
        </w:rPr>
      </w:pPr>
    </w:p>
    <w:p w14:paraId="180E0177" w14:textId="77777777" w:rsidR="005B1BB2" w:rsidRDefault="005B1BB2">
      <w:pPr>
        <w:pStyle w:val="INCISO"/>
        <w:spacing w:after="0" w:line="240" w:lineRule="exact"/>
        <w:ind w:left="360"/>
        <w:rPr>
          <w:rFonts w:ascii="Calibri" w:hAnsi="Calibri" w:cs="DIN Pro Regular"/>
          <w:b/>
          <w:smallCaps/>
          <w:sz w:val="20"/>
          <w:szCs w:val="20"/>
        </w:rPr>
      </w:pPr>
    </w:p>
    <w:p w14:paraId="6C5AF3B7" w14:textId="77777777" w:rsidR="005B1BB2" w:rsidRDefault="005B1BB2">
      <w:pPr>
        <w:pStyle w:val="INCISO"/>
        <w:spacing w:after="0" w:line="240" w:lineRule="exact"/>
        <w:ind w:left="360"/>
        <w:rPr>
          <w:rFonts w:ascii="Calibri" w:hAnsi="Calibri" w:cs="DIN Pro Regular"/>
          <w:b/>
          <w:smallCaps/>
          <w:sz w:val="20"/>
          <w:szCs w:val="20"/>
        </w:rPr>
      </w:pPr>
    </w:p>
    <w:p w14:paraId="7844AA3D" w14:textId="77777777" w:rsidR="005B1BB2" w:rsidRDefault="005B1BB2">
      <w:pPr>
        <w:pStyle w:val="INCISO"/>
        <w:spacing w:after="0" w:line="240" w:lineRule="exact"/>
        <w:ind w:left="360"/>
        <w:rPr>
          <w:rFonts w:ascii="Calibri" w:hAnsi="Calibri" w:cs="DIN Pro Regular"/>
          <w:b/>
          <w:smallCaps/>
          <w:sz w:val="20"/>
          <w:szCs w:val="20"/>
        </w:rPr>
      </w:pPr>
    </w:p>
    <w:p w14:paraId="7D43E29D" w14:textId="77777777" w:rsidR="005B1BB2" w:rsidRDefault="005B1BB2">
      <w:pPr>
        <w:pStyle w:val="INCISO"/>
        <w:spacing w:after="0" w:line="240" w:lineRule="exact"/>
        <w:ind w:left="360"/>
        <w:rPr>
          <w:rFonts w:ascii="Calibri" w:hAnsi="Calibri" w:cs="DIN Pro Regular"/>
          <w:b/>
          <w:smallCaps/>
          <w:sz w:val="20"/>
          <w:szCs w:val="20"/>
        </w:rPr>
      </w:pPr>
    </w:p>
    <w:p w14:paraId="30599600" w14:textId="77777777" w:rsidR="005B1BB2" w:rsidRDefault="005B1BB2">
      <w:pPr>
        <w:pStyle w:val="INCISO"/>
        <w:spacing w:after="0" w:line="240" w:lineRule="exact"/>
        <w:ind w:left="360"/>
        <w:rPr>
          <w:rFonts w:ascii="Calibri" w:hAnsi="Calibri" w:cs="DIN Pro Regular"/>
          <w:b/>
          <w:smallCaps/>
          <w:sz w:val="20"/>
          <w:szCs w:val="20"/>
        </w:rPr>
      </w:pPr>
    </w:p>
    <w:p w14:paraId="77DC464D" w14:textId="77777777" w:rsidR="005B1BB2" w:rsidRDefault="005B1BB2">
      <w:pPr>
        <w:pStyle w:val="INCISO"/>
        <w:spacing w:after="0" w:line="240" w:lineRule="exact"/>
        <w:ind w:left="360"/>
        <w:rPr>
          <w:rFonts w:ascii="Calibri" w:hAnsi="Calibri" w:cs="DIN Pro Regular"/>
          <w:b/>
          <w:smallCaps/>
          <w:sz w:val="20"/>
          <w:szCs w:val="20"/>
        </w:rPr>
      </w:pPr>
    </w:p>
    <w:p w14:paraId="5882030A" w14:textId="77777777" w:rsidR="005B1BB2" w:rsidRDefault="005B1BB2">
      <w:pPr>
        <w:pStyle w:val="INCISO"/>
        <w:spacing w:after="0" w:line="240" w:lineRule="exact"/>
        <w:ind w:left="360"/>
        <w:rPr>
          <w:rFonts w:ascii="Calibri" w:hAnsi="Calibri" w:cs="DIN Pro Regular"/>
          <w:b/>
          <w:smallCaps/>
          <w:sz w:val="20"/>
          <w:szCs w:val="20"/>
        </w:rPr>
      </w:pPr>
    </w:p>
    <w:p w14:paraId="0EBB7545" w14:textId="77777777" w:rsidR="005B1BB2" w:rsidRDefault="005B1BB2">
      <w:pPr>
        <w:pStyle w:val="INCISO"/>
        <w:spacing w:after="0" w:line="240" w:lineRule="exact"/>
        <w:ind w:left="360"/>
        <w:rPr>
          <w:rFonts w:ascii="Calibri" w:hAnsi="Calibri" w:cs="DIN Pro Regular"/>
          <w:b/>
          <w:smallCaps/>
          <w:sz w:val="20"/>
          <w:szCs w:val="20"/>
        </w:rPr>
      </w:pPr>
    </w:p>
    <w:p w14:paraId="488E9B5A" w14:textId="77777777" w:rsidR="005B1BB2" w:rsidRDefault="005B1BB2">
      <w:pPr>
        <w:pStyle w:val="INCISO"/>
        <w:spacing w:after="0" w:line="240" w:lineRule="exact"/>
        <w:ind w:left="360"/>
        <w:rPr>
          <w:rFonts w:ascii="Calibri" w:hAnsi="Calibri" w:cs="DIN Pro Regular"/>
          <w:b/>
          <w:smallCaps/>
          <w:sz w:val="20"/>
          <w:szCs w:val="20"/>
        </w:rPr>
      </w:pPr>
    </w:p>
    <w:p w14:paraId="21EAA9E2" w14:textId="77777777" w:rsidR="005B1BB2" w:rsidRDefault="005B1BB2">
      <w:pPr>
        <w:pStyle w:val="INCISO"/>
        <w:spacing w:after="0" w:line="240" w:lineRule="exact"/>
        <w:ind w:left="360"/>
        <w:rPr>
          <w:rFonts w:ascii="Calibri" w:hAnsi="Calibri" w:cs="DIN Pro Regular"/>
          <w:b/>
          <w:smallCaps/>
          <w:sz w:val="20"/>
          <w:szCs w:val="20"/>
        </w:rPr>
      </w:pPr>
    </w:p>
    <w:p w14:paraId="428402F1" w14:textId="77777777" w:rsidR="005B1BB2" w:rsidRDefault="005B1BB2">
      <w:pPr>
        <w:pStyle w:val="INCISO"/>
        <w:spacing w:after="0" w:line="240" w:lineRule="exact"/>
        <w:ind w:left="360"/>
        <w:rPr>
          <w:rFonts w:ascii="Calibri" w:hAnsi="Calibri" w:cs="DIN Pro Regular"/>
          <w:b/>
          <w:smallCaps/>
          <w:sz w:val="20"/>
          <w:szCs w:val="20"/>
        </w:rPr>
      </w:pPr>
    </w:p>
    <w:p w14:paraId="5D71A819" w14:textId="77777777" w:rsidR="005B1BB2" w:rsidRDefault="005B1BB2">
      <w:pPr>
        <w:pStyle w:val="INCISO"/>
        <w:spacing w:after="0" w:line="240" w:lineRule="exact"/>
        <w:ind w:left="360"/>
        <w:rPr>
          <w:rFonts w:ascii="Calibri" w:hAnsi="Calibri" w:cs="DIN Pro Regular"/>
          <w:b/>
          <w:smallCaps/>
          <w:sz w:val="20"/>
          <w:szCs w:val="20"/>
        </w:rPr>
      </w:pPr>
    </w:p>
    <w:p w14:paraId="6C4AAB09" w14:textId="77777777" w:rsidR="005B1BB2" w:rsidRDefault="005B1BB2">
      <w:pPr>
        <w:pStyle w:val="INCISO"/>
        <w:spacing w:after="0" w:line="240" w:lineRule="exact"/>
        <w:ind w:left="360"/>
        <w:rPr>
          <w:rFonts w:ascii="Calibri" w:hAnsi="Calibri" w:cs="DIN Pro Regular"/>
          <w:b/>
          <w:smallCaps/>
          <w:sz w:val="20"/>
          <w:szCs w:val="20"/>
        </w:rPr>
      </w:pPr>
    </w:p>
    <w:p w14:paraId="07905DF3" w14:textId="77777777" w:rsidR="005B1BB2" w:rsidRDefault="005B1BB2">
      <w:pPr>
        <w:pStyle w:val="INCISO"/>
        <w:spacing w:after="0" w:line="240" w:lineRule="exact"/>
        <w:ind w:left="360"/>
        <w:rPr>
          <w:rFonts w:ascii="Calibri" w:hAnsi="Calibri" w:cs="DIN Pro Regular"/>
          <w:b/>
          <w:smallCaps/>
          <w:sz w:val="20"/>
          <w:szCs w:val="20"/>
        </w:rPr>
      </w:pPr>
    </w:p>
    <w:p w14:paraId="4870F97C" w14:textId="77777777" w:rsidR="005B1BB2" w:rsidRDefault="005B1BB2">
      <w:pPr>
        <w:pStyle w:val="INCISO"/>
        <w:spacing w:after="0" w:line="240" w:lineRule="exact"/>
        <w:ind w:left="360"/>
        <w:rPr>
          <w:rFonts w:ascii="Calibri" w:hAnsi="Calibri" w:cs="DIN Pro Regular"/>
          <w:b/>
          <w:smallCaps/>
          <w:sz w:val="20"/>
          <w:szCs w:val="20"/>
        </w:rPr>
      </w:pPr>
    </w:p>
    <w:p w14:paraId="311FEB74" w14:textId="77777777" w:rsidR="005B1BB2" w:rsidRDefault="005B1BB2">
      <w:pPr>
        <w:pStyle w:val="INCISO"/>
        <w:spacing w:after="0" w:line="240" w:lineRule="exact"/>
        <w:ind w:left="360"/>
        <w:rPr>
          <w:rFonts w:ascii="Calibri" w:hAnsi="Calibri" w:cs="DIN Pro Regular"/>
          <w:b/>
          <w:smallCaps/>
          <w:sz w:val="20"/>
          <w:szCs w:val="20"/>
        </w:rPr>
      </w:pPr>
    </w:p>
    <w:p w14:paraId="3098A013" w14:textId="77777777" w:rsidR="005B1BB2" w:rsidRDefault="005B1BB2">
      <w:pPr>
        <w:pStyle w:val="INCISO"/>
        <w:spacing w:after="0" w:line="240" w:lineRule="exact"/>
        <w:ind w:left="360"/>
        <w:rPr>
          <w:rFonts w:ascii="Calibri" w:hAnsi="Calibri" w:cs="DIN Pro Regular"/>
          <w:b/>
          <w:smallCaps/>
          <w:sz w:val="20"/>
          <w:szCs w:val="20"/>
        </w:rPr>
      </w:pPr>
    </w:p>
    <w:p w14:paraId="6A41D80F" w14:textId="77777777" w:rsidR="005B1BB2" w:rsidRDefault="005B1BB2">
      <w:pPr>
        <w:pStyle w:val="INCISO"/>
        <w:spacing w:after="0" w:line="240" w:lineRule="exact"/>
        <w:ind w:left="360"/>
        <w:rPr>
          <w:rFonts w:ascii="Calibri" w:hAnsi="Calibri" w:cs="DIN Pro Regular"/>
          <w:b/>
          <w:smallCaps/>
          <w:sz w:val="20"/>
          <w:szCs w:val="20"/>
        </w:rPr>
      </w:pPr>
    </w:p>
    <w:p w14:paraId="7B0AAB83" w14:textId="77777777" w:rsidR="005B1BB2" w:rsidRDefault="005B1BB2">
      <w:pPr>
        <w:pStyle w:val="INCISO"/>
        <w:spacing w:after="0" w:line="240" w:lineRule="exact"/>
        <w:ind w:left="360"/>
        <w:rPr>
          <w:rFonts w:ascii="Calibri" w:hAnsi="Calibri" w:cs="DIN Pro Regular"/>
          <w:b/>
          <w:smallCaps/>
          <w:sz w:val="20"/>
          <w:szCs w:val="20"/>
        </w:rPr>
      </w:pPr>
    </w:p>
    <w:p w14:paraId="6362A84A" w14:textId="77777777" w:rsidR="005B1BB2" w:rsidRDefault="005B1BB2">
      <w:pPr>
        <w:pStyle w:val="INCISO"/>
        <w:spacing w:after="0" w:line="240" w:lineRule="exact"/>
        <w:ind w:left="360"/>
        <w:rPr>
          <w:rFonts w:ascii="Calibri" w:hAnsi="Calibri" w:cs="DIN Pro Regular"/>
          <w:b/>
          <w:smallCaps/>
          <w:sz w:val="20"/>
          <w:szCs w:val="20"/>
        </w:rPr>
      </w:pPr>
    </w:p>
    <w:p w14:paraId="5ADF07B5" w14:textId="77777777" w:rsidR="005B1BB2" w:rsidRDefault="00000000">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39378904" w14:textId="77777777" w:rsidR="005B1BB2" w:rsidRDefault="00000000">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31452A67" wp14:editId="45786EA2">
                <wp:simplePos x="0" y="0"/>
                <wp:positionH relativeFrom="column">
                  <wp:posOffset>281882</wp:posOffset>
                </wp:positionH>
                <wp:positionV relativeFrom="paragraph">
                  <wp:posOffset>111236</wp:posOffset>
                </wp:positionV>
                <wp:extent cx="5448937" cy="6398898"/>
                <wp:effectExtent l="0" t="0" r="18413" b="1902"/>
                <wp:wrapSquare wrapText="bothSides"/>
                <wp:docPr id="1910706070"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5B1BB2" w14:paraId="2EFFA58F" w14:textId="77777777">
                              <w:tblPrEx>
                                <w:tblCellMar>
                                  <w:top w:w="0" w:type="dxa"/>
                                  <w:bottom w:w="0" w:type="dxa"/>
                                </w:tblCellMar>
                              </w:tblPrEx>
                              <w:trPr>
                                <w:trHeight w:val="547"/>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164947BF" w14:textId="77777777" w:rsidR="005B1BB2"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Universidad Tecnológica de Nuevo Laredo</w:t>
                                  </w:r>
                                </w:p>
                              </w:tc>
                              <w:tc>
                                <w:tcPr>
                                  <w:tcW w:w="160" w:type="dxa"/>
                                  <w:shd w:val="clear" w:color="auto" w:fill="auto"/>
                                  <w:tcMar>
                                    <w:top w:w="0" w:type="dxa"/>
                                    <w:left w:w="70" w:type="dxa"/>
                                    <w:bottom w:w="0" w:type="dxa"/>
                                    <w:right w:w="70" w:type="dxa"/>
                                  </w:tcMar>
                                </w:tcPr>
                                <w:p w14:paraId="1452291B" w14:textId="77777777" w:rsidR="005B1BB2" w:rsidRDefault="005B1BB2">
                                  <w:pPr>
                                    <w:pStyle w:val="Standard"/>
                                    <w:widowControl w:val="0"/>
                                  </w:pPr>
                                </w:p>
                              </w:tc>
                            </w:tr>
                            <w:tr w:rsidR="005B1BB2" w14:paraId="05C0CC7A"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07F33FF" w14:textId="77777777" w:rsidR="005B1BB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4AFA7755" w14:textId="77777777" w:rsidR="005B1BB2" w:rsidRDefault="005B1BB2">
                                  <w:pPr>
                                    <w:pStyle w:val="Standard"/>
                                    <w:widowControl w:val="0"/>
                                  </w:pPr>
                                </w:p>
                              </w:tc>
                            </w:tr>
                            <w:tr w:rsidR="005B1BB2" w14:paraId="2A932600"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0711A91" w14:textId="77777777" w:rsidR="005B1BB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1E151A00" w14:textId="77777777" w:rsidR="005B1BB2" w:rsidRDefault="005B1BB2">
                                  <w:pPr>
                                    <w:pStyle w:val="Standard"/>
                                    <w:widowControl w:val="0"/>
                                  </w:pPr>
                                </w:p>
                              </w:tc>
                            </w:tr>
                            <w:tr w:rsidR="005B1BB2" w14:paraId="52F87867"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A25AA16" w14:textId="77777777" w:rsidR="005B1BB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41FAF0E6" w14:textId="77777777" w:rsidR="005B1BB2" w:rsidRDefault="005B1BB2">
                                  <w:pPr>
                                    <w:pStyle w:val="Standard"/>
                                    <w:widowControl w:val="0"/>
                                  </w:pPr>
                                </w:p>
                              </w:tc>
                            </w:tr>
                            <w:tr w:rsidR="005B1BB2" w14:paraId="32FB8872"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12FE0E2" w14:textId="77777777" w:rsidR="005B1BB2" w:rsidRDefault="005B1BB2">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44D3134C"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098123D"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500A0E1"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54288ECF" w14:textId="77777777" w:rsidR="005B1BB2" w:rsidRDefault="005B1BB2">
                                  <w:pPr>
                                    <w:pStyle w:val="Standard"/>
                                    <w:widowControl w:val="0"/>
                                  </w:pPr>
                                </w:p>
                              </w:tc>
                            </w:tr>
                            <w:tr w:rsidR="005B1BB2" w14:paraId="105C5809"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6AE50CE" w14:textId="77777777" w:rsidR="005B1BB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5EF569" w14:textId="77777777" w:rsidR="005B1BB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$110,278,875.00</w:t>
                                  </w:r>
                                </w:p>
                              </w:tc>
                              <w:tc>
                                <w:tcPr>
                                  <w:tcW w:w="160" w:type="dxa"/>
                                  <w:shd w:val="clear" w:color="auto" w:fill="auto"/>
                                  <w:tcMar>
                                    <w:top w:w="0" w:type="dxa"/>
                                    <w:left w:w="70" w:type="dxa"/>
                                    <w:bottom w:w="0" w:type="dxa"/>
                                    <w:right w:w="70" w:type="dxa"/>
                                  </w:tcMar>
                                </w:tcPr>
                                <w:p w14:paraId="0DF97951"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36AFC66F" w14:textId="77777777" w:rsidR="005B1BB2" w:rsidRDefault="005B1BB2">
                                  <w:pPr>
                                    <w:pStyle w:val="Standard"/>
                                    <w:widowControl w:val="0"/>
                                  </w:pPr>
                                </w:p>
                              </w:tc>
                            </w:tr>
                            <w:tr w:rsidR="005B1BB2" w14:paraId="214FE0F9"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41A9FE3A" w14:textId="77777777" w:rsidR="005B1BB2" w:rsidRDefault="005B1BB2">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18AD050"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35664D5A"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0B249B1"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42C1D687" w14:textId="77777777" w:rsidR="005B1BB2" w:rsidRDefault="005B1BB2">
                                  <w:pPr>
                                    <w:pStyle w:val="Standard"/>
                                    <w:widowControl w:val="0"/>
                                  </w:pPr>
                                </w:p>
                              </w:tc>
                            </w:tr>
                            <w:tr w:rsidR="005B1BB2" w14:paraId="35D54AA5"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0766177" w14:textId="77777777" w:rsidR="005B1BB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85BDC4" w14:textId="77777777" w:rsidR="005B1BB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$1,886,601.00</w:t>
                                  </w:r>
                                </w:p>
                              </w:tc>
                              <w:tc>
                                <w:tcPr>
                                  <w:tcW w:w="160" w:type="dxa"/>
                                  <w:shd w:val="clear" w:color="auto" w:fill="auto"/>
                                  <w:tcMar>
                                    <w:top w:w="0" w:type="dxa"/>
                                    <w:left w:w="70" w:type="dxa"/>
                                    <w:bottom w:w="0" w:type="dxa"/>
                                    <w:right w:w="70" w:type="dxa"/>
                                  </w:tcMar>
                                </w:tcPr>
                                <w:p w14:paraId="2DCDD023"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4BB69094" w14:textId="77777777" w:rsidR="005B1BB2" w:rsidRDefault="005B1BB2">
                                  <w:pPr>
                                    <w:pStyle w:val="Standard"/>
                                    <w:widowControl w:val="0"/>
                                  </w:pPr>
                                </w:p>
                              </w:tc>
                            </w:tr>
                            <w:tr w:rsidR="005B1BB2" w14:paraId="0D9E158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9D5D5A" w14:textId="77777777" w:rsidR="005B1BB2"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13357C"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F7D68C" w14:textId="77777777" w:rsidR="005B1BB2"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$1,886,601.00</w:t>
                                  </w:r>
                                </w:p>
                              </w:tc>
                              <w:tc>
                                <w:tcPr>
                                  <w:tcW w:w="160" w:type="dxa"/>
                                  <w:shd w:val="clear" w:color="auto" w:fill="auto"/>
                                  <w:tcMar>
                                    <w:top w:w="0" w:type="dxa"/>
                                    <w:left w:w="70" w:type="dxa"/>
                                    <w:bottom w:w="0" w:type="dxa"/>
                                    <w:right w:w="70" w:type="dxa"/>
                                  </w:tcMar>
                                </w:tcPr>
                                <w:p w14:paraId="37EEA67B"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59758C8E" w14:textId="77777777" w:rsidR="005B1BB2" w:rsidRDefault="005B1BB2">
                                  <w:pPr>
                                    <w:pStyle w:val="Standard"/>
                                    <w:widowControl w:val="0"/>
                                  </w:pPr>
                                </w:p>
                              </w:tc>
                            </w:tr>
                            <w:tr w:rsidR="005B1BB2" w14:paraId="7C71C6C9"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ADA6A1" w14:textId="77777777" w:rsidR="005B1BB2"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DE3141"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143805"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1B5F481"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1F98F7BA"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3E409A0" w14:textId="77777777" w:rsidR="005B1BB2"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521BA9"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FC08BF"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5E865DF"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78AC307C"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A645AA2" w14:textId="77777777" w:rsidR="005B1BB2"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F5DE4F"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5E2DEE"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514C3E6"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2F822D0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CCEE66" w14:textId="77777777" w:rsidR="005B1BB2"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E28184"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8F8337"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8A9A740"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5338A004"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0612CD" w14:textId="77777777" w:rsidR="005B1BB2"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0C1138"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DFD8DE1"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09D398D7"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3E5FAAE5"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772BED2D"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6B36DD51"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2D563F0"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3F67BD3D" w14:textId="77777777" w:rsidR="005B1BB2" w:rsidRDefault="005B1BB2">
                                  <w:pPr>
                                    <w:pStyle w:val="Standard"/>
                                    <w:widowControl w:val="0"/>
                                  </w:pPr>
                                </w:p>
                              </w:tc>
                            </w:tr>
                            <w:tr w:rsidR="005B1BB2" w14:paraId="73750A8E"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59B351E" w14:textId="77777777" w:rsidR="005B1BB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517E89" w14:textId="77777777" w:rsidR="005B1BB2" w:rsidRDefault="005B1BB2">
                                  <w:pPr>
                                    <w:pStyle w:val="Standard"/>
                                    <w:widowControl w:val="0"/>
                                    <w:spacing w:after="0" w:line="240" w:lineRule="auto"/>
                                    <w:jc w:val="center"/>
                                    <w:rPr>
                                      <w:rFonts w:eastAsia="Times New Roman" w:cs="DIN Pro Regular"/>
                                      <w:b/>
                                      <w:color w:val="000000"/>
                                      <w:sz w:val="20"/>
                                      <w:szCs w:val="20"/>
                                      <w:lang w:eastAsia="es-MX"/>
                                    </w:rPr>
                                  </w:pPr>
                                </w:p>
                              </w:tc>
                              <w:tc>
                                <w:tcPr>
                                  <w:tcW w:w="160" w:type="dxa"/>
                                  <w:shd w:val="clear" w:color="auto" w:fill="auto"/>
                                  <w:tcMar>
                                    <w:top w:w="0" w:type="dxa"/>
                                    <w:left w:w="70" w:type="dxa"/>
                                    <w:bottom w:w="0" w:type="dxa"/>
                                    <w:right w:w="70" w:type="dxa"/>
                                  </w:tcMar>
                                </w:tcPr>
                                <w:p w14:paraId="17704848"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4991A508" w14:textId="77777777" w:rsidR="005B1BB2" w:rsidRDefault="005B1BB2">
                                  <w:pPr>
                                    <w:pStyle w:val="Standard"/>
                                    <w:widowControl w:val="0"/>
                                  </w:pPr>
                                </w:p>
                              </w:tc>
                            </w:tr>
                            <w:tr w:rsidR="005B1BB2" w14:paraId="496F81E2"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C22E3F1" w14:textId="77777777" w:rsidR="005B1BB2"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8F8638"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1CDAF3"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008767E"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6FB68DEC" w14:textId="77777777" w:rsidR="005B1BB2" w:rsidRDefault="005B1BB2">
                                  <w:pPr>
                                    <w:pStyle w:val="Standard"/>
                                    <w:widowControl w:val="0"/>
                                  </w:pPr>
                                </w:p>
                              </w:tc>
                            </w:tr>
                            <w:tr w:rsidR="005B1BB2" w14:paraId="68A52F38"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D68B59" w14:textId="77777777" w:rsidR="005B1BB2"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ACC3C7"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DF7917"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035525B"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5688E97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116018" w14:textId="77777777" w:rsidR="005B1BB2"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A05003"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2A4E05"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FFFE1DE"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49E7D33B"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5D72A3E6" w14:textId="77777777" w:rsidR="005B1BB2" w:rsidRDefault="005B1BB2">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12068493"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F18C2F6"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13FC1CC1" w14:textId="77777777" w:rsidR="005B1BB2" w:rsidRDefault="005B1BB2">
                                  <w:pPr>
                                    <w:pStyle w:val="Standard"/>
                                    <w:widowControl w:val="0"/>
                                  </w:pPr>
                                </w:p>
                              </w:tc>
                            </w:tr>
                            <w:tr w:rsidR="005B1BB2" w14:paraId="12D6FC42"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D9F6456" w14:textId="77777777" w:rsidR="005B1BB2"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D91248" w14:textId="77777777" w:rsidR="005B1BB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$112,165,476.00</w:t>
                                  </w:r>
                                </w:p>
                              </w:tc>
                              <w:tc>
                                <w:tcPr>
                                  <w:tcW w:w="160" w:type="dxa"/>
                                  <w:shd w:val="clear" w:color="auto" w:fill="auto"/>
                                  <w:tcMar>
                                    <w:top w:w="0" w:type="dxa"/>
                                    <w:left w:w="70" w:type="dxa"/>
                                    <w:bottom w:w="0" w:type="dxa"/>
                                    <w:right w:w="70" w:type="dxa"/>
                                  </w:tcMar>
                                </w:tcPr>
                                <w:p w14:paraId="109F223C"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43F1159D" w14:textId="77777777" w:rsidR="005B1BB2" w:rsidRDefault="005B1BB2">
                                  <w:pPr>
                                    <w:pStyle w:val="Standard"/>
                                    <w:widowControl w:val="0"/>
                                  </w:pPr>
                                </w:p>
                              </w:tc>
                            </w:tr>
                          </w:tbl>
                          <w:p w14:paraId="5C9829BF" w14:textId="77777777" w:rsidR="005B1BB2" w:rsidRDefault="005B1BB2"/>
                        </w:txbxContent>
                      </wps:txbx>
                      <wps:bodyPr vert="horz" wrap="none" lIns="0" tIns="0" rIns="0" bIns="0" anchor="t" anchorCtr="0" compatLnSpc="0">
                        <a:spAutoFit/>
                      </wps:bodyPr>
                    </wps:wsp>
                  </a:graphicData>
                </a:graphic>
              </wp:anchor>
            </w:drawing>
          </mc:Choice>
          <mc:Fallback>
            <w:pict>
              <v:shapetype w14:anchorId="31452A67"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5B1BB2" w14:paraId="2EFFA58F" w14:textId="77777777">
                        <w:tblPrEx>
                          <w:tblCellMar>
                            <w:top w:w="0" w:type="dxa"/>
                            <w:bottom w:w="0" w:type="dxa"/>
                          </w:tblCellMar>
                        </w:tblPrEx>
                        <w:trPr>
                          <w:trHeight w:val="547"/>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164947BF" w14:textId="77777777" w:rsidR="005B1BB2"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Universidad Tecnológica de Nuevo Laredo</w:t>
                            </w:r>
                          </w:p>
                        </w:tc>
                        <w:tc>
                          <w:tcPr>
                            <w:tcW w:w="160" w:type="dxa"/>
                            <w:shd w:val="clear" w:color="auto" w:fill="auto"/>
                            <w:tcMar>
                              <w:top w:w="0" w:type="dxa"/>
                              <w:left w:w="70" w:type="dxa"/>
                              <w:bottom w:w="0" w:type="dxa"/>
                              <w:right w:w="70" w:type="dxa"/>
                            </w:tcMar>
                          </w:tcPr>
                          <w:p w14:paraId="1452291B" w14:textId="77777777" w:rsidR="005B1BB2" w:rsidRDefault="005B1BB2">
                            <w:pPr>
                              <w:pStyle w:val="Standard"/>
                              <w:widowControl w:val="0"/>
                            </w:pPr>
                          </w:p>
                        </w:tc>
                      </w:tr>
                      <w:tr w:rsidR="005B1BB2" w14:paraId="05C0CC7A"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07F33FF" w14:textId="77777777" w:rsidR="005B1BB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4AFA7755" w14:textId="77777777" w:rsidR="005B1BB2" w:rsidRDefault="005B1BB2">
                            <w:pPr>
                              <w:pStyle w:val="Standard"/>
                              <w:widowControl w:val="0"/>
                            </w:pPr>
                          </w:p>
                        </w:tc>
                      </w:tr>
                      <w:tr w:rsidR="005B1BB2" w14:paraId="2A932600"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0711A91" w14:textId="77777777" w:rsidR="005B1BB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1E151A00" w14:textId="77777777" w:rsidR="005B1BB2" w:rsidRDefault="005B1BB2">
                            <w:pPr>
                              <w:pStyle w:val="Standard"/>
                              <w:widowControl w:val="0"/>
                            </w:pPr>
                          </w:p>
                        </w:tc>
                      </w:tr>
                      <w:tr w:rsidR="005B1BB2" w14:paraId="52F87867"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A25AA16" w14:textId="77777777" w:rsidR="005B1BB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41FAF0E6" w14:textId="77777777" w:rsidR="005B1BB2" w:rsidRDefault="005B1BB2">
                            <w:pPr>
                              <w:pStyle w:val="Standard"/>
                              <w:widowControl w:val="0"/>
                            </w:pPr>
                          </w:p>
                        </w:tc>
                      </w:tr>
                      <w:tr w:rsidR="005B1BB2" w14:paraId="32FB8872"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12FE0E2" w14:textId="77777777" w:rsidR="005B1BB2" w:rsidRDefault="005B1BB2">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44D3134C"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098123D"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500A0E1"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54288ECF" w14:textId="77777777" w:rsidR="005B1BB2" w:rsidRDefault="005B1BB2">
                            <w:pPr>
                              <w:pStyle w:val="Standard"/>
                              <w:widowControl w:val="0"/>
                            </w:pPr>
                          </w:p>
                        </w:tc>
                      </w:tr>
                      <w:tr w:rsidR="005B1BB2" w14:paraId="105C5809"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6AE50CE" w14:textId="77777777" w:rsidR="005B1BB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5EF569" w14:textId="77777777" w:rsidR="005B1BB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$110,278,875.00</w:t>
                            </w:r>
                          </w:p>
                        </w:tc>
                        <w:tc>
                          <w:tcPr>
                            <w:tcW w:w="160" w:type="dxa"/>
                            <w:shd w:val="clear" w:color="auto" w:fill="auto"/>
                            <w:tcMar>
                              <w:top w:w="0" w:type="dxa"/>
                              <w:left w:w="70" w:type="dxa"/>
                              <w:bottom w:w="0" w:type="dxa"/>
                              <w:right w:w="70" w:type="dxa"/>
                            </w:tcMar>
                          </w:tcPr>
                          <w:p w14:paraId="0DF97951"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36AFC66F" w14:textId="77777777" w:rsidR="005B1BB2" w:rsidRDefault="005B1BB2">
                            <w:pPr>
                              <w:pStyle w:val="Standard"/>
                              <w:widowControl w:val="0"/>
                            </w:pPr>
                          </w:p>
                        </w:tc>
                      </w:tr>
                      <w:tr w:rsidR="005B1BB2" w14:paraId="214FE0F9"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41A9FE3A" w14:textId="77777777" w:rsidR="005B1BB2" w:rsidRDefault="005B1BB2">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18AD050"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35664D5A"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0B249B1"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42C1D687" w14:textId="77777777" w:rsidR="005B1BB2" w:rsidRDefault="005B1BB2">
                            <w:pPr>
                              <w:pStyle w:val="Standard"/>
                              <w:widowControl w:val="0"/>
                            </w:pPr>
                          </w:p>
                        </w:tc>
                      </w:tr>
                      <w:tr w:rsidR="005B1BB2" w14:paraId="35D54AA5"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0766177" w14:textId="77777777" w:rsidR="005B1BB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85BDC4" w14:textId="77777777" w:rsidR="005B1BB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$1,886,601.00</w:t>
                            </w:r>
                          </w:p>
                        </w:tc>
                        <w:tc>
                          <w:tcPr>
                            <w:tcW w:w="160" w:type="dxa"/>
                            <w:shd w:val="clear" w:color="auto" w:fill="auto"/>
                            <w:tcMar>
                              <w:top w:w="0" w:type="dxa"/>
                              <w:left w:w="70" w:type="dxa"/>
                              <w:bottom w:w="0" w:type="dxa"/>
                              <w:right w:w="70" w:type="dxa"/>
                            </w:tcMar>
                          </w:tcPr>
                          <w:p w14:paraId="2DCDD023"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4BB69094" w14:textId="77777777" w:rsidR="005B1BB2" w:rsidRDefault="005B1BB2">
                            <w:pPr>
                              <w:pStyle w:val="Standard"/>
                              <w:widowControl w:val="0"/>
                            </w:pPr>
                          </w:p>
                        </w:tc>
                      </w:tr>
                      <w:tr w:rsidR="005B1BB2" w14:paraId="0D9E158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9D5D5A" w14:textId="77777777" w:rsidR="005B1BB2"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13357C"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F7D68C" w14:textId="77777777" w:rsidR="005B1BB2"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$1,886,601.00</w:t>
                            </w:r>
                          </w:p>
                        </w:tc>
                        <w:tc>
                          <w:tcPr>
                            <w:tcW w:w="160" w:type="dxa"/>
                            <w:shd w:val="clear" w:color="auto" w:fill="auto"/>
                            <w:tcMar>
                              <w:top w:w="0" w:type="dxa"/>
                              <w:left w:w="70" w:type="dxa"/>
                              <w:bottom w:w="0" w:type="dxa"/>
                              <w:right w:w="70" w:type="dxa"/>
                            </w:tcMar>
                          </w:tcPr>
                          <w:p w14:paraId="37EEA67B"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59758C8E" w14:textId="77777777" w:rsidR="005B1BB2" w:rsidRDefault="005B1BB2">
                            <w:pPr>
                              <w:pStyle w:val="Standard"/>
                              <w:widowControl w:val="0"/>
                            </w:pPr>
                          </w:p>
                        </w:tc>
                      </w:tr>
                      <w:tr w:rsidR="005B1BB2" w14:paraId="7C71C6C9"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ADA6A1" w14:textId="77777777" w:rsidR="005B1BB2"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DE3141"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143805"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1B5F481"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1F98F7BA"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3E409A0" w14:textId="77777777" w:rsidR="005B1BB2"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521BA9"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FC08BF"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5E865DF"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78AC307C"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A645AA2" w14:textId="77777777" w:rsidR="005B1BB2"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F5DE4F"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5E2DEE"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514C3E6"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2F822D0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CCEE66" w14:textId="77777777" w:rsidR="005B1BB2"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E28184"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8F8337"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8A9A740"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5338A004"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0612CD" w14:textId="77777777" w:rsidR="005B1BB2"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0C1138"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DFD8DE1"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09D398D7"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3E5FAAE5"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772BED2D"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6B36DD51"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2D563F0"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3F67BD3D" w14:textId="77777777" w:rsidR="005B1BB2" w:rsidRDefault="005B1BB2">
                            <w:pPr>
                              <w:pStyle w:val="Standard"/>
                              <w:widowControl w:val="0"/>
                            </w:pPr>
                          </w:p>
                        </w:tc>
                      </w:tr>
                      <w:tr w:rsidR="005B1BB2" w14:paraId="73750A8E"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59B351E" w14:textId="77777777" w:rsidR="005B1BB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517E89" w14:textId="77777777" w:rsidR="005B1BB2" w:rsidRDefault="005B1BB2">
                            <w:pPr>
                              <w:pStyle w:val="Standard"/>
                              <w:widowControl w:val="0"/>
                              <w:spacing w:after="0" w:line="240" w:lineRule="auto"/>
                              <w:jc w:val="center"/>
                              <w:rPr>
                                <w:rFonts w:eastAsia="Times New Roman" w:cs="DIN Pro Regular"/>
                                <w:b/>
                                <w:color w:val="000000"/>
                                <w:sz w:val="20"/>
                                <w:szCs w:val="20"/>
                                <w:lang w:eastAsia="es-MX"/>
                              </w:rPr>
                            </w:pPr>
                          </w:p>
                        </w:tc>
                        <w:tc>
                          <w:tcPr>
                            <w:tcW w:w="160" w:type="dxa"/>
                            <w:shd w:val="clear" w:color="auto" w:fill="auto"/>
                            <w:tcMar>
                              <w:top w:w="0" w:type="dxa"/>
                              <w:left w:w="70" w:type="dxa"/>
                              <w:bottom w:w="0" w:type="dxa"/>
                              <w:right w:w="70" w:type="dxa"/>
                            </w:tcMar>
                          </w:tcPr>
                          <w:p w14:paraId="17704848"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4991A508" w14:textId="77777777" w:rsidR="005B1BB2" w:rsidRDefault="005B1BB2">
                            <w:pPr>
                              <w:pStyle w:val="Standard"/>
                              <w:widowControl w:val="0"/>
                            </w:pPr>
                          </w:p>
                        </w:tc>
                      </w:tr>
                      <w:tr w:rsidR="005B1BB2" w14:paraId="496F81E2"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C22E3F1" w14:textId="77777777" w:rsidR="005B1BB2"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8F8638"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1CDAF3"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008767E"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6FB68DEC" w14:textId="77777777" w:rsidR="005B1BB2" w:rsidRDefault="005B1BB2">
                            <w:pPr>
                              <w:pStyle w:val="Standard"/>
                              <w:widowControl w:val="0"/>
                            </w:pPr>
                          </w:p>
                        </w:tc>
                      </w:tr>
                      <w:tr w:rsidR="005B1BB2" w14:paraId="68A52F38"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D68B59" w14:textId="77777777" w:rsidR="005B1BB2"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ACC3C7"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DF7917"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035525B"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5688E97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116018" w14:textId="77777777" w:rsidR="005B1BB2"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A05003"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2A4E05"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FFFE1DE"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49E7D33B"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5D72A3E6" w14:textId="77777777" w:rsidR="005B1BB2" w:rsidRDefault="005B1BB2">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12068493"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F18C2F6"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13FC1CC1" w14:textId="77777777" w:rsidR="005B1BB2" w:rsidRDefault="005B1BB2">
                            <w:pPr>
                              <w:pStyle w:val="Standard"/>
                              <w:widowControl w:val="0"/>
                            </w:pPr>
                          </w:p>
                        </w:tc>
                      </w:tr>
                      <w:tr w:rsidR="005B1BB2" w14:paraId="12D6FC42"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D9F6456" w14:textId="77777777" w:rsidR="005B1BB2"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D91248" w14:textId="77777777" w:rsidR="005B1BB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$112,165,476.00</w:t>
                            </w:r>
                          </w:p>
                        </w:tc>
                        <w:tc>
                          <w:tcPr>
                            <w:tcW w:w="160" w:type="dxa"/>
                            <w:shd w:val="clear" w:color="auto" w:fill="auto"/>
                            <w:tcMar>
                              <w:top w:w="0" w:type="dxa"/>
                              <w:left w:w="70" w:type="dxa"/>
                              <w:bottom w:w="0" w:type="dxa"/>
                              <w:right w:w="70" w:type="dxa"/>
                            </w:tcMar>
                          </w:tcPr>
                          <w:p w14:paraId="109F223C"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43F1159D" w14:textId="77777777" w:rsidR="005B1BB2" w:rsidRDefault="005B1BB2">
                            <w:pPr>
                              <w:pStyle w:val="Standard"/>
                              <w:widowControl w:val="0"/>
                            </w:pPr>
                          </w:p>
                        </w:tc>
                      </w:tr>
                    </w:tbl>
                    <w:p w14:paraId="5C9829BF" w14:textId="77777777" w:rsidR="005B1BB2" w:rsidRDefault="005B1BB2"/>
                  </w:txbxContent>
                </v:textbox>
                <w10:wrap type="square"/>
              </v:shape>
            </w:pict>
          </mc:Fallback>
        </mc:AlternateContent>
      </w:r>
    </w:p>
    <w:p w14:paraId="22902543" w14:textId="77777777" w:rsidR="005B1BB2" w:rsidRDefault="005B1BB2">
      <w:pPr>
        <w:pStyle w:val="INCISO"/>
        <w:spacing w:after="0" w:line="240" w:lineRule="exact"/>
        <w:ind w:left="360"/>
        <w:rPr>
          <w:rFonts w:ascii="Calibri" w:hAnsi="Calibri" w:cs="DIN Pro Regular"/>
          <w:b/>
          <w:smallCaps/>
          <w:sz w:val="20"/>
          <w:szCs w:val="20"/>
        </w:rPr>
      </w:pPr>
    </w:p>
    <w:p w14:paraId="0EF247C5" w14:textId="77777777" w:rsidR="005B1BB2" w:rsidRDefault="005B1BB2">
      <w:pPr>
        <w:pStyle w:val="INCISO"/>
        <w:spacing w:after="0" w:line="240" w:lineRule="exact"/>
        <w:ind w:left="360"/>
        <w:rPr>
          <w:rFonts w:ascii="Calibri" w:hAnsi="Calibri" w:cs="DIN Pro Regular"/>
          <w:b/>
          <w:smallCaps/>
          <w:sz w:val="20"/>
          <w:szCs w:val="20"/>
        </w:rPr>
      </w:pPr>
    </w:p>
    <w:p w14:paraId="7FB80E87" w14:textId="77777777" w:rsidR="005B1BB2" w:rsidRDefault="005B1BB2">
      <w:pPr>
        <w:pStyle w:val="INCISO"/>
        <w:spacing w:after="0" w:line="240" w:lineRule="exact"/>
        <w:ind w:left="360"/>
        <w:rPr>
          <w:rFonts w:ascii="Calibri" w:hAnsi="Calibri" w:cs="DIN Pro Regular"/>
          <w:b/>
          <w:smallCaps/>
          <w:sz w:val="20"/>
          <w:szCs w:val="20"/>
        </w:rPr>
      </w:pPr>
    </w:p>
    <w:p w14:paraId="53125990" w14:textId="77777777" w:rsidR="005B1BB2" w:rsidRDefault="005B1BB2">
      <w:pPr>
        <w:pStyle w:val="INCISO"/>
        <w:spacing w:after="0" w:line="240" w:lineRule="exact"/>
        <w:ind w:left="360"/>
        <w:rPr>
          <w:rFonts w:ascii="Calibri" w:hAnsi="Calibri" w:cs="DIN Pro Regular"/>
          <w:b/>
          <w:smallCaps/>
          <w:sz w:val="20"/>
          <w:szCs w:val="20"/>
        </w:rPr>
      </w:pPr>
    </w:p>
    <w:tbl>
      <w:tblPr>
        <w:tblW w:w="7453" w:type="dxa"/>
        <w:tblLayout w:type="fixed"/>
        <w:tblCellMar>
          <w:left w:w="10" w:type="dxa"/>
          <w:right w:w="10" w:type="dxa"/>
        </w:tblCellMar>
        <w:tblLook w:val="0000" w:firstRow="0" w:lastRow="0" w:firstColumn="0" w:lastColumn="0" w:noHBand="0" w:noVBand="0"/>
      </w:tblPr>
      <w:tblGrid>
        <w:gridCol w:w="954"/>
        <w:gridCol w:w="3923"/>
        <w:gridCol w:w="2096"/>
        <w:gridCol w:w="160"/>
        <w:gridCol w:w="160"/>
        <w:gridCol w:w="160"/>
      </w:tblGrid>
      <w:tr w:rsidR="005B1BB2" w14:paraId="65D89A0D" w14:textId="77777777">
        <w:tblPrEx>
          <w:tblCellMar>
            <w:top w:w="0" w:type="dxa"/>
            <w:bottom w:w="0" w:type="dxa"/>
          </w:tblCellMar>
        </w:tblPrEx>
        <w:trPr>
          <w:trHeight w:val="300"/>
        </w:trPr>
        <w:tc>
          <w:tcPr>
            <w:tcW w:w="7133" w:type="dxa"/>
            <w:gridSpan w:val="4"/>
            <w:shd w:val="clear" w:color="auto" w:fill="auto"/>
            <w:tcMar>
              <w:top w:w="55" w:type="dxa"/>
              <w:left w:w="70" w:type="dxa"/>
              <w:bottom w:w="55" w:type="dxa"/>
              <w:right w:w="70" w:type="dxa"/>
            </w:tcMar>
            <w:vAlign w:val="center"/>
          </w:tcPr>
          <w:p w14:paraId="0202C15B" w14:textId="77777777" w:rsidR="005B1BB2" w:rsidRDefault="005B1BB2">
            <w:pPr>
              <w:rPr>
                <w:rFonts w:eastAsia="Times New Roman" w:cs="DIN Pro Regular"/>
                <w:b/>
                <w:bCs/>
                <w:color w:val="FFFFFF"/>
              </w:rPr>
            </w:pPr>
          </w:p>
          <w:p w14:paraId="3EC083F2" w14:textId="77777777" w:rsidR="005B1BB2" w:rsidRDefault="005B1BB2">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7A92A41E" w14:textId="77777777" w:rsidR="005B1BB2" w:rsidRDefault="005B1BB2">
            <w:pPr>
              <w:pStyle w:val="Standard"/>
              <w:widowControl w:val="0"/>
            </w:pPr>
          </w:p>
        </w:tc>
        <w:tc>
          <w:tcPr>
            <w:tcW w:w="160" w:type="dxa"/>
            <w:shd w:val="clear" w:color="auto" w:fill="auto"/>
            <w:tcMar>
              <w:top w:w="0" w:type="dxa"/>
              <w:left w:w="10" w:type="dxa"/>
              <w:bottom w:w="0" w:type="dxa"/>
              <w:right w:w="10" w:type="dxa"/>
            </w:tcMar>
          </w:tcPr>
          <w:p w14:paraId="66AF157F" w14:textId="77777777" w:rsidR="005B1BB2" w:rsidRDefault="005B1BB2">
            <w:pPr>
              <w:pStyle w:val="Standard"/>
              <w:widowControl w:val="0"/>
            </w:pPr>
          </w:p>
        </w:tc>
      </w:tr>
      <w:tr w:rsidR="005B1BB2" w14:paraId="288CF074"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19ADAA9" w14:textId="77777777" w:rsidR="005B1BB2" w:rsidRDefault="00000000">
            <w:pPr>
              <w:pStyle w:val="Standard"/>
              <w:widowControl w:val="0"/>
              <w:spacing w:after="0" w:line="240" w:lineRule="auto"/>
              <w:jc w:val="center"/>
            </w:pPr>
            <w:r>
              <w:rPr>
                <w:rFonts w:cs="DIN Pro Regular"/>
                <w:sz w:val="20"/>
                <w:szCs w:val="20"/>
              </w:rPr>
              <w:t xml:space="preserve"> </w:t>
            </w:r>
            <w:r>
              <w:rPr>
                <w:rFonts w:eastAsia="Times New Roman" w:cs="DIN Pro Regular"/>
                <w:b/>
                <w:bCs/>
                <w:color w:val="FFFFFF"/>
                <w:sz w:val="20"/>
                <w:szCs w:val="20"/>
                <w:lang w:eastAsia="es-MX"/>
              </w:rPr>
              <w:t>Universidad Tecnológica de Nuevo Laredo</w:t>
            </w:r>
          </w:p>
        </w:tc>
        <w:tc>
          <w:tcPr>
            <w:tcW w:w="160" w:type="dxa"/>
            <w:shd w:val="clear" w:color="auto" w:fill="auto"/>
            <w:tcMar>
              <w:top w:w="0" w:type="dxa"/>
              <w:left w:w="70" w:type="dxa"/>
              <w:bottom w:w="0" w:type="dxa"/>
              <w:right w:w="70" w:type="dxa"/>
            </w:tcMar>
          </w:tcPr>
          <w:p w14:paraId="6CC35B7C" w14:textId="77777777" w:rsidR="005B1BB2" w:rsidRDefault="005B1BB2">
            <w:pPr>
              <w:pStyle w:val="Standard"/>
              <w:widowControl w:val="0"/>
            </w:pPr>
          </w:p>
        </w:tc>
        <w:tc>
          <w:tcPr>
            <w:tcW w:w="160" w:type="dxa"/>
            <w:shd w:val="clear" w:color="auto" w:fill="auto"/>
            <w:tcMar>
              <w:top w:w="0" w:type="dxa"/>
              <w:left w:w="10" w:type="dxa"/>
              <w:bottom w:w="0" w:type="dxa"/>
              <w:right w:w="10" w:type="dxa"/>
            </w:tcMar>
          </w:tcPr>
          <w:p w14:paraId="1D9998F0" w14:textId="77777777" w:rsidR="005B1BB2" w:rsidRDefault="005B1BB2">
            <w:pPr>
              <w:pStyle w:val="Standard"/>
              <w:widowControl w:val="0"/>
            </w:pPr>
          </w:p>
        </w:tc>
      </w:tr>
      <w:tr w:rsidR="005B1BB2" w14:paraId="48668D62"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1F14DA2" w14:textId="77777777" w:rsidR="005B1BB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shd w:val="clear" w:color="auto" w:fill="auto"/>
            <w:tcMar>
              <w:top w:w="0" w:type="dxa"/>
              <w:left w:w="70" w:type="dxa"/>
              <w:bottom w:w="0" w:type="dxa"/>
              <w:right w:w="70" w:type="dxa"/>
            </w:tcMar>
          </w:tcPr>
          <w:p w14:paraId="613C223B" w14:textId="77777777" w:rsidR="005B1BB2" w:rsidRDefault="005B1BB2">
            <w:pPr>
              <w:pStyle w:val="Standard"/>
              <w:widowControl w:val="0"/>
            </w:pPr>
          </w:p>
        </w:tc>
        <w:tc>
          <w:tcPr>
            <w:tcW w:w="160" w:type="dxa"/>
            <w:shd w:val="clear" w:color="auto" w:fill="auto"/>
            <w:tcMar>
              <w:top w:w="0" w:type="dxa"/>
              <w:left w:w="10" w:type="dxa"/>
              <w:bottom w:w="0" w:type="dxa"/>
              <w:right w:w="10" w:type="dxa"/>
            </w:tcMar>
          </w:tcPr>
          <w:p w14:paraId="5AFA1E3A" w14:textId="77777777" w:rsidR="005B1BB2" w:rsidRDefault="005B1BB2">
            <w:pPr>
              <w:pStyle w:val="Standard"/>
              <w:widowControl w:val="0"/>
            </w:pPr>
          </w:p>
        </w:tc>
      </w:tr>
      <w:tr w:rsidR="005B1BB2" w14:paraId="33C3EC24"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14ABB2D" w14:textId="77777777" w:rsidR="005B1BB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4AFB6744" w14:textId="77777777" w:rsidR="005B1BB2" w:rsidRDefault="005B1BB2">
            <w:pPr>
              <w:pStyle w:val="Standard"/>
              <w:widowControl w:val="0"/>
            </w:pPr>
          </w:p>
        </w:tc>
        <w:tc>
          <w:tcPr>
            <w:tcW w:w="160" w:type="dxa"/>
            <w:shd w:val="clear" w:color="auto" w:fill="auto"/>
            <w:tcMar>
              <w:top w:w="0" w:type="dxa"/>
              <w:left w:w="10" w:type="dxa"/>
              <w:bottom w:w="0" w:type="dxa"/>
              <w:right w:w="10" w:type="dxa"/>
            </w:tcMar>
          </w:tcPr>
          <w:p w14:paraId="29B58534" w14:textId="77777777" w:rsidR="005B1BB2" w:rsidRDefault="005B1BB2">
            <w:pPr>
              <w:pStyle w:val="Standard"/>
              <w:widowControl w:val="0"/>
            </w:pPr>
          </w:p>
        </w:tc>
      </w:tr>
      <w:tr w:rsidR="005B1BB2" w14:paraId="07A55A03" w14:textId="77777777">
        <w:tblPrEx>
          <w:tblCellMar>
            <w:top w:w="0" w:type="dxa"/>
            <w:bottom w:w="0" w:type="dxa"/>
          </w:tblCellMar>
        </w:tblPrEx>
        <w:trPr>
          <w:trHeight w:val="315"/>
        </w:trPr>
        <w:tc>
          <w:tcPr>
            <w:tcW w:w="713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E46E928" w14:textId="77777777" w:rsidR="005B1BB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016B99B3" w14:textId="77777777" w:rsidR="005B1BB2" w:rsidRDefault="005B1BB2">
            <w:pPr>
              <w:pStyle w:val="Standard"/>
              <w:widowControl w:val="0"/>
            </w:pPr>
          </w:p>
        </w:tc>
        <w:tc>
          <w:tcPr>
            <w:tcW w:w="160" w:type="dxa"/>
            <w:shd w:val="clear" w:color="auto" w:fill="auto"/>
            <w:tcMar>
              <w:top w:w="0" w:type="dxa"/>
              <w:left w:w="10" w:type="dxa"/>
              <w:bottom w:w="0" w:type="dxa"/>
              <w:right w:w="10" w:type="dxa"/>
            </w:tcMar>
          </w:tcPr>
          <w:p w14:paraId="17F40660" w14:textId="77777777" w:rsidR="005B1BB2" w:rsidRDefault="005B1BB2">
            <w:pPr>
              <w:pStyle w:val="Standard"/>
              <w:widowControl w:val="0"/>
            </w:pPr>
          </w:p>
        </w:tc>
      </w:tr>
      <w:tr w:rsidR="005B1BB2" w14:paraId="20B25021" w14:textId="77777777">
        <w:tblPrEx>
          <w:tblCellMar>
            <w:top w:w="0" w:type="dxa"/>
            <w:bottom w:w="0" w:type="dxa"/>
          </w:tblCellMar>
        </w:tblPrEx>
        <w:trPr>
          <w:trHeight w:val="90"/>
        </w:trPr>
        <w:tc>
          <w:tcPr>
            <w:tcW w:w="954" w:type="dxa"/>
            <w:shd w:val="clear" w:color="auto" w:fill="auto"/>
            <w:tcMar>
              <w:top w:w="0" w:type="dxa"/>
              <w:left w:w="70" w:type="dxa"/>
              <w:bottom w:w="0" w:type="dxa"/>
              <w:right w:w="70" w:type="dxa"/>
            </w:tcMar>
            <w:vAlign w:val="bottom"/>
          </w:tcPr>
          <w:p w14:paraId="6D7AC87E"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1A6A7017"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005AEA37"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AD7FAE0"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0AC03461" w14:textId="77777777" w:rsidR="005B1BB2" w:rsidRDefault="005B1BB2">
            <w:pPr>
              <w:pStyle w:val="Standard"/>
              <w:widowControl w:val="0"/>
            </w:pPr>
          </w:p>
        </w:tc>
        <w:tc>
          <w:tcPr>
            <w:tcW w:w="160" w:type="dxa"/>
            <w:shd w:val="clear" w:color="auto" w:fill="auto"/>
            <w:tcMar>
              <w:top w:w="0" w:type="dxa"/>
              <w:left w:w="10" w:type="dxa"/>
              <w:bottom w:w="0" w:type="dxa"/>
              <w:right w:w="10" w:type="dxa"/>
            </w:tcMar>
          </w:tcPr>
          <w:p w14:paraId="0AA6164D" w14:textId="77777777" w:rsidR="005B1BB2" w:rsidRDefault="005B1BB2">
            <w:pPr>
              <w:pStyle w:val="Standard"/>
              <w:widowControl w:val="0"/>
            </w:pPr>
          </w:p>
        </w:tc>
      </w:tr>
      <w:tr w:rsidR="005B1BB2" w14:paraId="69F2C14F"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3B8D8C1" w14:textId="77777777" w:rsidR="005B1BB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604AFE" w14:textId="77777777" w:rsidR="005B1BB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$99,464,308.00</w:t>
            </w:r>
          </w:p>
        </w:tc>
        <w:tc>
          <w:tcPr>
            <w:tcW w:w="160" w:type="dxa"/>
            <w:shd w:val="clear" w:color="auto" w:fill="auto"/>
            <w:tcMar>
              <w:top w:w="0" w:type="dxa"/>
              <w:left w:w="70" w:type="dxa"/>
              <w:bottom w:w="0" w:type="dxa"/>
              <w:right w:w="70" w:type="dxa"/>
            </w:tcMar>
          </w:tcPr>
          <w:p w14:paraId="2A29B4E3"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1D0D2E4D" w14:textId="77777777" w:rsidR="005B1BB2" w:rsidRDefault="005B1BB2">
            <w:pPr>
              <w:pStyle w:val="Standard"/>
              <w:widowControl w:val="0"/>
            </w:pPr>
          </w:p>
        </w:tc>
        <w:tc>
          <w:tcPr>
            <w:tcW w:w="160" w:type="dxa"/>
            <w:shd w:val="clear" w:color="auto" w:fill="auto"/>
            <w:tcMar>
              <w:top w:w="0" w:type="dxa"/>
              <w:left w:w="10" w:type="dxa"/>
              <w:bottom w:w="0" w:type="dxa"/>
              <w:right w:w="10" w:type="dxa"/>
            </w:tcMar>
          </w:tcPr>
          <w:p w14:paraId="1DB5FE8A" w14:textId="77777777" w:rsidR="005B1BB2" w:rsidRDefault="005B1BB2">
            <w:pPr>
              <w:pStyle w:val="Standard"/>
              <w:widowControl w:val="0"/>
            </w:pPr>
          </w:p>
        </w:tc>
      </w:tr>
      <w:tr w:rsidR="005B1BB2" w14:paraId="4891C1D4" w14:textId="77777777">
        <w:tblPrEx>
          <w:tblCellMar>
            <w:top w:w="0" w:type="dxa"/>
            <w:bottom w:w="0" w:type="dxa"/>
          </w:tblCellMar>
        </w:tblPrEx>
        <w:trPr>
          <w:trHeight w:val="135"/>
        </w:trPr>
        <w:tc>
          <w:tcPr>
            <w:tcW w:w="954" w:type="dxa"/>
            <w:shd w:val="clear" w:color="auto" w:fill="auto"/>
            <w:tcMar>
              <w:top w:w="0" w:type="dxa"/>
              <w:left w:w="70" w:type="dxa"/>
              <w:bottom w:w="0" w:type="dxa"/>
              <w:right w:w="70" w:type="dxa"/>
            </w:tcMar>
            <w:vAlign w:val="bottom"/>
          </w:tcPr>
          <w:p w14:paraId="20EED0FD"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04D432DC"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2096" w:type="dxa"/>
            <w:shd w:val="clear" w:color="auto" w:fill="auto"/>
            <w:tcMar>
              <w:top w:w="0" w:type="dxa"/>
              <w:left w:w="70" w:type="dxa"/>
              <w:bottom w:w="0" w:type="dxa"/>
              <w:right w:w="70" w:type="dxa"/>
            </w:tcMar>
            <w:vAlign w:val="bottom"/>
          </w:tcPr>
          <w:p w14:paraId="5BAFD732"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3DF78A0" w14:textId="77777777" w:rsidR="005B1BB2" w:rsidRDefault="005B1BB2">
            <w:pPr>
              <w:pStyle w:val="Standard"/>
              <w:widowControl w:val="0"/>
              <w:spacing w:line="240" w:lineRule="auto"/>
            </w:pPr>
          </w:p>
        </w:tc>
        <w:tc>
          <w:tcPr>
            <w:tcW w:w="160" w:type="dxa"/>
            <w:shd w:val="clear" w:color="auto" w:fill="auto"/>
            <w:tcMar>
              <w:top w:w="0" w:type="dxa"/>
              <w:left w:w="70" w:type="dxa"/>
              <w:bottom w:w="0" w:type="dxa"/>
              <w:right w:w="70" w:type="dxa"/>
            </w:tcMar>
          </w:tcPr>
          <w:p w14:paraId="2F235556" w14:textId="77777777" w:rsidR="005B1BB2" w:rsidRDefault="005B1BB2">
            <w:pPr>
              <w:pStyle w:val="Standard"/>
              <w:widowControl w:val="0"/>
              <w:spacing w:line="240" w:lineRule="auto"/>
            </w:pPr>
          </w:p>
        </w:tc>
        <w:tc>
          <w:tcPr>
            <w:tcW w:w="160" w:type="dxa"/>
            <w:shd w:val="clear" w:color="auto" w:fill="auto"/>
            <w:tcMar>
              <w:top w:w="0" w:type="dxa"/>
              <w:left w:w="10" w:type="dxa"/>
              <w:bottom w:w="0" w:type="dxa"/>
              <w:right w:w="10" w:type="dxa"/>
            </w:tcMar>
          </w:tcPr>
          <w:p w14:paraId="798D9B75" w14:textId="77777777" w:rsidR="005B1BB2" w:rsidRDefault="005B1BB2">
            <w:pPr>
              <w:pStyle w:val="Standard"/>
              <w:widowControl w:val="0"/>
              <w:spacing w:line="240" w:lineRule="auto"/>
            </w:pPr>
          </w:p>
        </w:tc>
      </w:tr>
      <w:tr w:rsidR="005B1BB2" w14:paraId="73183EB9"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AC5B244" w14:textId="77777777" w:rsidR="005B1BB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54A2C9" w14:textId="77777777" w:rsidR="005B1BB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$2,020,287.00</w:t>
            </w:r>
          </w:p>
        </w:tc>
        <w:tc>
          <w:tcPr>
            <w:tcW w:w="160" w:type="dxa"/>
            <w:shd w:val="clear" w:color="auto" w:fill="auto"/>
            <w:tcMar>
              <w:top w:w="0" w:type="dxa"/>
              <w:left w:w="70" w:type="dxa"/>
              <w:bottom w:w="0" w:type="dxa"/>
              <w:right w:w="70" w:type="dxa"/>
            </w:tcMar>
          </w:tcPr>
          <w:p w14:paraId="22F5C8D2"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4A25E4EC" w14:textId="77777777" w:rsidR="005B1BB2" w:rsidRDefault="005B1BB2">
            <w:pPr>
              <w:pStyle w:val="Standard"/>
              <w:widowControl w:val="0"/>
            </w:pPr>
          </w:p>
        </w:tc>
        <w:tc>
          <w:tcPr>
            <w:tcW w:w="160" w:type="dxa"/>
            <w:shd w:val="clear" w:color="auto" w:fill="auto"/>
            <w:tcMar>
              <w:top w:w="0" w:type="dxa"/>
              <w:left w:w="10" w:type="dxa"/>
              <w:bottom w:w="0" w:type="dxa"/>
              <w:right w:w="10" w:type="dxa"/>
            </w:tcMar>
          </w:tcPr>
          <w:p w14:paraId="2ACC1A43" w14:textId="77777777" w:rsidR="005B1BB2" w:rsidRDefault="005B1BB2">
            <w:pPr>
              <w:pStyle w:val="Standard"/>
              <w:widowControl w:val="0"/>
            </w:pPr>
          </w:p>
        </w:tc>
      </w:tr>
      <w:tr w:rsidR="005B1BB2" w14:paraId="2760B9C3" w14:textId="77777777">
        <w:tblPrEx>
          <w:tblCellMar>
            <w:top w:w="0" w:type="dxa"/>
            <w:bottom w:w="0" w:type="dxa"/>
          </w:tblCellMar>
        </w:tblPrEx>
        <w:trPr>
          <w:trHeight w:val="407"/>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2B3CDE"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CAB54B"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99AAE7"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23E43A5"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09B60815"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5A4144B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4C34728"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8D90CB"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F86541"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3516094"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43F2F22B"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5A78404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F72729"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A60637"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496045" w14:textId="77777777" w:rsidR="005B1BB2"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$1,025,124.00</w:t>
            </w:r>
          </w:p>
        </w:tc>
        <w:tc>
          <w:tcPr>
            <w:tcW w:w="320" w:type="dxa"/>
            <w:gridSpan w:val="2"/>
            <w:shd w:val="clear" w:color="auto" w:fill="auto"/>
            <w:tcMar>
              <w:top w:w="0" w:type="dxa"/>
              <w:left w:w="70" w:type="dxa"/>
              <w:bottom w:w="0" w:type="dxa"/>
              <w:right w:w="70" w:type="dxa"/>
            </w:tcMar>
            <w:vAlign w:val="bottom"/>
          </w:tcPr>
          <w:p w14:paraId="4DFF0D4F"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4CAE6C29"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1B1CF73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46C666"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361266"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6C7047" w14:textId="77777777" w:rsidR="005B1BB2"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$627,451.00</w:t>
            </w:r>
          </w:p>
        </w:tc>
        <w:tc>
          <w:tcPr>
            <w:tcW w:w="320" w:type="dxa"/>
            <w:gridSpan w:val="2"/>
            <w:shd w:val="clear" w:color="auto" w:fill="auto"/>
            <w:tcMar>
              <w:top w:w="0" w:type="dxa"/>
              <w:left w:w="70" w:type="dxa"/>
              <w:bottom w:w="0" w:type="dxa"/>
              <w:right w:w="70" w:type="dxa"/>
            </w:tcMar>
            <w:vAlign w:val="bottom"/>
          </w:tcPr>
          <w:p w14:paraId="1C1C277E"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7F23CA83"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1245C9C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1446A38"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ABC87F"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37AE63"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02A0EB8"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68835AF8"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46CC138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A5B2F9D"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3E5CB9"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77F202"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A8C178A"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3B6FB052"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578A6CB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E16F94B"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666964"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E6158A"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ED544D8"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36BEFA05"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3C8C9DC2"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791BE4"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2FE63F"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A0F8CB" w14:textId="77777777" w:rsidR="005B1BB2"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$367,712.00</w:t>
            </w:r>
          </w:p>
        </w:tc>
        <w:tc>
          <w:tcPr>
            <w:tcW w:w="320" w:type="dxa"/>
            <w:gridSpan w:val="2"/>
            <w:shd w:val="clear" w:color="auto" w:fill="auto"/>
            <w:tcMar>
              <w:top w:w="0" w:type="dxa"/>
              <w:left w:w="70" w:type="dxa"/>
              <w:bottom w:w="0" w:type="dxa"/>
              <w:right w:w="70" w:type="dxa"/>
            </w:tcMar>
            <w:vAlign w:val="bottom"/>
          </w:tcPr>
          <w:p w14:paraId="2F7571E4"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479F1244"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616DCCD1"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8CFA42"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69AD90"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344341"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D04FB91"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3333B32E"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012BB200"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C575759"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BEE0FA"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C9A306"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87FEC9B"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2EA4BE77"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74C0E3F2"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586A84"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FB0C7D"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1B0823"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813F071"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2FFC1510"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48C65E1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F5B2A7"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D36E56"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3C9F86"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CC0C00F"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2994B3E7"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64F2160C"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146288"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14F4DE"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02AD0F"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6B5EC13"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0C2E3D4B"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768213B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44C637"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750F7D"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DFEA47"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92B84A8"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358CD2DC"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5DABC51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3C4759"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8A0DC0"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3E78A8"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4A7B32E"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30919FCA"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667F73CD" w14:textId="77777777">
        <w:tblPrEx>
          <w:tblCellMar>
            <w:top w:w="0" w:type="dxa"/>
            <w:bottom w:w="0" w:type="dxa"/>
          </w:tblCellMar>
        </w:tblPrEx>
        <w:trPr>
          <w:trHeight w:val="224"/>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1B448B0"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55592A"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4A4FD7" w14:textId="77777777" w:rsidR="005B1BB2" w:rsidRDefault="005B1BB2">
            <w:pPr>
              <w:pStyle w:val="Standard"/>
              <w:widowControl w:val="0"/>
              <w:spacing w:after="0" w:line="240" w:lineRule="auto"/>
              <w:jc w:val="right"/>
              <w:rPr>
                <w:rFonts w:eastAsia="Times New Roman" w:cs="DIN Pro Regular"/>
                <w:bCs/>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AE5ABB1"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07F8952C"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35A40EE8"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28A6FDE"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F25CCE"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DF3DC7"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651C731"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3A53A314"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69F5D89D"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1DCAF8C"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4782D3"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72A0F5"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C95BBB6"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374EED64"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251B64F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783DD39"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CA938C"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8B3268"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D19A3BC"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6BAB48F9"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0706CF22"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FCBF15"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3B4552"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DF3994"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BB08D9F"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6F360911"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1A7CA9D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B450BDE" w14:textId="77777777" w:rsidR="005B1BB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E50630" w14:textId="77777777" w:rsidR="005B1BB2" w:rsidRDefault="005B1BB2">
            <w:pPr>
              <w:pStyle w:val="Standard"/>
              <w:widowControl w:val="0"/>
              <w:spacing w:after="0" w:line="240" w:lineRule="auto"/>
              <w:jc w:val="both"/>
              <w:rPr>
                <w:rFonts w:eastAsia="Times New Roman" w:cs="DIN Pro Regular"/>
                <w:color w:val="000000"/>
                <w:sz w:val="20"/>
                <w:szCs w:val="20"/>
                <w:lang w:eastAsia="es-MX"/>
              </w:rPr>
            </w:pPr>
          </w:p>
          <w:p w14:paraId="772B1E4D"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4C365906" w14:textId="77777777" w:rsidR="005B1BB2" w:rsidRDefault="005B1BB2">
            <w:pPr>
              <w:pStyle w:val="Standard"/>
              <w:widowControl w:val="0"/>
              <w:spacing w:after="0" w:line="240" w:lineRule="auto"/>
              <w:jc w:val="both"/>
              <w:rPr>
                <w:rFonts w:eastAsia="Times New Roman" w:cs="DIN Pro Regular"/>
                <w:color w:val="000000"/>
                <w:sz w:val="20"/>
                <w:szCs w:val="20"/>
                <w:lang w:eastAsia="es-MX"/>
              </w:rPr>
            </w:pP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020821" w14:textId="77777777" w:rsidR="005B1BB2" w:rsidRDefault="005B1BB2">
            <w:pPr>
              <w:pStyle w:val="Standard"/>
              <w:widowControl w:val="0"/>
              <w:spacing w:after="0" w:line="240" w:lineRule="auto"/>
              <w:jc w:val="center"/>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4FEC8BB"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4D67999B"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1F592107"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3B8BC750" w14:textId="77777777" w:rsidR="005B1BB2" w:rsidRDefault="005B1BB2">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7C6A22B9" w14:textId="77777777" w:rsidR="005B1BB2" w:rsidRDefault="005B1BB2">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0EC30B2C" w14:textId="77777777" w:rsidR="005B1BB2" w:rsidRDefault="005B1BB2">
            <w:pPr>
              <w:pStyle w:val="Standard"/>
              <w:widowControl w:val="0"/>
              <w:spacing w:after="0" w:line="240" w:lineRule="auto"/>
              <w:jc w:val="both"/>
              <w:rPr>
                <w:rFonts w:eastAsia="Times New Roman" w:cs="DIN Pro Regular"/>
                <w:bCs/>
                <w:color w:val="000000"/>
                <w:sz w:val="20"/>
                <w:szCs w:val="20"/>
                <w:lang w:eastAsia="es-MX"/>
              </w:rPr>
            </w:pPr>
          </w:p>
          <w:p w14:paraId="6B90431D" w14:textId="77777777" w:rsidR="005B1BB2" w:rsidRDefault="005B1BB2">
            <w:pPr>
              <w:pStyle w:val="Standard"/>
              <w:widowControl w:val="0"/>
              <w:spacing w:after="0" w:line="240" w:lineRule="auto"/>
              <w:jc w:val="both"/>
              <w:rPr>
                <w:rFonts w:eastAsia="Times New Roman" w:cs="DIN Pro Regular"/>
                <w:bCs/>
                <w:color w:val="000000"/>
                <w:sz w:val="20"/>
                <w:szCs w:val="20"/>
                <w:lang w:eastAsia="es-MX"/>
              </w:rPr>
            </w:pPr>
          </w:p>
          <w:p w14:paraId="186BAF37" w14:textId="77777777" w:rsidR="005B1BB2" w:rsidRDefault="005B1BB2">
            <w:pPr>
              <w:pStyle w:val="Standard"/>
              <w:widowControl w:val="0"/>
              <w:spacing w:after="0" w:line="240" w:lineRule="auto"/>
              <w:jc w:val="both"/>
              <w:rPr>
                <w:rFonts w:eastAsia="Times New Roman" w:cs="DIN Pro Regular"/>
                <w:bCs/>
                <w:color w:val="000000"/>
                <w:sz w:val="20"/>
                <w:szCs w:val="20"/>
                <w:lang w:eastAsia="es-MX"/>
              </w:rPr>
            </w:pPr>
          </w:p>
          <w:p w14:paraId="762D983C" w14:textId="77777777" w:rsidR="005B1BB2" w:rsidRDefault="005B1BB2">
            <w:pPr>
              <w:pStyle w:val="Standard"/>
              <w:widowControl w:val="0"/>
              <w:spacing w:after="0" w:line="240" w:lineRule="auto"/>
              <w:jc w:val="both"/>
              <w:rPr>
                <w:rFonts w:eastAsia="Times New Roman" w:cs="DIN Pro Regular"/>
                <w:bCs/>
                <w:color w:val="000000"/>
                <w:sz w:val="20"/>
                <w:szCs w:val="20"/>
                <w:lang w:eastAsia="es-MX"/>
              </w:rPr>
            </w:pPr>
          </w:p>
          <w:p w14:paraId="4E362C08" w14:textId="77777777" w:rsidR="005B1BB2" w:rsidRDefault="005B1BB2">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0F442106" w14:textId="77777777" w:rsidR="005B1BB2" w:rsidRDefault="005B1BB2">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43B3AF28" w14:textId="77777777" w:rsidR="005B1BB2" w:rsidRDefault="005B1BB2">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5F537269" w14:textId="77777777" w:rsidR="005B1BB2" w:rsidRDefault="005B1BB2">
            <w:pPr>
              <w:pStyle w:val="Standard"/>
              <w:widowControl w:val="0"/>
              <w:spacing w:after="0" w:line="240" w:lineRule="auto"/>
              <w:jc w:val="both"/>
              <w:rPr>
                <w:rFonts w:eastAsia="Times New Roman" w:cs="DIN Pro Regular"/>
                <w:bCs/>
                <w:color w:val="000000"/>
                <w:sz w:val="20"/>
                <w:szCs w:val="20"/>
                <w:lang w:eastAsia="es-MX"/>
              </w:rPr>
            </w:pPr>
          </w:p>
        </w:tc>
      </w:tr>
      <w:tr w:rsidR="005B1BB2" w14:paraId="602BCBF8" w14:textId="77777777">
        <w:tblPrEx>
          <w:tblCellMar>
            <w:top w:w="0" w:type="dxa"/>
            <w:bottom w:w="0" w:type="dxa"/>
          </w:tblCellMar>
        </w:tblPrEx>
        <w:trPr>
          <w:trHeight w:val="300"/>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954DF30" w14:textId="77777777" w:rsidR="005B1BB2" w:rsidRDefault="0000000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02FF85" w14:textId="77777777" w:rsidR="005B1BB2" w:rsidRDefault="005B1BB2">
            <w:pPr>
              <w:pStyle w:val="Standard"/>
              <w:widowControl w:val="0"/>
              <w:spacing w:after="0" w:line="240" w:lineRule="auto"/>
              <w:jc w:val="right"/>
              <w:rPr>
                <w:rFonts w:eastAsia="Times New Roman" w:cs="DIN Pro Regular"/>
                <w:b/>
                <w:color w:val="000000"/>
                <w:sz w:val="20"/>
                <w:szCs w:val="20"/>
                <w:lang w:eastAsia="es-MX"/>
              </w:rPr>
            </w:pPr>
          </w:p>
        </w:tc>
        <w:tc>
          <w:tcPr>
            <w:tcW w:w="160" w:type="dxa"/>
            <w:shd w:val="clear" w:color="auto" w:fill="auto"/>
            <w:tcMar>
              <w:top w:w="0" w:type="dxa"/>
              <w:left w:w="70" w:type="dxa"/>
              <w:bottom w:w="0" w:type="dxa"/>
              <w:right w:w="70" w:type="dxa"/>
            </w:tcMar>
          </w:tcPr>
          <w:p w14:paraId="761144F0" w14:textId="77777777" w:rsidR="005B1BB2" w:rsidRDefault="005B1BB2">
            <w:pPr>
              <w:pStyle w:val="Standard"/>
              <w:widowControl w:val="0"/>
            </w:pPr>
          </w:p>
        </w:tc>
        <w:tc>
          <w:tcPr>
            <w:tcW w:w="160" w:type="dxa"/>
            <w:shd w:val="clear" w:color="auto" w:fill="auto"/>
            <w:tcMar>
              <w:top w:w="0" w:type="dxa"/>
              <w:left w:w="10" w:type="dxa"/>
              <w:bottom w:w="0" w:type="dxa"/>
              <w:right w:w="10" w:type="dxa"/>
            </w:tcMar>
          </w:tcPr>
          <w:p w14:paraId="0F8EB12A" w14:textId="77777777" w:rsidR="005B1BB2" w:rsidRDefault="005B1BB2">
            <w:pPr>
              <w:pStyle w:val="Standard"/>
              <w:widowControl w:val="0"/>
            </w:pPr>
          </w:p>
        </w:tc>
        <w:tc>
          <w:tcPr>
            <w:tcW w:w="160" w:type="dxa"/>
            <w:shd w:val="clear" w:color="auto" w:fill="auto"/>
            <w:tcMar>
              <w:top w:w="0" w:type="dxa"/>
              <w:left w:w="10" w:type="dxa"/>
              <w:bottom w:w="0" w:type="dxa"/>
              <w:right w:w="10" w:type="dxa"/>
            </w:tcMar>
          </w:tcPr>
          <w:p w14:paraId="702F430A" w14:textId="77777777" w:rsidR="005B1BB2" w:rsidRDefault="005B1BB2">
            <w:pPr>
              <w:pStyle w:val="Standard"/>
              <w:widowControl w:val="0"/>
            </w:pPr>
          </w:p>
        </w:tc>
      </w:tr>
      <w:tr w:rsidR="005B1BB2" w14:paraId="2DE29290"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3CD452" w14:textId="77777777" w:rsidR="005B1BB2"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A9FE7E"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95042A"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2CD714F"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7E80CA6C"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53520450"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81D6591" w14:textId="77777777" w:rsidR="005B1BB2"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CE61EA"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8F199C"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ED65A14"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04A7407"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029EDF4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C7C4DC1" w14:textId="77777777" w:rsidR="005B1BB2"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BF8CAE"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849F17"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CD811D1"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48305E4F"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1E581C0C"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3E98EAD" w14:textId="77777777" w:rsidR="005B1BB2"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13466F"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81FB06"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D87E1D5"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20EF7B40"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4613522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538AB03" w14:textId="77777777" w:rsidR="005B1BB2"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0563D6"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D3E91A"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BA2548D"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0D92715A"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1F423CF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436E71" w14:textId="77777777" w:rsidR="005B1BB2"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F0E1CF"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13864F"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F1462CF"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3C1F7E6F"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3A47D3B1"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B2ABFDA" w14:textId="77777777" w:rsidR="005B1BB2"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0EF765" w14:textId="77777777" w:rsidR="005B1BB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35B86E"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EF12C87"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15460559"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3A15A7EF" w14:textId="77777777">
        <w:tblPrEx>
          <w:tblCellMar>
            <w:top w:w="0" w:type="dxa"/>
            <w:bottom w:w="0" w:type="dxa"/>
          </w:tblCellMar>
        </w:tblPrEx>
        <w:trPr>
          <w:trHeight w:hRule="exact" w:val="150"/>
        </w:trPr>
        <w:tc>
          <w:tcPr>
            <w:tcW w:w="954" w:type="dxa"/>
            <w:shd w:val="clear" w:color="auto" w:fill="auto"/>
            <w:tcMar>
              <w:top w:w="0" w:type="dxa"/>
              <w:left w:w="70" w:type="dxa"/>
              <w:bottom w:w="0" w:type="dxa"/>
              <w:right w:w="70" w:type="dxa"/>
            </w:tcMar>
            <w:vAlign w:val="bottom"/>
          </w:tcPr>
          <w:p w14:paraId="7090F528"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0419E0CB"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6FD17687" w14:textId="77777777" w:rsidR="005B1BB2" w:rsidRDefault="005B1BB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1BD0E61"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10" w:type="dxa"/>
              <w:bottom w:w="0" w:type="dxa"/>
              <w:right w:w="10" w:type="dxa"/>
            </w:tcMar>
          </w:tcPr>
          <w:p w14:paraId="5CDD8A76" w14:textId="77777777" w:rsidR="005B1BB2" w:rsidRDefault="005B1BB2">
            <w:pPr>
              <w:pStyle w:val="Standard"/>
              <w:widowControl w:val="0"/>
              <w:spacing w:after="0" w:line="240" w:lineRule="auto"/>
              <w:rPr>
                <w:rFonts w:eastAsia="Times New Roman" w:cs="DIN Pro Regular"/>
                <w:color w:val="000000"/>
                <w:sz w:val="20"/>
                <w:szCs w:val="20"/>
                <w:lang w:eastAsia="es-MX"/>
              </w:rPr>
            </w:pPr>
          </w:p>
        </w:tc>
      </w:tr>
      <w:tr w:rsidR="005B1BB2" w14:paraId="14ACFE49"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6BD85835" w14:textId="77777777" w:rsidR="005B1BB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5BCE808" w14:textId="77777777" w:rsidR="005B1BB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$97,444,021.00</w:t>
            </w:r>
          </w:p>
        </w:tc>
        <w:tc>
          <w:tcPr>
            <w:tcW w:w="160" w:type="dxa"/>
            <w:shd w:val="clear" w:color="auto" w:fill="auto"/>
            <w:tcMar>
              <w:top w:w="0" w:type="dxa"/>
              <w:left w:w="70" w:type="dxa"/>
              <w:bottom w:w="0" w:type="dxa"/>
              <w:right w:w="70" w:type="dxa"/>
            </w:tcMar>
          </w:tcPr>
          <w:p w14:paraId="1B1E61A3" w14:textId="77777777" w:rsidR="005B1BB2" w:rsidRDefault="005B1BB2">
            <w:pPr>
              <w:pStyle w:val="Standard"/>
              <w:widowControl w:val="0"/>
            </w:pPr>
          </w:p>
        </w:tc>
        <w:tc>
          <w:tcPr>
            <w:tcW w:w="160" w:type="dxa"/>
            <w:shd w:val="clear" w:color="auto" w:fill="auto"/>
            <w:tcMar>
              <w:top w:w="0" w:type="dxa"/>
              <w:left w:w="70" w:type="dxa"/>
              <w:bottom w:w="0" w:type="dxa"/>
              <w:right w:w="70" w:type="dxa"/>
            </w:tcMar>
          </w:tcPr>
          <w:p w14:paraId="77945ED0" w14:textId="77777777" w:rsidR="005B1BB2" w:rsidRDefault="005B1BB2">
            <w:pPr>
              <w:pStyle w:val="Standard"/>
              <w:widowControl w:val="0"/>
            </w:pPr>
          </w:p>
        </w:tc>
        <w:tc>
          <w:tcPr>
            <w:tcW w:w="160" w:type="dxa"/>
            <w:shd w:val="clear" w:color="auto" w:fill="auto"/>
            <w:tcMar>
              <w:top w:w="0" w:type="dxa"/>
              <w:left w:w="10" w:type="dxa"/>
              <w:bottom w:w="0" w:type="dxa"/>
              <w:right w:w="10" w:type="dxa"/>
            </w:tcMar>
          </w:tcPr>
          <w:p w14:paraId="12063F09" w14:textId="77777777" w:rsidR="005B1BB2" w:rsidRDefault="005B1BB2">
            <w:pPr>
              <w:pStyle w:val="Standard"/>
              <w:widowControl w:val="0"/>
            </w:pPr>
          </w:p>
        </w:tc>
      </w:tr>
    </w:tbl>
    <w:p w14:paraId="4BA3EAF8" w14:textId="77777777" w:rsidR="005B1BB2" w:rsidRDefault="005B1BB2">
      <w:pPr>
        <w:pStyle w:val="INCISO"/>
        <w:spacing w:after="0" w:line="240" w:lineRule="exact"/>
        <w:ind w:left="360"/>
        <w:rPr>
          <w:rFonts w:ascii="Calibri" w:hAnsi="Calibri" w:cs="DIN Pro Regular"/>
          <w:b/>
          <w:smallCaps/>
          <w:sz w:val="20"/>
          <w:szCs w:val="20"/>
        </w:rPr>
      </w:pPr>
    </w:p>
    <w:p w14:paraId="6A7A0BA0" w14:textId="77777777" w:rsidR="005B1BB2" w:rsidRDefault="005B1BB2">
      <w:pPr>
        <w:pStyle w:val="Text"/>
        <w:spacing w:after="0" w:line="240" w:lineRule="exact"/>
        <w:ind w:firstLine="0"/>
        <w:rPr>
          <w:rFonts w:ascii="Calibri" w:hAnsi="Calibri" w:cs="DIN Pro Regular"/>
          <w:sz w:val="20"/>
        </w:rPr>
      </w:pPr>
    </w:p>
    <w:p w14:paraId="671CE9AA" w14:textId="77777777" w:rsidR="005B1BB2" w:rsidRDefault="005B1BB2">
      <w:pPr>
        <w:pStyle w:val="Text"/>
        <w:spacing w:after="0" w:line="240" w:lineRule="exact"/>
        <w:ind w:firstLine="0"/>
        <w:rPr>
          <w:rFonts w:ascii="Calibri" w:hAnsi="Calibri" w:cs="DIN Pro Regular"/>
          <w:sz w:val="20"/>
        </w:rPr>
      </w:pPr>
    </w:p>
    <w:p w14:paraId="5B3D1837" w14:textId="77777777" w:rsidR="005B1BB2"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51D6E0AD" w14:textId="77777777" w:rsidR="005B1BB2" w:rsidRDefault="005B1BB2">
      <w:pPr>
        <w:pStyle w:val="Text"/>
        <w:spacing w:after="0" w:line="240" w:lineRule="exact"/>
        <w:ind w:firstLine="0"/>
        <w:rPr>
          <w:rFonts w:ascii="Calibri" w:hAnsi="Calibri" w:cs="DIN Pro Regular"/>
          <w:b/>
          <w:smallCaps/>
          <w:sz w:val="20"/>
        </w:rPr>
      </w:pPr>
    </w:p>
    <w:p w14:paraId="3B763FDD" w14:textId="77777777" w:rsidR="005B1BB2" w:rsidRDefault="005B1BB2">
      <w:pPr>
        <w:pStyle w:val="Text"/>
        <w:spacing w:after="0" w:line="240" w:lineRule="exact"/>
        <w:ind w:firstLine="0"/>
        <w:rPr>
          <w:rFonts w:ascii="Calibri" w:hAnsi="Calibri" w:cs="DIN Pro Regular"/>
          <w:b/>
          <w:smallCaps/>
          <w:sz w:val="20"/>
        </w:rPr>
      </w:pPr>
    </w:p>
    <w:p w14:paraId="427CD428" w14:textId="77777777" w:rsidR="005B1BB2" w:rsidRDefault="005B1BB2">
      <w:pPr>
        <w:pStyle w:val="Text"/>
        <w:spacing w:after="0" w:line="240" w:lineRule="exact"/>
        <w:ind w:firstLine="0"/>
        <w:rPr>
          <w:rFonts w:ascii="Calibri" w:hAnsi="Calibri" w:cs="DIN Pro Regular"/>
          <w:b/>
          <w:smallCaps/>
          <w:sz w:val="20"/>
          <w:lang w:val="es-MX"/>
        </w:rPr>
      </w:pPr>
    </w:p>
    <w:p w14:paraId="49E3D853" w14:textId="77777777" w:rsidR="005B1BB2" w:rsidRDefault="005B1BB2">
      <w:pPr>
        <w:pStyle w:val="Text"/>
        <w:spacing w:after="0" w:line="240" w:lineRule="exact"/>
        <w:ind w:firstLine="0"/>
        <w:rPr>
          <w:rFonts w:ascii="Calibri" w:hAnsi="Calibri" w:cs="DIN Pro Regular"/>
          <w:b/>
          <w:smallCaps/>
          <w:sz w:val="20"/>
          <w:lang w:val="es-MX"/>
        </w:rPr>
      </w:pPr>
    </w:p>
    <w:p w14:paraId="44EEC12B" w14:textId="77777777" w:rsidR="005B1BB2" w:rsidRDefault="005B1BB2">
      <w:pPr>
        <w:pStyle w:val="Text"/>
        <w:spacing w:after="0" w:line="240" w:lineRule="exact"/>
        <w:ind w:firstLine="0"/>
        <w:rPr>
          <w:rFonts w:ascii="Calibri" w:hAnsi="Calibri" w:cs="DIN Pro Regular"/>
          <w:b/>
          <w:smallCaps/>
          <w:sz w:val="20"/>
          <w:lang w:val="es-MX"/>
        </w:rPr>
      </w:pPr>
    </w:p>
    <w:p w14:paraId="1675605F" w14:textId="77777777" w:rsidR="005B1BB2" w:rsidRDefault="005B1BB2">
      <w:pPr>
        <w:pStyle w:val="Text"/>
        <w:spacing w:after="0" w:line="240" w:lineRule="exact"/>
        <w:ind w:firstLine="0"/>
        <w:rPr>
          <w:rFonts w:ascii="Calibri" w:hAnsi="Calibri" w:cs="DIN Pro Regular"/>
          <w:b/>
          <w:smallCaps/>
          <w:sz w:val="20"/>
          <w:lang w:val="es-MX"/>
        </w:rPr>
      </w:pPr>
    </w:p>
    <w:p w14:paraId="2FFED682" w14:textId="77777777" w:rsidR="005B1BB2" w:rsidRDefault="005B1BB2">
      <w:pPr>
        <w:pStyle w:val="Text"/>
        <w:spacing w:after="0" w:line="240" w:lineRule="exact"/>
        <w:ind w:firstLine="0"/>
        <w:rPr>
          <w:rFonts w:ascii="Calibri" w:hAnsi="Calibri" w:cs="DIN Pro Regular"/>
          <w:b/>
          <w:smallCaps/>
          <w:sz w:val="20"/>
          <w:lang w:val="es-MX"/>
        </w:rPr>
      </w:pPr>
    </w:p>
    <w:p w14:paraId="22B70B17" w14:textId="77777777" w:rsidR="005B1BB2" w:rsidRDefault="005B1BB2">
      <w:pPr>
        <w:pStyle w:val="Text"/>
        <w:spacing w:after="0" w:line="240" w:lineRule="exact"/>
        <w:ind w:firstLine="0"/>
        <w:rPr>
          <w:rFonts w:ascii="Calibri" w:hAnsi="Calibri" w:cs="DIN Pro Regular"/>
          <w:b/>
          <w:smallCaps/>
          <w:sz w:val="20"/>
          <w:lang w:val="es-MX"/>
        </w:rPr>
      </w:pPr>
    </w:p>
    <w:p w14:paraId="63313563" w14:textId="77777777" w:rsidR="005B1BB2" w:rsidRDefault="005B1BB2">
      <w:pPr>
        <w:pStyle w:val="Text"/>
        <w:spacing w:after="0" w:line="240" w:lineRule="exact"/>
        <w:ind w:firstLine="0"/>
        <w:rPr>
          <w:rFonts w:ascii="Calibri" w:hAnsi="Calibri" w:cs="DIN Pro Regular"/>
          <w:b/>
          <w:smallCaps/>
          <w:sz w:val="20"/>
          <w:lang w:val="es-MX"/>
        </w:rPr>
      </w:pPr>
    </w:p>
    <w:p w14:paraId="71DA1478" w14:textId="77777777" w:rsidR="005B1BB2" w:rsidRDefault="005B1BB2">
      <w:pPr>
        <w:pStyle w:val="Text"/>
        <w:spacing w:after="0" w:line="240" w:lineRule="exact"/>
        <w:ind w:firstLine="0"/>
        <w:rPr>
          <w:rFonts w:ascii="Calibri" w:hAnsi="Calibri" w:cs="DIN Pro Regular"/>
          <w:b/>
          <w:smallCaps/>
          <w:sz w:val="20"/>
          <w:lang w:val="es-MX"/>
        </w:rPr>
      </w:pPr>
    </w:p>
    <w:p w14:paraId="565022F3" w14:textId="77777777" w:rsidR="005B1BB2" w:rsidRDefault="005B1BB2">
      <w:pPr>
        <w:pStyle w:val="Text"/>
        <w:spacing w:after="0" w:line="240" w:lineRule="exact"/>
        <w:ind w:firstLine="0"/>
        <w:rPr>
          <w:rFonts w:ascii="Calibri" w:hAnsi="Calibri" w:cs="DIN Pro Regular"/>
          <w:b/>
          <w:smallCaps/>
          <w:sz w:val="20"/>
          <w:lang w:val="es-MX"/>
        </w:rPr>
      </w:pPr>
    </w:p>
    <w:p w14:paraId="5B5998B8" w14:textId="77777777" w:rsidR="005B1BB2" w:rsidRDefault="005B1BB2">
      <w:pPr>
        <w:pStyle w:val="Text"/>
        <w:spacing w:after="0" w:line="240" w:lineRule="exact"/>
        <w:ind w:firstLine="0"/>
        <w:rPr>
          <w:rFonts w:ascii="Calibri" w:hAnsi="Calibri" w:cs="DIN Pro Regular"/>
          <w:b/>
          <w:smallCaps/>
          <w:sz w:val="20"/>
          <w:lang w:val="es-MX"/>
        </w:rPr>
      </w:pPr>
    </w:p>
    <w:p w14:paraId="1744BFE2" w14:textId="77777777" w:rsidR="005B1BB2" w:rsidRDefault="005B1BB2">
      <w:pPr>
        <w:pStyle w:val="Text"/>
        <w:spacing w:after="0" w:line="240" w:lineRule="exact"/>
        <w:ind w:firstLine="0"/>
        <w:rPr>
          <w:rFonts w:ascii="Calibri" w:hAnsi="Calibri" w:cs="DIN Pro Regular"/>
          <w:b/>
          <w:smallCaps/>
          <w:sz w:val="20"/>
          <w:lang w:val="es-MX"/>
        </w:rPr>
      </w:pPr>
    </w:p>
    <w:p w14:paraId="4382104D" w14:textId="77777777" w:rsidR="005B1BB2" w:rsidRDefault="005B1BB2">
      <w:pPr>
        <w:pStyle w:val="Text"/>
        <w:spacing w:after="0" w:line="240" w:lineRule="exact"/>
        <w:ind w:firstLine="0"/>
        <w:rPr>
          <w:rFonts w:ascii="Calibri" w:hAnsi="Calibri" w:cs="DIN Pro Regular"/>
          <w:b/>
          <w:smallCaps/>
          <w:sz w:val="20"/>
          <w:lang w:val="es-MX"/>
        </w:rPr>
      </w:pPr>
    </w:p>
    <w:p w14:paraId="6FB83396" w14:textId="77777777" w:rsidR="005B1BB2" w:rsidRDefault="005B1BB2">
      <w:pPr>
        <w:pStyle w:val="Text"/>
        <w:spacing w:after="0" w:line="240" w:lineRule="exact"/>
        <w:ind w:firstLine="0"/>
        <w:rPr>
          <w:rFonts w:ascii="Calibri" w:hAnsi="Calibri" w:cs="DIN Pro Regular"/>
          <w:b/>
          <w:smallCaps/>
          <w:sz w:val="20"/>
          <w:lang w:val="es-MX"/>
        </w:rPr>
      </w:pPr>
    </w:p>
    <w:p w14:paraId="089FE4A0" w14:textId="77777777" w:rsidR="005B1BB2" w:rsidRDefault="005B1BB2">
      <w:pPr>
        <w:pStyle w:val="Text"/>
        <w:spacing w:after="0" w:line="240" w:lineRule="exact"/>
        <w:ind w:firstLine="0"/>
        <w:rPr>
          <w:rFonts w:ascii="Calibri" w:hAnsi="Calibri" w:cs="DIN Pro Regular"/>
          <w:b/>
          <w:smallCaps/>
          <w:sz w:val="20"/>
          <w:lang w:val="es-MX"/>
        </w:rPr>
      </w:pPr>
    </w:p>
    <w:p w14:paraId="79128D96" w14:textId="77777777" w:rsidR="005B1BB2" w:rsidRDefault="005B1BB2">
      <w:pPr>
        <w:pStyle w:val="Text"/>
        <w:spacing w:after="0" w:line="240" w:lineRule="exact"/>
        <w:ind w:firstLine="0"/>
        <w:rPr>
          <w:rFonts w:ascii="Calibri" w:hAnsi="Calibri" w:cs="DIN Pro Regular"/>
          <w:b/>
          <w:smallCaps/>
          <w:sz w:val="20"/>
          <w:lang w:val="es-MX"/>
        </w:rPr>
      </w:pPr>
    </w:p>
    <w:p w14:paraId="57CEADED" w14:textId="77777777" w:rsidR="005B1BB2" w:rsidRDefault="005B1BB2">
      <w:pPr>
        <w:pStyle w:val="Text"/>
        <w:spacing w:after="0" w:line="240" w:lineRule="exact"/>
        <w:ind w:firstLine="0"/>
        <w:rPr>
          <w:rFonts w:ascii="Calibri" w:hAnsi="Calibri" w:cs="DIN Pro Regular"/>
          <w:b/>
          <w:smallCaps/>
          <w:sz w:val="20"/>
          <w:lang w:val="es-MX"/>
        </w:rPr>
      </w:pPr>
    </w:p>
    <w:p w14:paraId="2EF32F72" w14:textId="77777777" w:rsidR="005B1BB2" w:rsidRDefault="005B1BB2">
      <w:pPr>
        <w:pStyle w:val="Text"/>
        <w:spacing w:after="0" w:line="240" w:lineRule="exact"/>
        <w:ind w:firstLine="0"/>
        <w:rPr>
          <w:rFonts w:ascii="Calibri" w:hAnsi="Calibri" w:cs="DIN Pro Regular"/>
          <w:b/>
          <w:smallCaps/>
          <w:sz w:val="20"/>
          <w:lang w:val="es-MX"/>
        </w:rPr>
      </w:pPr>
    </w:p>
    <w:p w14:paraId="426FF3CB" w14:textId="77777777" w:rsidR="005B1BB2" w:rsidRDefault="005B1BB2">
      <w:pPr>
        <w:pStyle w:val="Text"/>
        <w:spacing w:after="0" w:line="240" w:lineRule="exact"/>
        <w:ind w:firstLine="0"/>
        <w:rPr>
          <w:rFonts w:ascii="Calibri" w:hAnsi="Calibri" w:cs="DIN Pro Regular"/>
          <w:b/>
          <w:smallCaps/>
          <w:sz w:val="20"/>
          <w:lang w:val="es-MX"/>
        </w:rPr>
      </w:pPr>
    </w:p>
    <w:p w14:paraId="5BE8823E" w14:textId="77777777" w:rsidR="005B1BB2" w:rsidRDefault="005B1BB2">
      <w:pPr>
        <w:pStyle w:val="Text"/>
        <w:spacing w:after="0" w:line="240" w:lineRule="exact"/>
        <w:ind w:firstLine="0"/>
        <w:rPr>
          <w:rFonts w:ascii="Calibri" w:hAnsi="Calibri" w:cs="DIN Pro Regular"/>
          <w:b/>
          <w:smallCaps/>
          <w:sz w:val="20"/>
          <w:lang w:val="es-MX"/>
        </w:rPr>
      </w:pPr>
    </w:p>
    <w:p w14:paraId="01D97A04" w14:textId="77777777" w:rsidR="005B1BB2" w:rsidRDefault="005B1BB2">
      <w:pPr>
        <w:pStyle w:val="Text"/>
        <w:spacing w:after="0" w:line="240" w:lineRule="exact"/>
        <w:ind w:firstLine="0"/>
        <w:rPr>
          <w:rFonts w:ascii="Calibri" w:hAnsi="Calibri" w:cs="DIN Pro Regular"/>
          <w:b/>
          <w:smallCaps/>
          <w:sz w:val="20"/>
          <w:lang w:val="es-MX"/>
        </w:rPr>
      </w:pPr>
    </w:p>
    <w:p w14:paraId="0F2A97BD" w14:textId="77777777" w:rsidR="005B1BB2" w:rsidRDefault="005B1BB2">
      <w:pPr>
        <w:pStyle w:val="Text"/>
        <w:spacing w:after="0" w:line="240" w:lineRule="exact"/>
        <w:ind w:firstLine="0"/>
        <w:rPr>
          <w:rFonts w:ascii="Calibri" w:hAnsi="Calibri" w:cs="DIN Pro Regular"/>
          <w:b/>
          <w:smallCaps/>
          <w:sz w:val="20"/>
          <w:lang w:val="es-MX"/>
        </w:rPr>
      </w:pPr>
    </w:p>
    <w:p w14:paraId="700BEE8C" w14:textId="77777777" w:rsidR="005B1BB2" w:rsidRDefault="005B1BB2">
      <w:pPr>
        <w:pStyle w:val="Text"/>
        <w:spacing w:after="0" w:line="240" w:lineRule="exact"/>
        <w:ind w:firstLine="0"/>
        <w:rPr>
          <w:rFonts w:ascii="Calibri" w:hAnsi="Calibri" w:cs="DIN Pro Regular"/>
          <w:b/>
          <w:smallCaps/>
          <w:sz w:val="20"/>
          <w:lang w:val="es-MX"/>
        </w:rPr>
      </w:pPr>
    </w:p>
    <w:p w14:paraId="14CB6D3E" w14:textId="77777777" w:rsidR="005B1BB2" w:rsidRDefault="005B1BB2">
      <w:pPr>
        <w:pStyle w:val="Text"/>
        <w:spacing w:after="0" w:line="240" w:lineRule="exact"/>
        <w:ind w:firstLine="0"/>
        <w:rPr>
          <w:rFonts w:ascii="Calibri" w:hAnsi="Calibri" w:cs="DIN Pro Regular"/>
          <w:b/>
          <w:smallCaps/>
          <w:sz w:val="20"/>
          <w:lang w:val="es-MX"/>
        </w:rPr>
      </w:pPr>
    </w:p>
    <w:p w14:paraId="5B2AAB14" w14:textId="77777777" w:rsidR="005B1BB2" w:rsidRDefault="005B1BB2">
      <w:pPr>
        <w:pStyle w:val="Text"/>
        <w:spacing w:after="0" w:line="240" w:lineRule="exact"/>
        <w:ind w:firstLine="0"/>
        <w:rPr>
          <w:rFonts w:ascii="Calibri" w:hAnsi="Calibri" w:cs="DIN Pro Regular"/>
          <w:b/>
          <w:smallCaps/>
          <w:sz w:val="20"/>
          <w:lang w:val="es-MX"/>
        </w:rPr>
      </w:pPr>
    </w:p>
    <w:p w14:paraId="0EF20A04" w14:textId="77777777" w:rsidR="005B1BB2" w:rsidRDefault="005B1BB2">
      <w:pPr>
        <w:pStyle w:val="Text"/>
        <w:spacing w:after="0" w:line="240" w:lineRule="exact"/>
        <w:ind w:firstLine="0"/>
        <w:rPr>
          <w:rFonts w:ascii="Calibri" w:hAnsi="Calibri" w:cs="DIN Pro Regular"/>
          <w:b/>
          <w:smallCaps/>
          <w:sz w:val="20"/>
          <w:lang w:val="es-MX"/>
        </w:rPr>
      </w:pPr>
    </w:p>
    <w:p w14:paraId="7676F692" w14:textId="77777777" w:rsidR="005B1BB2" w:rsidRDefault="005B1BB2">
      <w:pPr>
        <w:pStyle w:val="Text"/>
        <w:spacing w:after="0" w:line="240" w:lineRule="exact"/>
        <w:ind w:firstLine="0"/>
        <w:rPr>
          <w:rFonts w:ascii="Calibri" w:hAnsi="Calibri" w:cs="DIN Pro Regular"/>
          <w:b/>
          <w:smallCaps/>
          <w:sz w:val="20"/>
          <w:lang w:val="es-MX"/>
        </w:rPr>
      </w:pPr>
    </w:p>
    <w:p w14:paraId="3EDC2964" w14:textId="77777777" w:rsidR="00DA272A" w:rsidRDefault="00DA272A">
      <w:pPr>
        <w:pStyle w:val="Text"/>
        <w:spacing w:after="0" w:line="240" w:lineRule="exact"/>
        <w:ind w:firstLine="0"/>
        <w:rPr>
          <w:rFonts w:ascii="Calibri" w:hAnsi="Calibri" w:cs="DIN Pro Regular"/>
          <w:b/>
          <w:smallCaps/>
          <w:sz w:val="20"/>
          <w:lang w:val="es-MX"/>
        </w:rPr>
      </w:pPr>
    </w:p>
    <w:p w14:paraId="10A542DA" w14:textId="77777777" w:rsidR="00DA272A" w:rsidRDefault="00DA272A">
      <w:pPr>
        <w:pStyle w:val="Text"/>
        <w:spacing w:after="0" w:line="240" w:lineRule="exact"/>
        <w:ind w:firstLine="0"/>
        <w:rPr>
          <w:rFonts w:ascii="Calibri" w:hAnsi="Calibri" w:cs="DIN Pro Regular"/>
          <w:b/>
          <w:smallCaps/>
          <w:sz w:val="20"/>
          <w:lang w:val="es-MX"/>
        </w:rPr>
      </w:pPr>
    </w:p>
    <w:p w14:paraId="4CDE24F1" w14:textId="77777777" w:rsidR="005B1BB2" w:rsidRDefault="005B1BB2">
      <w:pPr>
        <w:pStyle w:val="Text"/>
        <w:spacing w:after="0" w:line="240" w:lineRule="exact"/>
        <w:ind w:firstLine="0"/>
        <w:rPr>
          <w:rFonts w:ascii="Calibri" w:hAnsi="Calibri" w:cs="DIN Pro Regular"/>
          <w:b/>
          <w:smallCaps/>
          <w:sz w:val="20"/>
          <w:lang w:val="es-MX"/>
        </w:rPr>
      </w:pPr>
    </w:p>
    <w:p w14:paraId="013C0C98" w14:textId="77777777" w:rsidR="005B1BB2" w:rsidRDefault="00000000">
      <w:pPr>
        <w:pStyle w:val="Text"/>
        <w:spacing w:after="0" w:line="240" w:lineRule="exact"/>
        <w:jc w:val="center"/>
      </w:pPr>
      <w:r>
        <w:rPr>
          <w:rFonts w:ascii="Calibri" w:hAnsi="Calibri" w:cs="DIN Pro Regular"/>
          <w:b/>
          <w:sz w:val="24"/>
          <w:szCs w:val="24"/>
        </w:rPr>
        <w:t>Cuenta Pública 2024</w:t>
      </w:r>
    </w:p>
    <w:p w14:paraId="77BBCAED" w14:textId="77777777" w:rsidR="005B1BB2" w:rsidRDefault="005B1BB2">
      <w:pPr>
        <w:pStyle w:val="Text"/>
        <w:spacing w:after="0" w:line="240" w:lineRule="exact"/>
        <w:jc w:val="center"/>
        <w:rPr>
          <w:rFonts w:ascii="Calibri" w:hAnsi="Calibri" w:cs="DIN Pro Regular"/>
          <w:b/>
          <w:sz w:val="24"/>
          <w:szCs w:val="24"/>
        </w:rPr>
      </w:pPr>
    </w:p>
    <w:p w14:paraId="7A64F0A3" w14:textId="77777777" w:rsidR="005B1BB2" w:rsidRDefault="00000000">
      <w:pPr>
        <w:pStyle w:val="Text"/>
        <w:spacing w:after="0" w:line="240" w:lineRule="exact"/>
        <w:jc w:val="center"/>
      </w:pPr>
      <w:r>
        <w:rPr>
          <w:rFonts w:ascii="Calibri" w:hAnsi="Calibri" w:cs="DIN Pro Regular"/>
          <w:b/>
          <w:sz w:val="24"/>
          <w:szCs w:val="24"/>
        </w:rPr>
        <w:t>Notas a los Estados Financieros</w:t>
      </w:r>
    </w:p>
    <w:p w14:paraId="0D70A36A" w14:textId="77777777" w:rsidR="005B1BB2" w:rsidRDefault="005B1BB2">
      <w:pPr>
        <w:pStyle w:val="Text"/>
        <w:spacing w:after="0" w:line="240" w:lineRule="exact"/>
        <w:ind w:firstLine="0"/>
        <w:rPr>
          <w:rFonts w:ascii="Calibri" w:hAnsi="Calibri" w:cs="DIN Pro Regular"/>
          <w:b/>
          <w:smallCaps/>
          <w:sz w:val="20"/>
        </w:rPr>
      </w:pPr>
    </w:p>
    <w:p w14:paraId="3539D946" w14:textId="77777777" w:rsidR="005B1BB2"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07511C03" w14:textId="77777777" w:rsidR="005B1BB2" w:rsidRDefault="005B1BB2">
      <w:pPr>
        <w:pStyle w:val="Text"/>
        <w:spacing w:after="0" w:line="240" w:lineRule="exact"/>
        <w:rPr>
          <w:rFonts w:ascii="Calibri" w:hAnsi="Calibri" w:cs="DIN Pro Regular"/>
          <w:sz w:val="20"/>
          <w:lang w:val="es-MX"/>
        </w:rPr>
      </w:pPr>
    </w:p>
    <w:p w14:paraId="4DAC60CD" w14:textId="77777777" w:rsidR="005B1BB2" w:rsidRDefault="005B1BB2">
      <w:pPr>
        <w:pStyle w:val="Text"/>
        <w:spacing w:after="0" w:line="240" w:lineRule="exact"/>
        <w:rPr>
          <w:rFonts w:ascii="Calibri" w:hAnsi="Calibri" w:cs="DIN Pro Regular"/>
          <w:sz w:val="20"/>
          <w:lang w:val="es-MX"/>
        </w:rPr>
      </w:pPr>
    </w:p>
    <w:p w14:paraId="690A7DC6" w14:textId="77777777" w:rsidR="005B1BB2" w:rsidRDefault="00000000">
      <w:pPr>
        <w:pStyle w:val="Text"/>
        <w:spacing w:after="0" w:line="240" w:lineRule="exact"/>
      </w:pPr>
      <w:r>
        <w:rPr>
          <w:rFonts w:ascii="Calibri" w:hAnsi="Calibri" w:cs="DIN Pro Regular"/>
          <w:b/>
          <w:sz w:val="22"/>
          <w:szCs w:val="22"/>
        </w:rPr>
        <w:t>Cuentas de Orden Contables y Presupuestarias:</w:t>
      </w:r>
    </w:p>
    <w:p w14:paraId="528804F2" w14:textId="77777777" w:rsidR="005B1BB2" w:rsidRDefault="005B1BB2">
      <w:pPr>
        <w:pStyle w:val="Text"/>
        <w:spacing w:after="0" w:line="240" w:lineRule="exact"/>
        <w:rPr>
          <w:rFonts w:ascii="Calibri" w:hAnsi="Calibri" w:cs="DIN Pro Regular"/>
          <w:b/>
          <w:sz w:val="22"/>
          <w:szCs w:val="22"/>
        </w:rPr>
      </w:pPr>
    </w:p>
    <w:p w14:paraId="4732A6F5" w14:textId="77777777" w:rsidR="005B1BB2" w:rsidRDefault="00000000">
      <w:pPr>
        <w:pStyle w:val="Text"/>
        <w:spacing w:after="0" w:line="240" w:lineRule="exact"/>
        <w:ind w:left="2160" w:hanging="540"/>
      </w:pPr>
      <w:r>
        <w:rPr>
          <w:rFonts w:ascii="Calibri" w:hAnsi="Calibri" w:cs="DIN Pro Regular"/>
          <w:b/>
          <w:sz w:val="22"/>
          <w:szCs w:val="22"/>
        </w:rPr>
        <w:t>Contables:</w:t>
      </w:r>
    </w:p>
    <w:p w14:paraId="7D3BE62F" w14:textId="77777777" w:rsidR="005B1BB2" w:rsidRDefault="00000000">
      <w:pPr>
        <w:pStyle w:val="Text"/>
        <w:spacing w:after="0" w:line="240" w:lineRule="exact"/>
        <w:ind w:left="2160" w:hanging="540"/>
        <w:rPr>
          <w:rFonts w:ascii="Calibri" w:hAnsi="Calibri" w:cs="DIN Pro Regular"/>
          <w:sz w:val="20"/>
        </w:rPr>
      </w:pPr>
      <w:r>
        <w:rPr>
          <w:rFonts w:ascii="Calibri" w:hAnsi="Calibri" w:cs="DIN Pro Regular"/>
          <w:sz w:val="20"/>
        </w:rPr>
        <w:tab/>
        <w:t>Valores. No aplica</w:t>
      </w:r>
    </w:p>
    <w:p w14:paraId="7DFA8977" w14:textId="77777777" w:rsidR="005B1BB2" w:rsidRDefault="005B1BB2">
      <w:pPr>
        <w:pStyle w:val="Text"/>
        <w:spacing w:after="0" w:line="240" w:lineRule="exact"/>
        <w:ind w:left="2160" w:hanging="540"/>
      </w:pPr>
    </w:p>
    <w:p w14:paraId="0F7885C2" w14:textId="77777777" w:rsidR="005B1BB2" w:rsidRDefault="00000000">
      <w:pPr>
        <w:pStyle w:val="Text"/>
        <w:spacing w:after="0" w:line="240" w:lineRule="exact"/>
        <w:ind w:left="2160" w:hanging="540"/>
      </w:pPr>
      <w:r>
        <w:rPr>
          <w:rFonts w:ascii="Calibri" w:hAnsi="Calibri" w:cs="DIN Pro Regular"/>
          <w:sz w:val="20"/>
        </w:rPr>
        <w:tab/>
        <w:t xml:space="preserve">Emisión de obligaciones. No Aplica </w:t>
      </w:r>
    </w:p>
    <w:p w14:paraId="1DB009C4" w14:textId="77777777" w:rsidR="005B1BB2" w:rsidRDefault="00000000">
      <w:pPr>
        <w:pStyle w:val="Text"/>
        <w:spacing w:after="0" w:line="240" w:lineRule="exact"/>
        <w:ind w:left="2160" w:hanging="540"/>
        <w:rPr>
          <w:rFonts w:ascii="Calibri" w:hAnsi="Calibri" w:cs="DIN Pro Regular"/>
          <w:sz w:val="20"/>
        </w:rPr>
      </w:pPr>
      <w:r>
        <w:rPr>
          <w:rFonts w:ascii="Calibri" w:hAnsi="Calibri" w:cs="DIN Pro Regular"/>
          <w:sz w:val="20"/>
        </w:rPr>
        <w:tab/>
        <w:t>Avales y garantías. Durante el ejercicio 2024 se tiene registrado en cuentas de orden un monto por $1,501,848.00 por descuentos al personal de esta institución por préstamos de IPSSET</w:t>
      </w:r>
    </w:p>
    <w:p w14:paraId="05737714" w14:textId="77777777" w:rsidR="005B1BB2" w:rsidRDefault="005B1BB2">
      <w:pPr>
        <w:pStyle w:val="Text"/>
        <w:spacing w:after="0" w:line="240" w:lineRule="exact"/>
        <w:ind w:left="2160" w:hanging="540"/>
        <w:rPr>
          <w:rFonts w:ascii="Calibri" w:hAnsi="Calibri" w:cs="DIN Pro Regular"/>
          <w:sz w:val="20"/>
        </w:rPr>
      </w:pPr>
    </w:p>
    <w:p w14:paraId="39ABE9B2" w14:textId="77777777" w:rsidR="005B1BB2" w:rsidRDefault="005B1BB2">
      <w:pPr>
        <w:pStyle w:val="Text"/>
        <w:spacing w:after="0" w:line="240" w:lineRule="exact"/>
        <w:ind w:left="2160" w:hanging="540"/>
        <w:rPr>
          <w:rFonts w:ascii="Calibri" w:hAnsi="Calibri" w:cs="DIN Pro Regular"/>
          <w:sz w:val="20"/>
        </w:rPr>
      </w:pPr>
    </w:p>
    <w:p w14:paraId="13312AAF" w14:textId="77777777" w:rsidR="005B1BB2" w:rsidRDefault="005B1BB2">
      <w:pPr>
        <w:pStyle w:val="Text"/>
        <w:spacing w:after="0" w:line="240" w:lineRule="exact"/>
        <w:ind w:left="2160" w:hanging="540"/>
        <w:rPr>
          <w:rFonts w:ascii="Calibri" w:hAnsi="Calibri" w:cs="DIN Pro Regular"/>
          <w:sz w:val="20"/>
        </w:rPr>
      </w:pPr>
    </w:p>
    <w:tbl>
      <w:tblPr>
        <w:tblW w:w="7190" w:type="dxa"/>
        <w:tblInd w:w="2160" w:type="dxa"/>
        <w:tblCellMar>
          <w:left w:w="10" w:type="dxa"/>
          <w:right w:w="10" w:type="dxa"/>
        </w:tblCellMar>
        <w:tblLook w:val="0000" w:firstRow="0" w:lastRow="0" w:firstColumn="0" w:lastColumn="0" w:noHBand="0" w:noVBand="0"/>
      </w:tblPr>
      <w:tblGrid>
        <w:gridCol w:w="2510"/>
        <w:gridCol w:w="1229"/>
        <w:gridCol w:w="2206"/>
        <w:gridCol w:w="1245"/>
      </w:tblGrid>
      <w:tr w:rsidR="005B1BB2" w14:paraId="741FF754" w14:textId="77777777">
        <w:tblPrEx>
          <w:tblCellMar>
            <w:top w:w="0" w:type="dxa"/>
            <w:bottom w:w="0" w:type="dxa"/>
          </w:tblCellMar>
        </w:tblPrEx>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F26F5"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Nombre</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655C"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Importe</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6AE3"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Nombre</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07909"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Importe</w:t>
            </w:r>
          </w:p>
        </w:tc>
      </w:tr>
      <w:tr w:rsidR="005B1BB2" w14:paraId="42DDD309" w14:textId="77777777">
        <w:tblPrEx>
          <w:tblCellMar>
            <w:top w:w="0" w:type="dxa"/>
            <w:bottom w:w="0" w:type="dxa"/>
          </w:tblCellMar>
        </w:tblPrEx>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0400A"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 xml:space="preserve">Teresa González Aran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5701C" w14:textId="77777777" w:rsidR="005B1BB2" w:rsidRDefault="00000000">
            <w:pPr>
              <w:pStyle w:val="Texto"/>
              <w:spacing w:after="0" w:line="240" w:lineRule="exact"/>
              <w:ind w:firstLine="0"/>
              <w:jc w:val="center"/>
              <w:rPr>
                <w:rFonts w:ascii="Calibri" w:hAnsi="Calibri" w:cs="DIN Pro Regular"/>
                <w:sz w:val="20"/>
              </w:rPr>
            </w:pPr>
            <w:r>
              <w:rPr>
                <w:rFonts w:ascii="Calibri" w:hAnsi="Calibri" w:cs="DIN Pro Regular"/>
                <w:sz w:val="20"/>
              </w:rPr>
              <w:t>$60,208.00</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005"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 xml:space="preserve">Nora Alicia Vela </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B0E3C"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$19,388.00</w:t>
            </w:r>
          </w:p>
        </w:tc>
      </w:tr>
      <w:tr w:rsidR="005B1BB2" w14:paraId="414FE11F" w14:textId="77777777">
        <w:tblPrEx>
          <w:tblCellMar>
            <w:top w:w="0" w:type="dxa"/>
            <w:bottom w:w="0" w:type="dxa"/>
          </w:tblCellMar>
        </w:tblPrEx>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5E5CC"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Martha Alicia Ramírez</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DA1AB"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$16,985.00</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FFCC"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Julia Díaz Puerto</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53DC8"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$101,088.00</w:t>
            </w:r>
          </w:p>
        </w:tc>
      </w:tr>
      <w:tr w:rsidR="005B1BB2" w14:paraId="33CF0E83" w14:textId="77777777">
        <w:tblPrEx>
          <w:tblCellMar>
            <w:top w:w="0" w:type="dxa"/>
            <w:bottom w:w="0" w:type="dxa"/>
          </w:tblCellMar>
        </w:tblPrEx>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3655"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Adriana Isabel Abundis</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D2D14"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$53,596.00</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715B5"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América Anais Álvarez</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8987F"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$21,217.00</w:t>
            </w:r>
          </w:p>
        </w:tc>
      </w:tr>
      <w:tr w:rsidR="005B1BB2" w14:paraId="47F89CC4" w14:textId="77777777">
        <w:tblPrEx>
          <w:tblCellMar>
            <w:top w:w="0" w:type="dxa"/>
            <w:bottom w:w="0" w:type="dxa"/>
          </w:tblCellMar>
        </w:tblPrEx>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9148" w14:textId="77777777" w:rsidR="005B1BB2" w:rsidRDefault="00000000">
            <w:pPr>
              <w:pStyle w:val="Texto"/>
              <w:spacing w:after="0" w:line="240" w:lineRule="exact"/>
              <w:ind w:firstLine="0"/>
              <w:rPr>
                <w:rFonts w:ascii="Calibri" w:hAnsi="Calibri" w:cs="DIN Pro Regular"/>
                <w:sz w:val="20"/>
              </w:rPr>
            </w:pPr>
            <w:proofErr w:type="spellStart"/>
            <w:r>
              <w:rPr>
                <w:rFonts w:ascii="Calibri" w:hAnsi="Calibri" w:cs="DIN Pro Regular"/>
                <w:sz w:val="20"/>
              </w:rPr>
              <w:t>AdanBerto</w:t>
            </w:r>
            <w:proofErr w:type="spellEnd"/>
            <w:r>
              <w:rPr>
                <w:rFonts w:ascii="Calibri" w:hAnsi="Calibri" w:cs="DIN Pro Regular"/>
                <w:sz w:val="20"/>
              </w:rPr>
              <w:t xml:space="preserve"> Guerrero</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E3AE4"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$67,318.00</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61E76"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Rosario Osorio Refugio</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B6257"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$50,629.00</w:t>
            </w:r>
          </w:p>
        </w:tc>
      </w:tr>
      <w:tr w:rsidR="005B1BB2" w14:paraId="6D9DE5F4" w14:textId="77777777">
        <w:tblPrEx>
          <w:tblCellMar>
            <w:top w:w="0" w:type="dxa"/>
            <w:bottom w:w="0" w:type="dxa"/>
          </w:tblCellMar>
        </w:tblPrEx>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DA1B"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Brenda Ovalle Trujillo</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5FB8D"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19,327.00</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01D79"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Erik Alejandro Saavedra</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78F36"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$20,275.00</w:t>
            </w:r>
          </w:p>
        </w:tc>
      </w:tr>
      <w:tr w:rsidR="005B1BB2" w14:paraId="776A3BDA" w14:textId="77777777">
        <w:tblPrEx>
          <w:tblCellMar>
            <w:top w:w="0" w:type="dxa"/>
            <w:bottom w:w="0" w:type="dxa"/>
          </w:tblCellMar>
        </w:tblPrEx>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AB96"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Ángela Estefanía de Haro</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293B3"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$54,674.00</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1DAE"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Eva Teresa Serrano</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48C61"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$0.00</w:t>
            </w:r>
          </w:p>
        </w:tc>
      </w:tr>
      <w:tr w:rsidR="005B1BB2" w14:paraId="3EC7DD7D" w14:textId="77777777">
        <w:tblPrEx>
          <w:tblCellMar>
            <w:top w:w="0" w:type="dxa"/>
            <w:bottom w:w="0" w:type="dxa"/>
          </w:tblCellMar>
        </w:tblPrEx>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71980"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Juan Márquez Sánchez</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A0E5A"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$70,525.00</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7E25"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Jesús Arturo Rodríguez</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1732"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$29,086.00</w:t>
            </w:r>
          </w:p>
        </w:tc>
      </w:tr>
      <w:tr w:rsidR="005B1BB2" w14:paraId="771F479E" w14:textId="77777777">
        <w:tblPrEx>
          <w:tblCellMar>
            <w:top w:w="0" w:type="dxa"/>
            <w:bottom w:w="0" w:type="dxa"/>
          </w:tblCellMar>
        </w:tblPrEx>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D5DC"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Mario lira Ramos</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1D68"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$24,467.00</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1F95E"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Mario Alberto de la Mora</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87C23"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$45,929.00</w:t>
            </w:r>
          </w:p>
        </w:tc>
      </w:tr>
      <w:tr w:rsidR="005B1BB2" w14:paraId="4C1DC4D4" w14:textId="77777777">
        <w:tblPrEx>
          <w:tblCellMar>
            <w:top w:w="0" w:type="dxa"/>
            <w:bottom w:w="0" w:type="dxa"/>
          </w:tblCellMar>
        </w:tblPrEx>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B70BD"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Gabriela Prado Espinoza</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0AB58"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$45,001.00</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4102"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Ana Alejandra Orozco</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CD541"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$33,751.00</w:t>
            </w:r>
          </w:p>
        </w:tc>
      </w:tr>
      <w:tr w:rsidR="005B1BB2" w14:paraId="4F2E15DB" w14:textId="77777777">
        <w:tblPrEx>
          <w:tblCellMar>
            <w:top w:w="0" w:type="dxa"/>
            <w:bottom w:w="0" w:type="dxa"/>
          </w:tblCellMar>
        </w:tblPrEx>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C4EB"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Juan Enrique González</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454A"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$92,953.00</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5DA2A"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Julio Cesar Lora Fuentes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2C2A"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$20,813.00</w:t>
            </w:r>
          </w:p>
        </w:tc>
      </w:tr>
      <w:tr w:rsidR="005B1BB2" w14:paraId="7771C141" w14:textId="77777777">
        <w:tblPrEx>
          <w:tblCellMar>
            <w:top w:w="0" w:type="dxa"/>
            <w:bottom w:w="0" w:type="dxa"/>
          </w:tblCellMar>
        </w:tblPrEx>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96127"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Ramiro González García</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0F2E8"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$151,896.00</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36AAC"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Juan Manuel Sosa</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031C1" w14:textId="77777777" w:rsidR="005B1BB2" w:rsidRDefault="00000000">
            <w:pPr>
              <w:pStyle w:val="Texto"/>
              <w:spacing w:after="0" w:line="240" w:lineRule="exact"/>
              <w:ind w:firstLine="0"/>
              <w:jc w:val="right"/>
              <w:rPr>
                <w:rFonts w:ascii="Calibri" w:hAnsi="Calibri" w:cs="DIN Pro Regular"/>
                <w:sz w:val="20"/>
              </w:rPr>
            </w:pPr>
            <w:proofErr w:type="gramStart"/>
            <w:r>
              <w:rPr>
                <w:rFonts w:ascii="Calibri" w:hAnsi="Calibri" w:cs="DIN Pro Regular"/>
                <w:sz w:val="20"/>
              </w:rPr>
              <w:t>.$</w:t>
            </w:r>
            <w:proofErr w:type="gramEnd"/>
            <w:r>
              <w:rPr>
                <w:rFonts w:ascii="Calibri" w:hAnsi="Calibri" w:cs="DIN Pro Regular"/>
                <w:sz w:val="20"/>
              </w:rPr>
              <w:t>0.00</w:t>
            </w:r>
          </w:p>
        </w:tc>
      </w:tr>
      <w:tr w:rsidR="005B1BB2" w14:paraId="000EDCA7" w14:textId="77777777">
        <w:tblPrEx>
          <w:tblCellMar>
            <w:top w:w="0" w:type="dxa"/>
            <w:bottom w:w="0" w:type="dxa"/>
          </w:tblCellMar>
        </w:tblPrEx>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FDC76"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Pedro de Jesús Sánchez</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992D5"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0.00</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A16F"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María de Jesús Martínez</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8180A"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$0.00</w:t>
            </w:r>
          </w:p>
        </w:tc>
      </w:tr>
      <w:tr w:rsidR="005B1BB2" w14:paraId="766BA18E" w14:textId="77777777">
        <w:tblPrEx>
          <w:tblCellMar>
            <w:top w:w="0" w:type="dxa"/>
            <w:bottom w:w="0" w:type="dxa"/>
          </w:tblCellMar>
        </w:tblPrEx>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39BCE"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Ernesto Javier Vara Núñez</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0876"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$70,026.00</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A634C"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 xml:space="preserve">Idalia Guadalupe Reyna </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01893"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$61,471.00</w:t>
            </w:r>
          </w:p>
        </w:tc>
      </w:tr>
      <w:tr w:rsidR="005B1BB2" w14:paraId="5149AE38" w14:textId="77777777">
        <w:tblPrEx>
          <w:tblCellMar>
            <w:top w:w="0" w:type="dxa"/>
            <w:bottom w:w="0" w:type="dxa"/>
          </w:tblCellMar>
        </w:tblPrEx>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C2D8" w14:textId="77777777" w:rsidR="005B1BB2" w:rsidRDefault="00000000">
            <w:pPr>
              <w:pStyle w:val="Texto"/>
              <w:spacing w:after="0" w:line="240" w:lineRule="exact"/>
              <w:ind w:firstLine="0"/>
              <w:rPr>
                <w:rFonts w:ascii="Calibri" w:hAnsi="Calibri" w:cs="DIN Pro Regular"/>
                <w:sz w:val="20"/>
              </w:rPr>
            </w:pPr>
            <w:proofErr w:type="spellStart"/>
            <w:r>
              <w:rPr>
                <w:rFonts w:ascii="Calibri" w:hAnsi="Calibri" w:cs="DIN Pro Regular"/>
                <w:sz w:val="20"/>
              </w:rPr>
              <w:t>Mireyda</w:t>
            </w:r>
            <w:proofErr w:type="spellEnd"/>
            <w:r>
              <w:rPr>
                <w:rFonts w:ascii="Calibri" w:hAnsi="Calibri" w:cs="DIN Pro Regular"/>
                <w:sz w:val="20"/>
              </w:rPr>
              <w:t xml:space="preserve"> Nieto Pulido</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8E7F"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$161,828.00</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5030"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Cristina Guadalupe Vázquez</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2829"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$13,858.00</w:t>
            </w:r>
          </w:p>
        </w:tc>
      </w:tr>
      <w:tr w:rsidR="005B1BB2" w14:paraId="04ED2B7D" w14:textId="77777777">
        <w:tblPrEx>
          <w:tblCellMar>
            <w:top w:w="0" w:type="dxa"/>
            <w:bottom w:w="0" w:type="dxa"/>
          </w:tblCellMar>
        </w:tblPrEx>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D87F8"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 xml:space="preserve">Guadalupe Ángeles Oseguera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5DE9B"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$14,715.00</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9ABE9" w14:textId="77777777" w:rsidR="005B1BB2" w:rsidRDefault="00000000">
            <w:pPr>
              <w:pStyle w:val="Texto"/>
              <w:spacing w:after="0" w:line="240" w:lineRule="exact"/>
              <w:ind w:firstLine="0"/>
              <w:rPr>
                <w:rFonts w:ascii="Calibri" w:hAnsi="Calibri" w:cs="DIN Pro Regular"/>
                <w:sz w:val="20"/>
              </w:rPr>
            </w:pPr>
            <w:r>
              <w:rPr>
                <w:rFonts w:ascii="Calibri" w:hAnsi="Calibri" w:cs="DIN Pro Regular"/>
                <w:sz w:val="20"/>
              </w:rPr>
              <w:t>Valentín Román Arellano</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4EE0D" w14:textId="77777777" w:rsidR="005B1BB2" w:rsidRDefault="00000000">
            <w:pPr>
              <w:pStyle w:val="Texto"/>
              <w:spacing w:after="0" w:line="240" w:lineRule="exact"/>
              <w:ind w:firstLine="0"/>
              <w:jc w:val="right"/>
              <w:rPr>
                <w:rFonts w:ascii="Calibri" w:hAnsi="Calibri" w:cs="DIN Pro Regular"/>
                <w:sz w:val="20"/>
              </w:rPr>
            </w:pPr>
            <w:r>
              <w:rPr>
                <w:rFonts w:ascii="Calibri" w:hAnsi="Calibri" w:cs="DIN Pro Regular"/>
                <w:sz w:val="20"/>
              </w:rPr>
              <w:t>$59,160.00</w:t>
            </w:r>
          </w:p>
        </w:tc>
      </w:tr>
    </w:tbl>
    <w:p w14:paraId="19AA07D2" w14:textId="77777777" w:rsidR="005B1BB2" w:rsidRDefault="005B1BB2">
      <w:pPr>
        <w:pStyle w:val="Text"/>
        <w:spacing w:after="0" w:line="240" w:lineRule="exact"/>
        <w:ind w:firstLine="0"/>
        <w:rPr>
          <w:rFonts w:ascii="Calibri" w:hAnsi="Calibri" w:cs="DIN Pro Regular"/>
          <w:sz w:val="20"/>
        </w:rPr>
      </w:pPr>
    </w:p>
    <w:p w14:paraId="2AFAB99D" w14:textId="77777777" w:rsidR="005B1BB2" w:rsidRDefault="005B1BB2">
      <w:pPr>
        <w:pStyle w:val="Text"/>
        <w:spacing w:after="0" w:line="240" w:lineRule="exact"/>
        <w:ind w:left="2160" w:hanging="540"/>
      </w:pPr>
    </w:p>
    <w:p w14:paraId="6FAF89F5" w14:textId="77777777" w:rsidR="005B1BB2" w:rsidRDefault="00000000">
      <w:pPr>
        <w:pStyle w:val="Text"/>
        <w:spacing w:after="0" w:line="240" w:lineRule="exact"/>
        <w:ind w:left="2160" w:hanging="540"/>
        <w:rPr>
          <w:rFonts w:ascii="Calibri" w:hAnsi="Calibri" w:cs="DIN Pro Regular"/>
          <w:sz w:val="20"/>
        </w:rPr>
      </w:pPr>
      <w:r>
        <w:rPr>
          <w:rFonts w:ascii="Calibri" w:hAnsi="Calibri" w:cs="DIN Pro Regular"/>
          <w:sz w:val="20"/>
        </w:rPr>
        <w:tab/>
        <w:t>Juicios. No Aplica</w:t>
      </w:r>
    </w:p>
    <w:p w14:paraId="3C4C789C" w14:textId="77777777" w:rsidR="005B1BB2" w:rsidRDefault="005B1BB2">
      <w:pPr>
        <w:pStyle w:val="Text"/>
        <w:spacing w:after="0" w:line="240" w:lineRule="exact"/>
        <w:ind w:left="2160" w:hanging="540"/>
      </w:pPr>
    </w:p>
    <w:p w14:paraId="5CBBD535" w14:textId="77777777" w:rsidR="005B1BB2"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w:t>
      </w:r>
    </w:p>
    <w:p w14:paraId="2CEF389C" w14:textId="77777777" w:rsidR="005B1BB2" w:rsidRDefault="005B1BB2">
      <w:pPr>
        <w:pStyle w:val="Text"/>
        <w:spacing w:after="0" w:line="240" w:lineRule="exact"/>
        <w:ind w:left="2160" w:hanging="540"/>
        <w:rPr>
          <w:rFonts w:ascii="Calibri" w:hAnsi="Calibri" w:cs="DIN Pro Regular"/>
          <w:sz w:val="20"/>
        </w:rPr>
      </w:pPr>
    </w:p>
    <w:p w14:paraId="705B70CA" w14:textId="77777777" w:rsidR="005B1BB2" w:rsidRDefault="005B1BB2">
      <w:pPr>
        <w:pStyle w:val="Text"/>
        <w:spacing w:after="0" w:line="240" w:lineRule="exact"/>
        <w:ind w:left="2160" w:hanging="540"/>
        <w:rPr>
          <w:rFonts w:ascii="Calibri" w:hAnsi="Calibri" w:cs="DIN Pro Regular"/>
          <w:sz w:val="20"/>
        </w:rPr>
      </w:pPr>
    </w:p>
    <w:p w14:paraId="7F02F774" w14:textId="77777777" w:rsidR="005B1BB2" w:rsidRDefault="005B1BB2">
      <w:pPr>
        <w:pStyle w:val="Text"/>
        <w:spacing w:after="0" w:line="240" w:lineRule="exact"/>
        <w:ind w:left="2160" w:hanging="540"/>
        <w:rPr>
          <w:rFonts w:ascii="Calibri" w:hAnsi="Calibri" w:cs="DIN Pro Regular"/>
          <w:sz w:val="20"/>
        </w:rPr>
      </w:pPr>
    </w:p>
    <w:p w14:paraId="2FDC29EF" w14:textId="77777777" w:rsidR="005B1BB2" w:rsidRDefault="005B1BB2">
      <w:pPr>
        <w:pStyle w:val="Text"/>
        <w:spacing w:after="0" w:line="240" w:lineRule="exact"/>
        <w:ind w:left="2160" w:hanging="540"/>
        <w:rPr>
          <w:rFonts w:ascii="Calibri" w:hAnsi="Calibri" w:cs="DIN Pro Regular"/>
          <w:sz w:val="20"/>
        </w:rPr>
      </w:pPr>
    </w:p>
    <w:p w14:paraId="2C4174FE" w14:textId="77777777" w:rsidR="005B1BB2" w:rsidRDefault="005B1BB2">
      <w:pPr>
        <w:pStyle w:val="Text"/>
        <w:spacing w:after="0" w:line="240" w:lineRule="exact"/>
        <w:ind w:left="2160" w:hanging="540"/>
        <w:rPr>
          <w:rFonts w:ascii="Calibri" w:hAnsi="Calibri" w:cs="DIN Pro Regular"/>
          <w:sz w:val="20"/>
        </w:rPr>
      </w:pPr>
    </w:p>
    <w:p w14:paraId="6631EC78" w14:textId="77777777" w:rsidR="005B1BB2" w:rsidRDefault="005B1BB2">
      <w:pPr>
        <w:pStyle w:val="Text"/>
        <w:spacing w:after="0" w:line="240" w:lineRule="exact"/>
        <w:ind w:left="2160" w:hanging="540"/>
        <w:rPr>
          <w:rFonts w:ascii="Calibri" w:hAnsi="Calibri" w:cs="DIN Pro Regular"/>
          <w:sz w:val="20"/>
        </w:rPr>
      </w:pPr>
    </w:p>
    <w:p w14:paraId="24499A47" w14:textId="77777777" w:rsidR="005B1BB2" w:rsidRDefault="005B1BB2">
      <w:pPr>
        <w:pStyle w:val="Text"/>
        <w:spacing w:after="0" w:line="240" w:lineRule="exact"/>
        <w:ind w:left="2160" w:hanging="540"/>
        <w:rPr>
          <w:rFonts w:ascii="Calibri" w:hAnsi="Calibri" w:cs="DIN Pro Regular"/>
          <w:sz w:val="20"/>
        </w:rPr>
      </w:pPr>
    </w:p>
    <w:p w14:paraId="36B051BD" w14:textId="77777777" w:rsidR="005B1BB2" w:rsidRDefault="005B1BB2">
      <w:pPr>
        <w:pStyle w:val="Text"/>
        <w:spacing w:after="0" w:line="240" w:lineRule="exact"/>
        <w:ind w:left="2160" w:hanging="540"/>
        <w:rPr>
          <w:rFonts w:ascii="Calibri" w:hAnsi="Calibri" w:cs="DIN Pro Regular"/>
          <w:sz w:val="20"/>
        </w:rPr>
      </w:pPr>
    </w:p>
    <w:p w14:paraId="253C7F20" w14:textId="77777777" w:rsidR="005B1BB2"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1CE5C2B2" w14:textId="77777777" w:rsidR="005B1BB2" w:rsidRDefault="005B1BB2">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71"/>
        <w:gridCol w:w="4636"/>
        <w:gridCol w:w="1583"/>
      </w:tblGrid>
      <w:tr w:rsidR="005B1BB2" w14:paraId="63D9F3B9"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56AF8DD" w14:textId="77777777" w:rsidR="005B1BB2"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5B1BB2" w14:paraId="25B97FFA" w14:textId="77777777">
        <w:tblPrEx>
          <w:tblCellMar>
            <w:top w:w="0" w:type="dxa"/>
            <w:bottom w:w="0" w:type="dxa"/>
          </w:tblCellMar>
        </w:tblPrEx>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7FE50" w14:textId="77777777" w:rsidR="005B1BB2"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1171" w14:textId="77777777" w:rsidR="005B1BB2"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DCF61" w14:textId="77777777" w:rsidR="005B1BB2"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5B1BB2" w14:paraId="2161B32D" w14:textId="77777777">
        <w:tblPrEx>
          <w:tblCellMar>
            <w:top w:w="0" w:type="dxa"/>
            <w:bottom w:w="0" w:type="dxa"/>
          </w:tblCellMar>
        </w:tblPrEx>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5516" w14:textId="77777777" w:rsidR="005B1BB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020D5" w14:textId="77777777" w:rsidR="005B1BB2"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5E2C" w14:textId="77777777" w:rsidR="005B1BB2" w:rsidRDefault="00000000">
            <w:pPr>
              <w:pStyle w:val="Text"/>
              <w:spacing w:after="0" w:line="240" w:lineRule="exact"/>
              <w:ind w:firstLine="0"/>
              <w:jc w:val="right"/>
              <w:rPr>
                <w:rFonts w:ascii="Calibri" w:hAnsi="Calibri" w:cs="DIN Pro Regular"/>
                <w:sz w:val="20"/>
              </w:rPr>
            </w:pPr>
            <w:r>
              <w:rPr>
                <w:rFonts w:ascii="Calibri" w:hAnsi="Calibri" w:cs="DIN Pro Regular"/>
                <w:sz w:val="20"/>
              </w:rPr>
              <w:t>$106,977,211.00</w:t>
            </w:r>
          </w:p>
        </w:tc>
      </w:tr>
      <w:tr w:rsidR="005B1BB2" w14:paraId="444A38A5" w14:textId="77777777">
        <w:tblPrEx>
          <w:tblCellMar>
            <w:top w:w="0" w:type="dxa"/>
            <w:bottom w:w="0" w:type="dxa"/>
          </w:tblCellMar>
        </w:tblPrEx>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7C1F" w14:textId="77777777" w:rsidR="005B1BB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D82A2" w14:textId="77777777" w:rsidR="005B1BB2"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964BA" w14:textId="77777777" w:rsidR="005B1BB2" w:rsidRDefault="00000000">
            <w:pPr>
              <w:pStyle w:val="Text"/>
              <w:spacing w:after="0" w:line="240" w:lineRule="exact"/>
              <w:ind w:firstLine="0"/>
              <w:jc w:val="right"/>
              <w:rPr>
                <w:rFonts w:ascii="Calibri" w:hAnsi="Calibri" w:cs="DIN Pro Regular"/>
                <w:sz w:val="20"/>
              </w:rPr>
            </w:pPr>
            <w:r>
              <w:rPr>
                <w:rFonts w:ascii="Calibri" w:hAnsi="Calibri" w:cs="DIN Pro Regular"/>
                <w:sz w:val="20"/>
              </w:rPr>
              <w:t>$5,950,812.00</w:t>
            </w:r>
          </w:p>
        </w:tc>
      </w:tr>
      <w:tr w:rsidR="005B1BB2" w14:paraId="5659AC12" w14:textId="77777777">
        <w:tblPrEx>
          <w:tblCellMar>
            <w:top w:w="0" w:type="dxa"/>
            <w:bottom w:w="0" w:type="dxa"/>
          </w:tblCellMar>
        </w:tblPrEx>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DC31" w14:textId="77777777" w:rsidR="005B1BB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B443B" w14:textId="77777777" w:rsidR="005B1BB2"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54BCB" w14:textId="77777777" w:rsidR="005B1BB2" w:rsidRDefault="00000000">
            <w:pPr>
              <w:pStyle w:val="Text"/>
              <w:spacing w:after="0" w:line="240" w:lineRule="exact"/>
              <w:ind w:firstLine="0"/>
              <w:jc w:val="right"/>
              <w:rPr>
                <w:rFonts w:ascii="Calibri" w:hAnsi="Calibri" w:cs="DIN Pro Regular"/>
                <w:sz w:val="20"/>
              </w:rPr>
            </w:pPr>
            <w:r>
              <w:rPr>
                <w:rFonts w:ascii="Calibri" w:hAnsi="Calibri" w:cs="DIN Pro Regular"/>
                <w:sz w:val="20"/>
              </w:rPr>
              <w:t>$9,252,476.00</w:t>
            </w:r>
          </w:p>
        </w:tc>
      </w:tr>
      <w:tr w:rsidR="005B1BB2" w14:paraId="3D35E307" w14:textId="77777777">
        <w:tblPrEx>
          <w:tblCellMar>
            <w:top w:w="0" w:type="dxa"/>
            <w:bottom w:w="0" w:type="dxa"/>
          </w:tblCellMar>
        </w:tblPrEx>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1C29" w14:textId="77777777" w:rsidR="005B1BB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420C5" w14:textId="77777777" w:rsidR="005B1BB2"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F12B" w14:textId="77777777" w:rsidR="005B1BB2"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$0.00</w:t>
            </w:r>
          </w:p>
        </w:tc>
      </w:tr>
      <w:tr w:rsidR="005B1BB2" w14:paraId="43B82010" w14:textId="77777777">
        <w:tblPrEx>
          <w:tblCellMar>
            <w:top w:w="0" w:type="dxa"/>
            <w:bottom w:w="0" w:type="dxa"/>
          </w:tblCellMar>
        </w:tblPrEx>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3464E" w14:textId="77777777" w:rsidR="005B1BB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F21B" w14:textId="77777777" w:rsidR="005B1BB2"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D27E" w14:textId="77777777" w:rsidR="005B1BB2" w:rsidRDefault="00000000">
            <w:pPr>
              <w:pStyle w:val="Text"/>
              <w:spacing w:after="0" w:line="240" w:lineRule="exact"/>
              <w:ind w:firstLine="0"/>
              <w:rPr>
                <w:rFonts w:ascii="Calibri" w:hAnsi="Calibri" w:cs="DIN Pro Regular"/>
                <w:sz w:val="20"/>
              </w:rPr>
            </w:pPr>
            <w:r>
              <w:rPr>
                <w:rFonts w:ascii="Calibri" w:hAnsi="Calibri" w:cs="DIN Pro Regular"/>
                <w:sz w:val="20"/>
              </w:rPr>
              <w:t>$110,278,875.00</w:t>
            </w:r>
          </w:p>
        </w:tc>
      </w:tr>
    </w:tbl>
    <w:p w14:paraId="09B2DC0F" w14:textId="77777777" w:rsidR="005B1BB2"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p w14:paraId="2DB0E18D" w14:textId="77777777" w:rsidR="005B1BB2" w:rsidRDefault="005B1BB2">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71"/>
        <w:gridCol w:w="4636"/>
        <w:gridCol w:w="1583"/>
      </w:tblGrid>
      <w:tr w:rsidR="005B1BB2" w14:paraId="51BC0821"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75C9973D" w14:textId="77777777" w:rsidR="005B1BB2"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5B1BB2" w14:paraId="5830A2CC" w14:textId="77777777">
        <w:tblPrEx>
          <w:tblCellMar>
            <w:top w:w="0" w:type="dxa"/>
            <w:bottom w:w="0" w:type="dxa"/>
          </w:tblCellMar>
        </w:tblPrEx>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0B554" w14:textId="77777777" w:rsidR="005B1BB2"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91B1B" w14:textId="77777777" w:rsidR="005B1BB2"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18824" w14:textId="77777777" w:rsidR="005B1BB2"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5B1BB2" w14:paraId="2186DC56" w14:textId="77777777">
        <w:tblPrEx>
          <w:tblCellMar>
            <w:top w:w="0" w:type="dxa"/>
            <w:bottom w:w="0" w:type="dxa"/>
          </w:tblCellMar>
        </w:tblPrEx>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3E28" w14:textId="77777777" w:rsidR="005B1BB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5A66" w14:textId="77777777" w:rsidR="005B1BB2"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3DB09" w14:textId="77777777" w:rsidR="005B1BB2" w:rsidRDefault="00000000">
            <w:pPr>
              <w:pStyle w:val="Text"/>
              <w:spacing w:after="0" w:line="240" w:lineRule="exact"/>
              <w:ind w:firstLine="0"/>
              <w:jc w:val="right"/>
              <w:rPr>
                <w:rFonts w:ascii="Calibri" w:hAnsi="Calibri" w:cs="DIN Pro Regular"/>
                <w:sz w:val="20"/>
              </w:rPr>
            </w:pPr>
            <w:r>
              <w:rPr>
                <w:rFonts w:ascii="Calibri" w:hAnsi="Calibri" w:cs="DIN Pro Regular"/>
                <w:sz w:val="20"/>
              </w:rPr>
              <w:t>$106,977,211.00</w:t>
            </w:r>
          </w:p>
        </w:tc>
      </w:tr>
      <w:tr w:rsidR="005B1BB2" w14:paraId="3C24CEE9" w14:textId="77777777">
        <w:tblPrEx>
          <w:tblCellMar>
            <w:top w:w="0" w:type="dxa"/>
            <w:bottom w:w="0" w:type="dxa"/>
          </w:tblCellMar>
        </w:tblPrEx>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90A7" w14:textId="77777777" w:rsidR="005B1BB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D4676" w14:textId="77777777" w:rsidR="005B1BB2"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4F703" w14:textId="77777777" w:rsidR="005B1BB2" w:rsidRDefault="00000000">
            <w:pPr>
              <w:pStyle w:val="Text"/>
              <w:spacing w:after="0" w:line="240" w:lineRule="exact"/>
              <w:ind w:firstLine="0"/>
              <w:jc w:val="right"/>
              <w:rPr>
                <w:rFonts w:ascii="Calibri" w:hAnsi="Calibri" w:cs="DIN Pro Regular"/>
                <w:sz w:val="20"/>
              </w:rPr>
            </w:pPr>
            <w:r>
              <w:rPr>
                <w:rFonts w:ascii="Calibri" w:hAnsi="Calibri" w:cs="DIN Pro Regular"/>
                <w:sz w:val="20"/>
              </w:rPr>
              <w:t>$4,448,593.00</w:t>
            </w:r>
          </w:p>
        </w:tc>
      </w:tr>
      <w:tr w:rsidR="005B1BB2" w14:paraId="6FD42E80" w14:textId="77777777">
        <w:tblPrEx>
          <w:tblCellMar>
            <w:top w:w="0" w:type="dxa"/>
            <w:bottom w:w="0" w:type="dxa"/>
          </w:tblCellMar>
        </w:tblPrEx>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898D" w14:textId="77777777" w:rsidR="005B1BB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3CCF4" w14:textId="77777777" w:rsidR="005B1BB2"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6150" w14:textId="77777777" w:rsidR="005B1BB2" w:rsidRDefault="00000000">
            <w:pPr>
              <w:pStyle w:val="Text"/>
              <w:spacing w:after="0" w:line="240" w:lineRule="exact"/>
              <w:ind w:firstLine="0"/>
              <w:jc w:val="right"/>
              <w:rPr>
                <w:rFonts w:ascii="Calibri" w:hAnsi="Calibri" w:cs="DIN Pro Regular"/>
                <w:sz w:val="20"/>
              </w:rPr>
            </w:pPr>
            <w:r>
              <w:rPr>
                <w:rFonts w:ascii="Calibri" w:hAnsi="Calibri" w:cs="DIN Pro Regular"/>
                <w:sz w:val="20"/>
              </w:rPr>
              <w:t>$9,252,476.00</w:t>
            </w:r>
          </w:p>
        </w:tc>
      </w:tr>
      <w:tr w:rsidR="005B1BB2" w14:paraId="782B912B" w14:textId="77777777">
        <w:tblPrEx>
          <w:tblCellMar>
            <w:top w:w="0" w:type="dxa"/>
            <w:bottom w:w="0" w:type="dxa"/>
          </w:tblCellMar>
        </w:tblPrEx>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8C8AE" w14:textId="77777777" w:rsidR="005B1BB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78F80" w14:textId="77777777" w:rsidR="005B1BB2"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92EF8" w14:textId="77777777" w:rsidR="005B1BB2" w:rsidRDefault="00000000">
            <w:pPr>
              <w:pStyle w:val="Text"/>
              <w:spacing w:after="0" w:line="240" w:lineRule="exact"/>
              <w:ind w:firstLine="0"/>
              <w:jc w:val="right"/>
              <w:rPr>
                <w:rFonts w:ascii="Calibri" w:hAnsi="Calibri" w:cs="DIN Pro Regular"/>
                <w:sz w:val="20"/>
              </w:rPr>
            </w:pPr>
            <w:r>
              <w:rPr>
                <w:rFonts w:ascii="Calibri" w:hAnsi="Calibri" w:cs="DIN Pro Regular"/>
                <w:sz w:val="20"/>
              </w:rPr>
              <w:t>$12,315,825.00</w:t>
            </w:r>
          </w:p>
        </w:tc>
      </w:tr>
      <w:tr w:rsidR="005B1BB2" w14:paraId="0824016A" w14:textId="77777777">
        <w:tblPrEx>
          <w:tblCellMar>
            <w:top w:w="0" w:type="dxa"/>
            <w:bottom w:w="0" w:type="dxa"/>
          </w:tblCellMar>
        </w:tblPrEx>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D1DDA" w14:textId="77777777" w:rsidR="005B1BB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F0F16" w14:textId="77777777" w:rsidR="005B1BB2"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27F21" w14:textId="77777777" w:rsidR="005B1BB2" w:rsidRDefault="00000000">
            <w:pPr>
              <w:pStyle w:val="Text"/>
              <w:spacing w:after="0" w:line="240" w:lineRule="exact"/>
              <w:ind w:firstLine="0"/>
              <w:jc w:val="right"/>
              <w:rPr>
                <w:rFonts w:ascii="Calibri" w:hAnsi="Calibri" w:cs="DIN Pro Regular"/>
                <w:sz w:val="20"/>
              </w:rPr>
            </w:pPr>
            <w:r>
              <w:rPr>
                <w:rFonts w:ascii="Calibri" w:hAnsi="Calibri" w:cs="DIN Pro Regular"/>
                <w:sz w:val="20"/>
              </w:rPr>
              <w:t>$1,110,225.00</w:t>
            </w:r>
          </w:p>
        </w:tc>
      </w:tr>
      <w:tr w:rsidR="005B1BB2" w14:paraId="4B123949" w14:textId="77777777">
        <w:tblPrEx>
          <w:tblCellMar>
            <w:top w:w="0" w:type="dxa"/>
            <w:bottom w:w="0" w:type="dxa"/>
          </w:tblCellMar>
        </w:tblPrEx>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EC9D" w14:textId="77777777" w:rsidR="005B1BB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02A36" w14:textId="77777777" w:rsidR="005B1BB2"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03808" w14:textId="77777777" w:rsidR="005B1BB2" w:rsidRDefault="00000000">
            <w:pPr>
              <w:pStyle w:val="Text"/>
              <w:spacing w:after="0" w:line="240" w:lineRule="exact"/>
              <w:ind w:firstLine="0"/>
              <w:jc w:val="right"/>
              <w:rPr>
                <w:rFonts w:ascii="Calibri" w:hAnsi="Calibri" w:cs="DIN Pro Regular"/>
                <w:sz w:val="20"/>
              </w:rPr>
            </w:pPr>
            <w:r>
              <w:rPr>
                <w:rFonts w:ascii="Calibri" w:hAnsi="Calibri" w:cs="DIN Pro Regular"/>
                <w:sz w:val="20"/>
              </w:rPr>
              <w:t>$1,000.00</w:t>
            </w:r>
          </w:p>
        </w:tc>
      </w:tr>
      <w:tr w:rsidR="005B1BB2" w14:paraId="2BD9759E" w14:textId="77777777">
        <w:tblPrEx>
          <w:tblCellMar>
            <w:top w:w="0" w:type="dxa"/>
            <w:bottom w:w="0" w:type="dxa"/>
          </w:tblCellMar>
        </w:tblPrEx>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9012" w14:textId="77777777" w:rsidR="005B1BB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C140" w14:textId="77777777" w:rsidR="005B1BB2"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5B5BA" w14:textId="77777777" w:rsidR="005B1BB2" w:rsidRDefault="00000000">
            <w:pPr>
              <w:pStyle w:val="Text"/>
              <w:spacing w:after="0" w:line="240" w:lineRule="exact"/>
              <w:ind w:firstLine="0"/>
              <w:jc w:val="right"/>
              <w:rPr>
                <w:rFonts w:ascii="Calibri" w:hAnsi="Calibri" w:cs="DIN Pro Regular"/>
                <w:sz w:val="20"/>
              </w:rPr>
            </w:pPr>
            <w:r>
              <w:rPr>
                <w:rFonts w:ascii="Calibri" w:hAnsi="Calibri" w:cs="DIN Pro Regular"/>
                <w:sz w:val="20"/>
              </w:rPr>
              <w:t>$98,354,044.00</w:t>
            </w:r>
          </w:p>
        </w:tc>
      </w:tr>
    </w:tbl>
    <w:p w14:paraId="5081E818" w14:textId="77777777" w:rsidR="005B1BB2"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22B1B551" w14:textId="77777777" w:rsidR="005B1BB2" w:rsidRDefault="005B1BB2">
      <w:pPr>
        <w:pStyle w:val="Text"/>
        <w:spacing w:after="0" w:line="240" w:lineRule="exact"/>
        <w:ind w:left="2160" w:hanging="540"/>
      </w:pPr>
    </w:p>
    <w:p w14:paraId="16859AAD" w14:textId="77777777" w:rsidR="005B1BB2" w:rsidRDefault="005B1BB2">
      <w:pPr>
        <w:pStyle w:val="Text"/>
        <w:spacing w:after="0" w:line="240" w:lineRule="exact"/>
        <w:ind w:left="2160" w:hanging="540"/>
        <w:rPr>
          <w:rFonts w:ascii="Calibri" w:hAnsi="Calibri" w:cs="DIN Pro Regular"/>
          <w:sz w:val="20"/>
        </w:rPr>
      </w:pPr>
    </w:p>
    <w:p w14:paraId="1E8BA5CF" w14:textId="77777777" w:rsidR="005B1BB2" w:rsidRDefault="005B1BB2">
      <w:pPr>
        <w:pStyle w:val="Text"/>
        <w:spacing w:after="0" w:line="240" w:lineRule="exact"/>
        <w:ind w:firstLine="0"/>
        <w:rPr>
          <w:rFonts w:ascii="Calibri" w:hAnsi="Calibri" w:cs="DIN Pro Regular"/>
          <w:sz w:val="20"/>
        </w:rPr>
      </w:pPr>
    </w:p>
    <w:p w14:paraId="6E64AA32" w14:textId="77777777" w:rsidR="005B1BB2"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26E2429E" w14:textId="77777777" w:rsidR="005B1BB2" w:rsidRDefault="005B1BB2">
      <w:pPr>
        <w:pStyle w:val="Text"/>
        <w:spacing w:after="0" w:line="240" w:lineRule="exact"/>
        <w:rPr>
          <w:rFonts w:ascii="Calibri" w:hAnsi="Calibri" w:cs="DIN Pro Regular"/>
          <w:sz w:val="20"/>
        </w:rPr>
      </w:pPr>
    </w:p>
    <w:p w14:paraId="51226404" w14:textId="77777777" w:rsidR="005B1BB2" w:rsidRDefault="005B1BB2">
      <w:pPr>
        <w:pStyle w:val="Text"/>
        <w:spacing w:after="0" w:line="240" w:lineRule="exact"/>
        <w:rPr>
          <w:rFonts w:ascii="Calibri" w:hAnsi="Calibri" w:cs="DIN Pro Regular"/>
          <w:sz w:val="20"/>
        </w:rPr>
      </w:pPr>
    </w:p>
    <w:p w14:paraId="2F63C545" w14:textId="77777777" w:rsidR="005B1BB2" w:rsidRDefault="005B1BB2">
      <w:pPr>
        <w:pStyle w:val="Text"/>
        <w:spacing w:after="0" w:line="240" w:lineRule="exact"/>
        <w:rPr>
          <w:rFonts w:ascii="Calibri" w:hAnsi="Calibri" w:cs="DIN Pro Regular"/>
          <w:sz w:val="20"/>
        </w:rPr>
      </w:pPr>
    </w:p>
    <w:p w14:paraId="2193BD69" w14:textId="77777777" w:rsidR="005B1BB2" w:rsidRDefault="005B1BB2">
      <w:pPr>
        <w:pStyle w:val="Text"/>
        <w:spacing w:after="0" w:line="240" w:lineRule="exact"/>
        <w:rPr>
          <w:rFonts w:ascii="Calibri" w:hAnsi="Calibri" w:cs="DIN Pro Regular"/>
          <w:sz w:val="20"/>
        </w:rPr>
      </w:pPr>
    </w:p>
    <w:p w14:paraId="60477AF6" w14:textId="77777777" w:rsidR="005B1BB2" w:rsidRDefault="005B1BB2">
      <w:pPr>
        <w:pStyle w:val="Standard"/>
        <w:spacing w:after="0" w:line="240" w:lineRule="auto"/>
      </w:pPr>
    </w:p>
    <w:sectPr w:rsidR="005B1BB2">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5A7A" w14:textId="77777777" w:rsidR="00B8256F" w:rsidRDefault="00B8256F">
      <w:r>
        <w:separator/>
      </w:r>
    </w:p>
  </w:endnote>
  <w:endnote w:type="continuationSeparator" w:id="0">
    <w:p w14:paraId="00B09909" w14:textId="77777777" w:rsidR="00B8256F" w:rsidRDefault="00B8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DINPro-Regular">
    <w:altName w:val="Calibri"/>
    <w:charset w:val="00"/>
    <w:family w:val="modern"/>
    <w:pitch w:val="variable"/>
  </w:font>
  <w:font w:name="Encode Sans">
    <w:panose1 w:val="00000000000000000000"/>
    <w:charset w:val="00"/>
    <w:family w:val="auto"/>
    <w:pitch w:val="variable"/>
    <w:sig w:usb0="A00000FF" w:usb1="4000207B" w:usb2="00000000" w:usb3="00000000" w:csb0="000001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817E"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2E9884CC" wp14:editId="2C2B5ADB">
              <wp:simplePos x="0" y="0"/>
              <wp:positionH relativeFrom="column">
                <wp:posOffset>4315</wp:posOffset>
              </wp:positionH>
              <wp:positionV relativeFrom="paragraph">
                <wp:posOffset>-55796</wp:posOffset>
              </wp:positionV>
              <wp:extent cx="6191888" cy="0"/>
              <wp:effectExtent l="0" t="0" r="0" b="0"/>
              <wp:wrapNone/>
              <wp:docPr id="1615757790"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53E62575"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C49D5" w14:textId="77777777" w:rsidR="00B8256F" w:rsidRDefault="00B8256F">
      <w:r>
        <w:rPr>
          <w:color w:val="000000"/>
        </w:rPr>
        <w:separator/>
      </w:r>
    </w:p>
  </w:footnote>
  <w:footnote w:type="continuationSeparator" w:id="0">
    <w:p w14:paraId="356AE64D" w14:textId="77777777" w:rsidR="00B8256F" w:rsidRDefault="00B8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1E6F" w14:textId="77777777" w:rsidR="00000000" w:rsidRDefault="00000000">
    <w:pPr>
      <w:pStyle w:val="Encabezado"/>
      <w:tabs>
        <w:tab w:val="clear" w:pos="8838"/>
        <w:tab w:val="left" w:pos="7965"/>
      </w:tabs>
    </w:pPr>
    <w:r>
      <w:rPr>
        <w:noProof/>
        <w:lang w:eastAsia="es-MX"/>
      </w:rPr>
      <mc:AlternateContent>
        <mc:Choice Requires="wps">
          <w:drawing>
            <wp:anchor distT="0" distB="0" distL="114300" distR="114300" simplePos="0" relativeHeight="251661312" behindDoc="0" locked="0" layoutInCell="1" allowOverlap="1" wp14:anchorId="0FB17322" wp14:editId="259A90CE">
              <wp:simplePos x="0" y="0"/>
              <wp:positionH relativeFrom="margin">
                <wp:posOffset>4610103</wp:posOffset>
              </wp:positionH>
              <wp:positionV relativeFrom="paragraph">
                <wp:posOffset>73664</wp:posOffset>
              </wp:positionV>
              <wp:extent cx="1473839" cy="542925"/>
              <wp:effectExtent l="0" t="0" r="0" b="9525"/>
              <wp:wrapSquare wrapText="bothSides"/>
              <wp:docPr id="1836355547" name="Cuadro de texto 2"/>
              <wp:cNvGraphicFramePr/>
              <a:graphic xmlns:a="http://schemas.openxmlformats.org/drawingml/2006/main">
                <a:graphicData uri="http://schemas.microsoft.com/office/word/2010/wordprocessingShape">
                  <wps:wsp>
                    <wps:cNvSpPr txBox="1"/>
                    <wps:spPr>
                      <a:xfrm>
                        <a:off x="0" y="0"/>
                        <a:ext cx="1473839" cy="542925"/>
                      </a:xfrm>
                      <a:prstGeom prst="rect">
                        <a:avLst/>
                      </a:prstGeom>
                      <a:solidFill>
                        <a:srgbClr val="FFFFFF"/>
                      </a:solidFill>
                      <a:ln>
                        <a:noFill/>
                        <a:prstDash/>
                      </a:ln>
                    </wps:spPr>
                    <wps:txbx>
                      <w:txbxContent>
                        <w:p w14:paraId="3E7EDDE6" w14:textId="77777777" w:rsidR="00000000" w:rsidRDefault="00000000">
                          <w:pPr>
                            <w:jc w:val="center"/>
                          </w:pPr>
                          <w:r>
                            <w:rPr>
                              <w:noProof/>
                            </w:rPr>
                            <w:drawing>
                              <wp:inline distT="0" distB="0" distL="0" distR="0" wp14:anchorId="118FCB8D" wp14:editId="54809F76">
                                <wp:extent cx="1148715" cy="419096"/>
                                <wp:effectExtent l="0" t="0" r="0" b="4"/>
                                <wp:docPr id="746920810"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48715" cy="419096"/>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0FB17322" id="_x0000_t202" coordsize="21600,21600" o:spt="202" path="m,l,21600r21600,l21600,xe">
              <v:stroke joinstyle="miter"/>
              <v:path gradientshapeok="t" o:connecttype="rect"/>
            </v:shapetype>
            <v:shape id="Cuadro de texto 2" o:spid="_x0000_s1027" type="#_x0000_t202" style="position:absolute;margin-left:363pt;margin-top:5.8pt;width:116.05pt;height:42.7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" stroked="f">
              <v:textbox>
                <w:txbxContent>
                  <w:p w14:paraId="3E7EDDE6" w14:textId="77777777" w:rsidR="00000000" w:rsidRDefault="00000000">
                    <w:pPr>
                      <w:jc w:val="center"/>
                    </w:pPr>
                    <w:r>
                      <w:rPr>
                        <w:noProof/>
                      </w:rPr>
                      <w:drawing>
                        <wp:inline distT="0" distB="0" distL="0" distR="0" wp14:anchorId="118FCB8D" wp14:editId="54809F76">
                          <wp:extent cx="1148715" cy="419096"/>
                          <wp:effectExtent l="0" t="0" r="0" b="4"/>
                          <wp:docPr id="746920810"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48715" cy="419096"/>
                                  </a:xfrm>
                                  <a:prstGeom prst="rect">
                                    <a:avLst/>
                                  </a:prstGeom>
                                  <a:noFill/>
                                  <a:ln>
                                    <a:noFill/>
                                    <a:prstDash/>
                                  </a:ln>
                                </pic:spPr>
                              </pic:pic>
                            </a:graphicData>
                          </a:graphic>
                        </wp:inline>
                      </w:drawing>
                    </w:r>
                  </w:p>
                </w:txbxContent>
              </v:textbox>
              <w10:wrap type="square" anchorx="margin"/>
            </v:shape>
          </w:pict>
        </mc:Fallback>
      </mc:AlternateContent>
    </w:r>
    <w:r>
      <w:rPr>
        <w:rFonts w:ascii="Arial" w:hAnsi="Arial" w:cs="Arial"/>
        <w:noProof/>
        <w:lang w:eastAsia="es-MX"/>
      </w:rPr>
      <w:drawing>
        <wp:anchor distT="0" distB="0" distL="114300" distR="114300" simplePos="0" relativeHeight="251659264" behindDoc="0" locked="0" layoutInCell="1" allowOverlap="1" wp14:anchorId="35B2042E" wp14:editId="09572E48">
          <wp:simplePos x="0" y="0"/>
          <wp:positionH relativeFrom="column">
            <wp:posOffset>-294007</wp:posOffset>
          </wp:positionH>
          <wp:positionV relativeFrom="paragraph">
            <wp:posOffset>52706</wp:posOffset>
          </wp:positionV>
          <wp:extent cx="1798323" cy="568327"/>
          <wp:effectExtent l="0" t="0" r="0" b="3173"/>
          <wp:wrapTopAndBottom/>
          <wp:docPr id="37672856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6F144C95" w14:textId="77777777" w:rsidR="00000000" w:rsidRDefault="00000000">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70974443" wp14:editId="7622C2CF">
              <wp:simplePos x="0" y="0"/>
              <wp:positionH relativeFrom="column">
                <wp:posOffset>33174</wp:posOffset>
              </wp:positionH>
              <wp:positionV relativeFrom="paragraph">
                <wp:posOffset>293586</wp:posOffset>
              </wp:positionV>
              <wp:extent cx="6191887" cy="0"/>
              <wp:effectExtent l="0" t="0" r="0" b="0"/>
              <wp:wrapNone/>
              <wp:docPr id="828538355"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07E237A2"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Universidad Tecnológica de Nuevo Laredo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738B"/>
    <w:multiLevelType w:val="multilevel"/>
    <w:tmpl w:val="C0D4FB7E"/>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59A5B50"/>
    <w:multiLevelType w:val="multilevel"/>
    <w:tmpl w:val="BD2A88DE"/>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530E0D40"/>
    <w:multiLevelType w:val="multilevel"/>
    <w:tmpl w:val="0810CD44"/>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544D6119"/>
    <w:multiLevelType w:val="multilevel"/>
    <w:tmpl w:val="69C4DFA0"/>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6FC8180B"/>
    <w:multiLevelType w:val="multilevel"/>
    <w:tmpl w:val="17B0267A"/>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7EC75AEF"/>
    <w:multiLevelType w:val="multilevel"/>
    <w:tmpl w:val="7A7EA294"/>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54789945">
    <w:abstractNumId w:val="3"/>
  </w:num>
  <w:num w:numId="2" w16cid:durableId="384254675">
    <w:abstractNumId w:val="1"/>
  </w:num>
  <w:num w:numId="3" w16cid:durableId="734739155">
    <w:abstractNumId w:val="2"/>
  </w:num>
  <w:num w:numId="4" w16cid:durableId="1078097715">
    <w:abstractNumId w:val="5"/>
  </w:num>
  <w:num w:numId="5" w16cid:durableId="1073044540">
    <w:abstractNumId w:val="4"/>
  </w:num>
  <w:num w:numId="6" w16cid:durableId="1606422976">
    <w:abstractNumId w:val="0"/>
  </w:num>
  <w:num w:numId="7" w16cid:durableId="1062101285">
    <w:abstractNumId w:val="1"/>
    <w:lvlOverride w:ilvl="0">
      <w:startOverride w:val="1"/>
    </w:lvlOverride>
  </w:num>
  <w:num w:numId="8" w16cid:durableId="17966219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B1BB2"/>
    <w:rsid w:val="00584A64"/>
    <w:rsid w:val="005B1BB2"/>
    <w:rsid w:val="00B8256F"/>
    <w:rsid w:val="00DA27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9C40"/>
  <w15:docId w15:val="{13421BF3-76E4-4945-8513-5C766BA3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3225</Words>
  <Characters>17739</Characters>
  <Application>Microsoft Office Word</Application>
  <DocSecurity>0</DocSecurity>
  <Lines>147</Lines>
  <Paragraphs>41</Paragraphs>
  <ScaleCrop>false</ScaleCrop>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2</cp:revision>
  <cp:lastPrinted>2025-02-04T21:37:00Z</cp:lastPrinted>
  <dcterms:created xsi:type="dcterms:W3CDTF">2025-03-05T22:29:00Z</dcterms:created>
  <dcterms:modified xsi:type="dcterms:W3CDTF">2025-03-05T22:29:00Z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