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92A" w:rsidRPr="00B0192A" w:rsidRDefault="00EC7202" w:rsidP="00B0192A">
      <w:pPr>
        <w:pStyle w:val="Texto"/>
        <w:spacing w:after="0" w:line="240" w:lineRule="exact"/>
        <w:jc w:val="center"/>
        <w:rPr>
          <w:rFonts w:ascii="Calibri" w:hAnsi="Calibri" w:cs="Calibri"/>
          <w:b/>
          <w:sz w:val="22"/>
          <w:szCs w:val="22"/>
        </w:rPr>
      </w:pPr>
      <w:r>
        <w:rPr>
          <w:rFonts w:ascii="Calibri" w:hAnsi="Calibri" w:cs="Calibri"/>
          <w:b/>
          <w:sz w:val="22"/>
          <w:szCs w:val="22"/>
        </w:rPr>
        <w:t>CUENTA PÚBLICA</w:t>
      </w:r>
      <w:r w:rsidR="00B0192A" w:rsidRPr="00B0192A">
        <w:rPr>
          <w:rFonts w:ascii="Calibri" w:hAnsi="Calibri" w:cs="Calibri"/>
          <w:b/>
          <w:sz w:val="22"/>
          <w:szCs w:val="22"/>
        </w:rPr>
        <w:t xml:space="preserve"> 2024</w:t>
      </w:r>
    </w:p>
    <w:p w:rsidR="00B0192A" w:rsidRPr="00B0192A" w:rsidRDefault="00B0192A" w:rsidP="00B0192A">
      <w:pPr>
        <w:pStyle w:val="Texto"/>
        <w:spacing w:after="0" w:line="240" w:lineRule="exact"/>
        <w:jc w:val="center"/>
        <w:rPr>
          <w:rFonts w:ascii="Calibri" w:hAnsi="Calibri" w:cs="Calibri"/>
          <w:b/>
          <w:sz w:val="22"/>
          <w:szCs w:val="22"/>
        </w:rPr>
      </w:pPr>
    </w:p>
    <w:p w:rsidR="00B0192A" w:rsidRPr="00B0192A" w:rsidRDefault="00B0192A" w:rsidP="00B0192A">
      <w:pPr>
        <w:pStyle w:val="Texto"/>
        <w:spacing w:after="0" w:line="240" w:lineRule="exact"/>
        <w:jc w:val="center"/>
        <w:rPr>
          <w:rFonts w:ascii="Calibri" w:hAnsi="Calibri" w:cs="Calibri"/>
          <w:b/>
          <w:sz w:val="22"/>
          <w:szCs w:val="22"/>
        </w:rPr>
      </w:pPr>
      <w:r w:rsidRPr="00B0192A">
        <w:rPr>
          <w:rFonts w:ascii="Calibri" w:hAnsi="Calibri" w:cs="Calibri"/>
          <w:b/>
          <w:sz w:val="22"/>
          <w:szCs w:val="22"/>
        </w:rPr>
        <w:t>Notas a los Estados Financieros</w:t>
      </w:r>
    </w:p>
    <w:p w:rsidR="00B0192A" w:rsidRPr="00B0192A" w:rsidRDefault="00B0192A" w:rsidP="00B0192A">
      <w:pPr>
        <w:pStyle w:val="Texto"/>
        <w:spacing w:after="0" w:line="240" w:lineRule="auto"/>
        <w:jc w:val="center"/>
        <w:rPr>
          <w:rFonts w:ascii="Calibri" w:hAnsi="Calibri" w:cs="Calibri"/>
          <w:b/>
          <w:sz w:val="22"/>
          <w:szCs w:val="22"/>
        </w:rPr>
      </w:pPr>
    </w:p>
    <w:p w:rsidR="00B0192A" w:rsidRPr="00B0192A" w:rsidRDefault="00B0192A" w:rsidP="00B0192A">
      <w:pPr>
        <w:jc w:val="center"/>
        <w:rPr>
          <w:rFonts w:cs="Calibri"/>
          <w:b/>
          <w:sz w:val="22"/>
          <w:szCs w:val="22"/>
        </w:rPr>
      </w:pPr>
      <w:r w:rsidRPr="00B0192A">
        <w:rPr>
          <w:rFonts w:cs="Calibri"/>
          <w:b/>
          <w:sz w:val="22"/>
          <w:szCs w:val="22"/>
        </w:rPr>
        <w:t>a) NOTAS DE GESTIÓN ADMINISTRATIVA</w:t>
      </w:r>
    </w:p>
    <w:p w:rsidR="00B0192A" w:rsidRPr="00B0192A" w:rsidRDefault="00B0192A" w:rsidP="00B0192A">
      <w:pPr>
        <w:pStyle w:val="Texto"/>
        <w:spacing w:after="0" w:line="240" w:lineRule="auto"/>
        <w:ind w:firstLine="0"/>
        <w:jc w:val="left"/>
        <w:rPr>
          <w:rFonts w:ascii="Calibri" w:hAnsi="Calibri" w:cs="Calibri"/>
          <w:b/>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Autorización e Historia.</w:t>
      </w:r>
    </w:p>
    <w:p w:rsidR="00B0192A" w:rsidRPr="00B0192A" w:rsidRDefault="00B0192A" w:rsidP="00B0192A">
      <w:pPr>
        <w:pStyle w:val="Texto"/>
        <w:spacing w:after="0" w:line="240" w:lineRule="auto"/>
        <w:ind w:left="708" w:firstLine="0"/>
        <w:rPr>
          <w:rFonts w:ascii="Calibri" w:hAnsi="Calibri" w:cs="Calibri"/>
          <w:sz w:val="22"/>
          <w:szCs w:val="22"/>
          <w:lang w:val="es-MX"/>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 xml:space="preserve">Servicios de Salud de Tamaulipas es un Organismo Público Descentralizado de la Administración Pública Estatal con personalidad jurídica y patrimonio propios creado mediante Decreto publicado en el Periódico Oficial del Estado </w:t>
      </w:r>
      <w:bookmarkStart w:id="0" w:name="_GoBack"/>
      <w:bookmarkEnd w:id="0"/>
      <w:r w:rsidRPr="00B0192A">
        <w:rPr>
          <w:rFonts w:cs="Calibri"/>
          <w:sz w:val="22"/>
          <w:szCs w:val="22"/>
          <w:lang w:val="es-ES"/>
        </w:rPr>
        <w:t>el 22 de enero de 1997.</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Mediante Decreto Nº 13 de fecha 03 de febrero de 1999, publicado en el Periódico Oficial del Estado ese mismo día, se expide la Ley Orgánica de la Administración Pública del Estado de Tamaulipas, la cual en su Artículo 4º Transitorio abroga el Decreto publicado en el Periódico Oficial del Estado el 22 de enero de 1997 y mediante Decreto publicado en el Periódico Oficial del Estado el 27 de febrero de 1999, se creó nuevamente el Organismo Público Descentralizado.</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Mediante Decreto Nº 316 publicado en el Periódico Oficial del Estado el 07 de diciembre de 2000, se crea la Secretaría de Salud, la cual sustituye a la Secretaría de Desarrollo Social en la Administración del Organismo Público Descentralizado Servicios de Salud de Tamaulipas.</w:t>
      </w:r>
    </w:p>
    <w:p w:rsidR="00B0192A" w:rsidRPr="00B0192A" w:rsidRDefault="00B0192A" w:rsidP="00B0192A">
      <w:pPr>
        <w:ind w:left="708"/>
        <w:jc w:val="both"/>
        <w:rPr>
          <w:rFonts w:cs="Calibri"/>
          <w:sz w:val="22"/>
          <w:szCs w:val="22"/>
          <w:lang w:val="es-ES"/>
        </w:rPr>
      </w:pPr>
    </w:p>
    <w:p w:rsidR="00B0192A" w:rsidRPr="00B0192A" w:rsidRDefault="00B0192A" w:rsidP="00B0192A">
      <w:pPr>
        <w:pStyle w:val="Texto"/>
        <w:spacing w:after="0" w:line="240" w:lineRule="auto"/>
        <w:ind w:left="708" w:firstLine="0"/>
        <w:rPr>
          <w:rFonts w:ascii="Calibri" w:hAnsi="Calibri" w:cs="Calibri"/>
          <w:sz w:val="22"/>
          <w:szCs w:val="22"/>
          <w:lang w:val="es-MX"/>
        </w:rPr>
      </w:pPr>
      <w:r w:rsidRPr="00B0192A">
        <w:rPr>
          <w:rFonts w:ascii="Calibri" w:hAnsi="Calibri" w:cs="Calibri"/>
          <w:sz w:val="22"/>
          <w:szCs w:val="22"/>
        </w:rPr>
        <w:t>Mediante Acuerdo Gubernamental publicado en el Periódico Oficial del Estado el 8 de diciembre de 2021 se determinó la Estructura Orgánica del O.P.D. Servicios de Salud de Tamaulipas.</w:t>
      </w:r>
    </w:p>
    <w:p w:rsidR="00B0192A" w:rsidRPr="00B0192A" w:rsidRDefault="00B0192A" w:rsidP="00B0192A">
      <w:pPr>
        <w:pStyle w:val="Texto"/>
        <w:spacing w:after="0" w:line="240" w:lineRule="auto"/>
        <w:ind w:left="708"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Panorama Económico y Financiero</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ind w:left="709" w:firstLine="11"/>
        <w:jc w:val="both"/>
        <w:rPr>
          <w:rFonts w:cs="Calibri"/>
          <w:sz w:val="22"/>
          <w:szCs w:val="22"/>
          <w:lang w:val="es-ES"/>
        </w:rPr>
      </w:pPr>
      <w:r w:rsidRPr="00B0192A">
        <w:rPr>
          <w:rFonts w:cs="Calibri"/>
          <w:sz w:val="22"/>
          <w:szCs w:val="22"/>
          <w:lang w:val="es-ES"/>
        </w:rPr>
        <w:t>El presupuesto de Ingresos y de Egresos del Organismo, fue presentado en la Primera Sesión Ordinaria de la Junta de Gobierno del ejercicio 2024, el día 26 de marzo de 2024.</w:t>
      </w:r>
    </w:p>
    <w:p w:rsidR="00B0192A" w:rsidRPr="00B0192A" w:rsidRDefault="00B0192A" w:rsidP="00B0192A">
      <w:pPr>
        <w:ind w:left="720"/>
        <w:jc w:val="both"/>
        <w:rPr>
          <w:rFonts w:cs="Calibri"/>
          <w:sz w:val="22"/>
          <w:szCs w:val="22"/>
          <w:lang w:val="es-ES"/>
        </w:rPr>
      </w:pPr>
    </w:p>
    <w:p w:rsidR="00B0192A" w:rsidRPr="00B0192A" w:rsidRDefault="00B0192A" w:rsidP="00B0192A">
      <w:pPr>
        <w:ind w:left="720"/>
        <w:jc w:val="both"/>
        <w:rPr>
          <w:rFonts w:cs="Calibri"/>
          <w:sz w:val="22"/>
          <w:szCs w:val="22"/>
          <w:lang w:val="es-ES"/>
        </w:rPr>
      </w:pPr>
      <w:r w:rsidRPr="00B0192A">
        <w:rPr>
          <w:rFonts w:cs="Calibri"/>
          <w:sz w:val="22"/>
          <w:szCs w:val="22"/>
          <w:lang w:val="es-ES"/>
        </w:rPr>
        <w:t>Los recursos presupuestados, administrados por la Subsecretaría de Administración y Finanzas del Organismo, incluirán los siguientes:</w:t>
      </w:r>
    </w:p>
    <w:p w:rsidR="00B0192A" w:rsidRPr="00B0192A" w:rsidRDefault="00B0192A" w:rsidP="00B0192A">
      <w:pPr>
        <w:ind w:left="720"/>
        <w:jc w:val="both"/>
        <w:rPr>
          <w:rFonts w:cs="Calibri"/>
          <w:sz w:val="22"/>
          <w:szCs w:val="22"/>
          <w:lang w:val="es-ES"/>
        </w:rPr>
      </w:pPr>
    </w:p>
    <w:p w:rsidR="00B0192A" w:rsidRPr="00B0192A" w:rsidRDefault="00B0192A" w:rsidP="00B0192A">
      <w:pPr>
        <w:ind w:left="720"/>
        <w:jc w:val="both"/>
        <w:rPr>
          <w:rFonts w:cs="Calibri"/>
          <w:sz w:val="22"/>
          <w:szCs w:val="22"/>
          <w:lang w:val="es-ES"/>
        </w:rPr>
      </w:pPr>
      <w:r w:rsidRPr="00B0192A">
        <w:rPr>
          <w:rFonts w:cs="Calibri"/>
          <w:sz w:val="22"/>
          <w:szCs w:val="22"/>
          <w:lang w:val="es-ES"/>
        </w:rPr>
        <w:t xml:space="preserve">Federales: </w:t>
      </w:r>
    </w:p>
    <w:p w:rsidR="00B0192A" w:rsidRPr="00B0192A" w:rsidRDefault="00B0192A" w:rsidP="00B0192A">
      <w:pPr>
        <w:ind w:left="720"/>
        <w:jc w:val="both"/>
        <w:rPr>
          <w:rFonts w:cs="Calibri"/>
          <w:sz w:val="22"/>
          <w:szCs w:val="22"/>
          <w:lang w:val="es-ES"/>
        </w:rPr>
      </w:pPr>
    </w:p>
    <w:p w:rsidR="00B0192A" w:rsidRPr="00B0192A" w:rsidRDefault="00B0192A" w:rsidP="00B0192A">
      <w:pPr>
        <w:pStyle w:val="Prrafodelista"/>
        <w:numPr>
          <w:ilvl w:val="0"/>
          <w:numId w:val="11"/>
        </w:numPr>
        <w:suppressAutoHyphens w:val="0"/>
        <w:autoSpaceDN/>
        <w:spacing w:after="0" w:line="240" w:lineRule="auto"/>
        <w:contextualSpacing/>
        <w:jc w:val="both"/>
        <w:textAlignment w:val="auto"/>
        <w:rPr>
          <w:rFonts w:cs="Calibri"/>
          <w:lang w:val="es-ES"/>
        </w:rPr>
      </w:pPr>
      <w:r w:rsidRPr="00B0192A">
        <w:rPr>
          <w:rFonts w:cs="Calibri"/>
          <w:lang w:val="es-ES"/>
        </w:rPr>
        <w:t>Fondo de Aportaciones para los Servicios de Salud.</w:t>
      </w:r>
    </w:p>
    <w:p w:rsidR="00B0192A" w:rsidRPr="00B0192A" w:rsidRDefault="00B0192A" w:rsidP="00B0192A">
      <w:pPr>
        <w:pStyle w:val="Prrafodelista"/>
        <w:numPr>
          <w:ilvl w:val="0"/>
          <w:numId w:val="11"/>
        </w:numPr>
        <w:suppressAutoHyphens w:val="0"/>
        <w:autoSpaceDN/>
        <w:spacing w:after="0" w:line="240" w:lineRule="auto"/>
        <w:contextualSpacing/>
        <w:jc w:val="both"/>
        <w:textAlignment w:val="auto"/>
        <w:rPr>
          <w:rFonts w:cs="Calibri"/>
          <w:lang w:val="es-ES"/>
        </w:rPr>
      </w:pPr>
      <w:r w:rsidRPr="00B0192A">
        <w:rPr>
          <w:rFonts w:cs="Calibri"/>
          <w:lang w:val="es-ES"/>
        </w:rPr>
        <w:t>Acuerdo IMSS BIENESTAR.</w:t>
      </w:r>
    </w:p>
    <w:p w:rsidR="00B0192A" w:rsidRPr="00B0192A" w:rsidRDefault="00B0192A" w:rsidP="00B0192A">
      <w:pPr>
        <w:pStyle w:val="Prrafodelista"/>
        <w:numPr>
          <w:ilvl w:val="0"/>
          <w:numId w:val="11"/>
        </w:numPr>
        <w:suppressAutoHyphens w:val="0"/>
        <w:autoSpaceDN/>
        <w:spacing w:after="0" w:line="240" w:lineRule="auto"/>
        <w:contextualSpacing/>
        <w:jc w:val="both"/>
        <w:textAlignment w:val="auto"/>
        <w:rPr>
          <w:rFonts w:cs="Calibri"/>
          <w:lang w:val="es-ES"/>
        </w:rPr>
      </w:pPr>
      <w:r w:rsidRPr="00B0192A">
        <w:rPr>
          <w:rFonts w:cs="Calibri"/>
          <w:lang w:val="es-ES"/>
        </w:rPr>
        <w:t>Recursos del Presupuesto de Egresos de la Federación.</w:t>
      </w:r>
    </w:p>
    <w:p w:rsidR="00B0192A" w:rsidRPr="00B0192A" w:rsidRDefault="00B0192A" w:rsidP="00B0192A">
      <w:pPr>
        <w:pStyle w:val="Prrafodelista"/>
        <w:numPr>
          <w:ilvl w:val="0"/>
          <w:numId w:val="11"/>
        </w:numPr>
        <w:suppressAutoHyphens w:val="0"/>
        <w:autoSpaceDN/>
        <w:spacing w:after="0" w:line="240" w:lineRule="auto"/>
        <w:contextualSpacing/>
        <w:jc w:val="both"/>
        <w:textAlignment w:val="auto"/>
        <w:rPr>
          <w:rFonts w:cs="Calibri"/>
          <w:lang w:val="es-ES"/>
        </w:rPr>
      </w:pPr>
      <w:r w:rsidRPr="00B0192A">
        <w:rPr>
          <w:rFonts w:cs="Calibri"/>
          <w:lang w:val="es-ES"/>
        </w:rPr>
        <w:t>Otros Convenios.</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ind w:left="720"/>
        <w:jc w:val="both"/>
        <w:rPr>
          <w:rFonts w:cs="Calibri"/>
          <w:sz w:val="22"/>
          <w:szCs w:val="22"/>
          <w:lang w:val="es-ES"/>
        </w:rPr>
      </w:pPr>
      <w:r w:rsidRPr="00B0192A">
        <w:rPr>
          <w:rFonts w:cs="Calibri"/>
          <w:sz w:val="22"/>
          <w:szCs w:val="22"/>
          <w:lang w:val="es-ES"/>
        </w:rPr>
        <w:t>Estatales:</w:t>
      </w:r>
    </w:p>
    <w:p w:rsidR="00B0192A" w:rsidRPr="00B0192A" w:rsidRDefault="00B0192A" w:rsidP="00B0192A">
      <w:pPr>
        <w:ind w:left="720"/>
        <w:jc w:val="both"/>
        <w:rPr>
          <w:rFonts w:cs="Calibri"/>
          <w:sz w:val="22"/>
          <w:szCs w:val="22"/>
          <w:lang w:val="es-ES"/>
        </w:rPr>
      </w:pPr>
    </w:p>
    <w:p w:rsidR="00B0192A" w:rsidRPr="00B0192A" w:rsidRDefault="00B0192A" w:rsidP="00B0192A">
      <w:pPr>
        <w:pStyle w:val="Prrafodelista"/>
        <w:numPr>
          <w:ilvl w:val="0"/>
          <w:numId w:val="12"/>
        </w:numPr>
        <w:suppressAutoHyphens w:val="0"/>
        <w:autoSpaceDN/>
        <w:spacing w:after="0" w:line="240" w:lineRule="auto"/>
        <w:contextualSpacing/>
        <w:jc w:val="both"/>
        <w:textAlignment w:val="auto"/>
        <w:rPr>
          <w:rFonts w:cs="Calibri"/>
          <w:lang w:val="es-ES"/>
        </w:rPr>
      </w:pPr>
      <w:r w:rsidRPr="00B0192A">
        <w:rPr>
          <w:rFonts w:cs="Calibri"/>
          <w:lang w:val="es-ES"/>
        </w:rPr>
        <w:t>Transferencias Internas y Asignaciones del Sector Público.</w:t>
      </w:r>
    </w:p>
    <w:p w:rsidR="00B0192A" w:rsidRPr="00B0192A" w:rsidRDefault="00B0192A" w:rsidP="00B0192A">
      <w:pPr>
        <w:ind w:left="720"/>
        <w:jc w:val="both"/>
        <w:rPr>
          <w:rFonts w:cs="Calibri"/>
          <w:sz w:val="22"/>
          <w:szCs w:val="22"/>
          <w:lang w:val="es-ES"/>
        </w:rPr>
      </w:pPr>
    </w:p>
    <w:p w:rsidR="00B0192A" w:rsidRPr="00B0192A" w:rsidRDefault="00B0192A" w:rsidP="00B0192A">
      <w:pPr>
        <w:ind w:left="720"/>
        <w:jc w:val="both"/>
        <w:rPr>
          <w:rFonts w:cs="Calibri"/>
          <w:sz w:val="22"/>
          <w:szCs w:val="22"/>
          <w:lang w:val="es-ES"/>
        </w:rPr>
      </w:pPr>
      <w:r w:rsidRPr="00B0192A">
        <w:rPr>
          <w:rFonts w:cs="Calibri"/>
          <w:sz w:val="22"/>
          <w:szCs w:val="22"/>
          <w:lang w:val="es-ES"/>
        </w:rPr>
        <w:t xml:space="preserve">Ingresos Propios: </w:t>
      </w:r>
    </w:p>
    <w:p w:rsidR="00B0192A" w:rsidRPr="00B0192A" w:rsidRDefault="00B0192A" w:rsidP="00B0192A">
      <w:pPr>
        <w:ind w:left="720"/>
        <w:jc w:val="both"/>
        <w:rPr>
          <w:rFonts w:cs="Calibri"/>
          <w:sz w:val="22"/>
          <w:szCs w:val="22"/>
          <w:lang w:val="es-ES"/>
        </w:rPr>
      </w:pPr>
    </w:p>
    <w:p w:rsidR="00B0192A" w:rsidRPr="00B0192A" w:rsidRDefault="00B0192A" w:rsidP="00B0192A">
      <w:pPr>
        <w:pStyle w:val="Prrafodelista"/>
        <w:numPr>
          <w:ilvl w:val="0"/>
          <w:numId w:val="12"/>
        </w:numPr>
        <w:suppressAutoHyphens w:val="0"/>
        <w:autoSpaceDN/>
        <w:spacing w:after="0" w:line="240" w:lineRule="auto"/>
        <w:contextualSpacing/>
        <w:jc w:val="both"/>
        <w:textAlignment w:val="auto"/>
        <w:rPr>
          <w:rFonts w:cs="Calibri"/>
          <w:lang w:val="es-ES"/>
        </w:rPr>
      </w:pPr>
      <w:r w:rsidRPr="00B0192A">
        <w:rPr>
          <w:rFonts w:cs="Calibri"/>
          <w:lang w:val="es-ES"/>
        </w:rPr>
        <w:t>Convenios por la prestación de servicios con instituciones públicas y privadas.</w:t>
      </w:r>
    </w:p>
    <w:p w:rsidR="00B0192A" w:rsidRPr="00B0192A" w:rsidRDefault="00B0192A" w:rsidP="00B0192A">
      <w:pPr>
        <w:pStyle w:val="Prrafodelista"/>
        <w:spacing w:after="0" w:line="240" w:lineRule="auto"/>
        <w:rPr>
          <w:rFonts w:cs="Calibri"/>
          <w:lang w:val="es-ES"/>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lastRenderedPageBreak/>
        <w:t>Organización y Objeto Social</w:t>
      </w:r>
    </w:p>
    <w:p w:rsidR="00B0192A" w:rsidRPr="00B0192A" w:rsidRDefault="00B0192A" w:rsidP="00B0192A">
      <w:pPr>
        <w:pStyle w:val="Texto"/>
        <w:spacing w:after="0" w:line="240" w:lineRule="auto"/>
        <w:rPr>
          <w:rFonts w:ascii="Calibri" w:hAnsi="Calibri" w:cs="Calibri"/>
          <w:sz w:val="22"/>
          <w:szCs w:val="22"/>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Servicios de Salud de Tamaulipas tiene por objeto ejercer las funciones transferidas por la Secretaría de Salud Federal, con el fin de prestar servicios de salud a la población abierta en la Entidad.</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Régimen Fiscal</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 xml:space="preserve">Servicios de Salud de Tamaulipas está sujeto al Régimen de Personas Morales con fines no lucrativos, estando obligado enterar el Impuesto sobre la Renta retenido a quienes haga pagos por salarios y honorarios asimilables (en caso de convenios celebrados), por la prestación de servicios profesionales y por el arrendamiento de bienes inmuebles; así mismo, está obligado al pago de Aportaciones de Seguridad social por sus trabajadores y a la retención y entero de las cuotas correspondientes a los mismos y al pago del Impuesto sobre Remuneraciones al Trabajo Personal Subordinado. </w:t>
      </w:r>
    </w:p>
    <w:p w:rsidR="00B0192A" w:rsidRPr="00B0192A" w:rsidRDefault="00B0192A" w:rsidP="00B0192A">
      <w:pPr>
        <w:ind w:left="708"/>
        <w:jc w:val="both"/>
        <w:rPr>
          <w:rFonts w:cs="Calibri"/>
          <w:sz w:val="22"/>
          <w:szCs w:val="22"/>
          <w:lang w:val="es-ES"/>
        </w:rPr>
      </w:pPr>
    </w:p>
    <w:p w:rsidR="00B0192A" w:rsidRPr="00B0192A" w:rsidRDefault="00B0192A" w:rsidP="00B0192A">
      <w:pPr>
        <w:ind w:firstLine="708"/>
        <w:jc w:val="both"/>
        <w:rPr>
          <w:rFonts w:cs="Calibri"/>
          <w:sz w:val="22"/>
          <w:szCs w:val="22"/>
          <w:lang w:val="es-ES"/>
        </w:rPr>
      </w:pPr>
      <w:r w:rsidRPr="00B0192A">
        <w:rPr>
          <w:rFonts w:cs="Calibri"/>
          <w:sz w:val="22"/>
          <w:szCs w:val="22"/>
          <w:lang w:val="es-ES"/>
        </w:rPr>
        <w:t>Las unidades médicas y de servicios con que se cuenta actualmente el Organismo son:</w:t>
      </w:r>
    </w:p>
    <w:p w:rsidR="00B0192A" w:rsidRPr="00B0192A" w:rsidRDefault="00B0192A" w:rsidP="00B0192A">
      <w:pPr>
        <w:ind w:firstLine="708"/>
        <w:jc w:val="both"/>
        <w:rPr>
          <w:rFonts w:cs="Calibri"/>
          <w:sz w:val="22"/>
          <w:szCs w:val="22"/>
          <w:lang w:val="es-ES"/>
        </w:rPr>
      </w:pPr>
    </w:p>
    <w:p w:rsidR="00B0192A" w:rsidRPr="00B0192A" w:rsidRDefault="00B0192A" w:rsidP="00B0192A">
      <w:pPr>
        <w:ind w:firstLine="708"/>
        <w:jc w:val="both"/>
        <w:rPr>
          <w:rFonts w:cs="Calibri"/>
          <w:sz w:val="22"/>
          <w:szCs w:val="22"/>
          <w:lang w:val="es-ES"/>
        </w:rPr>
      </w:pPr>
      <w:r w:rsidRPr="00B0192A">
        <w:rPr>
          <w:rFonts w:cs="Calibri"/>
          <w:sz w:val="22"/>
          <w:szCs w:val="22"/>
          <w:u w:val="single"/>
          <w:lang w:val="es-ES"/>
        </w:rPr>
        <w:t>Hospitales Civiles:</w:t>
      </w:r>
      <w:r w:rsidRPr="00B0192A">
        <w:rPr>
          <w:rFonts w:cs="Calibri"/>
          <w:sz w:val="22"/>
          <w:szCs w:val="22"/>
          <w:lang w:val="es-ES"/>
        </w:rPr>
        <w:t xml:space="preserve"> Madero, Cd. Victoria y Nuevo Laredo.</w:t>
      </w:r>
    </w:p>
    <w:p w:rsidR="00B0192A" w:rsidRPr="00B0192A" w:rsidRDefault="00B0192A" w:rsidP="00B0192A">
      <w:pPr>
        <w:ind w:firstLine="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u w:val="single"/>
          <w:lang w:val="es-ES"/>
        </w:rPr>
        <w:t>Hospitales Generales:</w:t>
      </w:r>
      <w:r w:rsidRPr="00B0192A">
        <w:rPr>
          <w:rFonts w:cs="Calibri"/>
          <w:sz w:val="22"/>
          <w:szCs w:val="22"/>
          <w:lang w:val="es-ES"/>
        </w:rPr>
        <w:t xml:space="preserve"> Cd. Victoria, Tampico, Reynosa, Mante, Altamira, San Fernando, Matamoros, Valle Hermoso, Rio Bravo y Nuevo Laredo.</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u w:val="single"/>
          <w:lang w:val="es-ES"/>
        </w:rPr>
        <w:t>Hospitales Infantiles:</w:t>
      </w:r>
      <w:r w:rsidRPr="00B0192A">
        <w:rPr>
          <w:rFonts w:cs="Calibri"/>
          <w:sz w:val="22"/>
          <w:szCs w:val="22"/>
          <w:lang w:val="es-ES"/>
        </w:rPr>
        <w:t xml:space="preserve"> Infantil Tamaulipas ubicado en Cd. Victoria y Materno Infantil ubicado en Reynosa.</w:t>
      </w:r>
    </w:p>
    <w:p w:rsidR="00B0192A" w:rsidRPr="00B0192A" w:rsidRDefault="00B0192A" w:rsidP="00B0192A">
      <w:pPr>
        <w:ind w:left="708"/>
        <w:jc w:val="both"/>
        <w:rPr>
          <w:rFonts w:cs="Calibri"/>
          <w:sz w:val="22"/>
          <w:szCs w:val="22"/>
          <w:lang w:val="es-ES"/>
        </w:rPr>
      </w:pPr>
    </w:p>
    <w:p w:rsidR="00B0192A" w:rsidRPr="00B0192A" w:rsidRDefault="00B0192A" w:rsidP="00B0192A">
      <w:pPr>
        <w:ind w:firstLine="708"/>
        <w:jc w:val="both"/>
        <w:rPr>
          <w:rFonts w:cs="Calibri"/>
          <w:sz w:val="22"/>
          <w:szCs w:val="22"/>
          <w:lang w:val="es-ES"/>
        </w:rPr>
      </w:pPr>
      <w:r w:rsidRPr="00B0192A">
        <w:rPr>
          <w:rFonts w:cs="Calibri"/>
          <w:sz w:val="22"/>
          <w:szCs w:val="22"/>
          <w:u w:val="single"/>
          <w:lang w:val="es-ES"/>
        </w:rPr>
        <w:t>Hospitales Integrales:</w:t>
      </w:r>
      <w:r w:rsidRPr="00B0192A">
        <w:rPr>
          <w:rFonts w:cs="Calibri"/>
          <w:sz w:val="22"/>
          <w:szCs w:val="22"/>
          <w:lang w:val="es-ES"/>
        </w:rPr>
        <w:t xml:space="preserve"> Abasolo, Aldama, </w:t>
      </w:r>
      <w:proofErr w:type="spellStart"/>
      <w:r w:rsidRPr="00B0192A">
        <w:rPr>
          <w:rFonts w:cs="Calibri"/>
          <w:sz w:val="22"/>
          <w:szCs w:val="22"/>
          <w:lang w:val="es-ES"/>
        </w:rPr>
        <w:t>Jaumave</w:t>
      </w:r>
      <w:proofErr w:type="spellEnd"/>
      <w:r w:rsidRPr="00B0192A">
        <w:rPr>
          <w:rFonts w:cs="Calibri"/>
          <w:sz w:val="22"/>
          <w:szCs w:val="22"/>
          <w:lang w:val="es-ES"/>
        </w:rPr>
        <w:t xml:space="preserve"> y Miguel Alemán.</w:t>
      </w:r>
    </w:p>
    <w:p w:rsidR="00B0192A" w:rsidRPr="00B0192A" w:rsidRDefault="00B0192A" w:rsidP="00B0192A">
      <w:pPr>
        <w:ind w:firstLine="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u w:val="single"/>
          <w:lang w:val="es-ES"/>
        </w:rPr>
        <w:t>Jurisdicciones Sanitarias:</w:t>
      </w:r>
      <w:r w:rsidRPr="00B0192A">
        <w:rPr>
          <w:rFonts w:cs="Calibri"/>
          <w:sz w:val="22"/>
          <w:szCs w:val="22"/>
          <w:lang w:val="es-ES"/>
        </w:rPr>
        <w:t xml:space="preserve"> Victoria, Tampico, Matamoros, Reynosa, Nuevo Laredo, Mante, San Fernando, </w:t>
      </w:r>
      <w:proofErr w:type="spellStart"/>
      <w:r w:rsidRPr="00B0192A">
        <w:rPr>
          <w:rFonts w:cs="Calibri"/>
          <w:sz w:val="22"/>
          <w:szCs w:val="22"/>
          <w:lang w:val="es-ES"/>
        </w:rPr>
        <w:t>Jaumave</w:t>
      </w:r>
      <w:proofErr w:type="spellEnd"/>
      <w:r w:rsidRPr="00B0192A">
        <w:rPr>
          <w:rFonts w:cs="Calibri"/>
          <w:sz w:val="22"/>
          <w:szCs w:val="22"/>
          <w:lang w:val="es-ES"/>
        </w:rPr>
        <w:t>, Miguel Alemán, Valle Hermoso, Padilla y Altamira.</w:t>
      </w:r>
    </w:p>
    <w:p w:rsidR="00B0192A" w:rsidRPr="00B0192A" w:rsidRDefault="00B0192A" w:rsidP="00B0192A">
      <w:pPr>
        <w:ind w:left="708"/>
        <w:jc w:val="both"/>
        <w:rPr>
          <w:rFonts w:cs="Calibri"/>
          <w:sz w:val="22"/>
          <w:szCs w:val="22"/>
          <w:lang w:val="es-ES"/>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 xml:space="preserve">Centro Estatal de Transfusión Sanguínea, Centro Oncológico de Tamaulipas, Centro Oncológico de Nuevo Laredo, Centro RENACER, Hospital Psiquiátrico Tampico, Coordinación de CAIRRS, </w:t>
      </w:r>
      <w:r w:rsidRPr="00B0192A">
        <w:rPr>
          <w:rFonts w:cs="Calibri"/>
          <w:sz w:val="22"/>
          <w:szCs w:val="22"/>
        </w:rPr>
        <w:t>Laboratorio Estatal de Salud Pública y el Centro Estatal de Salud Mental de Matamoros</w:t>
      </w:r>
      <w:r w:rsidRPr="00B0192A">
        <w:rPr>
          <w:rFonts w:cs="Calibri"/>
          <w:sz w:val="22"/>
          <w:szCs w:val="22"/>
          <w:lang w:val="es-ES"/>
        </w:rPr>
        <w:t>.</w:t>
      </w:r>
    </w:p>
    <w:p w:rsidR="00B0192A" w:rsidRDefault="00B0192A" w:rsidP="00B0192A">
      <w:pPr>
        <w:suppressAutoHyphens w:val="0"/>
        <w:rPr>
          <w:rFonts w:ascii="Encode Sans" w:hAnsi="Encode Sans" w:cs="Arial"/>
        </w:rPr>
      </w:pPr>
      <w:r>
        <w:rPr>
          <w:rFonts w:ascii="Encode Sans" w:hAnsi="Encode Sans" w:cs="Arial"/>
        </w:rPr>
        <w:br w:type="page"/>
      </w:r>
    </w:p>
    <w:p w:rsidR="00B0192A" w:rsidRDefault="00B0192A" w:rsidP="00B0192A">
      <w:pPr>
        <w:suppressAutoHyphens w:val="0"/>
        <w:rPr>
          <w:rFonts w:ascii="Encode Sans" w:hAnsi="Encode Sans" w:cs="Arial"/>
        </w:rPr>
      </w:pPr>
      <w:r w:rsidRPr="00750099">
        <w:rPr>
          <w:rFonts w:ascii="Encode Sans" w:hAnsi="Encode Sans"/>
          <w:noProof/>
        </w:rPr>
        <w:lastRenderedPageBreak/>
        <w:drawing>
          <wp:anchor distT="0" distB="0" distL="114300" distR="114300" simplePos="0" relativeHeight="251659264" behindDoc="0" locked="0" layoutInCell="1" allowOverlap="1" wp14:anchorId="231D21F5" wp14:editId="2FAC76EB">
            <wp:simplePos x="0" y="0"/>
            <wp:positionH relativeFrom="margin">
              <wp:posOffset>-279400</wp:posOffset>
            </wp:positionH>
            <wp:positionV relativeFrom="margin">
              <wp:posOffset>1342390</wp:posOffset>
            </wp:positionV>
            <wp:extent cx="6744335" cy="4328160"/>
            <wp:effectExtent l="0" t="0" r="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22623" b="5360"/>
                    <a:stretch/>
                  </pic:blipFill>
                  <pic:spPr bwMode="auto">
                    <a:xfrm>
                      <a:off x="0" y="0"/>
                      <a:ext cx="6744335" cy="4328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0192A" w:rsidRDefault="00B0192A" w:rsidP="00B0192A">
      <w:pPr>
        <w:suppressAutoHyphens w:val="0"/>
        <w:rPr>
          <w:rFonts w:ascii="Encode Sans" w:hAnsi="Encode Sans" w:cs="Arial"/>
        </w:rPr>
      </w:pPr>
    </w:p>
    <w:p w:rsidR="00B0192A" w:rsidRDefault="00B0192A" w:rsidP="00721475">
      <w:pPr>
        <w:suppressAutoHyphens w:val="0"/>
        <w:jc w:val="center"/>
        <w:rPr>
          <w:rFonts w:ascii="Encode Sans" w:eastAsia="Times New Roman" w:hAnsi="Encode Sans" w:cs="Arial"/>
          <w:lang w:val="es-ES" w:eastAsia="es-ES"/>
        </w:rPr>
      </w:pPr>
      <w:r w:rsidRPr="00721475">
        <w:rPr>
          <w:rFonts w:cs="Calibri"/>
          <w:b/>
          <w:color w:val="AB0033"/>
          <w:sz w:val="44"/>
          <w:szCs w:val="44"/>
        </w:rPr>
        <w:t>ESTRUCTURA ORGÁNICA</w:t>
      </w:r>
      <w:r>
        <w:rPr>
          <w:rFonts w:ascii="Encode Sans" w:hAnsi="Encode Sans" w:cs="Arial"/>
        </w:rPr>
        <w:br w:type="page"/>
      </w:r>
      <w:r w:rsidR="00721475" w:rsidRPr="00721475">
        <w:rPr>
          <w:rFonts w:cs="Calibri"/>
          <w:b/>
          <w:color w:val="AB0033"/>
          <w:sz w:val="44"/>
        </w:rPr>
        <w:lastRenderedPageBreak/>
        <w:t>SUBSECRETARÍA DE PLANEACIÓN Y CALIDAD</w:t>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721475" w:rsidP="00B0192A">
      <w:pPr>
        <w:suppressAutoHyphens w:val="0"/>
        <w:rPr>
          <w:rFonts w:ascii="Encode Sans" w:eastAsia="Times New Roman" w:hAnsi="Encode Sans" w:cs="Arial"/>
          <w:lang w:val="es-ES" w:eastAsia="es-ES"/>
        </w:rPr>
      </w:pPr>
      <w:r w:rsidRPr="00750099">
        <w:rPr>
          <w:rFonts w:ascii="Encode Sans" w:hAnsi="Encode Sans"/>
          <w:noProof/>
        </w:rPr>
        <w:drawing>
          <wp:anchor distT="0" distB="0" distL="114300" distR="114300" simplePos="0" relativeHeight="251661312" behindDoc="0" locked="0" layoutInCell="1" allowOverlap="1" wp14:anchorId="00DC1E76" wp14:editId="1789499F">
            <wp:simplePos x="0" y="0"/>
            <wp:positionH relativeFrom="margin">
              <wp:posOffset>-261620</wp:posOffset>
            </wp:positionH>
            <wp:positionV relativeFrom="margin">
              <wp:posOffset>789305</wp:posOffset>
            </wp:positionV>
            <wp:extent cx="6821805" cy="42748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21595" r="16016" b="4714"/>
                    <a:stretch/>
                  </pic:blipFill>
                  <pic:spPr bwMode="auto">
                    <a:xfrm>
                      <a:off x="0" y="0"/>
                      <a:ext cx="6821805" cy="4274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pPr>
        <w:suppressAutoHyphens w:val="0"/>
        <w:rPr>
          <w:rFonts w:ascii="Encode Sans" w:eastAsia="Times New Roman" w:hAnsi="Encode Sans" w:cs="Arial"/>
          <w:lang w:val="es-ES" w:eastAsia="es-ES"/>
        </w:rPr>
      </w:pPr>
      <w:r>
        <w:rPr>
          <w:rFonts w:ascii="Encode Sans" w:eastAsia="Times New Roman" w:hAnsi="Encode Sans" w:cs="Arial"/>
          <w:lang w:val="es-ES" w:eastAsia="es-ES"/>
        </w:rPr>
        <w:br w:type="page"/>
      </w:r>
    </w:p>
    <w:p w:rsidR="00B0192A" w:rsidRDefault="00B0192A" w:rsidP="00B0192A">
      <w:pPr>
        <w:suppressAutoHyphens w:val="0"/>
        <w:rPr>
          <w:rFonts w:ascii="Encode Sans" w:eastAsia="Times New Roman" w:hAnsi="Encode Sans" w:cs="Arial"/>
          <w:lang w:val="es-ES" w:eastAsia="es-ES"/>
        </w:rPr>
      </w:pPr>
    </w:p>
    <w:p w:rsidR="00B0192A" w:rsidRDefault="00721475" w:rsidP="00721475">
      <w:pPr>
        <w:suppressAutoHyphens w:val="0"/>
        <w:jc w:val="center"/>
        <w:rPr>
          <w:rFonts w:ascii="Encode Sans" w:eastAsia="Times New Roman" w:hAnsi="Encode Sans" w:cs="Arial"/>
          <w:lang w:val="es-ES" w:eastAsia="es-ES"/>
        </w:rPr>
      </w:pPr>
      <w:r w:rsidRPr="00721475">
        <w:rPr>
          <w:rFonts w:cs="Calibri"/>
          <w:b/>
          <w:color w:val="AB0033"/>
          <w:sz w:val="44"/>
        </w:rPr>
        <w:t xml:space="preserve">SUBSECRETARÍA DE </w:t>
      </w:r>
      <w:r>
        <w:rPr>
          <w:rFonts w:cs="Calibri"/>
          <w:b/>
          <w:color w:val="AB0033"/>
          <w:sz w:val="44"/>
        </w:rPr>
        <w:t>ADMINISTRACIÓN Y FINANZAS</w:t>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721475" w:rsidP="00B0192A">
      <w:pPr>
        <w:suppressAutoHyphens w:val="0"/>
        <w:rPr>
          <w:rFonts w:ascii="Encode Sans" w:eastAsia="Times New Roman" w:hAnsi="Encode Sans" w:cs="Arial"/>
          <w:lang w:val="es-ES" w:eastAsia="es-ES"/>
        </w:rPr>
      </w:pPr>
      <w:r w:rsidRPr="00750099">
        <w:rPr>
          <w:rFonts w:ascii="Encode Sans" w:hAnsi="Encode Sans"/>
          <w:noProof/>
        </w:rPr>
        <w:drawing>
          <wp:anchor distT="0" distB="0" distL="114300" distR="114300" simplePos="0" relativeHeight="251663360" behindDoc="0" locked="0" layoutInCell="1" allowOverlap="1" wp14:anchorId="7F1C395B" wp14:editId="78D1678B">
            <wp:simplePos x="0" y="0"/>
            <wp:positionH relativeFrom="margin">
              <wp:posOffset>-89535</wp:posOffset>
            </wp:positionH>
            <wp:positionV relativeFrom="margin">
              <wp:posOffset>1122680</wp:posOffset>
            </wp:positionV>
            <wp:extent cx="6692265" cy="39363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22010" b="4612"/>
                    <a:stretch/>
                  </pic:blipFill>
                  <pic:spPr bwMode="auto">
                    <a:xfrm>
                      <a:off x="0" y="0"/>
                      <a:ext cx="6692265" cy="3936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721475" w:rsidRDefault="00721475">
      <w:pPr>
        <w:suppressAutoHyphens w:val="0"/>
        <w:rPr>
          <w:rFonts w:ascii="Encode Sans" w:hAnsi="Encode Sans"/>
          <w:noProof/>
        </w:rPr>
      </w:pPr>
      <w:r>
        <w:rPr>
          <w:rFonts w:ascii="Encode Sans" w:hAnsi="Encode Sans"/>
          <w:noProof/>
        </w:rPr>
        <w:br w:type="page"/>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721475" w:rsidRDefault="00721475" w:rsidP="00721475">
      <w:pPr>
        <w:suppressAutoHyphens w:val="0"/>
        <w:jc w:val="center"/>
        <w:rPr>
          <w:rFonts w:ascii="Encode Sans" w:eastAsia="Times New Roman" w:hAnsi="Encode Sans" w:cs="Arial"/>
          <w:lang w:val="es-ES" w:eastAsia="es-ES"/>
        </w:rPr>
      </w:pPr>
      <w:r w:rsidRPr="00721475">
        <w:rPr>
          <w:rFonts w:cs="Calibri"/>
          <w:b/>
          <w:color w:val="AB0033"/>
          <w:sz w:val="44"/>
        </w:rPr>
        <w:t xml:space="preserve">SUBSECRETARÍA DE </w:t>
      </w:r>
      <w:r>
        <w:rPr>
          <w:rFonts w:cs="Calibri"/>
          <w:b/>
          <w:color w:val="AB0033"/>
          <w:sz w:val="44"/>
        </w:rPr>
        <w:t>SALUD PÚBLICA</w:t>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721475" w:rsidP="00B0192A">
      <w:pPr>
        <w:suppressAutoHyphens w:val="0"/>
        <w:rPr>
          <w:rFonts w:ascii="Encode Sans" w:eastAsia="Times New Roman" w:hAnsi="Encode Sans" w:cs="Arial"/>
          <w:lang w:val="es-ES" w:eastAsia="es-ES"/>
        </w:rPr>
      </w:pPr>
      <w:r w:rsidRPr="00750099">
        <w:rPr>
          <w:rFonts w:ascii="Encode Sans" w:hAnsi="Encode Sans"/>
          <w:noProof/>
        </w:rPr>
        <w:drawing>
          <wp:anchor distT="0" distB="0" distL="114300" distR="114300" simplePos="0" relativeHeight="251671552" behindDoc="0" locked="0" layoutInCell="1" allowOverlap="1" wp14:anchorId="00E684BF" wp14:editId="267F3F12">
            <wp:simplePos x="0" y="0"/>
            <wp:positionH relativeFrom="margin">
              <wp:posOffset>-43180</wp:posOffset>
            </wp:positionH>
            <wp:positionV relativeFrom="margin">
              <wp:posOffset>953135</wp:posOffset>
            </wp:positionV>
            <wp:extent cx="6517005" cy="4108450"/>
            <wp:effectExtent l="0" t="0" r="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20092"/>
                    <a:stretch/>
                  </pic:blipFill>
                  <pic:spPr bwMode="auto">
                    <a:xfrm>
                      <a:off x="0" y="0"/>
                      <a:ext cx="6517005" cy="4108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721475" w:rsidRDefault="00721475" w:rsidP="00721475">
      <w:pPr>
        <w:suppressAutoHyphens w:val="0"/>
        <w:jc w:val="center"/>
        <w:rPr>
          <w:rFonts w:ascii="Encode Sans" w:eastAsia="Times New Roman" w:hAnsi="Encode Sans" w:cs="Arial"/>
          <w:lang w:val="es-ES" w:eastAsia="es-ES"/>
        </w:rPr>
      </w:pPr>
      <w:r w:rsidRPr="00721475">
        <w:rPr>
          <w:rFonts w:cs="Calibri"/>
          <w:b/>
          <w:color w:val="AB0033"/>
          <w:sz w:val="44"/>
        </w:rPr>
        <w:t xml:space="preserve">SUBSECRETARÍA DE </w:t>
      </w:r>
      <w:r>
        <w:rPr>
          <w:rFonts w:cs="Calibri"/>
          <w:b/>
          <w:color w:val="AB0033"/>
          <w:sz w:val="44"/>
        </w:rPr>
        <w:t>ATENCIÓN MÉDICA</w:t>
      </w:r>
    </w:p>
    <w:p w:rsidR="00721475" w:rsidRDefault="00721475" w:rsidP="00B0192A">
      <w:pPr>
        <w:suppressAutoHyphens w:val="0"/>
        <w:rPr>
          <w:rFonts w:ascii="Encode Sans" w:eastAsia="Times New Roman" w:hAnsi="Encode Sans" w:cs="Arial"/>
          <w:lang w:val="es-ES" w:eastAsia="es-ES"/>
        </w:rPr>
      </w:pPr>
      <w:r w:rsidRPr="00750099">
        <w:rPr>
          <w:rFonts w:ascii="Encode Sans" w:hAnsi="Encode Sans"/>
          <w:noProof/>
        </w:rPr>
        <w:drawing>
          <wp:anchor distT="0" distB="0" distL="114300" distR="114300" simplePos="0" relativeHeight="251667456" behindDoc="0" locked="0" layoutInCell="1" allowOverlap="1" wp14:anchorId="0A0E00C6" wp14:editId="5640555D">
            <wp:simplePos x="0" y="0"/>
            <wp:positionH relativeFrom="margin">
              <wp:posOffset>-499745</wp:posOffset>
            </wp:positionH>
            <wp:positionV relativeFrom="margin">
              <wp:posOffset>694690</wp:posOffset>
            </wp:positionV>
            <wp:extent cx="7089140" cy="385191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3915"/>
                    <a:stretch/>
                  </pic:blipFill>
                  <pic:spPr bwMode="auto">
                    <a:xfrm>
                      <a:off x="0" y="0"/>
                      <a:ext cx="7089140" cy="385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475" w:rsidRDefault="00721475"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B0192A">
      <w:pPr>
        <w:suppressAutoHyphens w:val="0"/>
        <w:rPr>
          <w:rFonts w:ascii="Encode Sans" w:eastAsia="Times New Roman" w:hAnsi="Encode Sans" w:cs="Arial"/>
          <w:lang w:val="es-ES" w:eastAsia="es-ES"/>
        </w:rPr>
      </w:pPr>
      <w:r>
        <w:rPr>
          <w:rFonts w:ascii="Encode Sans" w:eastAsia="Times New Roman" w:hAnsi="Encode Sans" w:cs="Arial"/>
          <w:lang w:val="es-ES" w:eastAsia="es-ES"/>
        </w:rPr>
        <w:br w:type="page"/>
      </w:r>
    </w:p>
    <w:p w:rsidR="00B0192A" w:rsidRDefault="00B0192A" w:rsidP="00B0192A">
      <w:pPr>
        <w:suppressAutoHyphens w:val="0"/>
        <w:rPr>
          <w:rFonts w:ascii="Encode Sans" w:eastAsia="Times New Roman" w:hAnsi="Encode Sans" w:cs="Arial"/>
          <w:lang w:val="es-ES" w:eastAsia="es-ES"/>
        </w:rPr>
      </w:pPr>
    </w:p>
    <w:p w:rsidR="008F73EF" w:rsidRDefault="00721475" w:rsidP="00721475">
      <w:pPr>
        <w:suppressAutoHyphens w:val="0"/>
        <w:jc w:val="center"/>
        <w:rPr>
          <w:rFonts w:cs="Calibri"/>
          <w:b/>
          <w:color w:val="AB0033"/>
          <w:sz w:val="44"/>
        </w:rPr>
      </w:pPr>
      <w:r>
        <w:rPr>
          <w:rFonts w:cs="Calibri"/>
          <w:b/>
          <w:color w:val="AB0033"/>
          <w:sz w:val="44"/>
        </w:rPr>
        <w:t xml:space="preserve">COMISIÓN ESTATAL </w:t>
      </w:r>
      <w:r w:rsidR="008F73EF">
        <w:rPr>
          <w:rFonts w:cs="Calibri"/>
          <w:b/>
          <w:color w:val="AB0033"/>
          <w:sz w:val="44"/>
        </w:rPr>
        <w:t>PARA LA</w:t>
      </w:r>
      <w:r>
        <w:rPr>
          <w:rFonts w:cs="Calibri"/>
          <w:b/>
          <w:color w:val="AB0033"/>
          <w:sz w:val="44"/>
        </w:rPr>
        <w:t xml:space="preserve"> PROTECCIÓN</w:t>
      </w:r>
    </w:p>
    <w:p w:rsidR="00721475" w:rsidRDefault="00721475" w:rsidP="00721475">
      <w:pPr>
        <w:suppressAutoHyphens w:val="0"/>
        <w:jc w:val="center"/>
        <w:rPr>
          <w:rFonts w:ascii="Encode Sans" w:eastAsia="Times New Roman" w:hAnsi="Encode Sans" w:cs="Arial"/>
          <w:lang w:val="es-ES" w:eastAsia="es-ES"/>
        </w:rPr>
      </w:pPr>
      <w:r>
        <w:rPr>
          <w:rFonts w:cs="Calibri"/>
          <w:b/>
          <w:color w:val="AB0033"/>
          <w:sz w:val="44"/>
        </w:rPr>
        <w:t xml:space="preserve"> CONTRA RIE</w:t>
      </w:r>
      <w:r w:rsidR="008F73EF">
        <w:rPr>
          <w:rFonts w:cs="Calibri"/>
          <w:b/>
          <w:color w:val="AB0033"/>
          <w:sz w:val="44"/>
        </w:rPr>
        <w:t>S</w:t>
      </w:r>
      <w:r>
        <w:rPr>
          <w:rFonts w:cs="Calibri"/>
          <w:b/>
          <w:color w:val="AB0033"/>
          <w:sz w:val="44"/>
        </w:rPr>
        <w:t>GOS SANITARIOS</w:t>
      </w:r>
    </w:p>
    <w:p w:rsidR="00721475" w:rsidRDefault="00721475" w:rsidP="00B0192A">
      <w:pPr>
        <w:suppressAutoHyphens w:val="0"/>
        <w:rPr>
          <w:rFonts w:ascii="Encode Sans" w:eastAsia="Times New Roman" w:hAnsi="Encode Sans" w:cs="Arial"/>
          <w:lang w:val="es-ES" w:eastAsia="es-ES"/>
        </w:rPr>
      </w:pPr>
    </w:p>
    <w:p w:rsidR="00B0192A" w:rsidRDefault="00B0192A" w:rsidP="00B0192A">
      <w:pPr>
        <w:suppressAutoHyphens w:val="0"/>
        <w:rPr>
          <w:rFonts w:ascii="Encode Sans" w:eastAsia="Times New Roman" w:hAnsi="Encode Sans" w:cs="Arial"/>
          <w:lang w:val="es-ES" w:eastAsia="es-ES"/>
        </w:rPr>
      </w:pPr>
    </w:p>
    <w:p w:rsidR="00B0192A" w:rsidRDefault="00721475" w:rsidP="00B0192A">
      <w:pPr>
        <w:suppressAutoHyphens w:val="0"/>
        <w:rPr>
          <w:rFonts w:ascii="Encode Sans" w:eastAsia="Times New Roman" w:hAnsi="Encode Sans" w:cs="Arial"/>
          <w:lang w:val="es-ES" w:eastAsia="es-ES"/>
        </w:rPr>
      </w:pPr>
      <w:r w:rsidRPr="00750099">
        <w:rPr>
          <w:rFonts w:ascii="Encode Sans" w:hAnsi="Encode Sans"/>
          <w:noProof/>
        </w:rPr>
        <w:drawing>
          <wp:anchor distT="0" distB="0" distL="114300" distR="114300" simplePos="0" relativeHeight="251669504" behindDoc="0" locked="0" layoutInCell="1" allowOverlap="1" wp14:anchorId="49D7E551" wp14:editId="7A852771">
            <wp:simplePos x="0" y="0"/>
            <wp:positionH relativeFrom="margin">
              <wp:posOffset>-436245</wp:posOffset>
            </wp:positionH>
            <wp:positionV relativeFrom="margin">
              <wp:posOffset>1258570</wp:posOffset>
            </wp:positionV>
            <wp:extent cx="7041515" cy="4092575"/>
            <wp:effectExtent l="0" t="0" r="6985" b="31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402"/>
                    <a:stretch/>
                  </pic:blipFill>
                  <pic:spPr bwMode="auto">
                    <a:xfrm>
                      <a:off x="0" y="0"/>
                      <a:ext cx="7041515" cy="409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0192A" w:rsidRDefault="00B0192A">
      <w:pPr>
        <w:suppressAutoHyphens w:val="0"/>
        <w:rPr>
          <w:rFonts w:ascii="Encode Sans" w:eastAsia="Times New Roman" w:hAnsi="Encode Sans" w:cs="Arial"/>
          <w:lang w:val="es-ES" w:eastAsia="es-ES"/>
        </w:rPr>
      </w:pPr>
      <w:r>
        <w:rPr>
          <w:rFonts w:ascii="Encode Sans" w:eastAsia="Times New Roman" w:hAnsi="Encode Sans" w:cs="Arial"/>
          <w:lang w:val="es-ES" w:eastAsia="es-ES"/>
        </w:rPr>
        <w:br w:type="page"/>
      </w: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lastRenderedPageBreak/>
        <w:t>Bases de Preparación de los Estados Financieros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ind w:left="708"/>
        <w:jc w:val="both"/>
        <w:rPr>
          <w:rFonts w:cs="Calibri"/>
          <w:sz w:val="22"/>
          <w:szCs w:val="22"/>
          <w:lang w:val="es-ES"/>
        </w:rPr>
      </w:pPr>
      <w:r w:rsidRPr="00B0192A">
        <w:rPr>
          <w:rFonts w:cs="Calibri"/>
          <w:sz w:val="22"/>
          <w:szCs w:val="22"/>
          <w:lang w:val="es-ES"/>
        </w:rPr>
        <w:t>Los Estados Financieros al 31 de diciembre de 2024 fueron preparados de acuerdo a los Postulados de Contabilidad Gubernamental y demás normatividad.</w:t>
      </w:r>
    </w:p>
    <w:p w:rsidR="00B0192A" w:rsidRPr="00B0192A" w:rsidRDefault="00B0192A" w:rsidP="00B0192A">
      <w:pPr>
        <w:ind w:left="708"/>
        <w:jc w:val="both"/>
        <w:rPr>
          <w:rFonts w:cs="Calibri"/>
          <w:sz w:val="22"/>
          <w:szCs w:val="22"/>
          <w:lang w:val="es-ES"/>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Políticas de Contabilidad Significativas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Efectivo y equivalentes: El efectivo radicado por la Federación, referente al Fondos F</w:t>
      </w:r>
      <w:r w:rsidRPr="00B0192A">
        <w:rPr>
          <w:rFonts w:cs="Calibri"/>
          <w:lang w:val="es-ES"/>
        </w:rPr>
        <w:t>e</w:t>
      </w:r>
      <w:r w:rsidRPr="00B0192A">
        <w:rPr>
          <w:rFonts w:cs="Calibri"/>
          <w:lang w:val="es-ES"/>
        </w:rPr>
        <w:t xml:space="preserve">derales (FASSA y Otros Convenios), es transferido por la Secretaría de Finanzas a las cuentas bancarias específicas y productivas </w:t>
      </w:r>
      <w:proofErr w:type="spellStart"/>
      <w:r w:rsidRPr="00B0192A">
        <w:rPr>
          <w:rFonts w:cs="Calibri"/>
          <w:lang w:val="es-ES"/>
        </w:rPr>
        <w:t>aperturadas</w:t>
      </w:r>
      <w:proofErr w:type="spellEnd"/>
      <w:r w:rsidRPr="00B0192A">
        <w:rPr>
          <w:rFonts w:cs="Calibri"/>
          <w:lang w:val="es-ES"/>
        </w:rPr>
        <w:t xml:space="preserve"> por ejercicio, en fechas dete</w:t>
      </w:r>
      <w:r w:rsidRPr="00B0192A">
        <w:rPr>
          <w:rFonts w:cs="Calibri"/>
          <w:lang w:val="es-ES"/>
        </w:rPr>
        <w:t>r</w:t>
      </w:r>
      <w:r w:rsidRPr="00B0192A">
        <w:rPr>
          <w:rFonts w:cs="Calibri"/>
          <w:lang w:val="es-ES"/>
        </w:rPr>
        <w:t>minadas de acuerdo a la calendarización emitida en el presupuesto de egresos de la F</w:t>
      </w:r>
      <w:r w:rsidRPr="00B0192A">
        <w:rPr>
          <w:rFonts w:cs="Calibri"/>
          <w:lang w:val="es-ES"/>
        </w:rPr>
        <w:t>e</w:t>
      </w:r>
      <w:r w:rsidRPr="00B0192A">
        <w:rPr>
          <w:rFonts w:cs="Calibri"/>
          <w:lang w:val="es-ES"/>
        </w:rPr>
        <w:t>deración.</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ind w:left="1416"/>
        <w:jc w:val="both"/>
        <w:rPr>
          <w:rFonts w:cs="Calibri"/>
          <w:sz w:val="22"/>
          <w:szCs w:val="22"/>
          <w:lang w:val="es-ES"/>
        </w:rPr>
      </w:pPr>
      <w:r w:rsidRPr="00B0192A">
        <w:rPr>
          <w:rFonts w:cs="Calibri"/>
          <w:sz w:val="22"/>
          <w:szCs w:val="22"/>
          <w:lang w:val="es-ES"/>
        </w:rPr>
        <w:t>Al inicio de cada ejercicio, se apertura una cuenta bancaria para la recepción del recurso del Ramo 33, FASSA y cuentas bancarias adicionales que controlan el gasto en servicios personales y operativo y de inversión.</w:t>
      </w:r>
    </w:p>
    <w:p w:rsidR="00B0192A" w:rsidRPr="00B0192A" w:rsidRDefault="00B0192A" w:rsidP="00B0192A">
      <w:pPr>
        <w:ind w:left="1416"/>
        <w:jc w:val="both"/>
        <w:rPr>
          <w:rFonts w:cs="Calibri"/>
          <w:sz w:val="22"/>
          <w:szCs w:val="22"/>
          <w:lang w:val="es-ES"/>
        </w:rPr>
      </w:pPr>
    </w:p>
    <w:p w:rsidR="00B0192A" w:rsidRPr="00B0192A" w:rsidRDefault="00B0192A" w:rsidP="00B0192A">
      <w:pPr>
        <w:ind w:left="1416"/>
        <w:jc w:val="both"/>
        <w:rPr>
          <w:rFonts w:cs="Calibri"/>
          <w:sz w:val="22"/>
          <w:szCs w:val="22"/>
          <w:lang w:val="es-ES"/>
        </w:rPr>
      </w:pPr>
      <w:r w:rsidRPr="00B0192A">
        <w:rPr>
          <w:rFonts w:cs="Calibri"/>
          <w:sz w:val="22"/>
          <w:szCs w:val="22"/>
          <w:lang w:val="es-ES"/>
        </w:rPr>
        <w:t>A su vez, existen diferentes cuentas bancarias por cada recurso o programa, lo que permite llevar un mejor control operativo de los mismos.</w:t>
      </w:r>
    </w:p>
    <w:p w:rsidR="00B0192A" w:rsidRPr="00B0192A" w:rsidRDefault="00B0192A" w:rsidP="00B0192A">
      <w:pPr>
        <w:ind w:left="1416"/>
        <w:jc w:val="both"/>
        <w:rPr>
          <w:rFonts w:cs="Calibri"/>
          <w:sz w:val="22"/>
          <w:szCs w:val="22"/>
          <w:lang w:val="es-ES"/>
        </w:rPr>
      </w:pPr>
    </w:p>
    <w:p w:rsidR="00B0192A" w:rsidRPr="00B0192A" w:rsidRDefault="00B0192A" w:rsidP="00B0192A">
      <w:pPr>
        <w:pStyle w:val="Prrafodelista"/>
        <w:spacing w:after="0" w:line="240" w:lineRule="auto"/>
        <w:ind w:left="1440"/>
        <w:jc w:val="both"/>
        <w:rPr>
          <w:rFonts w:cs="Calibri"/>
          <w:lang w:val="es-ES"/>
        </w:rPr>
      </w:pPr>
      <w:r w:rsidRPr="00B0192A">
        <w:rPr>
          <w:rFonts w:cs="Calibri"/>
          <w:lang w:val="es-ES"/>
        </w:rPr>
        <w:t>En cuanto a la recaudación de derechos por concepto de prestación de servicios médicos, esta es depositada en una cuenta concentradora en la Secretaría de Finanzas del Gobierno del Estado por las Unidades Médicas. Dicha recaudación es transferida como Subsidio Estatal al Organismo con posterioridad.</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spacing w:after="0" w:line="240" w:lineRule="auto"/>
        <w:ind w:left="1440"/>
        <w:jc w:val="both"/>
        <w:rPr>
          <w:rFonts w:cs="Calibri"/>
          <w:lang w:val="es-ES"/>
        </w:rPr>
      </w:pPr>
      <w:r w:rsidRPr="00B0192A">
        <w:rPr>
          <w:rFonts w:cs="Calibri"/>
          <w:lang w:val="es-ES"/>
        </w:rPr>
        <w:t xml:space="preserve">Cada unidad médica tiene un fondo </w:t>
      </w:r>
      <w:proofErr w:type="spellStart"/>
      <w:r w:rsidRPr="00B0192A">
        <w:rPr>
          <w:rFonts w:cs="Calibri"/>
          <w:lang w:val="es-ES"/>
        </w:rPr>
        <w:t>revolvente</w:t>
      </w:r>
      <w:proofErr w:type="spellEnd"/>
      <w:r w:rsidRPr="00B0192A">
        <w:rPr>
          <w:rFonts w:cs="Calibri"/>
          <w:lang w:val="es-ES"/>
        </w:rPr>
        <w:t xml:space="preserve"> limitado, que sirve para disponer de flujos de efectivo, ante cualquier necesidad operativa que afronte en el desarrollo de sus actividades.</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 xml:space="preserve">Cuentas y Documentos por Cobrar: las cuentas y documentos por cobrar se registran a su valor de realización. </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Almacén: Los bienes y suministros para la prestación de servicios médicos, se registran a su costo de adquisición, que incluye el impuesto al Valor Agregado. En el caso del sum</w:t>
      </w:r>
      <w:r w:rsidRPr="00B0192A">
        <w:rPr>
          <w:rFonts w:cs="Calibri"/>
          <w:lang w:val="es-ES"/>
        </w:rPr>
        <w:t>i</w:t>
      </w:r>
      <w:r w:rsidRPr="00B0192A">
        <w:rPr>
          <w:rFonts w:cs="Calibri"/>
          <w:lang w:val="es-ES"/>
        </w:rPr>
        <w:t>nistro de bienes recibidos como aprovechamientos de tipo corriente, donaciones, se v</w:t>
      </w:r>
      <w:r w:rsidRPr="00B0192A">
        <w:rPr>
          <w:rFonts w:cs="Calibri"/>
          <w:lang w:val="es-ES"/>
        </w:rPr>
        <w:t>a</w:t>
      </w:r>
      <w:r w:rsidRPr="00B0192A">
        <w:rPr>
          <w:rFonts w:cs="Calibri"/>
          <w:lang w:val="es-ES"/>
        </w:rPr>
        <w:t>lúan a su valor razonable.</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Bienes inmuebles, infraestructura y construcciones: se encuentran valuados a su costo de adquisición, incluyendo el Impuesto al Valor Agregado. Las adaptaciones y remodel</w:t>
      </w:r>
      <w:r w:rsidRPr="00B0192A">
        <w:rPr>
          <w:rFonts w:cs="Calibri"/>
          <w:lang w:val="es-ES"/>
        </w:rPr>
        <w:t>a</w:t>
      </w:r>
      <w:r w:rsidRPr="00B0192A">
        <w:rPr>
          <w:rFonts w:cs="Calibri"/>
          <w:lang w:val="es-ES"/>
        </w:rPr>
        <w:t>ciones se capitalizan de acuerdo a los lineamientos de la Ley de Obras Públicas del Est</w:t>
      </w:r>
      <w:r w:rsidRPr="00B0192A">
        <w:rPr>
          <w:rFonts w:cs="Calibri"/>
          <w:lang w:val="es-ES"/>
        </w:rPr>
        <w:t>a</w:t>
      </w:r>
      <w:r w:rsidRPr="00B0192A">
        <w:rPr>
          <w:rFonts w:cs="Calibri"/>
          <w:lang w:val="es-ES"/>
        </w:rPr>
        <w:t>do y atendiendo a las reglas de registro y valuación del patrimonio emitidos por el Co</w:t>
      </w:r>
      <w:r w:rsidRPr="00B0192A">
        <w:rPr>
          <w:rFonts w:cs="Calibri"/>
          <w:lang w:val="es-ES"/>
        </w:rPr>
        <w:t>n</w:t>
      </w:r>
      <w:r w:rsidRPr="00B0192A">
        <w:rPr>
          <w:rFonts w:cs="Calibri"/>
          <w:lang w:val="es-ES"/>
        </w:rPr>
        <w:t>sejo de Armonización Contable.</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 xml:space="preserve"> Bienes Muebles: se encuentran valuados a su costo de adquisición, incluyendo el I</w:t>
      </w:r>
      <w:r w:rsidRPr="00B0192A">
        <w:rPr>
          <w:rFonts w:cs="Calibri"/>
          <w:lang w:val="es-ES"/>
        </w:rPr>
        <w:t>m</w:t>
      </w:r>
      <w:r w:rsidRPr="00B0192A">
        <w:rPr>
          <w:rFonts w:cs="Calibri"/>
          <w:lang w:val="es-ES"/>
        </w:rPr>
        <w:t>puesto al Valor Agregado.</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Pasivos: se registra a su recurso histórico, neto de descuentos otorgados de la coloc</w:t>
      </w:r>
      <w:r w:rsidRPr="00B0192A">
        <w:rPr>
          <w:rFonts w:cs="Calibri"/>
          <w:lang w:val="es-ES"/>
        </w:rPr>
        <w:t>a</w:t>
      </w:r>
      <w:r w:rsidRPr="00B0192A">
        <w:rPr>
          <w:rFonts w:cs="Calibri"/>
          <w:lang w:val="es-ES"/>
        </w:rPr>
        <w:t>ción del pasivo.</w:t>
      </w: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lastRenderedPageBreak/>
        <w:t>Patrimonio: se reconocen los resultados de operación de ejercicios anteriores y los del ejercicio generados.</w:t>
      </w:r>
    </w:p>
    <w:p w:rsidR="00B0192A" w:rsidRPr="00B0192A" w:rsidRDefault="00B0192A" w:rsidP="00B0192A">
      <w:pPr>
        <w:pStyle w:val="Prrafodelista"/>
        <w:spacing w:after="0" w:line="240" w:lineRule="auto"/>
        <w:rPr>
          <w:rFonts w:cs="Calibri"/>
          <w:lang w:val="es-ES"/>
        </w:rPr>
      </w:pPr>
    </w:p>
    <w:p w:rsidR="00B0192A" w:rsidRPr="00B0192A" w:rsidRDefault="00B0192A" w:rsidP="00B0192A">
      <w:pPr>
        <w:pStyle w:val="Prrafodelista"/>
        <w:spacing w:after="0" w:line="240" w:lineRule="auto"/>
        <w:ind w:left="1440"/>
        <w:jc w:val="both"/>
        <w:rPr>
          <w:rFonts w:cs="Calibri"/>
          <w:lang w:val="es-ES"/>
        </w:rPr>
      </w:pPr>
      <w:r w:rsidRPr="00B0192A">
        <w:rPr>
          <w:rFonts w:cs="Calibri"/>
          <w:lang w:val="es-ES"/>
        </w:rPr>
        <w:t>Para el caso de los registros a la cuenta de Resultados de Ejercicios Anteriores, cuando se realice un reintegro monetario a la Tesorería de la Federación, Secretaría de Finanzas o algún otro Ente Público, estos se realizan en el momento en que ocurren. Otras afectaciones a la cuenta de Resultados de Ejercicios Anteriores son previamente autorizadas por la Junta de Gobierno para su registro.</w:t>
      </w:r>
    </w:p>
    <w:p w:rsidR="00B0192A" w:rsidRPr="00B0192A" w:rsidRDefault="00B0192A" w:rsidP="00B0192A">
      <w:pPr>
        <w:pStyle w:val="Prrafodelista"/>
        <w:spacing w:after="0" w:line="240" w:lineRule="auto"/>
        <w:ind w:left="1440"/>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Ingresos: de conformidad con el Acuerdo por el que se reforman las Normas y Metod</w:t>
      </w:r>
      <w:r w:rsidRPr="00B0192A">
        <w:rPr>
          <w:rFonts w:cs="Calibri"/>
          <w:lang w:val="es-ES"/>
        </w:rPr>
        <w:t>o</w:t>
      </w:r>
      <w:r w:rsidRPr="00B0192A">
        <w:rPr>
          <w:rFonts w:cs="Calibri"/>
          <w:lang w:val="es-ES"/>
        </w:rPr>
        <w:t>logía para la determinación de los Momentos Contables de los Ingresos, los ingresos que recauda el Organismo se devengan al momento de su recaudación.</w:t>
      </w:r>
    </w:p>
    <w:p w:rsidR="00B0192A" w:rsidRPr="00B0192A" w:rsidRDefault="00B0192A" w:rsidP="00B0192A">
      <w:pPr>
        <w:pStyle w:val="Prrafodelista"/>
        <w:spacing w:after="0" w:line="240" w:lineRule="auto"/>
        <w:ind w:left="1429"/>
        <w:jc w:val="both"/>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Egresos: se devengan conforme a lo establecido en el Acuerdo por el que se reforman las Normas y Metodología para la determinación de los Momentos Contables de los Egresos.</w:t>
      </w:r>
    </w:p>
    <w:p w:rsidR="00B0192A" w:rsidRPr="00B0192A" w:rsidRDefault="00B0192A" w:rsidP="00B0192A">
      <w:pPr>
        <w:pStyle w:val="Prrafodelista"/>
        <w:spacing w:after="0" w:line="240" w:lineRule="auto"/>
        <w:rPr>
          <w:rFonts w:cs="Calibri"/>
          <w:lang w:val="es-ES"/>
        </w:rPr>
      </w:pPr>
    </w:p>
    <w:p w:rsidR="00B0192A" w:rsidRPr="00B0192A" w:rsidRDefault="00B0192A" w:rsidP="00B0192A">
      <w:pPr>
        <w:pStyle w:val="Prrafodelista"/>
        <w:numPr>
          <w:ilvl w:val="0"/>
          <w:numId w:val="13"/>
        </w:numPr>
        <w:suppressAutoHyphens w:val="0"/>
        <w:autoSpaceDN/>
        <w:spacing w:after="0" w:line="240" w:lineRule="auto"/>
        <w:contextualSpacing/>
        <w:jc w:val="both"/>
        <w:textAlignment w:val="auto"/>
        <w:rPr>
          <w:rFonts w:cs="Calibri"/>
          <w:lang w:val="es-ES"/>
        </w:rPr>
      </w:pPr>
      <w:r w:rsidRPr="00B0192A">
        <w:rPr>
          <w:rFonts w:cs="Calibri"/>
          <w:lang w:val="es-ES"/>
        </w:rPr>
        <w:t>El estado de flujo de efectivo integrado dentro de los Estados Financieros, se realiza bajo el método indirecto, establecido en la NICSP 2 Norma Internacional de Contabilidad del Sector Público.</w:t>
      </w:r>
    </w:p>
    <w:p w:rsidR="00B0192A" w:rsidRPr="00B0192A" w:rsidRDefault="00B0192A" w:rsidP="00B0192A">
      <w:pPr>
        <w:pStyle w:val="Prrafodelista"/>
        <w:spacing w:after="0"/>
        <w:rPr>
          <w:rFonts w:cs="Calibri"/>
          <w:lang w:val="es-ES"/>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Posición en Moneda Extranjera y Protección por Riesgo Cambiario</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Prrafodelista"/>
        <w:spacing w:after="0" w:line="240" w:lineRule="auto"/>
        <w:ind w:left="1080"/>
        <w:jc w:val="both"/>
        <w:rPr>
          <w:rFonts w:cs="Calibri"/>
          <w:lang w:val="es-ES"/>
        </w:rPr>
      </w:pPr>
      <w:r w:rsidRPr="00B0192A">
        <w:rPr>
          <w:rFonts w:cs="Calibri"/>
          <w:lang w:val="es-ES"/>
        </w:rPr>
        <w:t>Actualmente el Organismo no tiene activos, ni pasivos registrados en moneda extranjera.</w:t>
      </w:r>
    </w:p>
    <w:p w:rsidR="00B0192A" w:rsidRPr="00B0192A" w:rsidRDefault="00B0192A" w:rsidP="00B0192A">
      <w:pPr>
        <w:pStyle w:val="Prrafodelista"/>
        <w:spacing w:after="0" w:line="240" w:lineRule="auto"/>
        <w:ind w:left="1080"/>
        <w:jc w:val="both"/>
        <w:rPr>
          <w:rFonts w:cs="Calibri"/>
          <w:lang w:val="es-ES"/>
        </w:rPr>
      </w:pPr>
    </w:p>
    <w:p w:rsidR="00B0192A" w:rsidRPr="00B0192A" w:rsidRDefault="00B0192A" w:rsidP="00B0192A">
      <w:pPr>
        <w:pStyle w:val="Prrafodelista"/>
        <w:spacing w:after="0" w:line="240" w:lineRule="auto"/>
        <w:ind w:left="1080"/>
        <w:jc w:val="both"/>
        <w:rPr>
          <w:rFonts w:cs="Calibri"/>
          <w:lang w:val="es-ES"/>
        </w:rPr>
      </w:pPr>
      <w:r w:rsidRPr="00B0192A">
        <w:rPr>
          <w:rFonts w:cs="Calibri"/>
          <w:lang w:val="es-ES"/>
        </w:rPr>
        <w:t>Existe la política de registrar las operaciones en moneda extranjera al tipo de cambio del día anterior al que se causen las contribuciones de conformidad con el Código Fiscal de la Federación.</w:t>
      </w:r>
    </w:p>
    <w:p w:rsidR="00B0192A" w:rsidRPr="00B0192A" w:rsidRDefault="00B0192A" w:rsidP="00B0192A">
      <w:pPr>
        <w:pStyle w:val="Prrafodelista"/>
        <w:spacing w:after="0" w:line="240" w:lineRule="auto"/>
        <w:ind w:left="1080"/>
        <w:jc w:val="both"/>
        <w:rPr>
          <w:rFonts w:cs="Calibri"/>
          <w:lang w:val="es-ES"/>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Reporte Analítico del Activo</w:t>
      </w:r>
    </w:p>
    <w:p w:rsidR="00B0192A" w:rsidRPr="00B0192A" w:rsidRDefault="00B0192A" w:rsidP="00B0192A">
      <w:pPr>
        <w:pStyle w:val="Texto"/>
        <w:spacing w:after="0" w:line="240" w:lineRule="auto"/>
        <w:rPr>
          <w:rFonts w:ascii="Calibri" w:hAnsi="Calibri" w:cs="Calibri"/>
          <w:sz w:val="22"/>
          <w:szCs w:val="22"/>
          <w:lang w:val="es-MX"/>
        </w:rPr>
      </w:pPr>
    </w:p>
    <w:tbl>
      <w:tblPr>
        <w:tblW w:w="6771" w:type="dxa"/>
        <w:tblInd w:w="1467" w:type="dxa"/>
        <w:tblBorders>
          <w:top w:val="single" w:sz="8" w:space="0" w:color="C00000"/>
          <w:left w:val="single" w:sz="8" w:space="0" w:color="C00000"/>
          <w:bottom w:val="single" w:sz="4" w:space="0" w:color="auto"/>
          <w:right w:val="single" w:sz="8" w:space="0" w:color="C00000"/>
          <w:insideH w:val="single" w:sz="8" w:space="0" w:color="C00000"/>
          <w:insideV w:val="single" w:sz="8" w:space="0" w:color="C00000"/>
        </w:tblBorders>
        <w:tblLook w:val="04A0" w:firstRow="1" w:lastRow="0" w:firstColumn="1" w:lastColumn="0" w:noHBand="0" w:noVBand="1"/>
      </w:tblPr>
      <w:tblGrid>
        <w:gridCol w:w="5321"/>
        <w:gridCol w:w="1450"/>
      </w:tblGrid>
      <w:tr w:rsidR="00B0192A" w:rsidRPr="00B0192A" w:rsidTr="00BC3195">
        <w:trPr>
          <w:tblHeader/>
        </w:trPr>
        <w:tc>
          <w:tcPr>
            <w:tcW w:w="5321" w:type="dxa"/>
            <w:tcBorders>
              <w:top w:val="single" w:sz="8" w:space="0" w:color="AB0033"/>
              <w:left w:val="single" w:sz="8" w:space="0" w:color="AB0033"/>
              <w:bottom w:val="single" w:sz="8" w:space="0" w:color="AB0033"/>
              <w:right w:val="single" w:sz="8" w:space="0" w:color="AB0033"/>
            </w:tcBorders>
            <w:shd w:val="clear" w:color="auto" w:fill="AB0033"/>
            <w:vAlign w:val="center"/>
          </w:tcPr>
          <w:p w:rsidR="00B0192A" w:rsidRPr="00B0192A" w:rsidRDefault="00B0192A" w:rsidP="00BC3195">
            <w:pPr>
              <w:pStyle w:val="Texto"/>
              <w:spacing w:after="0" w:line="240" w:lineRule="auto"/>
              <w:ind w:firstLine="0"/>
              <w:jc w:val="center"/>
              <w:rPr>
                <w:rFonts w:ascii="Calibri" w:hAnsi="Calibri" w:cs="Calibri"/>
                <w:color w:val="FFFFFF"/>
                <w:sz w:val="22"/>
                <w:szCs w:val="22"/>
                <w:lang w:val="es-MX"/>
              </w:rPr>
            </w:pPr>
            <w:r w:rsidRPr="00B0192A">
              <w:rPr>
                <w:rFonts w:ascii="Calibri" w:hAnsi="Calibri" w:cs="Calibri"/>
                <w:color w:val="FFFFFF"/>
                <w:sz w:val="22"/>
                <w:szCs w:val="22"/>
                <w:lang w:val="es-MX"/>
              </w:rPr>
              <w:t>Tipo de Bien</w:t>
            </w:r>
          </w:p>
        </w:tc>
        <w:tc>
          <w:tcPr>
            <w:tcW w:w="1450" w:type="dxa"/>
            <w:tcBorders>
              <w:top w:val="single" w:sz="8" w:space="0" w:color="AB0033"/>
              <w:left w:val="single" w:sz="8" w:space="0" w:color="AB0033"/>
              <w:bottom w:val="single" w:sz="8" w:space="0" w:color="AB0033"/>
              <w:right w:val="single" w:sz="8" w:space="0" w:color="AB0033"/>
            </w:tcBorders>
            <w:shd w:val="clear" w:color="auto" w:fill="AB0033"/>
          </w:tcPr>
          <w:p w:rsidR="00B0192A" w:rsidRPr="00B0192A" w:rsidRDefault="00B0192A" w:rsidP="00BC3195">
            <w:pPr>
              <w:pStyle w:val="Texto"/>
              <w:spacing w:after="0" w:line="240" w:lineRule="auto"/>
              <w:ind w:firstLine="0"/>
              <w:jc w:val="center"/>
              <w:rPr>
                <w:rFonts w:ascii="Calibri" w:hAnsi="Calibri" w:cs="Calibri"/>
                <w:bCs/>
                <w:color w:val="FFFFFF"/>
                <w:sz w:val="22"/>
                <w:szCs w:val="22"/>
                <w:lang w:val="es-MX"/>
              </w:rPr>
            </w:pPr>
            <w:r w:rsidRPr="00B0192A">
              <w:rPr>
                <w:rFonts w:ascii="Calibri" w:hAnsi="Calibri" w:cs="Calibri"/>
                <w:bCs/>
                <w:color w:val="FFFFFF"/>
                <w:sz w:val="22"/>
                <w:szCs w:val="22"/>
                <w:lang w:val="es-MX"/>
              </w:rPr>
              <w:t>Porcentaje de Depreci</w:t>
            </w:r>
            <w:r w:rsidRPr="00B0192A">
              <w:rPr>
                <w:rFonts w:ascii="Calibri" w:hAnsi="Calibri" w:cs="Calibri"/>
                <w:bCs/>
                <w:color w:val="FFFFFF"/>
                <w:sz w:val="22"/>
                <w:szCs w:val="22"/>
                <w:lang w:val="es-MX"/>
              </w:rPr>
              <w:t>a</w:t>
            </w:r>
            <w:r w:rsidRPr="00B0192A">
              <w:rPr>
                <w:rFonts w:ascii="Calibri" w:hAnsi="Calibri" w:cs="Calibri"/>
                <w:bCs/>
                <w:color w:val="FFFFFF"/>
                <w:sz w:val="22"/>
                <w:szCs w:val="22"/>
                <w:lang w:val="es-MX"/>
              </w:rPr>
              <w:t>ción</w:t>
            </w:r>
          </w:p>
        </w:tc>
      </w:tr>
      <w:tr w:rsidR="00B0192A" w:rsidRPr="00B0192A" w:rsidTr="00BC3195">
        <w:tc>
          <w:tcPr>
            <w:tcW w:w="5321" w:type="dxa"/>
            <w:tcBorders>
              <w:top w:val="single" w:sz="8" w:space="0" w:color="AB0033"/>
            </w:tcBorders>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Muebles de Oficina y Estantería</w:t>
            </w:r>
          </w:p>
        </w:tc>
        <w:tc>
          <w:tcPr>
            <w:tcW w:w="1450" w:type="dxa"/>
            <w:tcBorders>
              <w:top w:val="single" w:sz="8" w:space="0" w:color="AB0033"/>
            </w:tcBorders>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 xml:space="preserve">Muebles excepto de Oficina y Estantería </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 de Cómputo y tecnologías de la Información</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20%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Mobiliarios y Equipos de Administración</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Equipos y Aparatos Audiovisuales</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Aparatos Deportivos</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5%</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Cámaras Fotográficas y de Video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20%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 Educacional y Recreativo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 Médico y de Laboratorio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Instrumental Médico y de Laboratorio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20%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Vehículos y Equipo Terrestre</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12%</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Maquinaria y Equipo Agropecuario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Maquinaria y Equipo Industrial</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25%</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lastRenderedPageBreak/>
              <w:t>Equipo de Aire Acondicionado</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10%</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 de Comunicación y Telecomunicación</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12%</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Equipo General Eléctrico, Aparatos, Accesorios Eléctricos.</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25%</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Herramientas y Maquinas</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15%</w:t>
            </w:r>
          </w:p>
        </w:tc>
      </w:tr>
      <w:tr w:rsidR="00B0192A" w:rsidRPr="00B0192A" w:rsidTr="00BC3195">
        <w:tc>
          <w:tcPr>
            <w:tcW w:w="5321" w:type="dxa"/>
            <w:shd w:val="clear" w:color="auto" w:fill="auto"/>
          </w:tcPr>
          <w:p w:rsidR="00B0192A" w:rsidRPr="00B0192A" w:rsidRDefault="00B0192A" w:rsidP="00BC3195">
            <w:pPr>
              <w:pStyle w:val="Prrafodelista"/>
              <w:spacing w:after="0" w:line="240" w:lineRule="auto"/>
              <w:ind w:left="0"/>
              <w:jc w:val="both"/>
              <w:rPr>
                <w:rFonts w:cs="Calibri"/>
                <w:bCs/>
                <w:color w:val="000000"/>
                <w:lang w:val="es-ES"/>
              </w:rPr>
            </w:pPr>
            <w:r w:rsidRPr="00B0192A">
              <w:rPr>
                <w:rFonts w:cs="Calibri"/>
                <w:bCs/>
                <w:color w:val="000000"/>
                <w:lang w:val="es-ES"/>
              </w:rPr>
              <w:t>Bienes Artísticos, Culturales y Científicos</w:t>
            </w:r>
          </w:p>
        </w:tc>
        <w:tc>
          <w:tcPr>
            <w:tcW w:w="1450" w:type="dxa"/>
            <w:shd w:val="clear" w:color="auto" w:fill="auto"/>
          </w:tcPr>
          <w:p w:rsidR="00B0192A" w:rsidRPr="00B0192A" w:rsidRDefault="00B0192A" w:rsidP="00BC3195">
            <w:pPr>
              <w:pStyle w:val="Prrafodelista"/>
              <w:spacing w:after="0" w:line="240" w:lineRule="auto"/>
              <w:ind w:left="0"/>
              <w:jc w:val="center"/>
              <w:rPr>
                <w:rFonts w:cs="Calibri"/>
                <w:color w:val="000000"/>
                <w:lang w:val="es-ES"/>
              </w:rPr>
            </w:pPr>
            <w:r w:rsidRPr="00B0192A">
              <w:rPr>
                <w:rFonts w:cs="Calibri"/>
                <w:color w:val="000000"/>
                <w:lang w:val="es-ES"/>
              </w:rPr>
              <w:t>0%</w:t>
            </w:r>
          </w:p>
        </w:tc>
      </w:tr>
      <w:tr w:rsidR="00B0192A" w:rsidRPr="00B0192A" w:rsidTr="00BC3195">
        <w:trPr>
          <w:trHeight w:val="32"/>
        </w:trPr>
        <w:tc>
          <w:tcPr>
            <w:tcW w:w="5321" w:type="dxa"/>
            <w:shd w:val="clear" w:color="auto" w:fill="auto"/>
          </w:tcPr>
          <w:p w:rsidR="00B0192A" w:rsidRPr="00B0192A" w:rsidRDefault="00B0192A" w:rsidP="00BC3195">
            <w:pPr>
              <w:pStyle w:val="Texto"/>
              <w:spacing w:after="0" w:line="240" w:lineRule="auto"/>
              <w:ind w:firstLine="0"/>
              <w:rPr>
                <w:rFonts w:ascii="Calibri" w:hAnsi="Calibri" w:cs="Calibri"/>
                <w:bCs/>
                <w:color w:val="000000"/>
                <w:sz w:val="22"/>
                <w:szCs w:val="22"/>
                <w:lang w:val="es-MX"/>
              </w:rPr>
            </w:pPr>
            <w:r w:rsidRPr="00B0192A">
              <w:rPr>
                <w:rFonts w:ascii="Calibri" w:hAnsi="Calibri" w:cs="Calibri"/>
                <w:bCs/>
                <w:color w:val="000000"/>
                <w:sz w:val="22"/>
                <w:szCs w:val="22"/>
                <w:lang w:val="es-MX"/>
              </w:rPr>
              <w:t>Software</w:t>
            </w:r>
          </w:p>
        </w:tc>
        <w:tc>
          <w:tcPr>
            <w:tcW w:w="1450" w:type="dxa"/>
            <w:shd w:val="clear" w:color="auto" w:fill="auto"/>
          </w:tcPr>
          <w:p w:rsidR="00B0192A" w:rsidRPr="00B0192A" w:rsidRDefault="00B0192A" w:rsidP="00BC3195">
            <w:pPr>
              <w:pStyle w:val="Texto"/>
              <w:spacing w:after="0" w:line="240" w:lineRule="auto"/>
              <w:ind w:firstLine="0"/>
              <w:jc w:val="right"/>
              <w:rPr>
                <w:rFonts w:ascii="Calibri" w:hAnsi="Calibri" w:cs="Calibri"/>
                <w:color w:val="000000"/>
                <w:sz w:val="22"/>
                <w:szCs w:val="22"/>
                <w:lang w:val="es-MX"/>
              </w:rPr>
            </w:pPr>
            <w:r w:rsidRPr="00B0192A">
              <w:rPr>
                <w:rFonts w:ascii="Calibri" w:hAnsi="Calibri" w:cs="Calibri"/>
                <w:color w:val="000000"/>
                <w:sz w:val="22"/>
                <w:szCs w:val="22"/>
                <w:lang w:val="es-MX"/>
              </w:rPr>
              <w:t>No disponible</w:t>
            </w:r>
          </w:p>
        </w:tc>
      </w:tr>
      <w:tr w:rsidR="00B0192A" w:rsidRPr="00B0192A" w:rsidTr="00BC3195">
        <w:trPr>
          <w:trHeight w:val="32"/>
        </w:trPr>
        <w:tc>
          <w:tcPr>
            <w:tcW w:w="5321" w:type="dxa"/>
            <w:shd w:val="clear" w:color="auto" w:fill="auto"/>
          </w:tcPr>
          <w:p w:rsidR="00B0192A" w:rsidRPr="00B0192A" w:rsidRDefault="00B0192A" w:rsidP="00BC3195">
            <w:pPr>
              <w:pStyle w:val="Texto"/>
              <w:spacing w:after="0" w:line="240" w:lineRule="auto"/>
              <w:ind w:firstLine="0"/>
              <w:rPr>
                <w:rFonts w:ascii="Calibri" w:hAnsi="Calibri" w:cs="Calibri"/>
                <w:bCs/>
                <w:color w:val="000000"/>
                <w:sz w:val="22"/>
                <w:szCs w:val="22"/>
                <w:lang w:val="es-MX"/>
              </w:rPr>
            </w:pPr>
            <w:r w:rsidRPr="00B0192A">
              <w:rPr>
                <w:rFonts w:ascii="Calibri" w:hAnsi="Calibri" w:cs="Calibri"/>
                <w:bCs/>
                <w:color w:val="000000"/>
                <w:sz w:val="22"/>
                <w:szCs w:val="22"/>
                <w:lang w:val="es-MX"/>
              </w:rPr>
              <w:t>Licencias</w:t>
            </w:r>
          </w:p>
        </w:tc>
        <w:tc>
          <w:tcPr>
            <w:tcW w:w="1450" w:type="dxa"/>
            <w:shd w:val="clear" w:color="auto" w:fill="auto"/>
          </w:tcPr>
          <w:p w:rsidR="00B0192A" w:rsidRPr="00B0192A" w:rsidRDefault="00B0192A" w:rsidP="00BC3195">
            <w:pPr>
              <w:pStyle w:val="Texto"/>
              <w:spacing w:after="0" w:line="240" w:lineRule="auto"/>
              <w:ind w:firstLine="0"/>
              <w:jc w:val="center"/>
              <w:rPr>
                <w:rFonts w:ascii="Calibri" w:hAnsi="Calibri" w:cs="Calibri"/>
                <w:color w:val="000000"/>
                <w:sz w:val="22"/>
                <w:szCs w:val="22"/>
                <w:lang w:val="es-MX"/>
              </w:rPr>
            </w:pPr>
            <w:r w:rsidRPr="00B0192A">
              <w:rPr>
                <w:rFonts w:ascii="Calibri" w:hAnsi="Calibri" w:cs="Calibri"/>
                <w:color w:val="000000"/>
                <w:sz w:val="22"/>
                <w:szCs w:val="22"/>
                <w:lang w:val="es-MX"/>
              </w:rPr>
              <w:t>100%</w:t>
            </w:r>
          </w:p>
        </w:tc>
      </w:tr>
    </w:tbl>
    <w:p w:rsidR="00B0192A" w:rsidRPr="00B0192A" w:rsidRDefault="00B0192A" w:rsidP="00B0192A">
      <w:pPr>
        <w:pStyle w:val="Texto"/>
        <w:spacing w:after="0" w:line="240" w:lineRule="auto"/>
        <w:ind w:left="708"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Fideicomisos, Mandatos y Análogos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spacing w:after="0" w:line="240" w:lineRule="auto"/>
        <w:rPr>
          <w:rFonts w:ascii="Calibri" w:hAnsi="Calibri" w:cs="Calibri"/>
          <w:sz w:val="22"/>
          <w:szCs w:val="22"/>
          <w:lang w:val="es-MX"/>
        </w:rPr>
      </w:pPr>
      <w:r w:rsidRPr="00B0192A">
        <w:rPr>
          <w:rFonts w:ascii="Calibri" w:hAnsi="Calibri" w:cs="Calibri"/>
          <w:sz w:val="22"/>
          <w:szCs w:val="22"/>
          <w:lang w:val="es-MX"/>
        </w:rPr>
        <w:tab/>
        <w:t>Servicios de Salud de Tamaulipas no realiza operaciones de estos conceptos.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Reporte de la Recaudación</w:t>
      </w:r>
    </w:p>
    <w:p w:rsidR="00B0192A" w:rsidRPr="00B0192A" w:rsidRDefault="00B0192A" w:rsidP="00B0192A">
      <w:pPr>
        <w:pStyle w:val="Texto"/>
        <w:spacing w:after="0" w:line="240" w:lineRule="auto"/>
        <w:ind w:left="708" w:firstLine="0"/>
        <w:rPr>
          <w:rFonts w:ascii="Calibri" w:hAnsi="Calibri" w:cs="Calibri"/>
          <w:sz w:val="22"/>
          <w:szCs w:val="22"/>
          <w:lang w:val="es-MX"/>
        </w:rPr>
      </w:pPr>
    </w:p>
    <w:tbl>
      <w:tblPr>
        <w:tblW w:w="7678" w:type="dxa"/>
        <w:tblInd w:w="843"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6113"/>
        <w:gridCol w:w="1565"/>
      </w:tblGrid>
      <w:tr w:rsidR="00B0192A" w:rsidRPr="00B0192A" w:rsidTr="00BC3195">
        <w:trPr>
          <w:trHeight w:val="192"/>
        </w:trPr>
        <w:tc>
          <w:tcPr>
            <w:tcW w:w="6113" w:type="dxa"/>
            <w:shd w:val="clear" w:color="auto" w:fill="AB0033"/>
          </w:tcPr>
          <w:p w:rsidR="00B0192A" w:rsidRPr="00B0192A" w:rsidRDefault="00B0192A" w:rsidP="00BC3195">
            <w:pPr>
              <w:tabs>
                <w:tab w:val="center" w:pos="4419"/>
                <w:tab w:val="right" w:pos="8838"/>
              </w:tabs>
              <w:jc w:val="center"/>
              <w:rPr>
                <w:rFonts w:eastAsia="Times New Roman" w:cs="Calibri"/>
                <w:color w:val="FFFFFF"/>
                <w:sz w:val="22"/>
                <w:szCs w:val="22"/>
                <w:lang w:val="es-ES"/>
              </w:rPr>
            </w:pPr>
            <w:r w:rsidRPr="00B0192A">
              <w:rPr>
                <w:rFonts w:eastAsia="Times New Roman" w:cs="Calibri"/>
                <w:color w:val="FFFFFF"/>
                <w:sz w:val="22"/>
                <w:szCs w:val="22"/>
                <w:lang w:val="es-ES"/>
              </w:rPr>
              <w:t>Concepto</w:t>
            </w:r>
          </w:p>
        </w:tc>
        <w:tc>
          <w:tcPr>
            <w:tcW w:w="1565" w:type="dxa"/>
            <w:shd w:val="clear" w:color="auto" w:fill="AB0033"/>
          </w:tcPr>
          <w:p w:rsidR="00B0192A" w:rsidRPr="00B0192A" w:rsidRDefault="00B0192A" w:rsidP="00BC3195">
            <w:pPr>
              <w:tabs>
                <w:tab w:val="center" w:pos="4419"/>
                <w:tab w:val="right" w:pos="8838"/>
              </w:tabs>
              <w:jc w:val="center"/>
              <w:rPr>
                <w:rFonts w:eastAsia="Times New Roman" w:cs="Calibri"/>
                <w:bCs/>
                <w:color w:val="FFFFFF"/>
                <w:sz w:val="22"/>
                <w:szCs w:val="22"/>
                <w:lang w:val="es-ES"/>
              </w:rPr>
            </w:pPr>
            <w:r w:rsidRPr="00B0192A">
              <w:rPr>
                <w:rFonts w:eastAsia="Times New Roman" w:cs="Calibri"/>
                <w:bCs/>
                <w:color w:val="FFFFFF"/>
                <w:sz w:val="22"/>
                <w:szCs w:val="22"/>
                <w:lang w:val="es-ES"/>
              </w:rPr>
              <w:t>Importe</w:t>
            </w:r>
          </w:p>
        </w:tc>
      </w:tr>
      <w:tr w:rsidR="00B0192A" w:rsidRPr="00B0192A" w:rsidTr="00BC3195">
        <w:tc>
          <w:tcPr>
            <w:tcW w:w="6113" w:type="dxa"/>
            <w:shd w:val="clear" w:color="auto" w:fill="auto"/>
          </w:tcPr>
          <w:p w:rsidR="00B0192A" w:rsidRPr="00B0192A" w:rsidRDefault="00B0192A" w:rsidP="00BC3195">
            <w:pPr>
              <w:tabs>
                <w:tab w:val="center" w:pos="4419"/>
                <w:tab w:val="right" w:pos="8838"/>
              </w:tabs>
              <w:rPr>
                <w:rFonts w:cs="Calibri"/>
                <w:bCs/>
                <w:color w:val="000000"/>
                <w:sz w:val="22"/>
                <w:szCs w:val="22"/>
                <w:lang w:val="es-ES"/>
              </w:rPr>
            </w:pPr>
            <w:r w:rsidRPr="00B0192A">
              <w:rPr>
                <w:rFonts w:cs="Calibri"/>
                <w:bCs/>
                <w:color w:val="000000"/>
                <w:sz w:val="22"/>
                <w:szCs w:val="22"/>
                <w:lang w:val="es-ES"/>
              </w:rPr>
              <w:t>Productos</w:t>
            </w:r>
          </w:p>
        </w:tc>
        <w:tc>
          <w:tcPr>
            <w:tcW w:w="1565" w:type="dxa"/>
            <w:shd w:val="clear" w:color="auto" w:fill="auto"/>
          </w:tcPr>
          <w:p w:rsidR="00B0192A" w:rsidRPr="00B0192A" w:rsidRDefault="00B0192A" w:rsidP="00BC3195">
            <w:pPr>
              <w:tabs>
                <w:tab w:val="center" w:pos="4419"/>
                <w:tab w:val="right" w:pos="8838"/>
              </w:tabs>
              <w:jc w:val="right"/>
              <w:rPr>
                <w:rFonts w:cs="Calibri"/>
                <w:color w:val="000000"/>
                <w:sz w:val="22"/>
                <w:szCs w:val="22"/>
                <w:lang w:val="es-ES"/>
              </w:rPr>
            </w:pPr>
            <w:r w:rsidRPr="00B0192A">
              <w:rPr>
                <w:rFonts w:cs="Calibri"/>
                <w:color w:val="000000"/>
                <w:sz w:val="22"/>
                <w:szCs w:val="22"/>
                <w:lang w:val="es-ES"/>
              </w:rPr>
              <w:t>3’756,032</w:t>
            </w:r>
          </w:p>
        </w:tc>
      </w:tr>
      <w:tr w:rsidR="00B0192A" w:rsidRPr="00B0192A" w:rsidTr="00BC3195">
        <w:tc>
          <w:tcPr>
            <w:tcW w:w="6113" w:type="dxa"/>
            <w:shd w:val="clear" w:color="auto" w:fill="auto"/>
          </w:tcPr>
          <w:p w:rsidR="00B0192A" w:rsidRPr="00B0192A" w:rsidRDefault="00B0192A" w:rsidP="00BC3195">
            <w:pPr>
              <w:tabs>
                <w:tab w:val="center" w:pos="4419"/>
                <w:tab w:val="right" w:pos="8838"/>
              </w:tabs>
              <w:rPr>
                <w:rFonts w:cs="Calibri"/>
                <w:bCs/>
                <w:color w:val="000000"/>
                <w:sz w:val="22"/>
                <w:szCs w:val="22"/>
                <w:lang w:val="es-ES"/>
              </w:rPr>
            </w:pPr>
            <w:r w:rsidRPr="00B0192A">
              <w:rPr>
                <w:rFonts w:cs="Calibri"/>
                <w:bCs/>
                <w:color w:val="000000"/>
                <w:sz w:val="22"/>
                <w:szCs w:val="22"/>
                <w:lang w:val="es-ES"/>
              </w:rPr>
              <w:t xml:space="preserve">Aprovechamientos </w:t>
            </w:r>
          </w:p>
        </w:tc>
        <w:tc>
          <w:tcPr>
            <w:tcW w:w="1565" w:type="dxa"/>
            <w:shd w:val="clear" w:color="auto" w:fill="auto"/>
          </w:tcPr>
          <w:p w:rsidR="00B0192A" w:rsidRPr="00B0192A" w:rsidRDefault="00B0192A" w:rsidP="00BC3195">
            <w:pPr>
              <w:tabs>
                <w:tab w:val="center" w:pos="4419"/>
                <w:tab w:val="right" w:pos="8838"/>
              </w:tabs>
              <w:jc w:val="right"/>
              <w:rPr>
                <w:rFonts w:cs="Calibri"/>
                <w:color w:val="000000"/>
                <w:sz w:val="22"/>
                <w:szCs w:val="22"/>
                <w:lang w:val="es-ES"/>
              </w:rPr>
            </w:pPr>
            <w:r w:rsidRPr="00B0192A">
              <w:rPr>
                <w:rFonts w:cs="Calibri"/>
                <w:color w:val="000000"/>
                <w:sz w:val="22"/>
                <w:szCs w:val="22"/>
                <w:lang w:val="es-ES"/>
              </w:rPr>
              <w:t>958,089</w:t>
            </w:r>
          </w:p>
        </w:tc>
      </w:tr>
      <w:tr w:rsidR="00B0192A" w:rsidRPr="00B0192A" w:rsidTr="00061687">
        <w:tc>
          <w:tcPr>
            <w:tcW w:w="6113" w:type="dxa"/>
            <w:shd w:val="clear" w:color="auto" w:fill="auto"/>
          </w:tcPr>
          <w:p w:rsidR="00B0192A" w:rsidRPr="00B0192A" w:rsidRDefault="00B0192A" w:rsidP="00BC3195">
            <w:pPr>
              <w:tabs>
                <w:tab w:val="center" w:pos="4419"/>
                <w:tab w:val="right" w:pos="8838"/>
              </w:tabs>
              <w:rPr>
                <w:rFonts w:cs="Calibri"/>
                <w:bCs/>
                <w:color w:val="000000"/>
                <w:sz w:val="22"/>
                <w:szCs w:val="22"/>
                <w:lang w:val="es-ES"/>
              </w:rPr>
            </w:pPr>
            <w:r w:rsidRPr="00B0192A">
              <w:rPr>
                <w:rFonts w:cs="Calibri"/>
                <w:bCs/>
                <w:color w:val="000000"/>
                <w:sz w:val="22"/>
                <w:szCs w:val="22"/>
                <w:lang w:val="es-ES"/>
              </w:rPr>
              <w:t>Ingresos por Venta de Bienes y Servicios de Organismos Descentralizados</w:t>
            </w:r>
          </w:p>
        </w:tc>
        <w:tc>
          <w:tcPr>
            <w:tcW w:w="1565" w:type="dxa"/>
            <w:shd w:val="clear" w:color="auto" w:fill="auto"/>
            <w:vAlign w:val="center"/>
          </w:tcPr>
          <w:p w:rsidR="00B0192A" w:rsidRPr="00B0192A" w:rsidRDefault="00B0192A" w:rsidP="00061687">
            <w:pPr>
              <w:tabs>
                <w:tab w:val="center" w:pos="4419"/>
                <w:tab w:val="right" w:pos="8838"/>
              </w:tabs>
              <w:jc w:val="right"/>
              <w:rPr>
                <w:rFonts w:cs="Calibri"/>
                <w:color w:val="000000"/>
                <w:sz w:val="22"/>
                <w:szCs w:val="22"/>
                <w:lang w:val="es-ES"/>
              </w:rPr>
            </w:pPr>
            <w:r w:rsidRPr="00B0192A">
              <w:rPr>
                <w:rFonts w:cs="Calibri"/>
                <w:color w:val="000000"/>
                <w:sz w:val="22"/>
                <w:szCs w:val="22"/>
                <w:lang w:val="es-ES"/>
              </w:rPr>
              <w:t>552’963,655</w:t>
            </w:r>
          </w:p>
        </w:tc>
      </w:tr>
      <w:tr w:rsidR="00B0192A" w:rsidRPr="00B0192A" w:rsidTr="00BC3195">
        <w:tc>
          <w:tcPr>
            <w:tcW w:w="6113" w:type="dxa"/>
            <w:shd w:val="clear" w:color="auto" w:fill="auto"/>
          </w:tcPr>
          <w:p w:rsidR="00B0192A" w:rsidRPr="00B0192A" w:rsidRDefault="00B0192A" w:rsidP="00BC3195">
            <w:pPr>
              <w:tabs>
                <w:tab w:val="center" w:pos="4419"/>
                <w:tab w:val="right" w:pos="8838"/>
              </w:tabs>
              <w:rPr>
                <w:rFonts w:cs="Calibri"/>
                <w:bCs/>
                <w:color w:val="000000"/>
                <w:sz w:val="22"/>
                <w:szCs w:val="22"/>
                <w:lang w:val="es-ES"/>
              </w:rPr>
            </w:pPr>
            <w:r w:rsidRPr="00B0192A">
              <w:rPr>
                <w:rFonts w:cs="Calibri"/>
                <w:bCs/>
                <w:color w:val="000000"/>
                <w:sz w:val="22"/>
                <w:szCs w:val="22"/>
                <w:lang w:val="es-ES"/>
              </w:rPr>
              <w:t>Transferencias Internas y Asignaciones al Sector Público</w:t>
            </w:r>
          </w:p>
        </w:tc>
        <w:tc>
          <w:tcPr>
            <w:tcW w:w="1565" w:type="dxa"/>
            <w:shd w:val="clear" w:color="auto" w:fill="auto"/>
          </w:tcPr>
          <w:p w:rsidR="00B0192A" w:rsidRPr="00B0192A" w:rsidRDefault="00B0192A" w:rsidP="00BC3195">
            <w:pPr>
              <w:tabs>
                <w:tab w:val="center" w:pos="4419"/>
                <w:tab w:val="right" w:pos="8838"/>
              </w:tabs>
              <w:jc w:val="right"/>
              <w:rPr>
                <w:rFonts w:cs="Calibri"/>
                <w:color w:val="000000"/>
                <w:sz w:val="22"/>
                <w:szCs w:val="22"/>
                <w:lang w:val="es-ES"/>
              </w:rPr>
            </w:pPr>
            <w:r w:rsidRPr="00B0192A">
              <w:rPr>
                <w:rFonts w:cs="Calibri"/>
                <w:color w:val="000000"/>
                <w:sz w:val="22"/>
                <w:szCs w:val="22"/>
                <w:lang w:val="es-ES"/>
              </w:rPr>
              <w:t>9’233’077,137</w:t>
            </w:r>
          </w:p>
        </w:tc>
      </w:tr>
      <w:tr w:rsidR="00B0192A" w:rsidRPr="00B0192A" w:rsidTr="00BC3195">
        <w:tc>
          <w:tcPr>
            <w:tcW w:w="6113" w:type="dxa"/>
            <w:shd w:val="clear" w:color="auto" w:fill="auto"/>
          </w:tcPr>
          <w:p w:rsidR="00B0192A" w:rsidRPr="00B0192A" w:rsidRDefault="00B0192A" w:rsidP="00BC3195">
            <w:pPr>
              <w:tabs>
                <w:tab w:val="center" w:pos="4419"/>
                <w:tab w:val="right" w:pos="8838"/>
              </w:tabs>
              <w:rPr>
                <w:rFonts w:cs="Calibri"/>
                <w:bCs/>
                <w:color w:val="000000"/>
                <w:sz w:val="22"/>
                <w:szCs w:val="22"/>
                <w:lang w:val="es-ES"/>
              </w:rPr>
            </w:pPr>
            <w:r w:rsidRPr="00B0192A">
              <w:rPr>
                <w:rFonts w:cs="Calibri"/>
                <w:bCs/>
                <w:color w:val="000000"/>
                <w:sz w:val="22"/>
                <w:szCs w:val="22"/>
                <w:lang w:val="es-ES"/>
              </w:rPr>
              <w:t>Otros Ingresos y Beneficios</w:t>
            </w:r>
          </w:p>
        </w:tc>
        <w:tc>
          <w:tcPr>
            <w:tcW w:w="1565" w:type="dxa"/>
            <w:shd w:val="clear" w:color="auto" w:fill="auto"/>
          </w:tcPr>
          <w:p w:rsidR="00B0192A" w:rsidRPr="00B0192A" w:rsidRDefault="00B0192A" w:rsidP="00BC3195">
            <w:pPr>
              <w:tabs>
                <w:tab w:val="center" w:pos="4419"/>
                <w:tab w:val="right" w:pos="8838"/>
              </w:tabs>
              <w:jc w:val="right"/>
              <w:rPr>
                <w:rFonts w:cs="Calibri"/>
                <w:color w:val="000000"/>
                <w:sz w:val="22"/>
                <w:szCs w:val="22"/>
                <w:lang w:val="es-ES"/>
              </w:rPr>
            </w:pPr>
            <w:r w:rsidRPr="00B0192A">
              <w:rPr>
                <w:rFonts w:cs="Calibri"/>
                <w:color w:val="000000"/>
                <w:sz w:val="22"/>
                <w:szCs w:val="22"/>
                <w:lang w:val="es-ES"/>
              </w:rPr>
              <w:t>4’933,435</w:t>
            </w:r>
          </w:p>
        </w:tc>
      </w:tr>
      <w:tr w:rsidR="00B0192A" w:rsidRPr="00B0192A" w:rsidTr="00BC3195">
        <w:tc>
          <w:tcPr>
            <w:tcW w:w="6113" w:type="dxa"/>
            <w:shd w:val="clear" w:color="auto" w:fill="auto"/>
          </w:tcPr>
          <w:p w:rsidR="00B0192A" w:rsidRPr="00B0192A" w:rsidRDefault="00B0192A" w:rsidP="00BC3195">
            <w:pPr>
              <w:tabs>
                <w:tab w:val="center" w:pos="4419"/>
                <w:tab w:val="right" w:pos="8838"/>
              </w:tabs>
              <w:jc w:val="right"/>
              <w:rPr>
                <w:rFonts w:cs="Calibri"/>
                <w:b/>
                <w:bCs/>
                <w:color w:val="000000"/>
                <w:sz w:val="22"/>
                <w:szCs w:val="22"/>
                <w:lang w:val="es-ES"/>
              </w:rPr>
            </w:pPr>
            <w:r w:rsidRPr="00B0192A">
              <w:rPr>
                <w:rFonts w:cs="Calibri"/>
                <w:b/>
                <w:bCs/>
                <w:color w:val="000000"/>
                <w:sz w:val="22"/>
                <w:szCs w:val="22"/>
                <w:lang w:val="es-ES"/>
              </w:rPr>
              <w:t>TOTAL</w:t>
            </w:r>
          </w:p>
        </w:tc>
        <w:tc>
          <w:tcPr>
            <w:tcW w:w="1565" w:type="dxa"/>
            <w:shd w:val="clear" w:color="auto" w:fill="auto"/>
          </w:tcPr>
          <w:p w:rsidR="00B0192A" w:rsidRPr="00B0192A" w:rsidRDefault="00B0192A" w:rsidP="00BC3195">
            <w:pPr>
              <w:tabs>
                <w:tab w:val="center" w:pos="4419"/>
                <w:tab w:val="right" w:pos="8838"/>
              </w:tabs>
              <w:jc w:val="right"/>
              <w:rPr>
                <w:rFonts w:cs="Calibri"/>
                <w:b/>
                <w:color w:val="000000"/>
                <w:sz w:val="22"/>
                <w:szCs w:val="22"/>
                <w:highlight w:val="yellow"/>
                <w:lang w:val="es-ES"/>
              </w:rPr>
            </w:pPr>
            <w:r w:rsidRPr="00B0192A">
              <w:rPr>
                <w:rFonts w:cs="Calibri"/>
                <w:b/>
                <w:color w:val="000000"/>
                <w:sz w:val="22"/>
                <w:szCs w:val="22"/>
                <w:lang w:val="es-ES"/>
              </w:rPr>
              <w:t>9’795’688,348</w:t>
            </w:r>
          </w:p>
        </w:tc>
      </w:tr>
    </w:tbl>
    <w:p w:rsidR="00B0192A" w:rsidRPr="00B0192A" w:rsidRDefault="00B0192A" w:rsidP="00B0192A">
      <w:pPr>
        <w:pStyle w:val="Texto"/>
        <w:spacing w:after="0" w:line="240" w:lineRule="auto"/>
        <w:rPr>
          <w:rFonts w:ascii="Calibri" w:hAnsi="Calibri" w:cs="Calibri"/>
          <w:sz w:val="22"/>
          <w:szCs w:val="22"/>
          <w:highlight w:val="yellow"/>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Información sobre la Deuda y el Reporte Analítico de la Deuda</w:t>
      </w:r>
    </w:p>
    <w:p w:rsidR="00B0192A" w:rsidRPr="00B0192A" w:rsidRDefault="00B0192A" w:rsidP="00B0192A">
      <w:pPr>
        <w:pStyle w:val="Texto"/>
        <w:spacing w:after="0" w:line="240" w:lineRule="auto"/>
        <w:rPr>
          <w:rFonts w:ascii="Calibri" w:hAnsi="Calibri" w:cs="Calibri"/>
          <w:sz w:val="22"/>
          <w:szCs w:val="22"/>
          <w:highlight w:val="yellow"/>
          <w:lang w:val="es-MX"/>
        </w:rPr>
      </w:pPr>
    </w:p>
    <w:p w:rsidR="00B0192A" w:rsidRPr="00B0192A" w:rsidRDefault="00B0192A" w:rsidP="00B0192A">
      <w:pPr>
        <w:pStyle w:val="Texto"/>
        <w:spacing w:after="0" w:line="240" w:lineRule="auto"/>
        <w:ind w:left="708" w:firstLine="0"/>
        <w:rPr>
          <w:rFonts w:ascii="Calibri" w:hAnsi="Calibri" w:cs="Calibri"/>
          <w:sz w:val="22"/>
          <w:szCs w:val="22"/>
          <w:lang w:val="es-MX"/>
        </w:rPr>
      </w:pPr>
      <w:r w:rsidRPr="00B0192A">
        <w:rPr>
          <w:rFonts w:ascii="Calibri" w:hAnsi="Calibri" w:cs="Calibri"/>
          <w:sz w:val="22"/>
          <w:szCs w:val="22"/>
          <w:lang w:val="es-MX"/>
        </w:rPr>
        <w:t>Servicios de Salud de Tamaulipas no tiene contratada, ni contrató Deuda Pública durante el eje</w:t>
      </w:r>
      <w:r w:rsidRPr="00B0192A">
        <w:rPr>
          <w:rFonts w:ascii="Calibri" w:hAnsi="Calibri" w:cs="Calibri"/>
          <w:sz w:val="22"/>
          <w:szCs w:val="22"/>
          <w:lang w:val="es-MX"/>
        </w:rPr>
        <w:t>r</w:t>
      </w:r>
      <w:r w:rsidRPr="00B0192A">
        <w:rPr>
          <w:rFonts w:ascii="Calibri" w:hAnsi="Calibri" w:cs="Calibri"/>
          <w:sz w:val="22"/>
          <w:szCs w:val="22"/>
          <w:lang w:val="es-MX"/>
        </w:rPr>
        <w:t>cicio 2024.</w:t>
      </w:r>
    </w:p>
    <w:p w:rsidR="00B0192A" w:rsidRPr="00B0192A" w:rsidRDefault="00B0192A" w:rsidP="00B0192A">
      <w:pPr>
        <w:pStyle w:val="Texto"/>
        <w:spacing w:after="0" w:line="240" w:lineRule="auto"/>
        <w:ind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Calificaciones otorgadas</w:t>
      </w:r>
    </w:p>
    <w:p w:rsidR="00B0192A" w:rsidRPr="00B0192A" w:rsidRDefault="00B0192A" w:rsidP="00B0192A">
      <w:pPr>
        <w:pStyle w:val="Texto"/>
        <w:spacing w:after="0" w:line="240" w:lineRule="auto"/>
        <w:ind w:left="708" w:hanging="420"/>
        <w:rPr>
          <w:rFonts w:ascii="Calibri" w:hAnsi="Calibri" w:cs="Calibri"/>
          <w:sz w:val="22"/>
          <w:szCs w:val="22"/>
          <w:lang w:val="es-MX"/>
        </w:rPr>
      </w:pPr>
    </w:p>
    <w:p w:rsidR="00B0192A" w:rsidRPr="00B0192A" w:rsidRDefault="00B0192A" w:rsidP="00B0192A">
      <w:pPr>
        <w:pStyle w:val="Texto"/>
        <w:spacing w:after="0" w:line="240" w:lineRule="auto"/>
        <w:ind w:left="708" w:firstLine="0"/>
        <w:rPr>
          <w:rFonts w:ascii="Calibri" w:hAnsi="Calibri" w:cs="Calibri"/>
          <w:sz w:val="22"/>
          <w:szCs w:val="22"/>
          <w:lang w:val="es-MX"/>
        </w:rPr>
      </w:pPr>
      <w:r w:rsidRPr="00B0192A">
        <w:rPr>
          <w:rFonts w:ascii="Calibri" w:hAnsi="Calibri" w:cs="Calibri"/>
          <w:sz w:val="22"/>
          <w:szCs w:val="22"/>
          <w:lang w:val="es-MX"/>
        </w:rPr>
        <w:t>Servicios de Salud de Tamaulipas no realizó operaciones que hubieran requerido alguna calific</w:t>
      </w:r>
      <w:r w:rsidRPr="00B0192A">
        <w:rPr>
          <w:rFonts w:ascii="Calibri" w:hAnsi="Calibri" w:cs="Calibri"/>
          <w:sz w:val="22"/>
          <w:szCs w:val="22"/>
          <w:lang w:val="es-MX"/>
        </w:rPr>
        <w:t>a</w:t>
      </w:r>
      <w:r w:rsidRPr="00B0192A">
        <w:rPr>
          <w:rFonts w:ascii="Calibri" w:hAnsi="Calibri" w:cs="Calibri"/>
          <w:sz w:val="22"/>
          <w:szCs w:val="22"/>
          <w:lang w:val="es-MX"/>
        </w:rPr>
        <w:t>ción crediticia.</w:t>
      </w:r>
    </w:p>
    <w:p w:rsidR="00B0192A" w:rsidRPr="00B0192A" w:rsidRDefault="00B0192A" w:rsidP="00B0192A">
      <w:pPr>
        <w:pStyle w:val="Texto"/>
        <w:spacing w:after="0" w:line="240" w:lineRule="auto"/>
        <w:ind w:left="708"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Proceso de Mejora</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t>Durante la Segunda Sesión de la Junta de Gobierno del ejercicio 2024, se autorizó el Manual de Depuración y Cancelación de Cuentas Contables, con la finalidad de iniciar los procesos de depuración y cancelación de saldos con antigüedad considerable.</w:t>
      </w:r>
    </w:p>
    <w:p w:rsidR="00B0192A" w:rsidRPr="00B0192A" w:rsidRDefault="00B0192A" w:rsidP="00B0192A">
      <w:pPr>
        <w:ind w:left="708"/>
        <w:jc w:val="both"/>
        <w:rPr>
          <w:rFonts w:eastAsia="Times New Roman" w:cs="Calibri"/>
          <w:sz w:val="22"/>
          <w:szCs w:val="22"/>
          <w:lang w:eastAsia="es-ES"/>
        </w:rPr>
      </w:pP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t>Dentro de los procesos de depuración llevados a cabo, se iniciaron procesos de depuración de saldos en Deudores Diversos (Documentos por Cobrar), Otros Deudores (Viáticos), Anticipos a Proveedores, Anticipos a Contratistas, Proveedores por Pagar, Contratistas por Pagar y Acreedores Diversos.</w:t>
      </w: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lastRenderedPageBreak/>
        <w:t xml:space="preserve">Durante el </w:t>
      </w:r>
      <w:r w:rsidR="0070095A">
        <w:rPr>
          <w:rFonts w:eastAsia="Times New Roman" w:cs="Calibri"/>
          <w:sz w:val="22"/>
          <w:szCs w:val="22"/>
          <w:lang w:eastAsia="es-ES"/>
        </w:rPr>
        <w:t>ejercicio</w:t>
      </w:r>
      <w:r w:rsidRPr="00B0192A">
        <w:rPr>
          <w:rFonts w:eastAsia="Times New Roman" w:cs="Calibri"/>
          <w:sz w:val="22"/>
          <w:szCs w:val="22"/>
          <w:lang w:eastAsia="es-ES"/>
        </w:rPr>
        <w:t xml:space="preserve"> 2024 se realizaron depuraciones contables, mismas que fueron presentadas y aprobadas en la Cuarta Sesión de la Junta de Gobierno desarrollada el 5 de diciembre de 2024.</w:t>
      </w:r>
    </w:p>
    <w:p w:rsidR="00B0192A" w:rsidRPr="00B0192A" w:rsidRDefault="00B0192A" w:rsidP="00B0192A">
      <w:pPr>
        <w:ind w:left="708"/>
        <w:jc w:val="both"/>
        <w:rPr>
          <w:rFonts w:eastAsia="Times New Roman" w:cs="Calibri"/>
          <w:sz w:val="22"/>
          <w:szCs w:val="22"/>
          <w:lang w:eastAsia="es-ES"/>
        </w:rPr>
      </w:pP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t>El 8 de marzo de 2024, fue publicado en el Diario Oficial de la Federación, el PRIMER Convenio Modificatorio al Convenio de Coordinación que establece la forma de colaboración en materia de personal, infraestructura, equipamiento, medicamentos y demás insumos asociados para la prestación gratuita de servicios de salud, para las personas sin seguridad social, que celebran la Secretaría de Salud, el Instituto Mexicano del Seguro Social, Servicios de Salud del Instituto Mexicano del Seguro Social para el Bienestar (IMSS-BIENESTAR) y el Estado de Tamaulipas.</w:t>
      </w:r>
    </w:p>
    <w:p w:rsidR="00B0192A" w:rsidRPr="00B0192A" w:rsidRDefault="00B0192A" w:rsidP="00B0192A">
      <w:pPr>
        <w:ind w:left="708"/>
        <w:jc w:val="both"/>
        <w:rPr>
          <w:rFonts w:eastAsia="Times New Roman" w:cs="Calibri"/>
          <w:sz w:val="22"/>
          <w:szCs w:val="22"/>
          <w:lang w:eastAsia="es-ES"/>
        </w:rPr>
      </w:pP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t xml:space="preserve">Como parte de lo establecido en al párrafo anterior, </w:t>
      </w:r>
      <w:r w:rsidR="00466258">
        <w:rPr>
          <w:rFonts w:eastAsia="Times New Roman" w:cs="Calibri"/>
          <w:sz w:val="22"/>
          <w:szCs w:val="22"/>
          <w:lang w:eastAsia="es-ES"/>
        </w:rPr>
        <w:t>durante el ejercicio</w:t>
      </w:r>
      <w:r w:rsidRPr="00B0192A">
        <w:rPr>
          <w:rFonts w:eastAsia="Times New Roman" w:cs="Calibri"/>
          <w:sz w:val="22"/>
          <w:szCs w:val="22"/>
          <w:lang w:eastAsia="es-ES"/>
        </w:rPr>
        <w:t xml:space="preserve"> 2024, de acuerdo a información proporcionada por la Dirección de Recursos Humanos, han sido transferidos 2,650 trabajadores federales al IMSS-BIENESTAR. (La información fue actualizada de acuerdo al </w:t>
      </w:r>
      <w:r w:rsidR="003A56B6">
        <w:rPr>
          <w:rFonts w:eastAsia="Times New Roman" w:cs="Calibri"/>
          <w:sz w:val="22"/>
          <w:szCs w:val="22"/>
          <w:lang w:eastAsia="es-ES"/>
        </w:rPr>
        <w:t>31 de diciembre de</w:t>
      </w:r>
      <w:r w:rsidRPr="00B0192A">
        <w:rPr>
          <w:rFonts w:eastAsia="Times New Roman" w:cs="Calibri"/>
          <w:sz w:val="22"/>
          <w:szCs w:val="22"/>
          <w:lang w:eastAsia="es-ES"/>
        </w:rPr>
        <w:t xml:space="preserve"> 2024).</w:t>
      </w:r>
    </w:p>
    <w:p w:rsidR="00B0192A" w:rsidRPr="00B0192A" w:rsidRDefault="00B0192A" w:rsidP="00B0192A">
      <w:pPr>
        <w:ind w:left="708"/>
        <w:jc w:val="both"/>
        <w:rPr>
          <w:rFonts w:eastAsia="Times New Roman" w:cs="Calibri"/>
          <w:sz w:val="22"/>
          <w:szCs w:val="22"/>
          <w:lang w:eastAsia="es-ES"/>
        </w:rPr>
      </w:pPr>
    </w:p>
    <w:p w:rsidR="00B0192A" w:rsidRPr="00B0192A" w:rsidRDefault="00B0192A" w:rsidP="00B0192A">
      <w:pPr>
        <w:ind w:left="708"/>
        <w:jc w:val="both"/>
        <w:rPr>
          <w:rFonts w:eastAsia="Times New Roman" w:cs="Calibri"/>
          <w:sz w:val="22"/>
          <w:szCs w:val="22"/>
          <w:lang w:eastAsia="es-ES"/>
        </w:rPr>
      </w:pPr>
      <w:r w:rsidRPr="00B0192A">
        <w:rPr>
          <w:rFonts w:eastAsia="Times New Roman" w:cs="Calibri"/>
          <w:sz w:val="22"/>
          <w:szCs w:val="22"/>
          <w:lang w:eastAsia="es-ES"/>
        </w:rPr>
        <w:t xml:space="preserve">Durante el presente ejercicio se </w:t>
      </w:r>
      <w:r w:rsidR="00950A4D" w:rsidRPr="00B0192A">
        <w:rPr>
          <w:rFonts w:eastAsia="Times New Roman" w:cs="Calibri"/>
          <w:sz w:val="22"/>
          <w:szCs w:val="22"/>
          <w:lang w:eastAsia="es-ES"/>
        </w:rPr>
        <w:t>continuó</w:t>
      </w:r>
      <w:r w:rsidRPr="00B0192A">
        <w:rPr>
          <w:rFonts w:eastAsia="Times New Roman" w:cs="Calibri"/>
          <w:sz w:val="22"/>
          <w:szCs w:val="22"/>
          <w:lang w:eastAsia="es-ES"/>
        </w:rPr>
        <w:t xml:space="preserve"> con el desarrollo de Infraestructura en el Hospital General Matamoros y Hospital General Madero.</w:t>
      </w:r>
    </w:p>
    <w:p w:rsidR="00B0192A" w:rsidRPr="00B0192A" w:rsidRDefault="00B0192A" w:rsidP="00B0192A">
      <w:pPr>
        <w:ind w:left="708"/>
        <w:jc w:val="both"/>
        <w:rPr>
          <w:rFonts w:eastAsia="Times New Roman" w:cs="Calibri"/>
          <w:sz w:val="22"/>
          <w:szCs w:val="22"/>
          <w:lang w:eastAsia="es-ES"/>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Información por Segmentos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spacing w:after="0" w:line="240" w:lineRule="auto"/>
        <w:rPr>
          <w:rFonts w:ascii="Calibri" w:hAnsi="Calibri" w:cs="Calibri"/>
          <w:sz w:val="22"/>
          <w:szCs w:val="22"/>
          <w:lang w:val="es-MX"/>
        </w:rPr>
      </w:pPr>
      <w:r w:rsidRPr="00B0192A">
        <w:rPr>
          <w:rFonts w:ascii="Calibri" w:hAnsi="Calibri" w:cs="Calibri"/>
          <w:sz w:val="22"/>
          <w:szCs w:val="22"/>
          <w:lang w:val="es-MX"/>
        </w:rPr>
        <w:tab/>
        <w:t>Servicios de Salud de Tamaulipas no integra de manera segmentada la información financiera.</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Eventos Posteriores al Cierre</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spacing w:after="0" w:line="240" w:lineRule="auto"/>
        <w:rPr>
          <w:rFonts w:ascii="Calibri" w:hAnsi="Calibri" w:cs="Calibri"/>
          <w:sz w:val="22"/>
          <w:szCs w:val="22"/>
          <w:lang w:val="es-MX"/>
        </w:rPr>
      </w:pPr>
      <w:r w:rsidRPr="00B0192A">
        <w:rPr>
          <w:rFonts w:ascii="Calibri" w:hAnsi="Calibri" w:cs="Calibri"/>
          <w:sz w:val="22"/>
          <w:szCs w:val="22"/>
          <w:lang w:val="es-MX"/>
        </w:rPr>
        <w:tab/>
        <w:t>No se tiene conocimiento de algún evento posterior que afecte estos Estados Financieros.</w:t>
      </w:r>
    </w:p>
    <w:p w:rsidR="00B0192A" w:rsidRPr="00B0192A" w:rsidRDefault="00B0192A" w:rsidP="00B0192A">
      <w:pPr>
        <w:pStyle w:val="Texto"/>
        <w:spacing w:after="0" w:line="240" w:lineRule="auto"/>
        <w:ind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lang w:val="es-MX"/>
        </w:rPr>
      </w:pPr>
      <w:r w:rsidRPr="00B0192A">
        <w:rPr>
          <w:rFonts w:ascii="Calibri" w:hAnsi="Calibri" w:cs="Calibri"/>
          <w:sz w:val="22"/>
          <w:szCs w:val="22"/>
          <w:lang w:val="es-MX"/>
        </w:rPr>
        <w:t>Partes Relacionadas</w:t>
      </w:r>
    </w:p>
    <w:p w:rsidR="00B0192A" w:rsidRPr="00B0192A" w:rsidRDefault="00B0192A" w:rsidP="00B0192A">
      <w:pPr>
        <w:pStyle w:val="Texto"/>
        <w:spacing w:after="0" w:line="240" w:lineRule="auto"/>
        <w:rPr>
          <w:rFonts w:ascii="Calibri" w:hAnsi="Calibri" w:cs="Calibri"/>
          <w:sz w:val="22"/>
          <w:szCs w:val="22"/>
          <w:lang w:val="es-MX"/>
        </w:rPr>
      </w:pPr>
    </w:p>
    <w:p w:rsidR="00B0192A" w:rsidRPr="00B0192A" w:rsidRDefault="00B0192A" w:rsidP="00B0192A">
      <w:pPr>
        <w:pStyle w:val="Texto"/>
        <w:spacing w:after="0" w:line="240" w:lineRule="auto"/>
        <w:ind w:left="708" w:firstLine="0"/>
        <w:rPr>
          <w:rFonts w:ascii="Calibri" w:hAnsi="Calibri" w:cs="Calibri"/>
          <w:sz w:val="22"/>
          <w:szCs w:val="22"/>
          <w:lang w:val="es-MX"/>
        </w:rPr>
      </w:pPr>
      <w:r w:rsidRPr="00B0192A">
        <w:rPr>
          <w:rFonts w:ascii="Calibri" w:hAnsi="Calibri" w:cs="Calibri"/>
          <w:sz w:val="22"/>
          <w:szCs w:val="22"/>
          <w:lang w:val="es-MX"/>
        </w:rPr>
        <w:t>Servicios de Salud de Tamaulipas no tiene partes relacionadas que influyan en la toma de dec</w:t>
      </w:r>
      <w:r w:rsidRPr="00B0192A">
        <w:rPr>
          <w:rFonts w:ascii="Calibri" w:hAnsi="Calibri" w:cs="Calibri"/>
          <w:sz w:val="22"/>
          <w:szCs w:val="22"/>
          <w:lang w:val="es-MX"/>
        </w:rPr>
        <w:t>i</w:t>
      </w:r>
      <w:r w:rsidRPr="00B0192A">
        <w:rPr>
          <w:rFonts w:ascii="Calibri" w:hAnsi="Calibri" w:cs="Calibri"/>
          <w:sz w:val="22"/>
          <w:szCs w:val="22"/>
          <w:lang w:val="es-MX"/>
        </w:rPr>
        <w:t>siones financieras y operativas.</w:t>
      </w:r>
    </w:p>
    <w:p w:rsidR="00B0192A" w:rsidRPr="00B0192A" w:rsidRDefault="00B0192A" w:rsidP="00B0192A">
      <w:pPr>
        <w:pStyle w:val="Texto"/>
        <w:spacing w:after="0" w:line="240" w:lineRule="auto"/>
        <w:ind w:left="708" w:firstLine="0"/>
        <w:rPr>
          <w:rFonts w:ascii="Calibri" w:hAnsi="Calibri" w:cs="Calibri"/>
          <w:sz w:val="22"/>
          <w:szCs w:val="22"/>
          <w:lang w:val="es-MX"/>
        </w:rPr>
      </w:pPr>
    </w:p>
    <w:p w:rsidR="00B0192A" w:rsidRPr="00B0192A" w:rsidRDefault="00B0192A" w:rsidP="00B0192A">
      <w:pPr>
        <w:pStyle w:val="Texto"/>
        <w:numPr>
          <w:ilvl w:val="0"/>
          <w:numId w:val="10"/>
        </w:numPr>
        <w:autoSpaceDN/>
        <w:spacing w:after="0" w:line="240" w:lineRule="auto"/>
        <w:rPr>
          <w:rFonts w:ascii="Calibri" w:hAnsi="Calibri" w:cs="Calibri"/>
          <w:sz w:val="22"/>
          <w:szCs w:val="22"/>
        </w:rPr>
      </w:pPr>
      <w:r w:rsidRPr="00B0192A">
        <w:rPr>
          <w:rFonts w:ascii="Calibri" w:hAnsi="Calibri" w:cs="Calibri"/>
          <w:sz w:val="22"/>
          <w:szCs w:val="22"/>
          <w:lang w:val="es-MX"/>
        </w:rPr>
        <w:t>Responsabilidad Sobre la Presentación Razonable de la Información Contable</w:t>
      </w:r>
    </w:p>
    <w:p w:rsidR="00B0192A" w:rsidRPr="00B0192A" w:rsidRDefault="00B0192A" w:rsidP="00B0192A">
      <w:pPr>
        <w:pStyle w:val="Texto"/>
        <w:spacing w:after="0" w:line="240" w:lineRule="auto"/>
        <w:ind w:firstLine="0"/>
        <w:rPr>
          <w:rFonts w:ascii="Calibri" w:hAnsi="Calibri" w:cs="Calibri"/>
          <w:sz w:val="22"/>
          <w:szCs w:val="22"/>
        </w:rPr>
      </w:pPr>
    </w:p>
    <w:p w:rsidR="00B0192A" w:rsidRPr="00B0192A" w:rsidRDefault="00B0192A" w:rsidP="00B0192A">
      <w:pPr>
        <w:pStyle w:val="Texto"/>
        <w:spacing w:after="0" w:line="240" w:lineRule="auto"/>
        <w:ind w:firstLine="0"/>
        <w:rPr>
          <w:rFonts w:ascii="Calibri" w:hAnsi="Calibri" w:cs="Calibri"/>
          <w:sz w:val="22"/>
          <w:szCs w:val="22"/>
        </w:rPr>
      </w:pPr>
    </w:p>
    <w:p w:rsidR="00B0192A" w:rsidRPr="00B0192A" w:rsidRDefault="00B0192A" w:rsidP="00B0192A">
      <w:pPr>
        <w:pStyle w:val="Texto"/>
        <w:spacing w:after="0" w:line="240" w:lineRule="auto"/>
        <w:ind w:firstLine="0"/>
        <w:rPr>
          <w:rFonts w:ascii="Calibri" w:hAnsi="Calibri" w:cs="Calibri"/>
          <w:sz w:val="22"/>
          <w:szCs w:val="22"/>
        </w:rPr>
      </w:pPr>
      <w:r w:rsidRPr="00B0192A">
        <w:rPr>
          <w:rFonts w:ascii="Calibri" w:hAnsi="Calibri" w:cs="Calibri"/>
          <w:sz w:val="22"/>
          <w:szCs w:val="22"/>
        </w:rPr>
        <w:t>Bajo protesta de decir verdad declaramos que los Estados Financieros y sus Notas, son razonablemente correctos y son responsabilidad del emisor</w:t>
      </w:r>
    </w:p>
    <w:p w:rsidR="00B0192A" w:rsidRPr="00750099" w:rsidRDefault="00B0192A" w:rsidP="00B0192A">
      <w:pPr>
        <w:pStyle w:val="Texto"/>
        <w:spacing w:after="0" w:line="240" w:lineRule="auto"/>
        <w:ind w:firstLine="0"/>
        <w:rPr>
          <w:rFonts w:ascii="Encode Sans" w:hAnsi="Encode Sans" w:cs="DIN Pro Regular"/>
          <w:sz w:val="20"/>
        </w:rPr>
      </w:pPr>
    </w:p>
    <w:p w:rsidR="00B0192A" w:rsidRDefault="00B0192A" w:rsidP="00B0192A">
      <w:pPr>
        <w:suppressAutoHyphens w:val="0"/>
        <w:rPr>
          <w:rFonts w:ascii="Encode Sans" w:eastAsia="Times New Roman" w:hAnsi="Encode Sans" w:cs="Arial"/>
          <w:lang w:val="es-ES" w:eastAsia="es-ES"/>
        </w:rPr>
      </w:pPr>
    </w:p>
    <w:p w:rsidR="00B31CA8" w:rsidRDefault="00B31CA8" w:rsidP="00B31CA8">
      <w:pPr>
        <w:pStyle w:val="Texto"/>
        <w:spacing w:after="0" w:line="240" w:lineRule="auto"/>
        <w:ind w:firstLine="0"/>
        <w:rPr>
          <w:rFonts w:ascii="Encode Sans" w:hAnsi="Encode Sans" w:cs="DIN Pro Regular"/>
          <w:b/>
          <w:smallCaps/>
          <w:sz w:val="20"/>
          <w:lang w:val="es-MX"/>
        </w:rPr>
      </w:pPr>
    </w:p>
    <w:p w:rsidR="00B31CA8" w:rsidRDefault="00B31CA8" w:rsidP="00B31CA8">
      <w:pPr>
        <w:pStyle w:val="Texto"/>
        <w:spacing w:after="0" w:line="240" w:lineRule="auto"/>
        <w:ind w:firstLine="0"/>
        <w:rPr>
          <w:rFonts w:ascii="Encode Sans" w:hAnsi="Encode Sans" w:cs="DIN Pro Regular"/>
          <w:b/>
          <w:smallCaps/>
          <w:sz w:val="20"/>
          <w:lang w:val="es-MX"/>
        </w:rPr>
      </w:pPr>
    </w:p>
    <w:p w:rsidR="00B31CA8" w:rsidRPr="00750099" w:rsidRDefault="00B31CA8" w:rsidP="00B31CA8">
      <w:pPr>
        <w:pStyle w:val="Texto"/>
        <w:spacing w:after="0" w:line="240" w:lineRule="auto"/>
        <w:ind w:firstLine="0"/>
        <w:rPr>
          <w:rFonts w:ascii="Encode Sans" w:hAnsi="Encode Sans" w:cs="DIN Pro Regular"/>
          <w:b/>
          <w:smallCaps/>
          <w:sz w:val="20"/>
          <w:lang w:val="es-MX"/>
        </w:rPr>
      </w:pPr>
    </w:p>
    <w:p w:rsidR="00B31CA8" w:rsidRDefault="00B31CA8" w:rsidP="00B31CA8">
      <w:pPr>
        <w:rPr>
          <w:rFonts w:ascii="Encode Sans" w:hAnsi="Encode Sans" w:cs="DIN Pro Regular"/>
          <w:b/>
        </w:rPr>
      </w:pPr>
    </w:p>
    <w:p w:rsidR="00B31CA8" w:rsidRDefault="00B31CA8" w:rsidP="00B31CA8">
      <w:pPr>
        <w:rPr>
          <w:rFonts w:ascii="Encode Sans" w:hAnsi="Encode Sans" w:cs="DIN Pro Regular"/>
          <w:b/>
        </w:rPr>
      </w:pPr>
    </w:p>
    <w:p w:rsidR="00B31CA8" w:rsidRDefault="00B31CA8" w:rsidP="00B31CA8">
      <w:pPr>
        <w:rPr>
          <w:rFonts w:ascii="Encode Sans" w:hAnsi="Encode Sans" w:cs="DIN Pro Regular"/>
          <w:b/>
        </w:rPr>
      </w:pPr>
    </w:p>
    <w:p w:rsidR="00B31CA8" w:rsidRDefault="00B31CA8" w:rsidP="00B31CA8">
      <w:pPr>
        <w:rPr>
          <w:rFonts w:ascii="Encode Sans" w:hAnsi="Encode Sans" w:cs="DIN Pro Regular"/>
          <w:b/>
        </w:rPr>
      </w:pPr>
    </w:p>
    <w:p w:rsidR="00B31CA8" w:rsidRDefault="00B31CA8" w:rsidP="00B31CA8">
      <w:pPr>
        <w:rPr>
          <w:rFonts w:ascii="Encode Sans" w:hAnsi="Encode Sans" w:cs="DIN Pro Regular"/>
          <w:b/>
        </w:rPr>
      </w:pPr>
    </w:p>
    <w:p w:rsidR="00BC3195" w:rsidRDefault="00BC3195">
      <w:pPr>
        <w:suppressAutoHyphens w:val="0"/>
        <w:rPr>
          <w:rFonts w:ascii="Encode Sans" w:hAnsi="Encode Sans" w:cs="DIN Pro Regular"/>
          <w:b/>
        </w:rPr>
      </w:pPr>
      <w:r>
        <w:rPr>
          <w:rFonts w:ascii="Encode Sans" w:hAnsi="Encode Sans" w:cs="DIN Pro Regular"/>
          <w:b/>
        </w:rPr>
        <w:br w:type="page"/>
      </w:r>
    </w:p>
    <w:p w:rsidR="00B31CA8" w:rsidRDefault="00B31CA8" w:rsidP="00B31CA8">
      <w:pPr>
        <w:rPr>
          <w:rFonts w:ascii="Encode Sans" w:hAnsi="Encode Sans" w:cs="DIN Pro Regular"/>
          <w:b/>
        </w:rPr>
      </w:pPr>
    </w:p>
    <w:p w:rsidR="00B31CA8" w:rsidRPr="00750099" w:rsidRDefault="00B31CA8" w:rsidP="00B31CA8">
      <w:pPr>
        <w:rPr>
          <w:rFonts w:ascii="Encode Sans" w:hAnsi="Encode Sans" w:cs="DIN Pro Regular"/>
          <w:b/>
        </w:rPr>
      </w:pPr>
    </w:p>
    <w:p w:rsidR="000C6D0E" w:rsidRPr="000C6D0E" w:rsidRDefault="000C6D0E" w:rsidP="00B31CA8">
      <w:pPr>
        <w:suppressAutoHyphens w:val="0"/>
        <w:jc w:val="center"/>
        <w:rPr>
          <w:rFonts w:cs="Calibri"/>
          <w:sz w:val="22"/>
          <w:szCs w:val="22"/>
        </w:rPr>
      </w:pPr>
      <w:r w:rsidRPr="000C6D0E">
        <w:rPr>
          <w:rFonts w:cs="Calibri"/>
          <w:b/>
          <w:sz w:val="22"/>
          <w:szCs w:val="22"/>
        </w:rPr>
        <w:t>b) NOTAS DE DESGLOSE</w:t>
      </w:r>
    </w:p>
    <w:p w:rsidR="000C6D0E" w:rsidRPr="000C6D0E" w:rsidRDefault="000C6D0E" w:rsidP="000C6D0E">
      <w:pPr>
        <w:pStyle w:val="Texto"/>
        <w:spacing w:after="0" w:line="240" w:lineRule="auto"/>
        <w:rPr>
          <w:rFonts w:ascii="Calibri" w:hAnsi="Calibri" w:cs="Calibri"/>
          <w:sz w:val="22"/>
          <w:szCs w:val="22"/>
          <w:lang w:val="es-MX"/>
        </w:rPr>
      </w:pPr>
    </w:p>
    <w:p w:rsidR="000C6D0E" w:rsidRPr="000C6D0E" w:rsidRDefault="000C6D0E" w:rsidP="000C6D0E">
      <w:pPr>
        <w:pStyle w:val="INCISO"/>
        <w:spacing w:after="0" w:line="240" w:lineRule="auto"/>
        <w:ind w:left="360"/>
        <w:rPr>
          <w:rFonts w:ascii="Calibri" w:hAnsi="Calibri" w:cs="Calibri"/>
          <w:b/>
          <w:smallCaps/>
          <w:sz w:val="22"/>
          <w:szCs w:val="22"/>
        </w:rPr>
      </w:pPr>
      <w:r w:rsidRPr="000C6D0E">
        <w:rPr>
          <w:rFonts w:ascii="Calibri" w:hAnsi="Calibri" w:cs="Calibri"/>
          <w:b/>
          <w:smallCaps/>
          <w:sz w:val="22"/>
          <w:szCs w:val="22"/>
        </w:rPr>
        <w:t>I)</w:t>
      </w:r>
      <w:r w:rsidRPr="000C6D0E">
        <w:rPr>
          <w:rFonts w:ascii="Calibri" w:hAnsi="Calibri" w:cs="Calibri"/>
          <w:b/>
          <w:smallCaps/>
          <w:sz w:val="22"/>
          <w:szCs w:val="22"/>
        </w:rPr>
        <w:tab/>
        <w:t>Notas al Estado de Actividades</w:t>
      </w:r>
    </w:p>
    <w:p w:rsidR="000C6D0E" w:rsidRPr="000C6D0E" w:rsidRDefault="000C6D0E" w:rsidP="000C6D0E">
      <w:pPr>
        <w:pStyle w:val="ROMANOS"/>
        <w:spacing w:after="0" w:line="240" w:lineRule="auto"/>
        <w:ind w:left="0" w:firstLine="0"/>
        <w:rPr>
          <w:rFonts w:ascii="Calibri" w:hAnsi="Calibri" w:cs="Calibri"/>
          <w:sz w:val="22"/>
          <w:szCs w:val="22"/>
          <w:lang w:val="es-MX"/>
        </w:rPr>
      </w:pPr>
    </w:p>
    <w:p w:rsidR="000C6D0E" w:rsidRPr="000C6D0E" w:rsidRDefault="000C6D0E" w:rsidP="000C6D0E">
      <w:pPr>
        <w:pStyle w:val="ROMANOS"/>
        <w:spacing w:after="0" w:line="240" w:lineRule="auto"/>
        <w:ind w:left="1140"/>
        <w:rPr>
          <w:rFonts w:ascii="Calibri" w:hAnsi="Calibri" w:cs="Calibri"/>
          <w:b/>
          <w:sz w:val="22"/>
          <w:szCs w:val="22"/>
          <w:lang w:val="es-MX"/>
        </w:rPr>
      </w:pPr>
      <w:r w:rsidRPr="000C6D0E">
        <w:rPr>
          <w:rFonts w:ascii="Calibri" w:hAnsi="Calibri" w:cs="Calibri"/>
          <w:b/>
          <w:sz w:val="22"/>
          <w:szCs w:val="22"/>
          <w:lang w:val="es-MX"/>
        </w:rPr>
        <w:t>Ingresos y Otros Beneficios</w:t>
      </w:r>
    </w:p>
    <w:p w:rsidR="000C6D0E" w:rsidRPr="000C6D0E" w:rsidRDefault="000C6D0E" w:rsidP="000C6D0E">
      <w:pPr>
        <w:pStyle w:val="ROMANOS"/>
        <w:spacing w:after="0" w:line="240" w:lineRule="auto"/>
        <w:ind w:left="1140"/>
        <w:rPr>
          <w:rFonts w:ascii="Calibri" w:hAnsi="Calibri" w:cs="Calibri"/>
          <w:b/>
          <w:sz w:val="22"/>
          <w:szCs w:val="22"/>
          <w:lang w:val="es-MX"/>
        </w:rPr>
      </w:pPr>
    </w:p>
    <w:p w:rsidR="000C6D0E" w:rsidRPr="000C6D0E" w:rsidRDefault="000C6D0E" w:rsidP="000C6D0E">
      <w:pPr>
        <w:ind w:left="708"/>
        <w:jc w:val="both"/>
        <w:rPr>
          <w:rFonts w:cs="Calibri"/>
          <w:sz w:val="22"/>
          <w:szCs w:val="22"/>
          <w:lang w:val="es-ES"/>
        </w:rPr>
      </w:pPr>
      <w:r w:rsidRPr="000C6D0E">
        <w:rPr>
          <w:rFonts w:cs="Calibri"/>
          <w:sz w:val="22"/>
          <w:szCs w:val="22"/>
          <w:lang w:val="es-ES"/>
        </w:rPr>
        <w:t xml:space="preserve">Los ingresos de Servicios de Salud de Tamaulipas al </w:t>
      </w:r>
      <w:r w:rsidR="004B564C">
        <w:rPr>
          <w:rFonts w:cs="Calibri"/>
          <w:sz w:val="22"/>
          <w:szCs w:val="22"/>
          <w:lang w:val="es-ES"/>
        </w:rPr>
        <w:t>31 de diciembre de</w:t>
      </w:r>
      <w:r w:rsidRPr="000C6D0E">
        <w:rPr>
          <w:rFonts w:cs="Calibri"/>
          <w:sz w:val="22"/>
          <w:szCs w:val="22"/>
          <w:lang w:val="es-ES"/>
        </w:rPr>
        <w:t xml:space="preserve"> 2024, se integran de la siguiente manera:</w:t>
      </w:r>
    </w:p>
    <w:p w:rsidR="000C6D0E" w:rsidRPr="000C6D0E" w:rsidRDefault="000C6D0E" w:rsidP="000C6D0E">
      <w:pPr>
        <w:ind w:left="708"/>
        <w:jc w:val="both"/>
        <w:rPr>
          <w:rFonts w:cs="Calibri"/>
          <w:sz w:val="22"/>
          <w:szCs w:val="22"/>
          <w:lang w:val="es-ES"/>
        </w:rPr>
      </w:pPr>
    </w:p>
    <w:tbl>
      <w:tblPr>
        <w:tblW w:w="7629" w:type="dxa"/>
        <w:jc w:val="center"/>
        <w:tblInd w:w="2318"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6113"/>
        <w:gridCol w:w="1516"/>
      </w:tblGrid>
      <w:tr w:rsidR="000C6D0E" w:rsidRPr="000C6D0E" w:rsidTr="00BC3195">
        <w:trPr>
          <w:trHeight w:val="192"/>
          <w:jc w:val="center"/>
        </w:trPr>
        <w:tc>
          <w:tcPr>
            <w:tcW w:w="6113" w:type="dxa"/>
            <w:shd w:val="clear" w:color="auto" w:fill="AB0033"/>
          </w:tcPr>
          <w:p w:rsidR="000C6D0E" w:rsidRPr="000C6D0E" w:rsidRDefault="000C6D0E" w:rsidP="00BC3195">
            <w:pPr>
              <w:tabs>
                <w:tab w:val="center" w:pos="4419"/>
                <w:tab w:val="right" w:pos="8838"/>
              </w:tabs>
              <w:jc w:val="center"/>
              <w:rPr>
                <w:rFonts w:eastAsia="Times New Roman" w:cs="Calibri"/>
                <w:color w:val="FFFFFF"/>
                <w:sz w:val="22"/>
                <w:szCs w:val="22"/>
                <w:lang w:val="es-ES"/>
              </w:rPr>
            </w:pPr>
            <w:r w:rsidRPr="000C6D0E">
              <w:rPr>
                <w:rFonts w:eastAsia="Times New Roman" w:cs="Calibri"/>
                <w:color w:val="FFFFFF"/>
                <w:sz w:val="22"/>
                <w:szCs w:val="22"/>
                <w:lang w:val="es-ES"/>
              </w:rPr>
              <w:t>Concepto</w:t>
            </w:r>
          </w:p>
        </w:tc>
        <w:tc>
          <w:tcPr>
            <w:tcW w:w="1516"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Importe</w:t>
            </w:r>
          </w:p>
        </w:tc>
      </w:tr>
      <w:tr w:rsidR="000C6D0E" w:rsidRPr="000C6D0E" w:rsidTr="00BC3195">
        <w:trPr>
          <w:jc w:val="center"/>
        </w:trPr>
        <w:tc>
          <w:tcPr>
            <w:tcW w:w="6113"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Productos</w:t>
            </w:r>
          </w:p>
        </w:tc>
        <w:tc>
          <w:tcPr>
            <w:tcW w:w="1516"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3’756,032</w:t>
            </w:r>
          </w:p>
        </w:tc>
      </w:tr>
      <w:tr w:rsidR="000C6D0E" w:rsidRPr="000C6D0E" w:rsidTr="00BC3195">
        <w:trPr>
          <w:jc w:val="center"/>
        </w:trPr>
        <w:tc>
          <w:tcPr>
            <w:tcW w:w="6113"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 xml:space="preserve">Aprovechamientos </w:t>
            </w:r>
          </w:p>
        </w:tc>
        <w:tc>
          <w:tcPr>
            <w:tcW w:w="1516"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958,089</w:t>
            </w:r>
          </w:p>
        </w:tc>
      </w:tr>
      <w:tr w:rsidR="000C6D0E" w:rsidRPr="000C6D0E" w:rsidTr="00BC3195">
        <w:trPr>
          <w:jc w:val="center"/>
        </w:trPr>
        <w:tc>
          <w:tcPr>
            <w:tcW w:w="6113"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Ingresos por Venta de Bienes y Servicios de Organismos Descentralizados</w:t>
            </w:r>
          </w:p>
        </w:tc>
        <w:tc>
          <w:tcPr>
            <w:tcW w:w="1516"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552’963,655</w:t>
            </w:r>
          </w:p>
        </w:tc>
      </w:tr>
      <w:tr w:rsidR="000C6D0E" w:rsidRPr="000C6D0E" w:rsidTr="00BC3195">
        <w:trPr>
          <w:jc w:val="center"/>
        </w:trPr>
        <w:tc>
          <w:tcPr>
            <w:tcW w:w="6113"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Transferencias Internas y Asignaciones al Sector Público</w:t>
            </w:r>
          </w:p>
        </w:tc>
        <w:tc>
          <w:tcPr>
            <w:tcW w:w="1516"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9’233’077,137</w:t>
            </w:r>
          </w:p>
        </w:tc>
      </w:tr>
      <w:tr w:rsidR="000C6D0E" w:rsidRPr="000C6D0E" w:rsidTr="00BC3195">
        <w:trPr>
          <w:jc w:val="center"/>
        </w:trPr>
        <w:tc>
          <w:tcPr>
            <w:tcW w:w="6113"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Otros Ingresos y Beneficios</w:t>
            </w:r>
          </w:p>
        </w:tc>
        <w:tc>
          <w:tcPr>
            <w:tcW w:w="1516"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4’933,435</w:t>
            </w:r>
          </w:p>
        </w:tc>
      </w:tr>
      <w:tr w:rsidR="000C6D0E" w:rsidRPr="000C6D0E" w:rsidTr="00BC3195">
        <w:trPr>
          <w:trHeight w:val="105"/>
          <w:jc w:val="center"/>
        </w:trPr>
        <w:tc>
          <w:tcPr>
            <w:tcW w:w="6113" w:type="dxa"/>
            <w:shd w:val="clear" w:color="auto" w:fill="auto"/>
          </w:tcPr>
          <w:p w:rsidR="000C6D0E" w:rsidRPr="000C6D0E" w:rsidRDefault="000C6D0E" w:rsidP="00BC3195">
            <w:pPr>
              <w:tabs>
                <w:tab w:val="center" w:pos="4419"/>
                <w:tab w:val="right" w:pos="8838"/>
              </w:tabs>
              <w:jc w:val="right"/>
              <w:rPr>
                <w:rFonts w:cs="Calibri"/>
                <w:b/>
                <w:bCs/>
                <w:color w:val="000000"/>
                <w:sz w:val="22"/>
                <w:szCs w:val="22"/>
                <w:lang w:val="es-ES"/>
              </w:rPr>
            </w:pPr>
            <w:r w:rsidRPr="000C6D0E">
              <w:rPr>
                <w:rFonts w:cs="Calibri"/>
                <w:b/>
                <w:bCs/>
                <w:color w:val="000000"/>
                <w:sz w:val="22"/>
                <w:szCs w:val="22"/>
                <w:lang w:val="es-ES"/>
              </w:rPr>
              <w:t>TOTAL</w:t>
            </w:r>
          </w:p>
        </w:tc>
        <w:tc>
          <w:tcPr>
            <w:tcW w:w="1516" w:type="dxa"/>
            <w:shd w:val="clear" w:color="auto" w:fill="auto"/>
          </w:tcPr>
          <w:p w:rsidR="000C6D0E" w:rsidRPr="000C6D0E" w:rsidRDefault="000C6D0E" w:rsidP="00BC3195">
            <w:pPr>
              <w:tabs>
                <w:tab w:val="center" w:pos="4419"/>
                <w:tab w:val="right" w:pos="8838"/>
              </w:tabs>
              <w:jc w:val="right"/>
              <w:rPr>
                <w:rFonts w:cs="Calibri"/>
                <w:b/>
                <w:color w:val="000000"/>
                <w:sz w:val="22"/>
                <w:szCs w:val="22"/>
                <w:highlight w:val="yellow"/>
                <w:lang w:val="es-ES"/>
              </w:rPr>
            </w:pPr>
            <w:r w:rsidRPr="000C6D0E">
              <w:rPr>
                <w:rFonts w:cs="Calibri"/>
                <w:b/>
                <w:color w:val="000000"/>
                <w:sz w:val="22"/>
                <w:szCs w:val="22"/>
                <w:lang w:val="es-ES"/>
              </w:rPr>
              <w:t>9’795’688,348</w:t>
            </w:r>
          </w:p>
        </w:tc>
      </w:tr>
    </w:tbl>
    <w:p w:rsidR="000C6D0E" w:rsidRPr="000C6D0E" w:rsidRDefault="000C6D0E" w:rsidP="000C6D0E">
      <w:pPr>
        <w:ind w:left="567"/>
        <w:jc w:val="right"/>
        <w:rPr>
          <w:rFonts w:cs="Calibri"/>
          <w:sz w:val="22"/>
          <w:szCs w:val="22"/>
          <w:lang w:val="es-ES"/>
        </w:rPr>
      </w:pPr>
      <w:r w:rsidRPr="000C6D0E">
        <w:rPr>
          <w:rFonts w:cs="Calibri"/>
          <w:sz w:val="22"/>
          <w:szCs w:val="22"/>
          <w:lang w:val="es-ES"/>
        </w:rPr>
        <w:t>*Cifras redondeadas para efecto de presentación</w:t>
      </w:r>
    </w:p>
    <w:p w:rsidR="000C6D0E" w:rsidRPr="000C6D0E" w:rsidRDefault="000C6D0E" w:rsidP="000C6D0E">
      <w:pPr>
        <w:ind w:left="567"/>
        <w:jc w:val="right"/>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 xml:space="preserve">La integración de los ingresos devengados del </w:t>
      </w:r>
      <w:r w:rsidR="008D3BF3">
        <w:rPr>
          <w:rFonts w:cs="Calibri"/>
          <w:sz w:val="22"/>
          <w:szCs w:val="22"/>
          <w:lang w:val="es-ES"/>
        </w:rPr>
        <w:t xml:space="preserve">ejercicio </w:t>
      </w:r>
      <w:r w:rsidRPr="000C6D0E">
        <w:rPr>
          <w:rFonts w:cs="Calibri"/>
          <w:sz w:val="22"/>
          <w:szCs w:val="22"/>
          <w:lang w:val="es-ES"/>
        </w:rPr>
        <w:t>2024, es del orden de los $ 9’795’688,348 que se presentan en el anexo correspondiente al Estado de Actividades.</w:t>
      </w:r>
    </w:p>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 xml:space="preserve">El recurso de Transferencias Internas y Asignaciones del Sector Público ministrado por el Gobierno del Estado, fue de $ </w:t>
      </w:r>
      <w:r w:rsidRPr="000C6D0E">
        <w:rPr>
          <w:rFonts w:cs="Calibri"/>
          <w:sz w:val="22"/>
          <w:szCs w:val="22"/>
        </w:rPr>
        <w:t>2’981’033,674</w:t>
      </w:r>
      <w:r w:rsidRPr="000C6D0E">
        <w:rPr>
          <w:rFonts w:cs="Calibri"/>
          <w:sz w:val="22"/>
          <w:szCs w:val="22"/>
          <w:lang w:val="es-ES"/>
        </w:rPr>
        <w:t>, representando a partir del tercer trimestre de 2024 como la primer fuente de recursos del Organismo, con el 30% de los ingresos totales.</w:t>
      </w:r>
    </w:p>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Los ingresos derivados del Fondo de Aportaciones para los Servicios de Salud representan el 24% de los ingresos totales del Organismo. El presupuesto autorizado calendarizado fue publicado el 15 de diciembre de 2023 en el Diario Oficial de la Federación por un monto de $ 4’229’762,079 el cual sufrió reducciones por la transferencia del recurso al IMSS BIENESTAR.</w:t>
      </w:r>
    </w:p>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Durante el mes de enero 2024, fue suscrito el Acuerdo de Coordinación en Materia de Transferencia de Recursos Presupuestarios con Carácter de Subsidios para Garantizar la Prestación Gratuita de Servicios de Salud, Medicamentos y demás Insumos Asociados para las Personas sin Seguridad Social celebrado con el IMSS BIENESTAR.</w:t>
      </w:r>
    </w:p>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Los ingresos por Venta de Bienes y Servicios, realizados por la recaudación de Servicios Médicos otorgados a otros Organismos Públicos, ascendieron a un monto de $ 552’963,655.</w:t>
      </w:r>
    </w:p>
    <w:p w:rsidR="000C6D0E" w:rsidRPr="000C6D0E" w:rsidRDefault="000C6D0E" w:rsidP="000C6D0E">
      <w:pPr>
        <w:ind w:left="567"/>
        <w:jc w:val="both"/>
        <w:rPr>
          <w:rFonts w:cs="Calibri"/>
          <w:color w:val="000000"/>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En la cuenta Otros Ingresos se integra por intereses generados en las cuentas bancarias, reintegros y depósitos de cifras no considerables, así como disminuciones en el Almacén de Materiales y Suministros para Consumo.</w:t>
      </w:r>
    </w:p>
    <w:p w:rsidR="000C6D0E" w:rsidRPr="000C6D0E" w:rsidRDefault="000C6D0E" w:rsidP="000C6D0E">
      <w:pPr>
        <w:jc w:val="both"/>
        <w:rPr>
          <w:rFonts w:cs="Calibri"/>
          <w:sz w:val="22"/>
          <w:szCs w:val="22"/>
          <w:lang w:val="es-ES"/>
        </w:rPr>
      </w:pPr>
    </w:p>
    <w:p w:rsidR="004B564C" w:rsidRDefault="004B564C" w:rsidP="000C6D0E">
      <w:pPr>
        <w:pStyle w:val="ROMANOS"/>
        <w:spacing w:after="0" w:line="240" w:lineRule="auto"/>
        <w:ind w:left="1140"/>
        <w:rPr>
          <w:rFonts w:ascii="Calibri" w:hAnsi="Calibri" w:cs="Calibri"/>
          <w:b/>
          <w:sz w:val="22"/>
          <w:szCs w:val="22"/>
          <w:lang w:val="es-MX"/>
        </w:rPr>
      </w:pPr>
    </w:p>
    <w:p w:rsidR="004B564C" w:rsidRDefault="004B564C" w:rsidP="000C6D0E">
      <w:pPr>
        <w:pStyle w:val="ROMANOS"/>
        <w:spacing w:after="0" w:line="240" w:lineRule="auto"/>
        <w:ind w:left="1140"/>
        <w:rPr>
          <w:rFonts w:ascii="Calibri" w:hAnsi="Calibri" w:cs="Calibri"/>
          <w:b/>
          <w:sz w:val="22"/>
          <w:szCs w:val="22"/>
          <w:lang w:val="es-MX"/>
        </w:rPr>
      </w:pPr>
    </w:p>
    <w:p w:rsidR="004B564C" w:rsidRDefault="004B564C" w:rsidP="000C6D0E">
      <w:pPr>
        <w:pStyle w:val="ROMANOS"/>
        <w:spacing w:after="0" w:line="240" w:lineRule="auto"/>
        <w:ind w:left="1140"/>
        <w:rPr>
          <w:rFonts w:ascii="Calibri" w:hAnsi="Calibri" w:cs="Calibri"/>
          <w:b/>
          <w:sz w:val="22"/>
          <w:szCs w:val="22"/>
          <w:lang w:val="es-MX"/>
        </w:rPr>
      </w:pPr>
    </w:p>
    <w:p w:rsidR="004B564C" w:rsidRDefault="004B564C" w:rsidP="000C6D0E">
      <w:pPr>
        <w:pStyle w:val="ROMANOS"/>
        <w:spacing w:after="0" w:line="240" w:lineRule="auto"/>
        <w:ind w:left="1140"/>
        <w:rPr>
          <w:rFonts w:ascii="Calibri" w:hAnsi="Calibri" w:cs="Calibri"/>
          <w:b/>
          <w:sz w:val="22"/>
          <w:szCs w:val="22"/>
          <w:lang w:val="es-MX"/>
        </w:rPr>
      </w:pPr>
    </w:p>
    <w:p w:rsidR="000C6D0E" w:rsidRPr="000C6D0E" w:rsidRDefault="000C6D0E" w:rsidP="000C6D0E">
      <w:pPr>
        <w:pStyle w:val="ROMANOS"/>
        <w:spacing w:after="0" w:line="240" w:lineRule="auto"/>
        <w:ind w:left="1140"/>
        <w:rPr>
          <w:rFonts w:ascii="Calibri" w:hAnsi="Calibri" w:cs="Calibri"/>
          <w:sz w:val="22"/>
          <w:szCs w:val="22"/>
          <w:lang w:val="es-MX"/>
        </w:rPr>
      </w:pPr>
      <w:r w:rsidRPr="000C6D0E">
        <w:rPr>
          <w:rFonts w:ascii="Calibri" w:hAnsi="Calibri" w:cs="Calibri"/>
          <w:b/>
          <w:sz w:val="22"/>
          <w:szCs w:val="22"/>
          <w:lang w:val="es-MX"/>
        </w:rPr>
        <w:t>Gastos y Otras Pérdidas</w:t>
      </w:r>
      <w:r w:rsidRPr="000C6D0E">
        <w:rPr>
          <w:rFonts w:ascii="Calibri" w:hAnsi="Calibri" w:cs="Calibri"/>
          <w:sz w:val="22"/>
          <w:szCs w:val="22"/>
          <w:lang w:val="es-MX"/>
        </w:rPr>
        <w:t>:</w:t>
      </w:r>
    </w:p>
    <w:p w:rsidR="000C6D0E" w:rsidRPr="000C6D0E" w:rsidRDefault="000C6D0E" w:rsidP="000C6D0E">
      <w:pPr>
        <w:pStyle w:val="ROMANOS"/>
        <w:spacing w:after="0" w:line="240" w:lineRule="auto"/>
        <w:ind w:left="1140"/>
        <w:rPr>
          <w:rFonts w:ascii="Calibri" w:hAnsi="Calibri" w:cs="Calibri"/>
          <w:sz w:val="22"/>
          <w:szCs w:val="22"/>
          <w:lang w:val="es-MX"/>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 xml:space="preserve">Los gastos efectuados por Servicios de Salud de Tamaulipas al </w:t>
      </w:r>
      <w:r w:rsidR="004B564C">
        <w:rPr>
          <w:rFonts w:cs="Calibri"/>
          <w:sz w:val="22"/>
          <w:szCs w:val="22"/>
          <w:lang w:val="es-ES"/>
        </w:rPr>
        <w:t>31 de diciembre de</w:t>
      </w:r>
      <w:r w:rsidR="004B564C" w:rsidRPr="000C6D0E">
        <w:rPr>
          <w:rFonts w:cs="Calibri"/>
          <w:sz w:val="22"/>
          <w:szCs w:val="22"/>
          <w:lang w:val="es-ES"/>
        </w:rPr>
        <w:t xml:space="preserve"> </w:t>
      </w:r>
      <w:r w:rsidRPr="000C6D0E">
        <w:rPr>
          <w:rFonts w:cs="Calibri"/>
          <w:sz w:val="22"/>
          <w:szCs w:val="22"/>
          <w:lang w:val="es-ES"/>
        </w:rPr>
        <w:t>2024, se presentan a continuación:</w:t>
      </w:r>
    </w:p>
    <w:p w:rsidR="000C6D0E" w:rsidRPr="000C6D0E" w:rsidRDefault="000C6D0E" w:rsidP="000C6D0E">
      <w:pPr>
        <w:ind w:left="708"/>
        <w:jc w:val="both"/>
        <w:rPr>
          <w:rFonts w:cs="Calibri"/>
          <w:sz w:val="22"/>
          <w:szCs w:val="22"/>
          <w:lang w:val="es-ES"/>
        </w:rPr>
      </w:pPr>
    </w:p>
    <w:tbl>
      <w:tblPr>
        <w:tblW w:w="0" w:type="auto"/>
        <w:jc w:val="center"/>
        <w:tblInd w:w="1418"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395"/>
        <w:gridCol w:w="2132"/>
      </w:tblGrid>
      <w:tr w:rsidR="000C6D0E" w:rsidRPr="000C6D0E" w:rsidTr="00BC3195">
        <w:trPr>
          <w:tblHeader/>
          <w:jc w:val="center"/>
        </w:trPr>
        <w:tc>
          <w:tcPr>
            <w:tcW w:w="4395" w:type="dxa"/>
            <w:shd w:val="clear" w:color="auto" w:fill="AB0033"/>
          </w:tcPr>
          <w:p w:rsidR="000C6D0E" w:rsidRPr="000C6D0E" w:rsidRDefault="000C6D0E" w:rsidP="00BC3195">
            <w:pPr>
              <w:tabs>
                <w:tab w:val="center" w:pos="4419"/>
                <w:tab w:val="right" w:pos="8838"/>
              </w:tabs>
              <w:jc w:val="center"/>
              <w:rPr>
                <w:rFonts w:eastAsia="Times New Roman" w:cs="Calibri"/>
                <w:color w:val="FFFFFF"/>
                <w:sz w:val="22"/>
                <w:szCs w:val="22"/>
                <w:lang w:val="es-ES"/>
              </w:rPr>
            </w:pPr>
            <w:r w:rsidRPr="000C6D0E">
              <w:rPr>
                <w:rFonts w:eastAsia="Times New Roman" w:cs="Calibri"/>
                <w:color w:val="FFFFFF"/>
                <w:sz w:val="22"/>
                <w:szCs w:val="22"/>
                <w:lang w:val="es-ES"/>
              </w:rPr>
              <w:t>Concepto</w:t>
            </w:r>
          </w:p>
        </w:tc>
        <w:tc>
          <w:tcPr>
            <w:tcW w:w="2132"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Importe</w:t>
            </w:r>
          </w:p>
        </w:tc>
      </w:tr>
      <w:tr w:rsidR="000C6D0E" w:rsidRPr="000C6D0E" w:rsidTr="00BC3195">
        <w:trPr>
          <w:trHeight w:val="127"/>
          <w:jc w:val="center"/>
        </w:trPr>
        <w:tc>
          <w:tcPr>
            <w:tcW w:w="4395"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Servicios Personales</w:t>
            </w:r>
          </w:p>
        </w:tc>
        <w:tc>
          <w:tcPr>
            <w:tcW w:w="2132" w:type="dxa"/>
            <w:shd w:val="clear" w:color="auto" w:fill="auto"/>
          </w:tcPr>
          <w:p w:rsidR="000C6D0E" w:rsidRPr="000C6D0E" w:rsidRDefault="000C6D0E" w:rsidP="00BC3195">
            <w:pPr>
              <w:tabs>
                <w:tab w:val="center" w:pos="4419"/>
                <w:tab w:val="right" w:pos="8838"/>
              </w:tabs>
              <w:jc w:val="right"/>
              <w:rPr>
                <w:rFonts w:cs="Calibri"/>
                <w:color w:val="000000"/>
                <w:sz w:val="22"/>
                <w:szCs w:val="22"/>
                <w:highlight w:val="yellow"/>
                <w:lang w:val="es-ES"/>
              </w:rPr>
            </w:pPr>
            <w:r w:rsidRPr="000C6D0E">
              <w:rPr>
                <w:rFonts w:cs="Calibri"/>
                <w:color w:val="000000"/>
                <w:sz w:val="22"/>
                <w:szCs w:val="22"/>
                <w:lang w:val="es-ES"/>
              </w:rPr>
              <w:t>6’240’742,387</w:t>
            </w:r>
          </w:p>
        </w:tc>
      </w:tr>
      <w:tr w:rsidR="000C6D0E" w:rsidRPr="000C6D0E" w:rsidTr="00BC3195">
        <w:trPr>
          <w:trHeight w:val="28"/>
          <w:jc w:val="center"/>
        </w:trPr>
        <w:tc>
          <w:tcPr>
            <w:tcW w:w="4395"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Materiales y Suministros</w:t>
            </w:r>
          </w:p>
        </w:tc>
        <w:tc>
          <w:tcPr>
            <w:tcW w:w="2132" w:type="dxa"/>
            <w:shd w:val="clear" w:color="auto" w:fill="auto"/>
          </w:tcPr>
          <w:p w:rsidR="000C6D0E" w:rsidRPr="000C6D0E" w:rsidRDefault="000C6D0E" w:rsidP="00BC3195">
            <w:pPr>
              <w:tabs>
                <w:tab w:val="center" w:pos="4419"/>
                <w:tab w:val="right" w:pos="8838"/>
              </w:tabs>
              <w:jc w:val="right"/>
              <w:rPr>
                <w:rFonts w:cs="Calibri"/>
                <w:color w:val="000000"/>
                <w:sz w:val="22"/>
                <w:szCs w:val="22"/>
                <w:highlight w:val="yellow"/>
                <w:lang w:val="es-ES"/>
              </w:rPr>
            </w:pPr>
            <w:r w:rsidRPr="000C6D0E">
              <w:rPr>
                <w:rFonts w:cs="Calibri"/>
                <w:color w:val="000000"/>
                <w:sz w:val="22"/>
                <w:szCs w:val="22"/>
                <w:lang w:val="es-ES"/>
              </w:rPr>
              <w:t>635’067,423</w:t>
            </w:r>
          </w:p>
        </w:tc>
      </w:tr>
      <w:tr w:rsidR="000C6D0E" w:rsidRPr="000C6D0E" w:rsidTr="00BC3195">
        <w:trPr>
          <w:jc w:val="center"/>
        </w:trPr>
        <w:tc>
          <w:tcPr>
            <w:tcW w:w="4395"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Servicios Generales</w:t>
            </w:r>
          </w:p>
        </w:tc>
        <w:tc>
          <w:tcPr>
            <w:tcW w:w="2132" w:type="dxa"/>
            <w:shd w:val="clear" w:color="auto" w:fill="auto"/>
          </w:tcPr>
          <w:p w:rsidR="000C6D0E" w:rsidRPr="000C6D0E" w:rsidRDefault="000C6D0E" w:rsidP="00BC3195">
            <w:pPr>
              <w:tabs>
                <w:tab w:val="center" w:pos="4419"/>
                <w:tab w:val="right" w:pos="8838"/>
              </w:tabs>
              <w:jc w:val="right"/>
              <w:rPr>
                <w:rFonts w:cs="Calibri"/>
                <w:color w:val="000000"/>
                <w:sz w:val="22"/>
                <w:szCs w:val="22"/>
                <w:highlight w:val="yellow"/>
                <w:lang w:val="es-ES"/>
              </w:rPr>
            </w:pPr>
            <w:r w:rsidRPr="000C6D0E">
              <w:rPr>
                <w:rFonts w:cs="Calibri"/>
                <w:color w:val="000000"/>
                <w:sz w:val="22"/>
                <w:szCs w:val="22"/>
                <w:lang w:val="es-ES"/>
              </w:rPr>
              <w:t>1’254’027,341</w:t>
            </w:r>
          </w:p>
        </w:tc>
      </w:tr>
      <w:tr w:rsidR="000C6D0E" w:rsidRPr="000C6D0E" w:rsidTr="00BC3195">
        <w:trPr>
          <w:jc w:val="center"/>
        </w:trPr>
        <w:tc>
          <w:tcPr>
            <w:tcW w:w="4395"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Transferencias, asignaciones y donativos</w:t>
            </w:r>
          </w:p>
        </w:tc>
        <w:tc>
          <w:tcPr>
            <w:tcW w:w="2132" w:type="dxa"/>
            <w:shd w:val="clear" w:color="auto" w:fill="auto"/>
          </w:tcPr>
          <w:p w:rsidR="000C6D0E" w:rsidRPr="000C6D0E" w:rsidRDefault="000C6D0E" w:rsidP="00BC3195">
            <w:pPr>
              <w:tabs>
                <w:tab w:val="center" w:pos="4419"/>
                <w:tab w:val="right" w:pos="8838"/>
              </w:tabs>
              <w:jc w:val="right"/>
              <w:rPr>
                <w:rFonts w:cs="Calibri"/>
                <w:color w:val="000000"/>
                <w:sz w:val="22"/>
                <w:szCs w:val="22"/>
                <w:highlight w:val="yellow"/>
                <w:lang w:val="es-ES"/>
              </w:rPr>
            </w:pPr>
            <w:r w:rsidRPr="000C6D0E">
              <w:rPr>
                <w:rFonts w:cs="Calibri"/>
                <w:color w:val="000000"/>
                <w:sz w:val="22"/>
                <w:szCs w:val="22"/>
                <w:lang w:val="es-ES"/>
              </w:rPr>
              <w:t>3’557,443</w:t>
            </w:r>
          </w:p>
        </w:tc>
      </w:tr>
      <w:tr w:rsidR="000C6D0E" w:rsidRPr="000C6D0E" w:rsidTr="00BC3195">
        <w:trPr>
          <w:jc w:val="center"/>
        </w:trPr>
        <w:tc>
          <w:tcPr>
            <w:tcW w:w="4395"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Otros Gastos y Pérdidas Extraordinarias</w:t>
            </w:r>
          </w:p>
        </w:tc>
        <w:tc>
          <w:tcPr>
            <w:tcW w:w="2132" w:type="dxa"/>
            <w:shd w:val="clear" w:color="auto" w:fill="auto"/>
          </w:tcPr>
          <w:p w:rsidR="000C6D0E" w:rsidRPr="000C6D0E" w:rsidRDefault="00AB6DC4" w:rsidP="00BC3195">
            <w:pPr>
              <w:tabs>
                <w:tab w:val="center" w:pos="4419"/>
                <w:tab w:val="right" w:pos="8838"/>
              </w:tabs>
              <w:jc w:val="right"/>
              <w:rPr>
                <w:rFonts w:cs="Calibri"/>
                <w:color w:val="000000"/>
                <w:sz w:val="22"/>
                <w:szCs w:val="22"/>
                <w:lang w:val="es-ES"/>
              </w:rPr>
            </w:pPr>
            <w:r>
              <w:rPr>
                <w:rFonts w:cs="Calibri"/>
                <w:color w:val="000000"/>
                <w:sz w:val="22"/>
                <w:szCs w:val="22"/>
                <w:lang w:val="es-ES"/>
              </w:rPr>
              <w:t>352’679,653</w:t>
            </w:r>
          </w:p>
        </w:tc>
      </w:tr>
      <w:tr w:rsidR="000C6D0E" w:rsidRPr="000C6D0E" w:rsidTr="00BC3195">
        <w:trPr>
          <w:jc w:val="center"/>
        </w:trPr>
        <w:tc>
          <w:tcPr>
            <w:tcW w:w="4395"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Inversión Pública</w:t>
            </w:r>
          </w:p>
        </w:tc>
        <w:tc>
          <w:tcPr>
            <w:tcW w:w="2132" w:type="dxa"/>
            <w:shd w:val="clear" w:color="auto" w:fill="auto"/>
          </w:tcPr>
          <w:p w:rsidR="000C6D0E" w:rsidRPr="000C6D0E" w:rsidRDefault="000C6D0E" w:rsidP="00BC3195">
            <w:pPr>
              <w:tabs>
                <w:tab w:val="center" w:pos="4419"/>
                <w:tab w:val="right" w:pos="8838"/>
              </w:tabs>
              <w:ind w:left="4419" w:hanging="4419"/>
              <w:jc w:val="right"/>
              <w:rPr>
                <w:rFonts w:cs="Calibri"/>
                <w:color w:val="000000"/>
                <w:sz w:val="22"/>
                <w:szCs w:val="22"/>
                <w:lang w:val="es-ES"/>
              </w:rPr>
            </w:pPr>
            <w:r w:rsidRPr="000C6D0E">
              <w:rPr>
                <w:rFonts w:cs="Calibri"/>
                <w:color w:val="000000"/>
                <w:sz w:val="22"/>
                <w:szCs w:val="22"/>
                <w:lang w:val="es-ES"/>
              </w:rPr>
              <w:t>236’115,536</w:t>
            </w:r>
          </w:p>
        </w:tc>
      </w:tr>
      <w:tr w:rsidR="000C6D0E" w:rsidRPr="000C6D0E" w:rsidTr="00BC3195">
        <w:trPr>
          <w:jc w:val="center"/>
        </w:trPr>
        <w:tc>
          <w:tcPr>
            <w:tcW w:w="4395" w:type="dxa"/>
            <w:shd w:val="clear" w:color="auto" w:fill="auto"/>
          </w:tcPr>
          <w:p w:rsidR="000C6D0E" w:rsidRPr="000C6D0E" w:rsidRDefault="000C6D0E" w:rsidP="00BC3195">
            <w:pPr>
              <w:tabs>
                <w:tab w:val="center" w:pos="4419"/>
                <w:tab w:val="right" w:pos="8838"/>
              </w:tabs>
              <w:jc w:val="right"/>
              <w:rPr>
                <w:rFonts w:cs="Calibri"/>
                <w:b/>
                <w:bCs/>
                <w:color w:val="000000"/>
                <w:sz w:val="22"/>
                <w:szCs w:val="22"/>
                <w:lang w:val="es-ES"/>
              </w:rPr>
            </w:pPr>
            <w:r w:rsidRPr="000C6D0E">
              <w:rPr>
                <w:rFonts w:cs="Calibri"/>
                <w:b/>
                <w:bCs/>
                <w:color w:val="000000"/>
                <w:sz w:val="22"/>
                <w:szCs w:val="22"/>
                <w:lang w:val="es-ES"/>
              </w:rPr>
              <w:t>TOTAL</w:t>
            </w:r>
          </w:p>
        </w:tc>
        <w:tc>
          <w:tcPr>
            <w:tcW w:w="2132" w:type="dxa"/>
            <w:shd w:val="clear" w:color="auto" w:fill="auto"/>
          </w:tcPr>
          <w:p w:rsidR="000C6D0E" w:rsidRPr="000C6D0E" w:rsidRDefault="00AB6DC4" w:rsidP="00BC3195">
            <w:pPr>
              <w:tabs>
                <w:tab w:val="center" w:pos="4419"/>
                <w:tab w:val="right" w:pos="8838"/>
              </w:tabs>
              <w:jc w:val="right"/>
              <w:rPr>
                <w:rFonts w:cs="Calibri"/>
                <w:b/>
                <w:color w:val="000000"/>
                <w:sz w:val="22"/>
                <w:szCs w:val="22"/>
                <w:highlight w:val="yellow"/>
              </w:rPr>
            </w:pPr>
            <w:r>
              <w:rPr>
                <w:rFonts w:cs="Calibri"/>
                <w:b/>
                <w:color w:val="000000"/>
                <w:sz w:val="22"/>
                <w:szCs w:val="22"/>
              </w:rPr>
              <w:t>8’722’189,783</w:t>
            </w:r>
          </w:p>
        </w:tc>
      </w:tr>
    </w:tbl>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 xml:space="preserve">El total de gastos alcanzó la cifra de $ </w:t>
      </w:r>
      <w:r w:rsidRPr="000C6D0E">
        <w:rPr>
          <w:rFonts w:cs="Calibri"/>
          <w:sz w:val="22"/>
          <w:szCs w:val="22"/>
        </w:rPr>
        <w:t xml:space="preserve">8’722’189,784 </w:t>
      </w:r>
      <w:r w:rsidRPr="000C6D0E">
        <w:rPr>
          <w:rFonts w:cs="Calibri"/>
          <w:sz w:val="22"/>
          <w:szCs w:val="22"/>
          <w:lang w:val="es-ES"/>
        </w:rPr>
        <w:t>de los cuales el 72% de los mismos sirvió para el pago de Servicios Personales.</w:t>
      </w:r>
    </w:p>
    <w:p w:rsidR="000C6D0E" w:rsidRPr="000C6D0E" w:rsidRDefault="000C6D0E" w:rsidP="000C6D0E">
      <w:pPr>
        <w:ind w:left="567"/>
        <w:jc w:val="both"/>
        <w:rPr>
          <w:rFonts w:cs="Calibri"/>
          <w:sz w:val="22"/>
          <w:szCs w:val="22"/>
          <w:lang w:val="es-ES"/>
        </w:rPr>
      </w:pPr>
    </w:p>
    <w:p w:rsidR="000C6D0E" w:rsidRPr="000C6D0E" w:rsidRDefault="000C6D0E" w:rsidP="000C6D0E">
      <w:pPr>
        <w:ind w:left="567"/>
        <w:jc w:val="both"/>
        <w:rPr>
          <w:rFonts w:cs="Calibri"/>
          <w:sz w:val="22"/>
          <w:szCs w:val="22"/>
          <w:lang w:val="es-ES"/>
        </w:rPr>
      </w:pPr>
      <w:r w:rsidRPr="000C6D0E">
        <w:rPr>
          <w:rFonts w:cs="Calibri"/>
          <w:sz w:val="22"/>
          <w:szCs w:val="22"/>
          <w:lang w:val="es-ES"/>
        </w:rPr>
        <w:t>Destacan 3 partidas de gastos con un importe que representa poco más del 10% de los gastos totales en el año, los cuales son:</w:t>
      </w:r>
    </w:p>
    <w:p w:rsidR="000C6D0E" w:rsidRPr="000C6D0E" w:rsidRDefault="000C6D0E" w:rsidP="000C6D0E">
      <w:pPr>
        <w:ind w:left="567"/>
        <w:jc w:val="both"/>
        <w:rPr>
          <w:rFonts w:cs="Calibri"/>
          <w:sz w:val="22"/>
          <w:szCs w:val="22"/>
          <w:lang w:val="es-ES"/>
        </w:rPr>
      </w:pPr>
    </w:p>
    <w:p w:rsidR="000C6D0E" w:rsidRPr="000C6D0E" w:rsidRDefault="000C6D0E" w:rsidP="000C6D0E">
      <w:pPr>
        <w:pStyle w:val="Prrafodelista"/>
        <w:numPr>
          <w:ilvl w:val="0"/>
          <w:numId w:val="31"/>
        </w:numPr>
        <w:suppressAutoHyphens w:val="0"/>
        <w:autoSpaceDN/>
        <w:spacing w:after="0" w:line="240" w:lineRule="auto"/>
        <w:contextualSpacing/>
        <w:jc w:val="both"/>
        <w:textAlignment w:val="auto"/>
        <w:rPr>
          <w:rFonts w:cs="Calibri"/>
          <w:lang w:val="es-ES"/>
        </w:rPr>
      </w:pPr>
      <w:r w:rsidRPr="000C6D0E">
        <w:rPr>
          <w:rFonts w:cs="Calibri"/>
          <w:b/>
          <w:lang w:val="es-ES"/>
        </w:rPr>
        <w:t>Remuneraciones al personal de carácter permanente:</w:t>
      </w:r>
      <w:r w:rsidRPr="000C6D0E">
        <w:rPr>
          <w:rFonts w:cs="Calibri"/>
          <w:lang w:val="es-ES"/>
        </w:rPr>
        <w:t xml:space="preserve"> corresponde al importe de sue</w:t>
      </w:r>
      <w:r w:rsidRPr="000C6D0E">
        <w:rPr>
          <w:rFonts w:cs="Calibri"/>
          <w:lang w:val="es-ES"/>
        </w:rPr>
        <w:t>l</w:t>
      </w:r>
      <w:r w:rsidRPr="000C6D0E">
        <w:rPr>
          <w:rFonts w:cs="Calibri"/>
          <w:lang w:val="es-ES"/>
        </w:rPr>
        <w:t>dos y salarios de la nómina correspondiente al personal permanente federal, homolog</w:t>
      </w:r>
      <w:r w:rsidRPr="000C6D0E">
        <w:rPr>
          <w:rFonts w:cs="Calibri"/>
          <w:lang w:val="es-ES"/>
        </w:rPr>
        <w:t>a</w:t>
      </w:r>
      <w:r w:rsidRPr="000C6D0E">
        <w:rPr>
          <w:rFonts w:cs="Calibri"/>
          <w:lang w:val="es-ES"/>
        </w:rPr>
        <w:t>do, estatal y de jubilados.</w:t>
      </w:r>
    </w:p>
    <w:p w:rsidR="000C6D0E" w:rsidRPr="000C6D0E" w:rsidRDefault="000C6D0E" w:rsidP="000C6D0E">
      <w:pPr>
        <w:pStyle w:val="Prrafodelista"/>
        <w:spacing w:after="0" w:line="240" w:lineRule="auto"/>
        <w:ind w:left="1428"/>
        <w:jc w:val="both"/>
        <w:rPr>
          <w:rFonts w:cs="Calibri"/>
          <w:lang w:val="es-ES"/>
        </w:rPr>
      </w:pPr>
    </w:p>
    <w:p w:rsidR="000C6D0E" w:rsidRPr="000C6D0E" w:rsidRDefault="000C6D0E" w:rsidP="000C6D0E">
      <w:pPr>
        <w:pStyle w:val="Prrafodelista"/>
        <w:numPr>
          <w:ilvl w:val="0"/>
          <w:numId w:val="31"/>
        </w:numPr>
        <w:suppressAutoHyphens w:val="0"/>
        <w:autoSpaceDN/>
        <w:spacing w:after="0" w:line="240" w:lineRule="auto"/>
        <w:contextualSpacing/>
        <w:jc w:val="both"/>
        <w:textAlignment w:val="auto"/>
        <w:rPr>
          <w:rFonts w:cs="Calibri"/>
          <w:lang w:val="es-ES"/>
        </w:rPr>
      </w:pPr>
      <w:r w:rsidRPr="000C6D0E">
        <w:rPr>
          <w:rFonts w:cs="Calibri"/>
          <w:b/>
          <w:lang w:val="es-ES"/>
        </w:rPr>
        <w:t>Remuneraciones adicionales y especiales:</w:t>
      </w:r>
      <w:r w:rsidRPr="000C6D0E">
        <w:rPr>
          <w:rFonts w:cs="Calibri"/>
          <w:lang w:val="es-ES"/>
        </w:rPr>
        <w:t xml:space="preserve"> en esta cuenta se incluyen prestaciones ad</w:t>
      </w:r>
      <w:r w:rsidRPr="000C6D0E">
        <w:rPr>
          <w:rFonts w:cs="Calibri"/>
          <w:lang w:val="es-ES"/>
        </w:rPr>
        <w:t>i</w:t>
      </w:r>
      <w:r w:rsidRPr="000C6D0E">
        <w:rPr>
          <w:rFonts w:cs="Calibri"/>
          <w:lang w:val="es-ES"/>
        </w:rPr>
        <w:t>cionales al sueldo.</w:t>
      </w:r>
    </w:p>
    <w:p w:rsidR="000C6D0E" w:rsidRPr="000C6D0E" w:rsidRDefault="000C6D0E" w:rsidP="000C6D0E">
      <w:pPr>
        <w:pStyle w:val="Prrafodelista"/>
        <w:spacing w:after="0" w:line="240" w:lineRule="auto"/>
        <w:ind w:left="1428"/>
        <w:jc w:val="both"/>
        <w:rPr>
          <w:rFonts w:cs="Calibri"/>
          <w:lang w:val="es-ES"/>
        </w:rPr>
      </w:pPr>
    </w:p>
    <w:p w:rsidR="000C6D0E" w:rsidRPr="000C6D0E" w:rsidRDefault="000C6D0E" w:rsidP="000C6D0E">
      <w:pPr>
        <w:pStyle w:val="Prrafodelista"/>
        <w:numPr>
          <w:ilvl w:val="0"/>
          <w:numId w:val="31"/>
        </w:numPr>
        <w:suppressAutoHyphens w:val="0"/>
        <w:autoSpaceDN/>
        <w:spacing w:after="0" w:line="240" w:lineRule="auto"/>
        <w:contextualSpacing/>
        <w:jc w:val="both"/>
        <w:textAlignment w:val="auto"/>
        <w:rPr>
          <w:rFonts w:cs="Calibri"/>
          <w:lang w:val="es-ES"/>
        </w:rPr>
      </w:pPr>
      <w:r w:rsidRPr="000C6D0E">
        <w:rPr>
          <w:rFonts w:cs="Calibri"/>
          <w:b/>
          <w:lang w:val="es-ES"/>
        </w:rPr>
        <w:t>Otras prestaciones sociales y económicas:</w:t>
      </w:r>
      <w:r w:rsidRPr="000C6D0E">
        <w:rPr>
          <w:rFonts w:cs="Calibri"/>
          <w:lang w:val="es-ES"/>
        </w:rPr>
        <w:t xml:space="preserve"> en este rubro se incluyen otras prestaciones adicionales al sueldo establecidas en los contratos de trabajo, así como los laudos.</w:t>
      </w:r>
    </w:p>
    <w:p w:rsidR="000C6D0E" w:rsidRPr="000C6D0E" w:rsidRDefault="000C6D0E" w:rsidP="000C6D0E">
      <w:pPr>
        <w:pStyle w:val="Prrafodelista"/>
        <w:spacing w:after="0"/>
        <w:rPr>
          <w:rFonts w:cs="Calibri"/>
          <w:lang w:val="es-ES"/>
        </w:rPr>
      </w:pPr>
    </w:p>
    <w:p w:rsidR="000C6D0E" w:rsidRPr="000C6D0E" w:rsidRDefault="000C6D0E" w:rsidP="000C6D0E">
      <w:pPr>
        <w:pStyle w:val="INCISO"/>
        <w:spacing w:after="0" w:line="240" w:lineRule="auto"/>
        <w:ind w:left="426" w:hanging="426"/>
        <w:rPr>
          <w:rFonts w:ascii="Calibri" w:hAnsi="Calibri" w:cs="Calibri"/>
          <w:b/>
          <w:smallCaps/>
          <w:sz w:val="22"/>
          <w:szCs w:val="22"/>
        </w:rPr>
      </w:pPr>
      <w:r w:rsidRPr="000C6D0E">
        <w:rPr>
          <w:rFonts w:ascii="Calibri" w:hAnsi="Calibri" w:cs="Calibri"/>
          <w:b/>
          <w:smallCaps/>
          <w:sz w:val="22"/>
          <w:szCs w:val="22"/>
        </w:rPr>
        <w:t xml:space="preserve">II) </w:t>
      </w:r>
      <w:r w:rsidRPr="000C6D0E">
        <w:rPr>
          <w:rFonts w:ascii="Calibri" w:hAnsi="Calibri" w:cs="Calibri"/>
          <w:b/>
          <w:smallCaps/>
          <w:sz w:val="22"/>
          <w:szCs w:val="22"/>
        </w:rPr>
        <w:tab/>
        <w:t>Notas al Estado de Situación Financiera</w:t>
      </w:r>
    </w:p>
    <w:p w:rsidR="000C6D0E" w:rsidRPr="000C6D0E" w:rsidRDefault="000C6D0E" w:rsidP="000C6D0E">
      <w:pPr>
        <w:pStyle w:val="Texto"/>
        <w:spacing w:after="0" w:line="240" w:lineRule="auto"/>
        <w:rPr>
          <w:rFonts w:ascii="Calibri" w:hAnsi="Calibri" w:cs="Calibri"/>
          <w:sz w:val="22"/>
          <w:szCs w:val="22"/>
          <w:lang w:val="es-MX"/>
        </w:rPr>
      </w:pPr>
    </w:p>
    <w:p w:rsidR="000C6D0E" w:rsidRPr="000C6D0E" w:rsidRDefault="000C6D0E" w:rsidP="000C6D0E">
      <w:pPr>
        <w:pStyle w:val="Texto"/>
        <w:spacing w:after="0" w:line="240" w:lineRule="auto"/>
        <w:rPr>
          <w:rFonts w:ascii="Calibri" w:hAnsi="Calibri" w:cs="Calibri"/>
          <w:b/>
          <w:sz w:val="22"/>
          <w:szCs w:val="22"/>
          <w:lang w:val="es-MX"/>
        </w:rPr>
      </w:pPr>
      <w:r w:rsidRPr="000C6D0E">
        <w:rPr>
          <w:rFonts w:ascii="Calibri" w:hAnsi="Calibri" w:cs="Calibri"/>
          <w:b/>
          <w:sz w:val="22"/>
          <w:szCs w:val="22"/>
          <w:lang w:val="es-MX"/>
        </w:rPr>
        <w:t>Activo</w:t>
      </w:r>
    </w:p>
    <w:p w:rsidR="000C6D0E" w:rsidRPr="000C6D0E" w:rsidRDefault="000C6D0E" w:rsidP="000C6D0E">
      <w:pPr>
        <w:pStyle w:val="Texto"/>
        <w:spacing w:after="0" w:line="240" w:lineRule="auto"/>
        <w:rPr>
          <w:rFonts w:ascii="Calibri" w:hAnsi="Calibri" w:cs="Calibri"/>
          <w:b/>
          <w:sz w:val="22"/>
          <w:szCs w:val="22"/>
          <w:lang w:val="es-MX"/>
        </w:rPr>
      </w:pP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t>Efectivo y Equivalentes</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Prrafodelista"/>
        <w:numPr>
          <w:ilvl w:val="0"/>
          <w:numId w:val="24"/>
        </w:numPr>
        <w:suppressAutoHyphens w:val="0"/>
        <w:autoSpaceDN/>
        <w:spacing w:after="0" w:line="240" w:lineRule="auto"/>
        <w:contextualSpacing/>
        <w:jc w:val="both"/>
        <w:textAlignment w:val="auto"/>
        <w:rPr>
          <w:rFonts w:cs="Calibri"/>
        </w:rPr>
      </w:pPr>
      <w:r w:rsidRPr="000C6D0E">
        <w:rPr>
          <w:rFonts w:cs="Calibri"/>
          <w:lang w:val="es-ES"/>
        </w:rPr>
        <w:t>Efectivo……….………………………………</w:t>
      </w:r>
      <w:r w:rsidR="004B564C">
        <w:rPr>
          <w:rFonts w:cs="Calibri"/>
          <w:lang w:val="es-ES"/>
        </w:rPr>
        <w:t>…………………………..</w:t>
      </w:r>
      <w:r w:rsidRPr="000C6D0E">
        <w:rPr>
          <w:rFonts w:cs="Calibri"/>
          <w:lang w:val="es-ES"/>
        </w:rPr>
        <w:t xml:space="preserve">…………………………………………………..……$ </w:t>
      </w:r>
      <w:r w:rsidRPr="000C6D0E">
        <w:rPr>
          <w:rFonts w:cs="Calibri"/>
        </w:rPr>
        <w:t>0</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Prrafodelista"/>
        <w:numPr>
          <w:ilvl w:val="0"/>
          <w:numId w:val="24"/>
        </w:numPr>
        <w:suppressAutoHyphens w:val="0"/>
        <w:autoSpaceDN/>
        <w:spacing w:after="0" w:line="240" w:lineRule="auto"/>
        <w:contextualSpacing/>
        <w:jc w:val="both"/>
        <w:textAlignment w:val="auto"/>
        <w:rPr>
          <w:rFonts w:cs="Calibri"/>
        </w:rPr>
      </w:pPr>
      <w:r w:rsidRPr="000C6D0E">
        <w:rPr>
          <w:rFonts w:cs="Calibri"/>
          <w:lang w:val="es-ES"/>
        </w:rPr>
        <w:t>Bancos/Tesorería…………….………...………</w:t>
      </w:r>
      <w:r w:rsidR="004B564C">
        <w:rPr>
          <w:rFonts w:cs="Calibri"/>
          <w:lang w:val="es-ES"/>
        </w:rPr>
        <w:t>……………..</w:t>
      </w:r>
      <w:r w:rsidRPr="000C6D0E">
        <w:rPr>
          <w:rFonts w:cs="Calibri"/>
          <w:lang w:val="es-ES"/>
        </w:rPr>
        <w:t xml:space="preserve">……….………………………………$ </w:t>
      </w:r>
      <w:r w:rsidRPr="000C6D0E">
        <w:rPr>
          <w:rFonts w:cs="Calibri"/>
        </w:rPr>
        <w:t>1’906’531,989</w:t>
      </w:r>
    </w:p>
    <w:p w:rsidR="000C6D0E" w:rsidRPr="000C6D0E" w:rsidRDefault="000C6D0E" w:rsidP="000C6D0E">
      <w:pPr>
        <w:ind w:left="720"/>
        <w:jc w:val="both"/>
        <w:rPr>
          <w:rFonts w:cs="Calibri"/>
          <w:sz w:val="22"/>
          <w:szCs w:val="22"/>
          <w:lang w:val="es-ES"/>
        </w:rPr>
      </w:pPr>
    </w:p>
    <w:p w:rsidR="000C6D0E" w:rsidRPr="000C6D0E" w:rsidRDefault="000C6D0E" w:rsidP="000C6D0E">
      <w:pPr>
        <w:ind w:left="720"/>
        <w:jc w:val="both"/>
        <w:rPr>
          <w:rFonts w:cs="Calibri"/>
          <w:sz w:val="22"/>
          <w:szCs w:val="22"/>
          <w:lang w:val="es-ES"/>
        </w:rPr>
      </w:pPr>
      <w:r w:rsidRPr="000C6D0E">
        <w:rPr>
          <w:rFonts w:cs="Calibri"/>
          <w:sz w:val="22"/>
          <w:szCs w:val="22"/>
          <w:lang w:val="es-ES"/>
        </w:rPr>
        <w:t xml:space="preserve">El saldo de la cuenta Bancos comprende la totalidad de las cuentas bancarias a nombre del Organismo, </w:t>
      </w:r>
      <w:proofErr w:type="spellStart"/>
      <w:r w:rsidRPr="000C6D0E">
        <w:rPr>
          <w:rFonts w:cs="Calibri"/>
          <w:sz w:val="22"/>
          <w:szCs w:val="22"/>
          <w:lang w:val="es-ES"/>
        </w:rPr>
        <w:t>aperturadas</w:t>
      </w:r>
      <w:proofErr w:type="spellEnd"/>
      <w:r w:rsidRPr="000C6D0E">
        <w:rPr>
          <w:rFonts w:cs="Calibri"/>
          <w:sz w:val="22"/>
          <w:szCs w:val="22"/>
          <w:lang w:val="es-ES"/>
        </w:rPr>
        <w:t xml:space="preserve"> con el objeto de administrar los recursos financieros provenientes de la Prestación de Servicios Médicos Propios, Transferencias, Fondos Federales y Convenios.</w:t>
      </w:r>
    </w:p>
    <w:p w:rsidR="000C6D0E" w:rsidRPr="000C6D0E" w:rsidRDefault="000C6D0E" w:rsidP="000C6D0E">
      <w:pPr>
        <w:jc w:val="both"/>
        <w:rPr>
          <w:rFonts w:cs="Calibri"/>
          <w:sz w:val="22"/>
          <w:szCs w:val="22"/>
          <w:lang w:val="es-ES"/>
        </w:rPr>
      </w:pPr>
    </w:p>
    <w:p w:rsidR="000C6D0E" w:rsidRPr="000C6D0E" w:rsidRDefault="000C6D0E" w:rsidP="000C6D0E">
      <w:pPr>
        <w:pStyle w:val="Prrafodelista"/>
        <w:numPr>
          <w:ilvl w:val="0"/>
          <w:numId w:val="24"/>
        </w:numPr>
        <w:suppressAutoHyphens w:val="0"/>
        <w:autoSpaceDN/>
        <w:spacing w:after="0" w:line="240" w:lineRule="auto"/>
        <w:contextualSpacing/>
        <w:jc w:val="both"/>
        <w:textAlignment w:val="auto"/>
        <w:rPr>
          <w:rFonts w:cs="Calibri"/>
          <w:lang w:val="es-ES"/>
        </w:rPr>
      </w:pPr>
      <w:r w:rsidRPr="000C6D0E">
        <w:rPr>
          <w:rFonts w:cs="Calibri"/>
          <w:lang w:val="es-ES"/>
        </w:rPr>
        <w:t>Inversiones Temporales…….………………………</w:t>
      </w:r>
      <w:r w:rsidR="004B564C">
        <w:rPr>
          <w:rFonts w:cs="Calibri"/>
          <w:lang w:val="es-ES"/>
        </w:rPr>
        <w:t>……………</w:t>
      </w:r>
      <w:r w:rsidRPr="000C6D0E">
        <w:rPr>
          <w:rFonts w:cs="Calibri"/>
          <w:lang w:val="es-ES"/>
        </w:rPr>
        <w:t xml:space="preserve">………………………………………$ </w:t>
      </w:r>
      <w:r w:rsidRPr="000C6D0E">
        <w:rPr>
          <w:rFonts w:cs="Calibri"/>
        </w:rPr>
        <w:t>62’569,436</w:t>
      </w:r>
    </w:p>
    <w:p w:rsidR="000C6D0E" w:rsidRPr="000C6D0E" w:rsidRDefault="000C6D0E" w:rsidP="000C6D0E">
      <w:pPr>
        <w:pStyle w:val="Prrafodelista"/>
        <w:spacing w:after="0" w:line="240" w:lineRule="auto"/>
        <w:ind w:left="1080"/>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lastRenderedPageBreak/>
        <w:t>El saldo de esta cuenta representa el importe de cuentas bancarias que se tienen inversión y que generan un rendimiento mensual al Organismo.</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24"/>
        </w:numPr>
        <w:suppressAutoHyphens w:val="0"/>
        <w:autoSpaceDN/>
        <w:spacing w:after="0" w:line="240" w:lineRule="auto"/>
        <w:contextualSpacing/>
        <w:jc w:val="both"/>
        <w:textAlignment w:val="auto"/>
        <w:rPr>
          <w:rFonts w:cs="Calibri"/>
        </w:rPr>
      </w:pPr>
      <w:r w:rsidRPr="000C6D0E">
        <w:rPr>
          <w:rFonts w:cs="Calibri"/>
          <w:lang w:val="es-ES"/>
        </w:rPr>
        <w:t>Fondos</w:t>
      </w:r>
      <w:r w:rsidR="004B564C">
        <w:rPr>
          <w:rFonts w:cs="Calibri"/>
          <w:lang w:val="es-ES"/>
        </w:rPr>
        <w:t xml:space="preserve"> en Afectación Específica……………</w:t>
      </w:r>
      <w:r w:rsidRPr="000C6D0E">
        <w:rPr>
          <w:rFonts w:cs="Calibri"/>
          <w:lang w:val="es-ES"/>
        </w:rPr>
        <w:t xml:space="preserve">….…............................................................$  </w:t>
      </w:r>
      <w:r w:rsidRPr="000C6D0E">
        <w:rPr>
          <w:rFonts w:cs="Calibri"/>
        </w:rPr>
        <w:t>44,722</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ind w:left="708"/>
        <w:jc w:val="both"/>
        <w:rPr>
          <w:rFonts w:cs="Calibri"/>
          <w:sz w:val="22"/>
          <w:szCs w:val="22"/>
          <w:lang w:val="es-ES"/>
        </w:rPr>
      </w:pPr>
      <w:r w:rsidRPr="000C6D0E">
        <w:rPr>
          <w:rFonts w:cs="Calibri"/>
          <w:sz w:val="22"/>
          <w:szCs w:val="22"/>
          <w:lang w:val="es-ES"/>
        </w:rPr>
        <w:t xml:space="preserve">El saldo corresponde a los fondos </w:t>
      </w:r>
      <w:proofErr w:type="spellStart"/>
      <w:r w:rsidRPr="000C6D0E">
        <w:rPr>
          <w:rFonts w:cs="Calibri"/>
          <w:sz w:val="22"/>
          <w:szCs w:val="22"/>
          <w:lang w:val="es-ES"/>
        </w:rPr>
        <w:t>revolventes</w:t>
      </w:r>
      <w:proofErr w:type="spellEnd"/>
      <w:r w:rsidRPr="000C6D0E">
        <w:rPr>
          <w:rFonts w:cs="Calibri"/>
          <w:sz w:val="22"/>
          <w:szCs w:val="22"/>
          <w:lang w:val="es-ES"/>
        </w:rPr>
        <w:t xml:space="preserve"> para las diversas unidades médicas del Organismo para cubrir con sus necesidades básicas de manera mensual, siendo estos comprobados a la Oficina Central al cierre de cada mes.</w:t>
      </w:r>
    </w:p>
    <w:p w:rsidR="000C6D0E" w:rsidRPr="000C6D0E" w:rsidRDefault="000C6D0E" w:rsidP="000C6D0E">
      <w:pPr>
        <w:ind w:left="708"/>
        <w:jc w:val="both"/>
        <w:rPr>
          <w:rFonts w:cs="Calibri"/>
          <w:sz w:val="22"/>
          <w:szCs w:val="22"/>
          <w:lang w:val="es-ES"/>
        </w:rPr>
      </w:pPr>
    </w:p>
    <w:p w:rsidR="000C6D0E" w:rsidRPr="000C6D0E" w:rsidRDefault="000C6D0E" w:rsidP="000C6D0E">
      <w:pPr>
        <w:ind w:left="708"/>
        <w:jc w:val="both"/>
        <w:rPr>
          <w:rFonts w:cs="Calibri"/>
          <w:sz w:val="22"/>
          <w:szCs w:val="22"/>
          <w:lang w:val="es-ES"/>
        </w:rPr>
      </w:pPr>
      <w:r w:rsidRPr="000C6D0E">
        <w:rPr>
          <w:rFonts w:cs="Calibri"/>
          <w:sz w:val="22"/>
          <w:szCs w:val="22"/>
          <w:lang w:val="es-ES"/>
        </w:rPr>
        <w:t xml:space="preserve">La asignación del fondo </w:t>
      </w:r>
      <w:proofErr w:type="spellStart"/>
      <w:r w:rsidRPr="000C6D0E">
        <w:rPr>
          <w:rFonts w:cs="Calibri"/>
          <w:sz w:val="22"/>
          <w:szCs w:val="22"/>
          <w:lang w:val="es-ES"/>
        </w:rPr>
        <w:t>revolvente</w:t>
      </w:r>
      <w:proofErr w:type="spellEnd"/>
      <w:r w:rsidRPr="000C6D0E">
        <w:rPr>
          <w:rFonts w:cs="Calibri"/>
          <w:sz w:val="22"/>
          <w:szCs w:val="22"/>
          <w:lang w:val="es-ES"/>
        </w:rPr>
        <w:t xml:space="preserve"> al cierre del </w:t>
      </w:r>
      <w:r w:rsidR="004B564C">
        <w:rPr>
          <w:rFonts w:cs="Calibri"/>
          <w:sz w:val="22"/>
          <w:szCs w:val="22"/>
          <w:lang w:val="es-ES"/>
        </w:rPr>
        <w:t>ejercicio</w:t>
      </w:r>
      <w:r w:rsidRPr="000C6D0E">
        <w:rPr>
          <w:rFonts w:cs="Calibri"/>
          <w:sz w:val="22"/>
          <w:szCs w:val="22"/>
          <w:lang w:val="es-ES"/>
        </w:rPr>
        <w:t xml:space="preserve"> 2024 se integró de la siguiente manera:</w:t>
      </w:r>
    </w:p>
    <w:p w:rsidR="000C6D0E" w:rsidRPr="000C6D0E" w:rsidRDefault="000C6D0E" w:rsidP="000C6D0E">
      <w:pPr>
        <w:ind w:left="708"/>
        <w:jc w:val="both"/>
        <w:rPr>
          <w:rFonts w:cs="Calibri"/>
          <w:sz w:val="22"/>
          <w:szCs w:val="22"/>
          <w:lang w:val="es-ES"/>
        </w:rPr>
      </w:pPr>
    </w:p>
    <w:tbl>
      <w:tblPr>
        <w:tblW w:w="0" w:type="auto"/>
        <w:tblInd w:w="81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2890"/>
        <w:gridCol w:w="1159"/>
        <w:gridCol w:w="3603"/>
        <w:gridCol w:w="1107"/>
      </w:tblGrid>
      <w:tr w:rsidR="000C6D0E" w:rsidRPr="000C6D0E" w:rsidTr="00BC3195">
        <w:trPr>
          <w:trHeight w:val="331"/>
          <w:tblHeader/>
        </w:trPr>
        <w:tc>
          <w:tcPr>
            <w:tcW w:w="2940" w:type="dxa"/>
            <w:shd w:val="clear" w:color="auto" w:fill="AB0033"/>
            <w:vAlign w:val="center"/>
          </w:tcPr>
          <w:p w:rsidR="000C6D0E" w:rsidRPr="000C6D0E" w:rsidRDefault="000C6D0E" w:rsidP="00BC3195">
            <w:pPr>
              <w:jc w:val="center"/>
              <w:rPr>
                <w:rFonts w:cs="Calibri"/>
                <w:bCs/>
                <w:color w:val="FFFFFF"/>
                <w:sz w:val="22"/>
                <w:szCs w:val="22"/>
                <w:lang w:val="es-ES"/>
              </w:rPr>
            </w:pPr>
            <w:r w:rsidRPr="000C6D0E">
              <w:rPr>
                <w:rFonts w:cs="Calibri"/>
                <w:bCs/>
                <w:color w:val="FFFFFF"/>
                <w:sz w:val="22"/>
                <w:szCs w:val="22"/>
                <w:lang w:val="es-ES"/>
              </w:rPr>
              <w:t>Unidad</w:t>
            </w:r>
          </w:p>
        </w:tc>
        <w:tc>
          <w:tcPr>
            <w:tcW w:w="1078" w:type="dxa"/>
            <w:shd w:val="clear" w:color="auto" w:fill="AB0033"/>
            <w:vAlign w:val="center"/>
          </w:tcPr>
          <w:p w:rsidR="000C6D0E" w:rsidRPr="000C6D0E" w:rsidRDefault="000C6D0E" w:rsidP="00BC3195">
            <w:pPr>
              <w:ind w:right="-59"/>
              <w:jc w:val="center"/>
              <w:rPr>
                <w:rFonts w:cs="Calibri"/>
                <w:bCs/>
                <w:color w:val="FFFFFF"/>
                <w:sz w:val="22"/>
                <w:szCs w:val="22"/>
                <w:lang w:val="es-ES"/>
              </w:rPr>
            </w:pPr>
            <w:r w:rsidRPr="000C6D0E">
              <w:rPr>
                <w:rFonts w:cs="Calibri"/>
                <w:bCs/>
                <w:color w:val="FFFFFF"/>
                <w:sz w:val="22"/>
                <w:szCs w:val="22"/>
                <w:lang w:val="es-ES"/>
              </w:rPr>
              <w:t>Monto Asignado</w:t>
            </w:r>
          </w:p>
        </w:tc>
        <w:tc>
          <w:tcPr>
            <w:tcW w:w="3676" w:type="dxa"/>
            <w:shd w:val="clear" w:color="auto" w:fill="AB0033"/>
            <w:vAlign w:val="center"/>
          </w:tcPr>
          <w:p w:rsidR="000C6D0E" w:rsidRPr="000C6D0E" w:rsidRDefault="000C6D0E" w:rsidP="00BC3195">
            <w:pPr>
              <w:jc w:val="center"/>
              <w:rPr>
                <w:rFonts w:cs="Calibri"/>
                <w:bCs/>
                <w:color w:val="FFFFFF"/>
                <w:sz w:val="22"/>
                <w:szCs w:val="22"/>
                <w:lang w:val="es-ES"/>
              </w:rPr>
            </w:pPr>
            <w:r w:rsidRPr="000C6D0E">
              <w:rPr>
                <w:rFonts w:cs="Calibri"/>
                <w:bCs/>
                <w:color w:val="FFFFFF"/>
                <w:sz w:val="22"/>
                <w:szCs w:val="22"/>
                <w:lang w:val="es-ES"/>
              </w:rPr>
              <w:t>Unidad</w:t>
            </w:r>
          </w:p>
        </w:tc>
        <w:tc>
          <w:tcPr>
            <w:tcW w:w="1065" w:type="dxa"/>
            <w:shd w:val="clear" w:color="auto" w:fill="AB0033"/>
            <w:vAlign w:val="center"/>
          </w:tcPr>
          <w:p w:rsidR="000C6D0E" w:rsidRPr="000C6D0E" w:rsidRDefault="000C6D0E" w:rsidP="00BC3195">
            <w:pPr>
              <w:jc w:val="center"/>
              <w:rPr>
                <w:rFonts w:cs="Calibri"/>
                <w:bCs/>
                <w:color w:val="FFFFFF"/>
                <w:sz w:val="22"/>
                <w:szCs w:val="22"/>
                <w:lang w:val="es-ES"/>
              </w:rPr>
            </w:pPr>
            <w:r w:rsidRPr="000C6D0E">
              <w:rPr>
                <w:rFonts w:cs="Calibri"/>
                <w:bCs/>
                <w:color w:val="FFFFFF"/>
                <w:sz w:val="22"/>
                <w:szCs w:val="22"/>
                <w:lang w:val="es-ES"/>
              </w:rPr>
              <w:t>Monto Asignado</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CAIRRS</w:t>
            </w:r>
          </w:p>
        </w:tc>
        <w:tc>
          <w:tcPr>
            <w:tcW w:w="1078" w:type="dxa"/>
            <w:shd w:val="clear" w:color="auto" w:fill="auto"/>
            <w:vAlign w:val="center"/>
          </w:tcPr>
          <w:p w:rsidR="000C6D0E" w:rsidRPr="000C6D0E" w:rsidRDefault="000C6D0E" w:rsidP="00BC3195">
            <w:pPr>
              <w:ind w:right="-59"/>
              <w:jc w:val="right"/>
              <w:rPr>
                <w:rFonts w:cs="Calibri"/>
                <w:sz w:val="22"/>
                <w:szCs w:val="22"/>
                <w:lang w:val="es-ES"/>
              </w:rPr>
            </w:pPr>
            <w:r w:rsidRPr="000C6D0E">
              <w:rPr>
                <w:rFonts w:cs="Calibri"/>
                <w:sz w:val="22"/>
                <w:szCs w:val="22"/>
                <w:lang w:val="es-ES"/>
              </w:rPr>
              <w:t>1,173,695</w:t>
            </w:r>
          </w:p>
        </w:tc>
        <w:tc>
          <w:tcPr>
            <w:tcW w:w="3676" w:type="dxa"/>
            <w:shd w:val="clear" w:color="auto" w:fill="auto"/>
            <w:vAlign w:val="center"/>
          </w:tcPr>
          <w:p w:rsidR="000C6D0E" w:rsidRPr="000C6D0E" w:rsidRDefault="000C6D0E" w:rsidP="00BC3195">
            <w:pPr>
              <w:rPr>
                <w:rFonts w:cs="Calibri"/>
                <w:bCs/>
                <w:sz w:val="22"/>
                <w:szCs w:val="22"/>
                <w:lang w:val="es-ES"/>
              </w:rPr>
            </w:pPr>
            <w:r w:rsidRPr="000C6D0E">
              <w:rPr>
                <w:rFonts w:cs="Calibri"/>
                <w:bCs/>
                <w:sz w:val="22"/>
                <w:szCs w:val="22"/>
                <w:lang w:val="es-ES"/>
              </w:rPr>
              <w:t>COEPRIS Jurisdicción 1</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877,207</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Centro de Salud Mental Matamoros</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499,000</w:t>
            </w:r>
          </w:p>
        </w:tc>
        <w:tc>
          <w:tcPr>
            <w:tcW w:w="3676" w:type="dxa"/>
            <w:shd w:val="clear" w:color="auto" w:fill="auto"/>
            <w:vAlign w:val="center"/>
          </w:tcPr>
          <w:p w:rsidR="000C6D0E" w:rsidRPr="000C6D0E" w:rsidRDefault="000C6D0E" w:rsidP="00BC3195">
            <w:pPr>
              <w:rPr>
                <w:rFonts w:cs="Calibri"/>
                <w:bCs/>
                <w:sz w:val="22"/>
                <w:szCs w:val="22"/>
                <w:lang w:val="es-ES"/>
              </w:rPr>
            </w:pPr>
            <w:r w:rsidRPr="000C6D0E">
              <w:rPr>
                <w:rFonts w:cs="Calibri"/>
                <w:bCs/>
                <w:sz w:val="22"/>
                <w:szCs w:val="22"/>
                <w:lang w:val="es-ES"/>
              </w:rPr>
              <w:t>COEPRIS Jurisdicción 2</w:t>
            </w:r>
          </w:p>
        </w:tc>
        <w:tc>
          <w:tcPr>
            <w:tcW w:w="1065" w:type="dxa"/>
            <w:shd w:val="clear" w:color="auto" w:fill="auto"/>
            <w:vAlign w:val="center"/>
          </w:tcPr>
          <w:p w:rsidR="000C6D0E" w:rsidRPr="000C6D0E" w:rsidRDefault="000C6D0E" w:rsidP="00BC3195">
            <w:pPr>
              <w:jc w:val="right"/>
              <w:rPr>
                <w:rFonts w:cs="Calibri"/>
                <w:sz w:val="22"/>
                <w:szCs w:val="22"/>
                <w:lang w:val="es-ES"/>
              </w:rPr>
            </w:pPr>
            <w:r w:rsidRPr="000C6D0E">
              <w:rPr>
                <w:rFonts w:cs="Calibri"/>
                <w:sz w:val="22"/>
                <w:szCs w:val="22"/>
                <w:lang w:val="es-ES"/>
              </w:rPr>
              <w:t>1,017,742</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Centro Estatal de Trasfusión Sanguínea Victoria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2,184,000</w:t>
            </w:r>
          </w:p>
        </w:tc>
        <w:tc>
          <w:tcPr>
            <w:tcW w:w="3676" w:type="dxa"/>
            <w:shd w:val="clear" w:color="auto" w:fill="auto"/>
            <w:vAlign w:val="center"/>
          </w:tcPr>
          <w:p w:rsidR="000C6D0E" w:rsidRPr="000C6D0E" w:rsidRDefault="000C6D0E" w:rsidP="00BC3195">
            <w:pPr>
              <w:rPr>
                <w:rFonts w:cs="Calibri"/>
                <w:bCs/>
                <w:sz w:val="22"/>
                <w:szCs w:val="22"/>
                <w:lang w:val="es-ES"/>
              </w:rPr>
            </w:pPr>
            <w:r w:rsidRPr="000C6D0E">
              <w:rPr>
                <w:rFonts w:cs="Calibri"/>
                <w:bCs/>
                <w:sz w:val="22"/>
                <w:szCs w:val="22"/>
                <w:lang w:val="es-ES"/>
              </w:rPr>
              <w:t>COEPRIS Jurisdicción 3</w:t>
            </w:r>
          </w:p>
        </w:tc>
        <w:tc>
          <w:tcPr>
            <w:tcW w:w="1065" w:type="dxa"/>
            <w:shd w:val="clear" w:color="auto" w:fill="auto"/>
            <w:vAlign w:val="center"/>
          </w:tcPr>
          <w:p w:rsidR="000C6D0E" w:rsidRPr="000C6D0E" w:rsidRDefault="000C6D0E" w:rsidP="00BC3195">
            <w:pPr>
              <w:jc w:val="right"/>
              <w:rPr>
                <w:rFonts w:cs="Calibri"/>
                <w:sz w:val="22"/>
                <w:szCs w:val="22"/>
                <w:lang w:val="es-ES"/>
              </w:rPr>
            </w:pPr>
            <w:r w:rsidRPr="000C6D0E">
              <w:rPr>
                <w:rFonts w:cs="Calibri"/>
                <w:sz w:val="22"/>
                <w:szCs w:val="22"/>
                <w:lang w:val="es-ES"/>
              </w:rPr>
              <w:t>651,783</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Centro Oncológico Laredo</w:t>
            </w:r>
          </w:p>
        </w:tc>
        <w:tc>
          <w:tcPr>
            <w:tcW w:w="1078" w:type="dxa"/>
            <w:shd w:val="clear" w:color="auto" w:fill="auto"/>
            <w:vAlign w:val="center"/>
          </w:tcPr>
          <w:p w:rsidR="000C6D0E" w:rsidRPr="000C6D0E" w:rsidRDefault="000C6D0E" w:rsidP="00BC3195">
            <w:pPr>
              <w:ind w:left="708" w:right="-59" w:hanging="708"/>
              <w:jc w:val="right"/>
              <w:rPr>
                <w:rFonts w:cs="Calibri"/>
                <w:sz w:val="22"/>
                <w:szCs w:val="22"/>
              </w:rPr>
            </w:pPr>
            <w:r w:rsidRPr="000C6D0E">
              <w:rPr>
                <w:rFonts w:cs="Calibri"/>
                <w:sz w:val="22"/>
                <w:szCs w:val="22"/>
              </w:rPr>
              <w:t>469,350</w:t>
            </w:r>
          </w:p>
        </w:tc>
        <w:tc>
          <w:tcPr>
            <w:tcW w:w="3676" w:type="dxa"/>
            <w:shd w:val="clear" w:color="auto" w:fill="auto"/>
          </w:tcPr>
          <w:p w:rsidR="000C6D0E" w:rsidRPr="000C6D0E" w:rsidRDefault="000C6D0E" w:rsidP="00BC3195">
            <w:pPr>
              <w:rPr>
                <w:rFonts w:cs="Calibri"/>
                <w:bCs/>
                <w:sz w:val="22"/>
                <w:szCs w:val="22"/>
                <w:lang w:val="es-ES"/>
              </w:rPr>
            </w:pPr>
            <w:r w:rsidRPr="000C6D0E">
              <w:rPr>
                <w:rFonts w:cs="Calibri"/>
                <w:bCs/>
                <w:sz w:val="22"/>
                <w:szCs w:val="22"/>
                <w:lang w:val="es-ES"/>
              </w:rPr>
              <w:t>COEPRIS Jurisdicción 4</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927,088</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Centro Oncológico Tamaulipas</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1,050,000</w:t>
            </w:r>
          </w:p>
        </w:tc>
        <w:tc>
          <w:tcPr>
            <w:tcW w:w="3676" w:type="dxa"/>
            <w:shd w:val="clear" w:color="auto" w:fill="auto"/>
          </w:tcPr>
          <w:p w:rsidR="000C6D0E" w:rsidRPr="000C6D0E" w:rsidRDefault="000C6D0E" w:rsidP="00BC3195">
            <w:pPr>
              <w:rPr>
                <w:rFonts w:cs="Calibri"/>
                <w:bCs/>
                <w:sz w:val="22"/>
                <w:szCs w:val="22"/>
                <w:lang w:val="es-ES"/>
              </w:rPr>
            </w:pPr>
            <w:r w:rsidRPr="000C6D0E">
              <w:rPr>
                <w:rFonts w:cs="Calibri"/>
                <w:bCs/>
                <w:sz w:val="22"/>
                <w:szCs w:val="22"/>
                <w:lang w:val="es-ES"/>
              </w:rPr>
              <w:t>COEPRIS Jurisdicción 5</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847,188</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Centro RENACER</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396,000</w:t>
            </w:r>
          </w:p>
        </w:tc>
        <w:tc>
          <w:tcPr>
            <w:tcW w:w="3676" w:type="dxa"/>
            <w:shd w:val="clear" w:color="auto" w:fill="auto"/>
          </w:tcPr>
          <w:p w:rsidR="000C6D0E" w:rsidRPr="000C6D0E" w:rsidRDefault="000C6D0E" w:rsidP="00BC3195">
            <w:pPr>
              <w:rPr>
                <w:rFonts w:cs="Calibri"/>
                <w:bCs/>
                <w:sz w:val="22"/>
                <w:szCs w:val="22"/>
                <w:lang w:val="es-ES"/>
              </w:rPr>
            </w:pPr>
            <w:r w:rsidRPr="000C6D0E">
              <w:rPr>
                <w:rFonts w:cs="Calibri"/>
                <w:bCs/>
                <w:sz w:val="22"/>
                <w:szCs w:val="22"/>
                <w:lang w:val="es-ES"/>
              </w:rPr>
              <w:t>COEPRIS Jurisdicción 6</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479,998</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Civil Madero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6,670,000</w:t>
            </w:r>
          </w:p>
        </w:tc>
        <w:tc>
          <w:tcPr>
            <w:tcW w:w="3676" w:type="dxa"/>
            <w:shd w:val="clear" w:color="auto" w:fill="auto"/>
          </w:tcPr>
          <w:p w:rsidR="000C6D0E" w:rsidRPr="000C6D0E" w:rsidRDefault="000C6D0E" w:rsidP="00BC3195">
            <w:pPr>
              <w:rPr>
                <w:rFonts w:cs="Calibri"/>
                <w:bCs/>
                <w:sz w:val="22"/>
                <w:szCs w:val="22"/>
                <w:lang w:val="es-ES"/>
              </w:rPr>
            </w:pPr>
            <w:r w:rsidRPr="000C6D0E">
              <w:rPr>
                <w:rFonts w:cs="Calibri"/>
                <w:bCs/>
                <w:sz w:val="22"/>
                <w:szCs w:val="22"/>
                <w:lang w:val="es-ES"/>
              </w:rPr>
              <w:t>COEPRIS Jurisdicción 7</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593,539</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Civil Nuevo Laredo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1,932,000</w:t>
            </w:r>
          </w:p>
        </w:tc>
        <w:tc>
          <w:tcPr>
            <w:tcW w:w="3676" w:type="dxa"/>
            <w:shd w:val="clear" w:color="auto" w:fill="auto"/>
          </w:tcPr>
          <w:p w:rsidR="000C6D0E" w:rsidRPr="000C6D0E" w:rsidRDefault="000C6D0E" w:rsidP="00BC3195">
            <w:pPr>
              <w:rPr>
                <w:rFonts w:cs="Calibri"/>
                <w:bCs/>
                <w:sz w:val="22"/>
                <w:szCs w:val="22"/>
                <w:lang w:val="es-ES"/>
              </w:rPr>
            </w:pPr>
            <w:r w:rsidRPr="000C6D0E">
              <w:rPr>
                <w:rFonts w:cs="Calibri"/>
                <w:bCs/>
                <w:sz w:val="22"/>
                <w:szCs w:val="22"/>
                <w:lang w:val="es-ES"/>
              </w:rPr>
              <w:t>COEPRIS Jurisdicción 8</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449,773</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Civil Victoria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6,300,000</w:t>
            </w:r>
          </w:p>
        </w:tc>
        <w:tc>
          <w:tcPr>
            <w:tcW w:w="3676" w:type="dxa"/>
            <w:shd w:val="clear" w:color="auto" w:fill="auto"/>
          </w:tcPr>
          <w:p w:rsidR="000C6D0E" w:rsidRPr="000C6D0E" w:rsidRDefault="000C6D0E" w:rsidP="00BC3195">
            <w:pPr>
              <w:jc w:val="both"/>
              <w:rPr>
                <w:rFonts w:cs="Calibri"/>
                <w:sz w:val="22"/>
                <w:szCs w:val="22"/>
                <w:lang w:val="es-ES"/>
              </w:rPr>
            </w:pPr>
            <w:r w:rsidRPr="000C6D0E">
              <w:rPr>
                <w:rFonts w:cs="Calibri"/>
                <w:sz w:val="22"/>
                <w:szCs w:val="22"/>
                <w:lang w:val="es-ES"/>
              </w:rPr>
              <w:t>COEPRIS Jurisdicción 9</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734,895</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Altamira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1,932,000</w:t>
            </w:r>
          </w:p>
        </w:tc>
        <w:tc>
          <w:tcPr>
            <w:tcW w:w="3676" w:type="dxa"/>
            <w:shd w:val="clear" w:color="auto" w:fill="auto"/>
          </w:tcPr>
          <w:p w:rsidR="000C6D0E" w:rsidRPr="000C6D0E" w:rsidRDefault="000C6D0E" w:rsidP="00BC3195">
            <w:pPr>
              <w:jc w:val="both"/>
              <w:rPr>
                <w:rFonts w:cs="Calibri"/>
                <w:sz w:val="22"/>
                <w:szCs w:val="22"/>
                <w:lang w:val="es-ES"/>
              </w:rPr>
            </w:pPr>
            <w:r w:rsidRPr="000C6D0E">
              <w:rPr>
                <w:rFonts w:cs="Calibri"/>
                <w:sz w:val="22"/>
                <w:szCs w:val="22"/>
                <w:lang w:val="es-ES"/>
              </w:rPr>
              <w:t>COEPRIS Jurisdicción 10</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620,684</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Mante</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2,140,000</w:t>
            </w:r>
          </w:p>
        </w:tc>
        <w:tc>
          <w:tcPr>
            <w:tcW w:w="3676" w:type="dxa"/>
            <w:shd w:val="clear" w:color="auto" w:fill="auto"/>
          </w:tcPr>
          <w:p w:rsidR="000C6D0E" w:rsidRPr="000C6D0E" w:rsidRDefault="000C6D0E" w:rsidP="00BC3195">
            <w:pPr>
              <w:ind w:right="-1208"/>
              <w:jc w:val="both"/>
              <w:rPr>
                <w:rFonts w:cs="Calibri"/>
                <w:color w:val="000000"/>
                <w:sz w:val="22"/>
                <w:szCs w:val="22"/>
              </w:rPr>
            </w:pPr>
            <w:r w:rsidRPr="000C6D0E">
              <w:rPr>
                <w:rFonts w:cs="Calibri"/>
                <w:sz w:val="22"/>
                <w:szCs w:val="22"/>
                <w:lang w:val="es-ES"/>
              </w:rPr>
              <w:t>COEPRIS Jurisdicción 11</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720,000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Matamoros</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5,450,000</w:t>
            </w:r>
          </w:p>
        </w:tc>
        <w:tc>
          <w:tcPr>
            <w:tcW w:w="3676" w:type="dxa"/>
            <w:shd w:val="clear" w:color="auto" w:fill="auto"/>
          </w:tcPr>
          <w:p w:rsidR="000C6D0E" w:rsidRPr="000C6D0E" w:rsidRDefault="000C6D0E" w:rsidP="00BC3195">
            <w:pPr>
              <w:jc w:val="both"/>
              <w:rPr>
                <w:rFonts w:cs="Calibri"/>
                <w:sz w:val="22"/>
                <w:szCs w:val="22"/>
                <w:lang w:val="es-ES"/>
              </w:rPr>
            </w:pPr>
            <w:r w:rsidRPr="000C6D0E">
              <w:rPr>
                <w:rFonts w:cs="Calibri"/>
                <w:sz w:val="22"/>
                <w:szCs w:val="22"/>
                <w:lang w:val="es-ES"/>
              </w:rPr>
              <w:t>COEPRIS Jurisdicción 12</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1,139,330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Nuevo Laredo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3,880,800</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I Victoria</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1,532,700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Reynosa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7,090,000</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II Tampico</w:t>
            </w:r>
          </w:p>
        </w:tc>
        <w:tc>
          <w:tcPr>
            <w:tcW w:w="1065" w:type="dxa"/>
            <w:shd w:val="clear" w:color="auto" w:fill="auto"/>
            <w:vAlign w:val="center"/>
          </w:tcPr>
          <w:p w:rsidR="000C6D0E" w:rsidRPr="000C6D0E" w:rsidRDefault="000C6D0E" w:rsidP="00BC3195">
            <w:pPr>
              <w:jc w:val="right"/>
              <w:rPr>
                <w:rFonts w:cs="Calibri"/>
                <w:sz w:val="22"/>
                <w:szCs w:val="22"/>
                <w:lang w:val="es-ES"/>
              </w:rPr>
            </w:pPr>
            <w:r w:rsidRPr="000C6D0E">
              <w:rPr>
                <w:rFonts w:cs="Calibri"/>
                <w:sz w:val="22"/>
                <w:szCs w:val="22"/>
                <w:lang w:val="es-ES"/>
              </w:rPr>
              <w:t>1,101,100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Río Bravo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966,000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Jurisdicción Sanitaria III Matamoros</w:t>
            </w:r>
          </w:p>
        </w:tc>
        <w:tc>
          <w:tcPr>
            <w:tcW w:w="1065" w:type="dxa"/>
            <w:shd w:val="clear" w:color="auto" w:fill="auto"/>
            <w:vAlign w:val="center"/>
          </w:tcPr>
          <w:p w:rsidR="000C6D0E" w:rsidRPr="000C6D0E" w:rsidRDefault="000C6D0E" w:rsidP="00BC3195">
            <w:pPr>
              <w:jc w:val="right"/>
              <w:rPr>
                <w:rFonts w:cs="Calibri"/>
                <w:sz w:val="22"/>
                <w:szCs w:val="22"/>
                <w:lang w:val="es-ES"/>
              </w:rPr>
            </w:pPr>
            <w:r w:rsidRPr="000C6D0E">
              <w:rPr>
                <w:rFonts w:cs="Calibri"/>
                <w:sz w:val="22"/>
                <w:szCs w:val="22"/>
                <w:lang w:val="es-ES"/>
              </w:rPr>
              <w:t>1,430,700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San Fernando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1,092,000</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IV Reynosa</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1,532,700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Tampico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12,045,000</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V Nuevo Laredo</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1,192,100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Valle Hermoso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856,800</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VI Mante</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818,750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General Victoria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10,032,837</w:t>
            </w:r>
          </w:p>
        </w:tc>
        <w:tc>
          <w:tcPr>
            <w:tcW w:w="3676" w:type="dxa"/>
            <w:shd w:val="clear" w:color="auto" w:fill="auto"/>
            <w:vAlign w:val="center"/>
          </w:tcPr>
          <w:p w:rsidR="000C6D0E" w:rsidRPr="000C6D0E" w:rsidRDefault="000C6D0E" w:rsidP="00BC3195">
            <w:pPr>
              <w:rPr>
                <w:rFonts w:cs="Calibri"/>
                <w:color w:val="000000"/>
                <w:sz w:val="22"/>
                <w:szCs w:val="22"/>
              </w:rPr>
            </w:pPr>
            <w:r w:rsidRPr="000C6D0E">
              <w:rPr>
                <w:rFonts w:cs="Calibri"/>
                <w:color w:val="000000"/>
                <w:sz w:val="22"/>
                <w:szCs w:val="22"/>
                <w:lang w:val="es-ES"/>
              </w:rPr>
              <w:t>Jurisdicción Sanitaria  VII San Fernando</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574,750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Infantil Tamaulipas</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11,423,100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 xml:space="preserve">Jurisdicción Sanitaria  VIII </w:t>
            </w:r>
            <w:proofErr w:type="spellStart"/>
            <w:r w:rsidRPr="000C6D0E">
              <w:rPr>
                <w:rFonts w:cs="Calibri"/>
                <w:color w:val="000000"/>
                <w:sz w:val="22"/>
                <w:szCs w:val="22"/>
                <w:lang w:val="es-ES"/>
              </w:rPr>
              <w:t>Jaumave</w:t>
            </w:r>
            <w:proofErr w:type="spellEnd"/>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786,500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Integral Abasolo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403,000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Jurisdicción Sanitaria IX Miguel Alemán</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574,750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Integral de Aldama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814,450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Jurisdicción Sanitaria X Valle Hermoso</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786,000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 xml:space="preserve">Hospital Integral de </w:t>
            </w:r>
            <w:proofErr w:type="spellStart"/>
            <w:r w:rsidRPr="000C6D0E">
              <w:rPr>
                <w:rFonts w:cs="Calibri"/>
                <w:sz w:val="22"/>
                <w:szCs w:val="22"/>
              </w:rPr>
              <w:t>Jaumave</w:t>
            </w:r>
            <w:proofErr w:type="spellEnd"/>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396,000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Jurisdicción Sanitaria XI Padilla</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877,250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 xml:space="preserve">Hospital Integral Miguel </w:t>
            </w:r>
            <w:r w:rsidRPr="000C6D0E">
              <w:rPr>
                <w:rFonts w:cs="Calibri"/>
                <w:sz w:val="22"/>
                <w:szCs w:val="22"/>
              </w:rPr>
              <w:lastRenderedPageBreak/>
              <w:t>Alemán</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lastRenderedPageBreak/>
              <w:t>378,000</w:t>
            </w:r>
          </w:p>
        </w:tc>
        <w:tc>
          <w:tcPr>
            <w:tcW w:w="3676" w:type="dxa"/>
            <w:shd w:val="clear" w:color="auto" w:fill="auto"/>
            <w:vAlign w:val="center"/>
          </w:tcPr>
          <w:p w:rsidR="000C6D0E" w:rsidRPr="000C6D0E" w:rsidRDefault="000C6D0E" w:rsidP="00BC3195">
            <w:pPr>
              <w:jc w:val="both"/>
              <w:rPr>
                <w:rFonts w:cs="Calibri"/>
                <w:color w:val="000000"/>
                <w:sz w:val="22"/>
                <w:szCs w:val="22"/>
              </w:rPr>
            </w:pPr>
            <w:r w:rsidRPr="000C6D0E">
              <w:rPr>
                <w:rFonts w:cs="Calibri"/>
                <w:color w:val="000000"/>
                <w:sz w:val="22"/>
                <w:szCs w:val="22"/>
                <w:lang w:val="es-ES"/>
              </w:rPr>
              <w:t>Jurisdicción Sanitaria XII Altamira</w:t>
            </w:r>
          </w:p>
        </w:tc>
        <w:tc>
          <w:tcPr>
            <w:tcW w:w="1065" w:type="dxa"/>
            <w:shd w:val="clear" w:color="auto" w:fill="auto"/>
          </w:tcPr>
          <w:p w:rsidR="000C6D0E" w:rsidRPr="000C6D0E" w:rsidRDefault="000C6D0E" w:rsidP="00BC3195">
            <w:pPr>
              <w:jc w:val="right"/>
              <w:rPr>
                <w:rFonts w:cs="Calibri"/>
                <w:sz w:val="22"/>
                <w:szCs w:val="22"/>
                <w:lang w:val="es-ES"/>
              </w:rPr>
            </w:pPr>
            <w:r w:rsidRPr="000C6D0E">
              <w:rPr>
                <w:rFonts w:cs="Calibri"/>
                <w:sz w:val="22"/>
                <w:szCs w:val="22"/>
                <w:lang w:val="es-ES"/>
              </w:rPr>
              <w:t>1,141,300</w:t>
            </w: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lastRenderedPageBreak/>
              <w:t>Hospital Materno Infantil Reynosa</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5,460,000</w:t>
            </w:r>
          </w:p>
        </w:tc>
        <w:tc>
          <w:tcPr>
            <w:tcW w:w="3676" w:type="dxa"/>
            <w:shd w:val="clear" w:color="auto" w:fill="auto"/>
            <w:vAlign w:val="center"/>
          </w:tcPr>
          <w:p w:rsidR="000C6D0E" w:rsidRPr="000C6D0E" w:rsidRDefault="000C6D0E" w:rsidP="00BC3195">
            <w:pPr>
              <w:rPr>
                <w:rFonts w:cs="Calibri"/>
                <w:color w:val="000000"/>
                <w:sz w:val="22"/>
                <w:szCs w:val="22"/>
              </w:rPr>
            </w:pPr>
          </w:p>
        </w:tc>
        <w:tc>
          <w:tcPr>
            <w:tcW w:w="1065" w:type="dxa"/>
            <w:shd w:val="clear" w:color="auto" w:fill="auto"/>
            <w:vAlign w:val="center"/>
          </w:tcPr>
          <w:p w:rsidR="000C6D0E" w:rsidRPr="000C6D0E" w:rsidRDefault="000C6D0E" w:rsidP="00BC3195">
            <w:pPr>
              <w:jc w:val="right"/>
              <w:rPr>
                <w:rFonts w:cs="Calibri"/>
                <w:sz w:val="22"/>
                <w:szCs w:val="22"/>
                <w:lang w:val="es-ES"/>
              </w:rPr>
            </w:pPr>
          </w:p>
        </w:tc>
      </w:tr>
      <w:tr w:rsidR="000C6D0E" w:rsidRPr="000C6D0E" w:rsidTr="00BC3195">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Hospital Psiquiátrico Tampico</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1,050,000</w:t>
            </w:r>
          </w:p>
        </w:tc>
        <w:tc>
          <w:tcPr>
            <w:tcW w:w="3676" w:type="dxa"/>
            <w:shd w:val="clear" w:color="auto" w:fill="auto"/>
          </w:tcPr>
          <w:p w:rsidR="000C6D0E" w:rsidRPr="000C6D0E" w:rsidRDefault="000C6D0E" w:rsidP="00BC3195">
            <w:pPr>
              <w:jc w:val="both"/>
              <w:rPr>
                <w:rFonts w:cs="Calibri"/>
                <w:sz w:val="22"/>
                <w:szCs w:val="22"/>
                <w:lang w:val="es-ES"/>
              </w:rPr>
            </w:pPr>
          </w:p>
        </w:tc>
        <w:tc>
          <w:tcPr>
            <w:tcW w:w="1065" w:type="dxa"/>
            <w:shd w:val="clear" w:color="auto" w:fill="auto"/>
          </w:tcPr>
          <w:p w:rsidR="000C6D0E" w:rsidRPr="000C6D0E" w:rsidRDefault="000C6D0E" w:rsidP="00BC3195">
            <w:pPr>
              <w:jc w:val="right"/>
              <w:rPr>
                <w:rFonts w:cs="Calibri"/>
                <w:sz w:val="22"/>
                <w:szCs w:val="22"/>
                <w:lang w:val="es-ES"/>
              </w:rPr>
            </w:pPr>
          </w:p>
        </w:tc>
      </w:tr>
      <w:tr w:rsidR="000C6D0E" w:rsidRPr="000C6D0E" w:rsidTr="00BC3195">
        <w:trPr>
          <w:trHeight w:val="251"/>
        </w:trPr>
        <w:tc>
          <w:tcPr>
            <w:tcW w:w="2940" w:type="dxa"/>
            <w:shd w:val="clear" w:color="auto" w:fill="auto"/>
          </w:tcPr>
          <w:p w:rsidR="000C6D0E" w:rsidRPr="000C6D0E" w:rsidRDefault="000C6D0E" w:rsidP="00BC3195">
            <w:pPr>
              <w:rPr>
                <w:rFonts w:cs="Calibri"/>
                <w:sz w:val="22"/>
                <w:szCs w:val="22"/>
              </w:rPr>
            </w:pPr>
            <w:r w:rsidRPr="000C6D0E">
              <w:rPr>
                <w:rFonts w:cs="Calibri"/>
                <w:sz w:val="22"/>
                <w:szCs w:val="22"/>
              </w:rPr>
              <w:t>Laboratorio Estatal</w:t>
            </w:r>
          </w:p>
        </w:tc>
        <w:tc>
          <w:tcPr>
            <w:tcW w:w="1078" w:type="dxa"/>
            <w:shd w:val="clear" w:color="auto" w:fill="auto"/>
            <w:vAlign w:val="center"/>
          </w:tcPr>
          <w:p w:rsidR="000C6D0E" w:rsidRPr="000C6D0E" w:rsidRDefault="000C6D0E" w:rsidP="00BC3195">
            <w:pPr>
              <w:ind w:right="-59"/>
              <w:jc w:val="right"/>
              <w:rPr>
                <w:rFonts w:cs="Calibri"/>
                <w:sz w:val="22"/>
                <w:szCs w:val="22"/>
              </w:rPr>
            </w:pPr>
            <w:r w:rsidRPr="000C6D0E">
              <w:rPr>
                <w:rFonts w:cs="Calibri"/>
                <w:sz w:val="22"/>
                <w:szCs w:val="22"/>
              </w:rPr>
              <w:t>659,600</w:t>
            </w:r>
          </w:p>
        </w:tc>
        <w:tc>
          <w:tcPr>
            <w:tcW w:w="3676" w:type="dxa"/>
            <w:shd w:val="clear" w:color="auto" w:fill="auto"/>
          </w:tcPr>
          <w:p w:rsidR="000C6D0E" w:rsidRPr="000C6D0E" w:rsidRDefault="000C6D0E" w:rsidP="00BC3195">
            <w:pPr>
              <w:jc w:val="both"/>
              <w:rPr>
                <w:rFonts w:cs="Calibri"/>
                <w:sz w:val="22"/>
                <w:szCs w:val="22"/>
                <w:lang w:val="es-ES"/>
              </w:rPr>
            </w:pPr>
          </w:p>
        </w:tc>
        <w:tc>
          <w:tcPr>
            <w:tcW w:w="1065" w:type="dxa"/>
            <w:shd w:val="clear" w:color="auto" w:fill="auto"/>
          </w:tcPr>
          <w:p w:rsidR="000C6D0E" w:rsidRPr="000C6D0E" w:rsidRDefault="000C6D0E" w:rsidP="00BC3195">
            <w:pPr>
              <w:jc w:val="right"/>
              <w:rPr>
                <w:rFonts w:cs="Calibri"/>
                <w:sz w:val="22"/>
                <w:szCs w:val="22"/>
                <w:lang w:val="es-ES"/>
              </w:rPr>
            </w:pPr>
          </w:p>
        </w:tc>
      </w:tr>
    </w:tbl>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t>Derechos a recibir Efectivo y Equivalentes y Bienes o Servicios a Recibir</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Prrafodelista"/>
        <w:numPr>
          <w:ilvl w:val="0"/>
          <w:numId w:val="39"/>
        </w:numPr>
        <w:suppressAutoHyphens w:val="0"/>
        <w:autoSpaceDN/>
        <w:spacing w:after="0" w:line="240" w:lineRule="auto"/>
        <w:contextualSpacing/>
        <w:textAlignment w:val="auto"/>
        <w:rPr>
          <w:rFonts w:cs="Calibri"/>
        </w:rPr>
      </w:pPr>
      <w:r w:rsidRPr="000C6D0E">
        <w:rPr>
          <w:rFonts w:cs="Calibri"/>
          <w:lang w:val="es-ES"/>
        </w:rPr>
        <w:t xml:space="preserve">Cuentas por </w:t>
      </w:r>
      <w:r w:rsidR="004B564C">
        <w:rPr>
          <w:rFonts w:cs="Calibri"/>
          <w:lang w:val="es-ES"/>
        </w:rPr>
        <w:t>Cobrar a Corto Plazo………..</w:t>
      </w:r>
      <w:r w:rsidRPr="000C6D0E">
        <w:rPr>
          <w:rFonts w:cs="Calibri"/>
          <w:lang w:val="es-ES"/>
        </w:rPr>
        <w:t>….…………</w:t>
      </w:r>
      <w:r w:rsidR="001E2392">
        <w:rPr>
          <w:rFonts w:cs="Calibri"/>
          <w:lang w:val="es-ES"/>
        </w:rPr>
        <w:t>…………………………………..………….$ 64’434,543</w:t>
      </w:r>
    </w:p>
    <w:p w:rsidR="000C6D0E" w:rsidRPr="000C6D0E" w:rsidRDefault="000C6D0E" w:rsidP="000C6D0E">
      <w:pPr>
        <w:pStyle w:val="Prrafodelista"/>
        <w:spacing w:after="0" w:line="240" w:lineRule="auto"/>
        <w:ind w:left="1080"/>
        <w:rPr>
          <w:rFonts w:cs="Calibri"/>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 xml:space="preserve">El saldo de esta cuenta se genera por la prestación de servicios y atención médica brindada a la población abierta, así como por Convenios de servicios celebrados con Instituciones Públicas y Privadas. </w:t>
      </w:r>
    </w:p>
    <w:p w:rsidR="000C6D0E" w:rsidRPr="000C6D0E" w:rsidRDefault="000C6D0E" w:rsidP="000C6D0E">
      <w:pPr>
        <w:pStyle w:val="Prrafodelista"/>
        <w:spacing w:after="0" w:line="240" w:lineRule="auto"/>
        <w:ind w:left="0"/>
        <w:jc w:val="both"/>
        <w:rPr>
          <w:rFonts w:cs="Calibri"/>
          <w:lang w:val="es-ES"/>
        </w:rPr>
      </w:pPr>
    </w:p>
    <w:p w:rsidR="000C6D0E" w:rsidRPr="000C6D0E" w:rsidRDefault="000C6D0E" w:rsidP="000C6D0E">
      <w:pPr>
        <w:pStyle w:val="Prrafodelista"/>
        <w:numPr>
          <w:ilvl w:val="0"/>
          <w:numId w:val="39"/>
        </w:numPr>
        <w:suppressAutoHyphens w:val="0"/>
        <w:autoSpaceDN/>
        <w:spacing w:after="0" w:line="240" w:lineRule="auto"/>
        <w:contextualSpacing/>
        <w:textAlignment w:val="auto"/>
        <w:rPr>
          <w:rFonts w:cs="Calibri"/>
        </w:rPr>
      </w:pPr>
      <w:r w:rsidRPr="000C6D0E">
        <w:rPr>
          <w:rFonts w:cs="Calibri"/>
          <w:lang w:val="es-ES"/>
        </w:rPr>
        <w:t>Deudores Diversos por Cobrar a corto pla</w:t>
      </w:r>
      <w:r w:rsidR="004B564C">
        <w:rPr>
          <w:rFonts w:cs="Calibri"/>
          <w:lang w:val="es-ES"/>
        </w:rPr>
        <w:t>zo…………...……….</w:t>
      </w:r>
      <w:r w:rsidRPr="000C6D0E">
        <w:rPr>
          <w:rFonts w:cs="Calibri"/>
          <w:lang w:val="es-ES"/>
        </w:rPr>
        <w:t xml:space="preserve">………………….………….$ </w:t>
      </w:r>
      <w:r w:rsidRPr="000C6D0E">
        <w:rPr>
          <w:rFonts w:cs="Calibri"/>
        </w:rPr>
        <w:t>152’547,604</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Su saldo integra principalmente el importe de documentos por cobrar de ejercicios anteriores, los viáticos pendientes de comprobar entregados a los trabajadores y funcionarios, así como por otros gastos pendientes de comprobación.</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39"/>
        </w:numPr>
        <w:suppressAutoHyphens w:val="0"/>
        <w:autoSpaceDN/>
        <w:spacing w:after="0" w:line="240" w:lineRule="auto"/>
        <w:contextualSpacing/>
        <w:textAlignment w:val="auto"/>
        <w:rPr>
          <w:rFonts w:cs="Calibri"/>
          <w:lang w:val="es-ES"/>
        </w:rPr>
      </w:pPr>
      <w:r w:rsidRPr="000C6D0E">
        <w:rPr>
          <w:rFonts w:cs="Calibri"/>
          <w:lang w:val="es-ES"/>
        </w:rPr>
        <w:t>Otros Derechos a recibir efectivo o equiv</w:t>
      </w:r>
      <w:r w:rsidR="004B564C">
        <w:rPr>
          <w:rFonts w:cs="Calibri"/>
          <w:lang w:val="es-ES"/>
        </w:rPr>
        <w:t>alentes a corto plazo……….….…</w:t>
      </w:r>
      <w:r w:rsidRPr="000C6D0E">
        <w:rPr>
          <w:rFonts w:cs="Calibri"/>
          <w:lang w:val="es-ES"/>
        </w:rPr>
        <w:t>.………..$ 26’563,602</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Su saldo integra por un saldo a favor del Impuesto Estatal sobre remuneraciones al trabajo personal subordinado e impuestos Federales.</w:t>
      </w:r>
    </w:p>
    <w:p w:rsidR="000C6D0E" w:rsidRPr="000C6D0E" w:rsidRDefault="000C6D0E" w:rsidP="000C6D0E">
      <w:pPr>
        <w:pStyle w:val="Prrafodelista"/>
        <w:spacing w:after="0" w:line="240" w:lineRule="auto"/>
        <w:ind w:left="0"/>
        <w:jc w:val="both"/>
        <w:rPr>
          <w:rFonts w:cs="Calibri"/>
          <w:lang w:val="es-ES"/>
        </w:rPr>
      </w:pPr>
    </w:p>
    <w:p w:rsidR="004B564C" w:rsidRPr="004B564C" w:rsidRDefault="000C6D0E" w:rsidP="000C6D0E">
      <w:pPr>
        <w:pStyle w:val="Prrafodelista"/>
        <w:numPr>
          <w:ilvl w:val="0"/>
          <w:numId w:val="39"/>
        </w:numPr>
        <w:suppressAutoHyphens w:val="0"/>
        <w:autoSpaceDN/>
        <w:spacing w:after="0" w:line="240" w:lineRule="auto"/>
        <w:contextualSpacing/>
        <w:jc w:val="both"/>
        <w:textAlignment w:val="auto"/>
        <w:rPr>
          <w:rFonts w:cs="Calibri"/>
        </w:rPr>
      </w:pPr>
      <w:r w:rsidRPr="000C6D0E">
        <w:rPr>
          <w:rFonts w:cs="Calibri"/>
          <w:lang w:val="es-ES"/>
        </w:rPr>
        <w:t xml:space="preserve">Anticipo a Proveedores por Adquisición de Bienes y Prestación de Servicios a Corto </w:t>
      </w:r>
    </w:p>
    <w:p w:rsidR="000C6D0E" w:rsidRPr="000C6D0E" w:rsidRDefault="000C6D0E" w:rsidP="004B564C">
      <w:pPr>
        <w:pStyle w:val="Prrafodelista"/>
        <w:suppressAutoHyphens w:val="0"/>
        <w:autoSpaceDN/>
        <w:spacing w:after="0" w:line="240" w:lineRule="auto"/>
        <w:ind w:left="1080"/>
        <w:contextualSpacing/>
        <w:jc w:val="both"/>
        <w:textAlignment w:val="auto"/>
        <w:rPr>
          <w:rFonts w:cs="Calibri"/>
        </w:rPr>
      </w:pPr>
      <w:r w:rsidRPr="000C6D0E">
        <w:rPr>
          <w:rFonts w:cs="Calibri"/>
          <w:lang w:val="es-ES"/>
        </w:rPr>
        <w:t>Plazo…….……..…………….……………………………………………………</w:t>
      </w:r>
      <w:r w:rsidR="004B564C">
        <w:rPr>
          <w:rFonts w:cs="Calibri"/>
          <w:lang w:val="es-ES"/>
        </w:rPr>
        <w:t>………………….</w:t>
      </w:r>
      <w:r w:rsidRPr="000C6D0E">
        <w:rPr>
          <w:rFonts w:cs="Calibri"/>
          <w:lang w:val="es-ES"/>
        </w:rPr>
        <w:t xml:space="preserve">………..$  </w:t>
      </w:r>
      <w:r w:rsidR="00A0751B">
        <w:rPr>
          <w:rFonts w:cs="Calibri"/>
        </w:rPr>
        <w:t>23’654,719</w:t>
      </w:r>
    </w:p>
    <w:p w:rsidR="000C6D0E" w:rsidRPr="000C6D0E" w:rsidRDefault="000C6D0E" w:rsidP="000C6D0E">
      <w:pPr>
        <w:pStyle w:val="Prrafodelista"/>
        <w:spacing w:after="0" w:line="240" w:lineRule="auto"/>
        <w:ind w:left="1080"/>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Esta cuenta refleja el importe de los pagos efectuados a proveedores por concepto de anticipo de bienes o servicios.</w:t>
      </w:r>
    </w:p>
    <w:p w:rsidR="000C6D0E" w:rsidRPr="000C6D0E" w:rsidRDefault="000C6D0E" w:rsidP="000C6D0E">
      <w:pPr>
        <w:pStyle w:val="Prrafodelista"/>
        <w:spacing w:after="0" w:line="240" w:lineRule="auto"/>
        <w:jc w:val="both"/>
        <w:rPr>
          <w:rFonts w:cs="Calibri"/>
          <w:lang w:val="es-ES"/>
        </w:rPr>
      </w:pPr>
    </w:p>
    <w:p w:rsidR="004B564C" w:rsidRDefault="000C6D0E" w:rsidP="000C6D0E">
      <w:pPr>
        <w:pStyle w:val="Prrafodelista"/>
        <w:numPr>
          <w:ilvl w:val="0"/>
          <w:numId w:val="39"/>
        </w:numPr>
        <w:suppressAutoHyphens w:val="0"/>
        <w:autoSpaceDN/>
        <w:spacing w:after="0" w:line="240" w:lineRule="auto"/>
        <w:contextualSpacing/>
        <w:jc w:val="both"/>
        <w:textAlignment w:val="auto"/>
        <w:rPr>
          <w:rFonts w:cs="Calibri"/>
          <w:lang w:val="es-ES"/>
        </w:rPr>
      </w:pPr>
      <w:r w:rsidRPr="000C6D0E">
        <w:rPr>
          <w:rFonts w:cs="Calibri"/>
          <w:lang w:val="es-ES"/>
        </w:rPr>
        <w:t xml:space="preserve">Anticipo a Proveedores por Adquisición de Bienes Intangibles a Corto </w:t>
      </w:r>
    </w:p>
    <w:p w:rsidR="000C6D0E" w:rsidRPr="000C6D0E" w:rsidRDefault="000C6D0E" w:rsidP="004B564C">
      <w:pPr>
        <w:pStyle w:val="Prrafodelista"/>
        <w:suppressAutoHyphens w:val="0"/>
        <w:autoSpaceDN/>
        <w:spacing w:after="0" w:line="240" w:lineRule="auto"/>
        <w:ind w:left="1080"/>
        <w:contextualSpacing/>
        <w:jc w:val="both"/>
        <w:textAlignment w:val="auto"/>
        <w:rPr>
          <w:rFonts w:cs="Calibri"/>
          <w:lang w:val="es-ES"/>
        </w:rPr>
      </w:pPr>
      <w:r w:rsidRPr="000C6D0E">
        <w:rPr>
          <w:rFonts w:cs="Calibri"/>
          <w:lang w:val="es-ES"/>
        </w:rPr>
        <w:t>Plazo……….…………………………...…………………………………………………</w:t>
      </w:r>
      <w:r w:rsidR="004B564C">
        <w:rPr>
          <w:rFonts w:cs="Calibri"/>
          <w:lang w:val="es-ES"/>
        </w:rPr>
        <w:t>…………………….</w:t>
      </w:r>
      <w:r w:rsidRPr="000C6D0E">
        <w:rPr>
          <w:rFonts w:cs="Calibri"/>
          <w:lang w:val="es-ES"/>
        </w:rPr>
        <w:t>..…</w:t>
      </w:r>
      <w:proofErr w:type="gramStart"/>
      <w:r w:rsidRPr="000C6D0E">
        <w:rPr>
          <w:rFonts w:cs="Calibri"/>
          <w:lang w:val="es-ES"/>
        </w:rPr>
        <w:t>.$</w:t>
      </w:r>
      <w:proofErr w:type="gramEnd"/>
      <w:r w:rsidRPr="000C6D0E">
        <w:rPr>
          <w:rFonts w:cs="Calibri"/>
          <w:lang w:val="es-ES"/>
        </w:rPr>
        <w:t xml:space="preserve">  10,111</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Esta cuenta refleja el importe de los pagos efectuados a proveedores por concepto de anticipo de bienes o servicios.</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39"/>
        </w:numPr>
        <w:suppressAutoHyphens w:val="0"/>
        <w:autoSpaceDN/>
        <w:spacing w:after="0" w:line="240" w:lineRule="auto"/>
        <w:contextualSpacing/>
        <w:jc w:val="both"/>
        <w:textAlignment w:val="auto"/>
        <w:rPr>
          <w:rFonts w:cs="Calibri"/>
        </w:rPr>
      </w:pPr>
      <w:r w:rsidRPr="000C6D0E">
        <w:rPr>
          <w:rFonts w:cs="Calibri"/>
          <w:lang w:val="es-ES"/>
        </w:rPr>
        <w:t xml:space="preserve">Anticipo a Contratistas por Obras Públicas a Corto Plazo………………………………….$ </w:t>
      </w:r>
      <w:r w:rsidRPr="000C6D0E">
        <w:rPr>
          <w:rFonts w:cs="Calibri"/>
        </w:rPr>
        <w:t>56’203,290</w:t>
      </w:r>
    </w:p>
    <w:p w:rsidR="000C6D0E" w:rsidRPr="000C6D0E" w:rsidRDefault="000C6D0E" w:rsidP="000C6D0E">
      <w:pPr>
        <w:pStyle w:val="Prrafodelista"/>
        <w:spacing w:after="0" w:line="240" w:lineRule="auto"/>
        <w:ind w:left="1080"/>
        <w:jc w:val="both"/>
        <w:rPr>
          <w:rFonts w:cs="Calibri"/>
        </w:rPr>
      </w:pPr>
    </w:p>
    <w:p w:rsidR="000C6D0E" w:rsidRPr="000C6D0E" w:rsidRDefault="000C6D0E" w:rsidP="000C6D0E">
      <w:pPr>
        <w:ind w:left="708"/>
        <w:jc w:val="both"/>
        <w:rPr>
          <w:rFonts w:cs="Calibri"/>
          <w:sz w:val="22"/>
          <w:szCs w:val="22"/>
          <w:lang w:val="es-ES"/>
        </w:rPr>
      </w:pPr>
      <w:r w:rsidRPr="000C6D0E">
        <w:rPr>
          <w:rFonts w:cs="Calibri"/>
          <w:sz w:val="22"/>
          <w:szCs w:val="22"/>
          <w:lang w:val="es-ES"/>
        </w:rPr>
        <w:t>Representa el importe de los anticipos pendientes de amortizar otorgados para la realización de una obra pública.</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Default="000C6D0E" w:rsidP="000C6D0E">
      <w:pPr>
        <w:pStyle w:val="Texto"/>
        <w:spacing w:after="0" w:line="240" w:lineRule="auto"/>
        <w:ind w:left="624" w:firstLine="0"/>
        <w:rPr>
          <w:rFonts w:ascii="Encode Sans" w:hAnsi="Encode Sans" w:cs="DIN Pro Regular"/>
          <w:b/>
          <w:sz w:val="20"/>
          <w:lang w:val="es-MX"/>
        </w:rPr>
      </w:pPr>
    </w:p>
    <w:p w:rsidR="000C6D0E" w:rsidRDefault="000C6D0E" w:rsidP="000C6D0E">
      <w:pPr>
        <w:pStyle w:val="Texto"/>
        <w:spacing w:after="0" w:line="240" w:lineRule="auto"/>
        <w:ind w:left="624" w:firstLine="0"/>
        <w:rPr>
          <w:rFonts w:ascii="Encode Sans" w:hAnsi="Encode Sans" w:cs="DIN Pro Regular"/>
          <w:b/>
          <w:sz w:val="20"/>
          <w:lang w:val="es-MX"/>
        </w:rPr>
      </w:pPr>
    </w:p>
    <w:p w:rsidR="000C6D0E" w:rsidRDefault="000C6D0E" w:rsidP="000C6D0E">
      <w:pPr>
        <w:pStyle w:val="Texto"/>
        <w:spacing w:after="0" w:line="240" w:lineRule="auto"/>
        <w:ind w:left="624" w:firstLine="0"/>
        <w:rPr>
          <w:rFonts w:ascii="Encode Sans" w:hAnsi="Encode Sans" w:cs="DIN Pro Regular"/>
          <w:b/>
          <w:sz w:val="20"/>
          <w:lang w:val="es-MX"/>
        </w:rPr>
      </w:pPr>
    </w:p>
    <w:p w:rsidR="000C6D0E" w:rsidRDefault="000C6D0E" w:rsidP="000C6D0E">
      <w:pPr>
        <w:pStyle w:val="Texto"/>
        <w:spacing w:after="0" w:line="240" w:lineRule="auto"/>
        <w:ind w:left="624" w:firstLine="0"/>
        <w:rPr>
          <w:rFonts w:ascii="Encode Sans" w:hAnsi="Encode Sans" w:cs="DIN Pro Regular"/>
          <w:b/>
          <w:sz w:val="20"/>
          <w:lang w:val="es-MX"/>
        </w:rPr>
      </w:pP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lastRenderedPageBreak/>
        <w:t>Almacenes</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Prrafodelista"/>
        <w:numPr>
          <w:ilvl w:val="0"/>
          <w:numId w:val="39"/>
        </w:numPr>
        <w:suppressAutoHyphens w:val="0"/>
        <w:autoSpaceDN/>
        <w:spacing w:after="0" w:line="240" w:lineRule="auto"/>
        <w:contextualSpacing/>
        <w:jc w:val="both"/>
        <w:textAlignment w:val="auto"/>
        <w:rPr>
          <w:rFonts w:cs="Calibri"/>
        </w:rPr>
      </w:pPr>
      <w:r w:rsidRPr="000C6D0E">
        <w:rPr>
          <w:rFonts w:cs="Calibri"/>
          <w:lang w:val="es-ES"/>
        </w:rPr>
        <w:t>Almacén de Materiales y Suministros de Consumo</w:t>
      </w:r>
      <w:r w:rsidR="00FD32C7" w:rsidRPr="000C6D0E">
        <w:rPr>
          <w:rFonts w:cs="Calibri"/>
          <w:lang w:val="es-ES"/>
        </w:rPr>
        <w:t>...</w:t>
      </w:r>
      <w:r w:rsidRPr="000C6D0E">
        <w:rPr>
          <w:rFonts w:cs="Calibri"/>
          <w:lang w:val="es-ES"/>
        </w:rPr>
        <w:t xml:space="preserve">………………………………..….$ </w:t>
      </w:r>
      <w:r w:rsidR="00A0751B">
        <w:rPr>
          <w:rFonts w:cs="Calibri"/>
        </w:rPr>
        <w:t>1’854’224,106</w:t>
      </w:r>
    </w:p>
    <w:p w:rsidR="000C6D0E" w:rsidRPr="000C6D0E" w:rsidRDefault="000C6D0E" w:rsidP="000C6D0E">
      <w:pPr>
        <w:pStyle w:val="Prrafodelista"/>
        <w:spacing w:after="0" w:line="240" w:lineRule="auto"/>
        <w:ind w:left="1080"/>
        <w:rPr>
          <w:rFonts w:cs="Calibri"/>
        </w:rPr>
      </w:pPr>
    </w:p>
    <w:p w:rsidR="000C6D0E" w:rsidRPr="000C6D0E" w:rsidRDefault="000C6D0E" w:rsidP="000C6D0E">
      <w:pPr>
        <w:pStyle w:val="Prrafodelista"/>
        <w:spacing w:after="0" w:line="240" w:lineRule="auto"/>
        <w:ind w:left="709"/>
        <w:jc w:val="both"/>
        <w:rPr>
          <w:rFonts w:cs="Calibri"/>
          <w:lang w:val="es-ES"/>
        </w:rPr>
      </w:pPr>
      <w:r w:rsidRPr="000C6D0E">
        <w:rPr>
          <w:rFonts w:cs="Calibri"/>
          <w:lang w:val="es-ES"/>
        </w:rPr>
        <w:t xml:space="preserve">Al cierre del </w:t>
      </w:r>
      <w:r w:rsidR="004B564C">
        <w:rPr>
          <w:rFonts w:cs="Calibri"/>
          <w:lang w:val="es-ES"/>
        </w:rPr>
        <w:t>ejercicio</w:t>
      </w:r>
      <w:r w:rsidRPr="000C6D0E">
        <w:rPr>
          <w:rFonts w:cs="Calibri"/>
          <w:lang w:val="es-ES"/>
        </w:rPr>
        <w:t xml:space="preserve"> 2024, el saldo más representativo de esta cuenta se integra por el valor de las existencias de materiales, medicamentos y suministros del Organismo para llevar a cabo la prestación de servicios médicos en el Estado.</w:t>
      </w:r>
    </w:p>
    <w:p w:rsidR="000C6D0E" w:rsidRPr="000C6D0E" w:rsidRDefault="000C6D0E" w:rsidP="000C6D0E">
      <w:pPr>
        <w:pStyle w:val="Prrafodelista"/>
        <w:spacing w:after="0" w:line="240" w:lineRule="auto"/>
        <w:ind w:left="709"/>
        <w:jc w:val="both"/>
        <w:rPr>
          <w:rFonts w:cs="Calibri"/>
          <w:lang w:val="es-ES"/>
        </w:rPr>
      </w:pPr>
    </w:p>
    <w:p w:rsidR="000C6D0E" w:rsidRPr="000C6D0E" w:rsidRDefault="000C6D0E" w:rsidP="000C6D0E">
      <w:pPr>
        <w:pStyle w:val="Prrafodelista"/>
        <w:spacing w:after="0" w:line="240" w:lineRule="auto"/>
        <w:ind w:left="709"/>
        <w:jc w:val="both"/>
        <w:rPr>
          <w:rFonts w:cs="Calibri"/>
          <w:lang w:val="es-ES"/>
        </w:rPr>
      </w:pPr>
      <w:r w:rsidRPr="000C6D0E">
        <w:rPr>
          <w:rFonts w:cs="Calibri"/>
          <w:lang w:val="es-ES"/>
        </w:rPr>
        <w:t>El sistema de contabilidad integra 65 almacenes, ubicados en las distintas unidades médicas y jurisdicciones sanitarias en el Estado.</w:t>
      </w:r>
    </w:p>
    <w:p w:rsidR="000C6D0E" w:rsidRPr="000C6D0E" w:rsidRDefault="000C6D0E" w:rsidP="000C6D0E">
      <w:pPr>
        <w:pStyle w:val="Prrafodelista"/>
        <w:spacing w:after="0" w:line="240" w:lineRule="auto"/>
        <w:ind w:left="709"/>
        <w:jc w:val="both"/>
        <w:rPr>
          <w:rFonts w:cs="Calibri"/>
          <w:lang w:val="es-ES"/>
        </w:rPr>
      </w:pPr>
    </w:p>
    <w:p w:rsidR="000C6D0E" w:rsidRPr="000C6D0E" w:rsidRDefault="000C6D0E" w:rsidP="000C6D0E">
      <w:pPr>
        <w:pStyle w:val="Prrafodelista"/>
        <w:spacing w:after="0" w:line="240" w:lineRule="auto"/>
        <w:ind w:left="709"/>
        <w:jc w:val="both"/>
        <w:rPr>
          <w:rFonts w:cs="Calibri"/>
          <w:lang w:val="es-ES"/>
        </w:rPr>
      </w:pPr>
      <w:r w:rsidRPr="000C6D0E">
        <w:rPr>
          <w:rFonts w:cs="Calibri"/>
          <w:lang w:val="es-ES"/>
        </w:rPr>
        <w:t>Dentro de ellos existe el Almacén Central, ubicado en Cd. Victoria, en el cual se reciben la mayor parte de las adquisiciones y bienes recibidos en especie, los cuales son distribuidos de acuerdo a las necesidades de las unidades médicas. Su saldo al mes de diciembre ascendió a $ 1’301’851,681.89.</w:t>
      </w:r>
    </w:p>
    <w:p w:rsidR="000C6D0E" w:rsidRPr="000C6D0E" w:rsidRDefault="000C6D0E" w:rsidP="000C6D0E">
      <w:pPr>
        <w:pStyle w:val="Prrafodelista"/>
        <w:spacing w:after="0" w:line="240" w:lineRule="auto"/>
        <w:ind w:left="709"/>
        <w:jc w:val="both"/>
        <w:rPr>
          <w:rFonts w:cs="Calibri"/>
          <w:lang w:val="es-ES"/>
        </w:rPr>
      </w:pPr>
    </w:p>
    <w:p w:rsidR="000C6D0E" w:rsidRPr="000C6D0E" w:rsidRDefault="000C6D0E" w:rsidP="000C6D0E">
      <w:pPr>
        <w:pStyle w:val="Texto"/>
        <w:spacing w:after="0" w:line="240" w:lineRule="auto"/>
        <w:ind w:left="709" w:firstLine="0"/>
        <w:rPr>
          <w:rFonts w:ascii="Calibri" w:hAnsi="Calibri" w:cs="Calibri"/>
          <w:sz w:val="22"/>
          <w:szCs w:val="22"/>
        </w:rPr>
      </w:pPr>
      <w:r w:rsidRPr="000C6D0E">
        <w:rPr>
          <w:rFonts w:ascii="Calibri" w:hAnsi="Calibri" w:cs="Calibri"/>
          <w:sz w:val="22"/>
          <w:szCs w:val="22"/>
        </w:rPr>
        <w:t>La valuación del Almacén se lleva a cabo a través del método de Costos Promedios.</w:t>
      </w:r>
    </w:p>
    <w:p w:rsidR="000C6D0E" w:rsidRPr="000C6D0E" w:rsidRDefault="000C6D0E" w:rsidP="000C6D0E">
      <w:pPr>
        <w:pStyle w:val="Texto"/>
        <w:spacing w:after="0" w:line="240" w:lineRule="auto"/>
        <w:ind w:left="709" w:firstLine="0"/>
        <w:rPr>
          <w:rFonts w:ascii="Calibri" w:hAnsi="Calibri" w:cs="Calibri"/>
          <w:sz w:val="22"/>
          <w:szCs w:val="22"/>
        </w:rPr>
      </w:pP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t>Bienes Muebles, Inmuebles e Intangibles</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Texto"/>
        <w:spacing w:after="0" w:line="240" w:lineRule="auto"/>
        <w:ind w:left="624" w:firstLine="0"/>
        <w:rPr>
          <w:rFonts w:ascii="Calibri" w:hAnsi="Calibri" w:cs="Calibri"/>
          <w:b/>
          <w:sz w:val="22"/>
          <w:szCs w:val="22"/>
          <w:u w:val="single"/>
          <w:lang w:val="es-MX"/>
        </w:rPr>
      </w:pPr>
      <w:r w:rsidRPr="000C6D0E">
        <w:rPr>
          <w:rFonts w:ascii="Calibri" w:hAnsi="Calibri" w:cs="Calibri"/>
          <w:b/>
          <w:sz w:val="22"/>
          <w:szCs w:val="22"/>
          <w:u w:val="single"/>
          <w:lang w:val="es-MX"/>
        </w:rPr>
        <w:t xml:space="preserve">Bienes Inmuebles  </w:t>
      </w:r>
    </w:p>
    <w:p w:rsidR="000C6D0E" w:rsidRPr="000C6D0E" w:rsidRDefault="000C6D0E" w:rsidP="000C6D0E">
      <w:pPr>
        <w:pStyle w:val="Texto"/>
        <w:spacing w:after="0" w:line="240" w:lineRule="auto"/>
        <w:ind w:left="624" w:firstLine="0"/>
        <w:rPr>
          <w:rFonts w:ascii="Calibri" w:hAnsi="Calibri" w:cs="Calibri"/>
          <w:b/>
          <w:sz w:val="22"/>
          <w:szCs w:val="22"/>
          <w:u w:val="single"/>
          <w:lang w:val="es-MX"/>
        </w:rPr>
      </w:pPr>
    </w:p>
    <w:p w:rsidR="000C6D0E" w:rsidRPr="000C6D0E" w:rsidRDefault="000C6D0E" w:rsidP="000C6D0E">
      <w:pPr>
        <w:pStyle w:val="Prrafodelista"/>
        <w:numPr>
          <w:ilvl w:val="0"/>
          <w:numId w:val="27"/>
        </w:numPr>
        <w:suppressAutoHyphens w:val="0"/>
        <w:autoSpaceDN/>
        <w:spacing w:after="0" w:line="240" w:lineRule="auto"/>
        <w:contextualSpacing/>
        <w:jc w:val="both"/>
        <w:textAlignment w:val="auto"/>
        <w:rPr>
          <w:rFonts w:cs="Calibri"/>
          <w:lang w:val="es-ES"/>
        </w:rPr>
      </w:pPr>
      <w:r w:rsidRPr="000C6D0E">
        <w:rPr>
          <w:rFonts w:cs="Calibri"/>
          <w:lang w:val="es-ES"/>
        </w:rPr>
        <w:t>Terrenos………………………..…....................</w:t>
      </w:r>
      <w:r w:rsidR="00FD32C7">
        <w:rPr>
          <w:rFonts w:cs="Calibri"/>
          <w:lang w:val="es-ES"/>
        </w:rPr>
        <w:t>.............................</w:t>
      </w:r>
      <w:r w:rsidRPr="000C6D0E">
        <w:rPr>
          <w:rFonts w:cs="Calibri"/>
          <w:lang w:val="es-ES"/>
        </w:rPr>
        <w:t>.................................$ 374’628,808</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28"/>
        </w:numPr>
        <w:suppressAutoHyphens w:val="0"/>
        <w:autoSpaceDN/>
        <w:spacing w:after="0" w:line="240" w:lineRule="auto"/>
        <w:contextualSpacing/>
        <w:jc w:val="both"/>
        <w:textAlignment w:val="auto"/>
        <w:rPr>
          <w:rFonts w:cs="Calibri"/>
        </w:rPr>
      </w:pPr>
      <w:r w:rsidRPr="000C6D0E">
        <w:rPr>
          <w:rFonts w:cs="Calibri"/>
          <w:lang w:val="es-ES"/>
        </w:rPr>
        <w:t>Edificios no Habitacionales</w:t>
      </w:r>
      <w:r w:rsidRPr="00724DC0">
        <w:rPr>
          <w:rFonts w:cs="Calibri"/>
          <w:lang w:val="es-ES"/>
        </w:rPr>
        <w:t>…………….………………………………</w:t>
      </w:r>
      <w:r w:rsidR="00FD32C7" w:rsidRPr="00724DC0">
        <w:rPr>
          <w:rFonts w:cs="Calibri"/>
          <w:lang w:val="es-ES"/>
        </w:rPr>
        <w:t>……………</w:t>
      </w:r>
      <w:r w:rsidRPr="00724DC0">
        <w:rPr>
          <w:rFonts w:cs="Calibri"/>
          <w:lang w:val="es-ES"/>
        </w:rPr>
        <w:t xml:space="preserve">………..……..$  </w:t>
      </w:r>
      <w:r w:rsidR="0019468C" w:rsidRPr="00724DC0">
        <w:rPr>
          <w:rFonts w:cs="Calibri"/>
        </w:rPr>
        <w:t>3’374’124,36</w:t>
      </w:r>
      <w:r w:rsidR="00724DC0" w:rsidRPr="00724DC0">
        <w:rPr>
          <w:rFonts w:cs="Calibri"/>
        </w:rPr>
        <w:t>3</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28"/>
        </w:numPr>
        <w:suppressAutoHyphens w:val="0"/>
        <w:autoSpaceDN/>
        <w:spacing w:after="0" w:line="240" w:lineRule="auto"/>
        <w:contextualSpacing/>
        <w:jc w:val="both"/>
        <w:textAlignment w:val="auto"/>
        <w:rPr>
          <w:rFonts w:cs="Calibri"/>
        </w:rPr>
      </w:pPr>
      <w:r w:rsidRPr="000C6D0E">
        <w:rPr>
          <w:rFonts w:cs="Calibri"/>
          <w:lang w:val="es-ES"/>
        </w:rPr>
        <w:t>Construcciones en Proceso en bienes propios………..……………………</w:t>
      </w:r>
      <w:r w:rsidR="00EB0C8F">
        <w:rPr>
          <w:rFonts w:cs="Calibri"/>
          <w:lang w:val="es-ES"/>
        </w:rPr>
        <w:t>…</w:t>
      </w:r>
      <w:r w:rsidRPr="000C6D0E">
        <w:rPr>
          <w:rFonts w:cs="Calibri"/>
          <w:lang w:val="es-ES"/>
        </w:rPr>
        <w:t xml:space="preserve">……..…..…$ </w:t>
      </w:r>
      <w:r w:rsidR="00724DC0" w:rsidRPr="00EB0C8F">
        <w:rPr>
          <w:rFonts w:cs="Calibri"/>
        </w:rPr>
        <w:t>1’550’134,116</w:t>
      </w:r>
    </w:p>
    <w:p w:rsidR="000C6D0E" w:rsidRPr="000C6D0E" w:rsidRDefault="000C6D0E" w:rsidP="000C6D0E">
      <w:pPr>
        <w:pStyle w:val="Prrafodelista"/>
        <w:spacing w:after="0" w:line="240" w:lineRule="auto"/>
        <w:ind w:left="1080"/>
        <w:jc w:val="both"/>
        <w:rPr>
          <w:rFonts w:cs="Calibri"/>
          <w:lang w:val="es-ES"/>
        </w:rPr>
      </w:pPr>
    </w:p>
    <w:p w:rsidR="000C6D0E" w:rsidRPr="000C6D0E" w:rsidRDefault="000C6D0E" w:rsidP="000C6D0E">
      <w:pPr>
        <w:pStyle w:val="Prrafodelista"/>
        <w:spacing w:after="0" w:line="240" w:lineRule="auto"/>
        <w:jc w:val="both"/>
        <w:rPr>
          <w:rFonts w:cs="Calibri"/>
          <w:lang w:val="es-ES"/>
        </w:rPr>
      </w:pPr>
      <w:r w:rsidRPr="000C6D0E">
        <w:rPr>
          <w:rFonts w:cs="Calibri"/>
          <w:lang w:val="es-ES"/>
        </w:rPr>
        <w:t xml:space="preserve">Estas cuentas representan la infraestructura con la que cuenta el Organismo en el Estado en bienes inmuebles y obras en proceso al cierre del </w:t>
      </w:r>
      <w:r w:rsidR="00FD32C7">
        <w:rPr>
          <w:rFonts w:cs="Calibri"/>
          <w:lang w:val="es-ES"/>
        </w:rPr>
        <w:t>ejercicio</w:t>
      </w:r>
      <w:r w:rsidRPr="000C6D0E">
        <w:rPr>
          <w:rFonts w:cs="Calibri"/>
          <w:lang w:val="es-ES"/>
        </w:rPr>
        <w:t xml:space="preserve"> 2024.</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ROMANOS"/>
        <w:spacing w:after="0" w:line="240" w:lineRule="auto"/>
        <w:ind w:left="708" w:firstLine="0"/>
        <w:rPr>
          <w:rFonts w:ascii="Calibri" w:hAnsi="Calibri" w:cs="Calibri"/>
          <w:sz w:val="22"/>
          <w:szCs w:val="22"/>
        </w:rPr>
      </w:pPr>
      <w:r w:rsidRPr="000C6D0E">
        <w:rPr>
          <w:rFonts w:ascii="Calibri" w:hAnsi="Calibri" w:cs="Calibri"/>
          <w:sz w:val="22"/>
          <w:szCs w:val="22"/>
        </w:rPr>
        <w:t>En el Organismo existen Construcciones en Proceso, mismas que serán reclasificadas a la cuenta de Edificios No Habitacionales, cuando se cuente con su Acta de Entrega emitida por la Dirección de Desarrollo en Infraestructura.</w:t>
      </w:r>
    </w:p>
    <w:p w:rsidR="000C6D0E" w:rsidRPr="000C6D0E" w:rsidRDefault="000C6D0E" w:rsidP="000C6D0E">
      <w:pPr>
        <w:pStyle w:val="ROMANOS"/>
        <w:spacing w:after="0" w:line="240" w:lineRule="auto"/>
        <w:ind w:left="0" w:firstLine="0"/>
        <w:rPr>
          <w:rFonts w:ascii="Calibri" w:hAnsi="Calibri" w:cs="Calibri"/>
          <w:sz w:val="22"/>
          <w:szCs w:val="22"/>
        </w:rPr>
      </w:pPr>
    </w:p>
    <w:p w:rsidR="000C6D0E" w:rsidRPr="000C6D0E" w:rsidRDefault="000C6D0E" w:rsidP="000C6D0E">
      <w:pPr>
        <w:pStyle w:val="ROMANOS"/>
        <w:spacing w:after="0" w:line="240" w:lineRule="auto"/>
        <w:ind w:left="708" w:firstLine="0"/>
        <w:rPr>
          <w:rFonts w:ascii="Calibri" w:hAnsi="Calibri" w:cs="Calibri"/>
          <w:sz w:val="22"/>
          <w:szCs w:val="22"/>
        </w:rPr>
      </w:pPr>
      <w:r w:rsidRPr="000C6D0E">
        <w:rPr>
          <w:rFonts w:ascii="Calibri" w:hAnsi="Calibri" w:cs="Calibri"/>
          <w:sz w:val="22"/>
          <w:szCs w:val="22"/>
        </w:rPr>
        <w:t>Cabe señalar, que por error involuntario de la Secretaría de Obras Públicas, quien es la encargada de capturar en el Sistema de Contabilidad los proyectos y estimaciones de Obra Pública, registraron las obras del Centro de Salud de González y del Centro de Salud de Estación Colonias y Hospital Integral González, denominándolas como Construcciones en Proceso en Bienes de Dominio Público por un monto de $689,987.</w:t>
      </w:r>
    </w:p>
    <w:p w:rsidR="000C6D0E" w:rsidRPr="000C6D0E" w:rsidRDefault="000C6D0E" w:rsidP="000C6D0E">
      <w:pPr>
        <w:pStyle w:val="ROMANOS"/>
        <w:spacing w:after="0" w:line="240" w:lineRule="auto"/>
        <w:ind w:left="708" w:firstLine="0"/>
        <w:rPr>
          <w:rFonts w:ascii="Calibri" w:hAnsi="Calibri" w:cs="Calibri"/>
          <w:sz w:val="22"/>
          <w:szCs w:val="22"/>
        </w:rPr>
      </w:pPr>
    </w:p>
    <w:p w:rsidR="000C6D0E" w:rsidRPr="000C6D0E" w:rsidRDefault="000C6D0E" w:rsidP="000C6D0E">
      <w:pPr>
        <w:pStyle w:val="Texto"/>
        <w:spacing w:after="0" w:line="240" w:lineRule="auto"/>
        <w:ind w:left="567" w:firstLine="0"/>
        <w:rPr>
          <w:rFonts w:ascii="Calibri" w:hAnsi="Calibri" w:cs="Calibri"/>
          <w:b/>
          <w:sz w:val="22"/>
          <w:szCs w:val="22"/>
          <w:u w:val="single"/>
          <w:lang w:val="es-MX"/>
        </w:rPr>
      </w:pPr>
      <w:r w:rsidRPr="000C6D0E">
        <w:rPr>
          <w:rFonts w:ascii="Calibri" w:hAnsi="Calibri" w:cs="Calibri"/>
          <w:b/>
          <w:sz w:val="22"/>
          <w:szCs w:val="22"/>
          <w:u w:val="single"/>
          <w:lang w:val="es-MX"/>
        </w:rPr>
        <w:t xml:space="preserve">Bienes muebles  </w:t>
      </w:r>
    </w:p>
    <w:p w:rsidR="000C6D0E" w:rsidRPr="000C6D0E" w:rsidRDefault="000C6D0E" w:rsidP="000C6D0E">
      <w:pPr>
        <w:pStyle w:val="Texto"/>
        <w:spacing w:after="0" w:line="240" w:lineRule="auto"/>
        <w:ind w:left="624" w:firstLine="0"/>
        <w:rPr>
          <w:rFonts w:ascii="Calibri" w:hAnsi="Calibri" w:cs="Calibri"/>
          <w:b/>
          <w:sz w:val="22"/>
          <w:szCs w:val="22"/>
          <w:u w:val="single"/>
          <w:lang w:val="es-MX"/>
        </w:rPr>
      </w:pPr>
    </w:p>
    <w:p w:rsidR="000C6D0E" w:rsidRPr="000C6D0E" w:rsidRDefault="000C6D0E" w:rsidP="000C6D0E">
      <w:pPr>
        <w:pStyle w:val="Prrafodelista"/>
        <w:numPr>
          <w:ilvl w:val="0"/>
          <w:numId w:val="42"/>
        </w:numPr>
        <w:suppressAutoHyphens w:val="0"/>
        <w:autoSpaceDN/>
        <w:spacing w:after="0" w:line="240" w:lineRule="auto"/>
        <w:ind w:right="4"/>
        <w:contextualSpacing/>
        <w:jc w:val="both"/>
        <w:textAlignment w:val="auto"/>
        <w:rPr>
          <w:rFonts w:eastAsia="Times New Roman" w:cs="Calibri"/>
          <w:lang w:eastAsia="es-ES"/>
        </w:rPr>
      </w:pPr>
      <w:r w:rsidRPr="000C6D0E">
        <w:rPr>
          <w:rFonts w:eastAsia="Times New Roman" w:cs="Calibri"/>
          <w:lang w:val="es-ES" w:eastAsia="es-ES"/>
        </w:rPr>
        <w:t xml:space="preserve">Mobiliario y Equipo </w:t>
      </w:r>
      <w:r w:rsidR="0062446D">
        <w:rPr>
          <w:rFonts w:eastAsia="Times New Roman" w:cs="Calibri"/>
          <w:lang w:val="es-ES" w:eastAsia="es-ES"/>
        </w:rPr>
        <w:t>de Administración………..…..</w:t>
      </w:r>
      <w:r w:rsidRPr="000C6D0E">
        <w:rPr>
          <w:rFonts w:eastAsia="Times New Roman" w:cs="Calibri"/>
          <w:lang w:val="es-ES" w:eastAsia="es-ES"/>
        </w:rPr>
        <w:t xml:space="preserve">................................................$ </w:t>
      </w:r>
      <w:r w:rsidRPr="000C6D0E">
        <w:rPr>
          <w:rFonts w:eastAsia="Times New Roman" w:cs="Calibri"/>
          <w:lang w:eastAsia="es-ES"/>
        </w:rPr>
        <w:t>559’443,177</w:t>
      </w:r>
    </w:p>
    <w:p w:rsidR="000C6D0E" w:rsidRPr="000C6D0E" w:rsidRDefault="000C6D0E" w:rsidP="000C6D0E">
      <w:pPr>
        <w:pStyle w:val="Prrafodelista"/>
        <w:spacing w:after="0" w:line="240" w:lineRule="auto"/>
        <w:jc w:val="both"/>
        <w:rPr>
          <w:rFonts w:eastAsia="Times New Roman" w:cs="Calibri"/>
          <w:lang w:eastAsia="es-ES"/>
        </w:rPr>
      </w:pPr>
    </w:p>
    <w:p w:rsidR="000C6D0E" w:rsidRPr="000C6D0E" w:rsidRDefault="000C6D0E" w:rsidP="000C6D0E">
      <w:pPr>
        <w:pStyle w:val="Prrafodelista"/>
        <w:numPr>
          <w:ilvl w:val="0"/>
          <w:numId w:val="42"/>
        </w:numPr>
        <w:suppressAutoHyphens w:val="0"/>
        <w:autoSpaceDN/>
        <w:spacing w:after="0" w:line="240" w:lineRule="auto"/>
        <w:contextualSpacing/>
        <w:jc w:val="both"/>
        <w:textAlignment w:val="auto"/>
        <w:rPr>
          <w:rFonts w:eastAsia="Times New Roman" w:cs="Calibri"/>
          <w:lang w:eastAsia="es-ES"/>
        </w:rPr>
      </w:pPr>
      <w:r w:rsidRPr="000C6D0E">
        <w:rPr>
          <w:rFonts w:eastAsia="Times New Roman" w:cs="Calibri"/>
          <w:lang w:val="es-ES" w:eastAsia="es-ES"/>
        </w:rPr>
        <w:t>Mobiliario y Equipo Educacional y Recreativo………………………..…</w:t>
      </w:r>
      <w:r w:rsidR="00356EEF">
        <w:rPr>
          <w:rFonts w:eastAsia="Times New Roman" w:cs="Calibri"/>
          <w:lang w:val="es-ES" w:eastAsia="es-ES"/>
        </w:rPr>
        <w:t>……</w:t>
      </w:r>
      <w:r w:rsidRPr="000C6D0E">
        <w:rPr>
          <w:rFonts w:eastAsia="Times New Roman" w:cs="Calibri"/>
          <w:lang w:val="es-ES" w:eastAsia="es-ES"/>
        </w:rPr>
        <w:t>……………........$11’913,269</w:t>
      </w:r>
    </w:p>
    <w:p w:rsidR="000C6D0E" w:rsidRPr="000C6D0E" w:rsidRDefault="000C6D0E" w:rsidP="000C6D0E">
      <w:pPr>
        <w:pStyle w:val="Prrafodelista"/>
        <w:spacing w:after="0" w:line="240" w:lineRule="auto"/>
        <w:ind w:left="1080"/>
        <w:jc w:val="both"/>
        <w:rPr>
          <w:rFonts w:eastAsia="Times New Roman" w:cs="Calibri"/>
          <w:lang w:val="es-ES" w:eastAsia="es-ES"/>
        </w:rPr>
      </w:pPr>
    </w:p>
    <w:p w:rsidR="000C6D0E" w:rsidRPr="000C6D0E" w:rsidRDefault="000C6D0E" w:rsidP="000C6D0E">
      <w:pPr>
        <w:pStyle w:val="Prrafodelista"/>
        <w:numPr>
          <w:ilvl w:val="0"/>
          <w:numId w:val="42"/>
        </w:numPr>
        <w:suppressAutoHyphens w:val="0"/>
        <w:autoSpaceDN/>
        <w:spacing w:after="0" w:line="240" w:lineRule="auto"/>
        <w:contextualSpacing/>
        <w:jc w:val="both"/>
        <w:textAlignment w:val="auto"/>
        <w:rPr>
          <w:rFonts w:eastAsia="Times New Roman" w:cs="Calibri"/>
          <w:lang w:val="es-ES" w:eastAsia="es-ES"/>
        </w:rPr>
      </w:pPr>
      <w:r w:rsidRPr="000C6D0E">
        <w:rPr>
          <w:rFonts w:eastAsia="Times New Roman" w:cs="Calibri"/>
          <w:lang w:val="es-ES" w:eastAsia="es-ES"/>
        </w:rPr>
        <w:t>Equipo Instrumental Médico y de Laboratorio…………..……………………</w:t>
      </w:r>
      <w:r w:rsidR="00356EEF">
        <w:rPr>
          <w:rFonts w:eastAsia="Times New Roman" w:cs="Calibri"/>
          <w:lang w:val="es-ES" w:eastAsia="es-ES"/>
        </w:rPr>
        <w:t>….</w:t>
      </w:r>
      <w:r w:rsidRPr="000C6D0E">
        <w:rPr>
          <w:rFonts w:eastAsia="Times New Roman" w:cs="Calibri"/>
          <w:lang w:val="es-ES" w:eastAsia="es-ES"/>
        </w:rPr>
        <w:t xml:space="preserve">…..…….$ </w:t>
      </w:r>
      <w:r w:rsidRPr="000C6D0E">
        <w:rPr>
          <w:rFonts w:eastAsia="Times New Roman" w:cs="Calibri"/>
          <w:lang w:eastAsia="es-ES"/>
        </w:rPr>
        <w:t>3’421’545,326</w:t>
      </w:r>
    </w:p>
    <w:p w:rsidR="000C6D0E" w:rsidRPr="000C6D0E" w:rsidRDefault="000C6D0E" w:rsidP="000C6D0E">
      <w:pPr>
        <w:pStyle w:val="Prrafodelista"/>
        <w:numPr>
          <w:ilvl w:val="0"/>
          <w:numId w:val="42"/>
        </w:numPr>
        <w:suppressAutoHyphens w:val="0"/>
        <w:autoSpaceDN/>
        <w:spacing w:after="0" w:line="240" w:lineRule="auto"/>
        <w:contextualSpacing/>
        <w:jc w:val="both"/>
        <w:textAlignment w:val="auto"/>
        <w:rPr>
          <w:rFonts w:eastAsia="Times New Roman" w:cs="Calibri"/>
          <w:lang w:eastAsia="es-ES"/>
        </w:rPr>
      </w:pPr>
      <w:r w:rsidRPr="000C6D0E">
        <w:rPr>
          <w:rFonts w:eastAsia="Times New Roman" w:cs="Calibri"/>
          <w:lang w:val="es-ES" w:eastAsia="es-ES"/>
        </w:rPr>
        <w:lastRenderedPageBreak/>
        <w:t>Vehículos y Equipo de Transporte</w:t>
      </w:r>
      <w:r w:rsidRPr="00EB0C8F">
        <w:rPr>
          <w:rFonts w:eastAsia="Times New Roman" w:cs="Calibri"/>
          <w:lang w:val="es-ES" w:eastAsia="es-ES"/>
        </w:rPr>
        <w:t>………………………</w:t>
      </w:r>
      <w:r w:rsidR="00EB0C8F">
        <w:rPr>
          <w:rFonts w:eastAsia="Times New Roman" w:cs="Calibri"/>
          <w:lang w:val="es-ES" w:eastAsia="es-ES"/>
        </w:rPr>
        <w:t>……</w:t>
      </w:r>
      <w:r w:rsidRPr="00EB0C8F">
        <w:rPr>
          <w:rFonts w:eastAsia="Times New Roman" w:cs="Calibri"/>
          <w:lang w:val="es-ES" w:eastAsia="es-ES"/>
        </w:rPr>
        <w:t xml:space="preserve">…….….................…..………...$ </w:t>
      </w:r>
      <w:r w:rsidRPr="00EB0C8F">
        <w:rPr>
          <w:rFonts w:eastAsia="Times New Roman" w:cs="Calibri"/>
          <w:lang w:eastAsia="es-ES"/>
        </w:rPr>
        <w:t>243’633,67</w:t>
      </w:r>
      <w:r w:rsidR="00505741" w:rsidRPr="00EB0C8F">
        <w:rPr>
          <w:rFonts w:eastAsia="Times New Roman" w:cs="Calibri"/>
          <w:lang w:eastAsia="es-ES"/>
        </w:rPr>
        <w:t>8</w:t>
      </w:r>
    </w:p>
    <w:p w:rsidR="000C6D0E" w:rsidRPr="000C6D0E" w:rsidRDefault="000C6D0E" w:rsidP="000C6D0E">
      <w:pPr>
        <w:pStyle w:val="Prrafodelista"/>
        <w:spacing w:after="0" w:line="240" w:lineRule="auto"/>
        <w:jc w:val="both"/>
        <w:rPr>
          <w:rFonts w:eastAsia="Times New Roman" w:cs="Calibri"/>
          <w:lang w:val="es-ES" w:eastAsia="es-ES"/>
        </w:rPr>
      </w:pPr>
    </w:p>
    <w:p w:rsidR="000C6D0E" w:rsidRPr="000C6D0E" w:rsidRDefault="000C6D0E" w:rsidP="000C6D0E">
      <w:pPr>
        <w:pStyle w:val="Prrafodelista"/>
        <w:numPr>
          <w:ilvl w:val="0"/>
          <w:numId w:val="42"/>
        </w:numPr>
        <w:suppressAutoHyphens w:val="0"/>
        <w:autoSpaceDN/>
        <w:spacing w:after="0" w:line="240" w:lineRule="auto"/>
        <w:contextualSpacing/>
        <w:jc w:val="both"/>
        <w:textAlignment w:val="auto"/>
        <w:rPr>
          <w:rFonts w:eastAsia="Times New Roman" w:cs="Calibri"/>
          <w:lang w:val="es-ES" w:eastAsia="es-ES"/>
        </w:rPr>
      </w:pPr>
      <w:r w:rsidRPr="000C6D0E">
        <w:rPr>
          <w:rFonts w:eastAsia="Times New Roman" w:cs="Calibri"/>
          <w:lang w:val="es-ES" w:eastAsia="es-ES"/>
        </w:rPr>
        <w:t>Maquinaria, Otros Equipos y Herramientas…………………………</w:t>
      </w:r>
      <w:r w:rsidR="0062446D">
        <w:rPr>
          <w:rFonts w:eastAsia="Times New Roman" w:cs="Calibri"/>
          <w:lang w:val="es-ES" w:eastAsia="es-ES"/>
        </w:rPr>
        <w:t>…..</w:t>
      </w:r>
      <w:r w:rsidRPr="000C6D0E">
        <w:rPr>
          <w:rFonts w:eastAsia="Times New Roman" w:cs="Calibri"/>
          <w:lang w:val="es-ES" w:eastAsia="es-ES"/>
        </w:rPr>
        <w:t xml:space="preserve">………………….…$ </w:t>
      </w:r>
      <w:r w:rsidRPr="000C6D0E">
        <w:rPr>
          <w:rFonts w:eastAsia="Times New Roman" w:cs="Calibri"/>
          <w:lang w:eastAsia="es-ES"/>
        </w:rPr>
        <w:t>300’567,398</w:t>
      </w:r>
      <w:r w:rsidRPr="000C6D0E">
        <w:rPr>
          <w:rFonts w:eastAsia="Times New Roman" w:cs="Calibri"/>
          <w:lang w:eastAsia="es-ES"/>
        </w:rPr>
        <w:tab/>
      </w:r>
    </w:p>
    <w:p w:rsidR="000C6D0E" w:rsidRPr="000C6D0E" w:rsidRDefault="000C6D0E" w:rsidP="000C6D0E">
      <w:pPr>
        <w:pStyle w:val="Prrafodelista"/>
        <w:numPr>
          <w:ilvl w:val="0"/>
          <w:numId w:val="42"/>
        </w:numPr>
        <w:suppressAutoHyphens w:val="0"/>
        <w:autoSpaceDN/>
        <w:spacing w:after="0" w:line="240" w:lineRule="auto"/>
        <w:contextualSpacing/>
        <w:jc w:val="both"/>
        <w:textAlignment w:val="auto"/>
        <w:rPr>
          <w:rFonts w:cs="Calibri"/>
          <w:lang w:val="es-ES"/>
        </w:rPr>
      </w:pPr>
      <w:r w:rsidRPr="000C6D0E">
        <w:rPr>
          <w:rFonts w:eastAsia="Times New Roman" w:cs="Calibri"/>
          <w:lang w:val="es-ES" w:eastAsia="es-ES"/>
        </w:rPr>
        <w:t>Bienes Artísticos, Culturales y Científicos</w:t>
      </w:r>
      <w:r w:rsidRPr="000C6D0E">
        <w:rPr>
          <w:rFonts w:cs="Calibri"/>
          <w:lang w:val="es-ES"/>
        </w:rPr>
        <w:t>………………..…………...</w:t>
      </w:r>
      <w:r w:rsidR="0062446D">
        <w:rPr>
          <w:rFonts w:cs="Calibri"/>
          <w:lang w:val="es-ES"/>
        </w:rPr>
        <w:t>.......</w:t>
      </w:r>
      <w:r w:rsidRPr="000C6D0E">
        <w:rPr>
          <w:rFonts w:cs="Calibri"/>
          <w:lang w:val="es-ES"/>
        </w:rPr>
        <w:t>………….……………..$ 87,010</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spacing w:after="0" w:line="240" w:lineRule="auto"/>
        <w:ind w:left="709" w:hanging="1"/>
        <w:jc w:val="both"/>
        <w:rPr>
          <w:rFonts w:cs="Calibri"/>
          <w:lang w:val="es-ES"/>
        </w:rPr>
      </w:pPr>
      <w:r w:rsidRPr="000C6D0E">
        <w:rPr>
          <w:rFonts w:cs="Calibri"/>
          <w:lang w:val="es-ES"/>
        </w:rPr>
        <w:t>El saldo de este rubro que se presentan en el Estado de Situación Financiera al 31 de diciembre de 2024 refleja las adquisiciones de mobiliario, equipo de cómputo, equipo instrumental médico, maquinaria, equipo de transporte y otros activos fijos, necesarios para el desarrollo de las actividades relacionadas con el objeto del Organismo.</w:t>
      </w:r>
    </w:p>
    <w:p w:rsidR="000C6D0E" w:rsidRPr="000C6D0E" w:rsidRDefault="000C6D0E" w:rsidP="000C6D0E">
      <w:pPr>
        <w:pStyle w:val="Prrafodelista"/>
        <w:spacing w:after="0" w:line="240" w:lineRule="auto"/>
        <w:ind w:left="708"/>
        <w:jc w:val="both"/>
        <w:rPr>
          <w:rFonts w:cs="Calibri"/>
        </w:rPr>
      </w:pPr>
      <w:r w:rsidRPr="000C6D0E">
        <w:rPr>
          <w:rFonts w:cs="Calibri"/>
        </w:rPr>
        <w:tab/>
      </w:r>
    </w:p>
    <w:p w:rsidR="000C6D0E" w:rsidRPr="000C6D0E" w:rsidRDefault="000C6D0E" w:rsidP="000C6D0E">
      <w:pPr>
        <w:pStyle w:val="Prrafodelista"/>
        <w:spacing w:after="0" w:line="240" w:lineRule="auto"/>
        <w:ind w:left="708"/>
        <w:jc w:val="both"/>
        <w:rPr>
          <w:rFonts w:cs="Calibri"/>
        </w:rPr>
      </w:pPr>
      <w:r w:rsidRPr="000C6D0E">
        <w:rPr>
          <w:rFonts w:cs="Calibri"/>
          <w:lang w:val="es-ES"/>
        </w:rPr>
        <w:t>El</w:t>
      </w:r>
      <w:r w:rsidRPr="000C6D0E">
        <w:rPr>
          <w:rFonts w:cs="Calibri"/>
        </w:rPr>
        <w:t xml:space="preserve"> método de depreciación utilizado es el de línea recta, a continuación se presenta de manera agrupada cada uno de los rubros de los bienes muebles e inmuebles con su porcentaje de depreciación, depreciación acumulada y depreciación del ejercicio.</w:t>
      </w:r>
    </w:p>
    <w:p w:rsidR="000C6D0E" w:rsidRPr="000C6D0E" w:rsidRDefault="000C6D0E" w:rsidP="000C6D0E">
      <w:pPr>
        <w:pStyle w:val="Prrafodelista"/>
        <w:spacing w:after="0" w:line="240" w:lineRule="auto"/>
        <w:ind w:left="708"/>
        <w:jc w:val="both"/>
        <w:rPr>
          <w:rFonts w:cs="Calibri"/>
          <w:b/>
          <w:u w:val="single"/>
        </w:rPr>
      </w:pPr>
    </w:p>
    <w:p w:rsidR="000C6D0E" w:rsidRPr="000C6D0E" w:rsidRDefault="000C6D0E" w:rsidP="000C6D0E">
      <w:pPr>
        <w:pStyle w:val="Texto"/>
        <w:spacing w:after="0" w:line="240" w:lineRule="auto"/>
        <w:ind w:left="624" w:firstLine="0"/>
        <w:rPr>
          <w:rFonts w:ascii="Calibri" w:hAnsi="Calibri" w:cs="Calibri"/>
          <w:b/>
          <w:sz w:val="22"/>
          <w:szCs w:val="22"/>
          <w:u w:val="single"/>
          <w:lang w:val="es-MX"/>
        </w:rPr>
      </w:pPr>
    </w:p>
    <w:tbl>
      <w:tblPr>
        <w:tblW w:w="9169" w:type="dxa"/>
        <w:jc w:val="center"/>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4A0" w:firstRow="1" w:lastRow="0" w:firstColumn="1" w:lastColumn="0" w:noHBand="0" w:noVBand="1"/>
      </w:tblPr>
      <w:tblGrid>
        <w:gridCol w:w="3449"/>
        <w:gridCol w:w="1559"/>
        <w:gridCol w:w="1276"/>
        <w:gridCol w:w="1418"/>
        <w:gridCol w:w="1467"/>
      </w:tblGrid>
      <w:tr w:rsidR="000C6D0E" w:rsidRPr="0062446D" w:rsidTr="0062446D">
        <w:trPr>
          <w:trHeight w:val="205"/>
          <w:tblHeader/>
          <w:jc w:val="center"/>
        </w:trPr>
        <w:tc>
          <w:tcPr>
            <w:tcW w:w="3449" w:type="dxa"/>
            <w:shd w:val="clear" w:color="auto" w:fill="AB0033"/>
            <w:vAlign w:val="center"/>
          </w:tcPr>
          <w:p w:rsidR="000C6D0E" w:rsidRPr="0062446D" w:rsidRDefault="000C6D0E" w:rsidP="00BC3195">
            <w:pPr>
              <w:pStyle w:val="Prrafodelista"/>
              <w:spacing w:after="0" w:line="240" w:lineRule="auto"/>
              <w:ind w:left="0"/>
              <w:jc w:val="center"/>
              <w:rPr>
                <w:rFonts w:eastAsia="Times New Roman" w:cs="Calibri"/>
                <w:color w:val="FFFFFF"/>
                <w:sz w:val="20"/>
                <w:szCs w:val="20"/>
                <w:lang w:val="es-ES"/>
              </w:rPr>
            </w:pPr>
            <w:r w:rsidRPr="0062446D">
              <w:rPr>
                <w:rFonts w:eastAsia="Times New Roman" w:cs="Calibri"/>
                <w:color w:val="FFFFFF"/>
                <w:sz w:val="20"/>
                <w:szCs w:val="20"/>
                <w:lang w:val="es-ES"/>
              </w:rPr>
              <w:t>Bien</w:t>
            </w:r>
          </w:p>
        </w:tc>
        <w:tc>
          <w:tcPr>
            <w:tcW w:w="1559" w:type="dxa"/>
            <w:shd w:val="clear" w:color="auto" w:fill="AB0033"/>
            <w:vAlign w:val="center"/>
          </w:tcPr>
          <w:p w:rsidR="000C6D0E" w:rsidRPr="0062446D" w:rsidRDefault="000C6D0E" w:rsidP="00BC3195">
            <w:pPr>
              <w:pStyle w:val="Prrafodelista"/>
              <w:spacing w:after="0" w:line="240" w:lineRule="auto"/>
              <w:ind w:left="0"/>
              <w:jc w:val="center"/>
              <w:rPr>
                <w:rFonts w:eastAsia="Times New Roman" w:cs="Calibri"/>
                <w:bCs/>
                <w:color w:val="FFFFFF"/>
                <w:sz w:val="20"/>
                <w:szCs w:val="20"/>
                <w:lang w:val="es-ES"/>
              </w:rPr>
            </w:pPr>
            <w:r w:rsidRPr="0062446D">
              <w:rPr>
                <w:rFonts w:eastAsia="Times New Roman" w:cs="Calibri"/>
                <w:bCs/>
                <w:color w:val="FFFFFF"/>
                <w:sz w:val="20"/>
                <w:szCs w:val="20"/>
                <w:lang w:val="es-ES"/>
              </w:rPr>
              <w:t>Monto en Libros</w:t>
            </w:r>
          </w:p>
        </w:tc>
        <w:tc>
          <w:tcPr>
            <w:tcW w:w="1276" w:type="dxa"/>
            <w:shd w:val="clear" w:color="auto" w:fill="AB0033"/>
            <w:vAlign w:val="center"/>
          </w:tcPr>
          <w:p w:rsidR="000C6D0E" w:rsidRPr="0062446D" w:rsidRDefault="000C6D0E" w:rsidP="00BC3195">
            <w:pPr>
              <w:pStyle w:val="Prrafodelista"/>
              <w:spacing w:after="0" w:line="240" w:lineRule="auto"/>
              <w:ind w:left="0"/>
              <w:jc w:val="center"/>
              <w:rPr>
                <w:rFonts w:eastAsia="Times New Roman" w:cs="Calibri"/>
                <w:bCs/>
                <w:color w:val="FFFFFF"/>
                <w:sz w:val="20"/>
                <w:szCs w:val="20"/>
                <w:lang w:val="es-ES"/>
              </w:rPr>
            </w:pPr>
            <w:r w:rsidRPr="0062446D">
              <w:rPr>
                <w:rFonts w:eastAsia="Times New Roman" w:cs="Calibri"/>
                <w:bCs/>
                <w:color w:val="FFFFFF"/>
                <w:sz w:val="20"/>
                <w:szCs w:val="20"/>
                <w:lang w:val="es-ES"/>
              </w:rPr>
              <w:t>Porcentaje de depreciación</w:t>
            </w:r>
          </w:p>
        </w:tc>
        <w:tc>
          <w:tcPr>
            <w:tcW w:w="1418" w:type="dxa"/>
            <w:shd w:val="clear" w:color="auto" w:fill="AB0033"/>
            <w:vAlign w:val="center"/>
          </w:tcPr>
          <w:p w:rsidR="000C6D0E" w:rsidRPr="0062446D" w:rsidRDefault="000C6D0E" w:rsidP="00BC3195">
            <w:pPr>
              <w:pStyle w:val="Prrafodelista"/>
              <w:spacing w:after="0" w:line="240" w:lineRule="auto"/>
              <w:ind w:left="0"/>
              <w:jc w:val="center"/>
              <w:rPr>
                <w:rFonts w:eastAsia="Times New Roman" w:cs="Calibri"/>
                <w:bCs/>
                <w:color w:val="FFFFFF"/>
                <w:sz w:val="20"/>
                <w:szCs w:val="20"/>
                <w:lang w:val="es-ES"/>
              </w:rPr>
            </w:pPr>
            <w:r w:rsidRPr="0062446D">
              <w:rPr>
                <w:rFonts w:eastAsia="Times New Roman" w:cs="Calibri"/>
                <w:bCs/>
                <w:color w:val="FFFFFF"/>
                <w:sz w:val="20"/>
                <w:szCs w:val="20"/>
                <w:lang w:val="es-ES"/>
              </w:rPr>
              <w:t>Depreciación del ejercicio</w:t>
            </w:r>
          </w:p>
        </w:tc>
        <w:tc>
          <w:tcPr>
            <w:tcW w:w="1467" w:type="dxa"/>
            <w:shd w:val="clear" w:color="auto" w:fill="AB0033"/>
            <w:vAlign w:val="center"/>
          </w:tcPr>
          <w:p w:rsidR="000C6D0E" w:rsidRPr="0062446D" w:rsidRDefault="000C6D0E" w:rsidP="00BC3195">
            <w:pPr>
              <w:pStyle w:val="Prrafodelista"/>
              <w:spacing w:after="0" w:line="240" w:lineRule="auto"/>
              <w:ind w:left="0"/>
              <w:jc w:val="center"/>
              <w:rPr>
                <w:rFonts w:eastAsia="Times New Roman" w:cs="Calibri"/>
                <w:bCs/>
                <w:color w:val="FFFFFF"/>
                <w:sz w:val="20"/>
                <w:szCs w:val="20"/>
                <w:lang w:val="es-ES"/>
              </w:rPr>
            </w:pPr>
            <w:r w:rsidRPr="0062446D">
              <w:rPr>
                <w:rFonts w:eastAsia="Times New Roman" w:cs="Calibri"/>
                <w:bCs/>
                <w:color w:val="FFFFFF"/>
                <w:sz w:val="20"/>
                <w:szCs w:val="20"/>
                <w:lang w:val="es-ES"/>
              </w:rPr>
              <w:t>Depreciación Acumulada</w:t>
            </w:r>
          </w:p>
        </w:tc>
      </w:tr>
      <w:tr w:rsidR="000C6D0E" w:rsidRPr="0062446D" w:rsidTr="0062446D">
        <w:trPr>
          <w:trHeight w:val="32"/>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Edificios No Habitacionales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3’374’124,363</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w:t>
            </w:r>
          </w:p>
        </w:tc>
        <w:tc>
          <w:tcPr>
            <w:tcW w:w="1418" w:type="dxa"/>
            <w:shd w:val="clear" w:color="auto" w:fill="auto"/>
            <w:vAlign w:val="center"/>
          </w:tcPr>
          <w:p w:rsidR="000C6D0E" w:rsidRPr="0062446D" w:rsidRDefault="000C6D0E" w:rsidP="00BC3195">
            <w:pPr>
              <w:jc w:val="right"/>
              <w:rPr>
                <w:rFonts w:cs="Calibri"/>
                <w:color w:val="000000"/>
              </w:rPr>
            </w:pPr>
            <w:r w:rsidRPr="0062446D">
              <w:rPr>
                <w:rFonts w:cs="Calibri"/>
                <w:color w:val="000000"/>
              </w:rPr>
              <w:t>112’828,734</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1’004’720,954</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Muebles de Oficina y Estantería</w:t>
            </w:r>
          </w:p>
        </w:tc>
        <w:tc>
          <w:tcPr>
            <w:tcW w:w="1559" w:type="dxa"/>
            <w:shd w:val="clear" w:color="auto" w:fill="auto"/>
            <w:vAlign w:val="center"/>
          </w:tcPr>
          <w:p w:rsidR="000C6D0E" w:rsidRPr="0062446D" w:rsidRDefault="000C6D0E" w:rsidP="00BC3195">
            <w:pPr>
              <w:jc w:val="right"/>
              <w:rPr>
                <w:rFonts w:cs="Calibri"/>
                <w:color w:val="000000"/>
              </w:rPr>
            </w:pPr>
            <w:r w:rsidRPr="0062446D">
              <w:rPr>
                <w:rFonts w:cs="Calibri"/>
                <w:color w:val="000000"/>
              </w:rPr>
              <w:t>237’230,601</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874C34" w:rsidP="00BC3195">
            <w:pPr>
              <w:jc w:val="right"/>
              <w:rPr>
                <w:rFonts w:cs="Calibri"/>
                <w:color w:val="000000"/>
              </w:rPr>
            </w:pPr>
            <w:r>
              <w:rPr>
                <w:rFonts w:cs="Calibri"/>
                <w:color w:val="000000"/>
              </w:rPr>
              <w:t>9’201,65</w:t>
            </w:r>
            <w:r w:rsidR="0023791E">
              <w:rPr>
                <w:rFonts w:cs="Calibri"/>
                <w:color w:val="000000"/>
              </w:rPr>
              <w:t>1</w:t>
            </w:r>
          </w:p>
        </w:tc>
        <w:tc>
          <w:tcPr>
            <w:tcW w:w="1467" w:type="dxa"/>
            <w:shd w:val="clear" w:color="auto" w:fill="auto"/>
            <w:vAlign w:val="center"/>
          </w:tcPr>
          <w:p w:rsidR="000C6D0E" w:rsidRPr="0062446D" w:rsidRDefault="000C6D0E" w:rsidP="00874C34">
            <w:pPr>
              <w:pStyle w:val="Prrafodelista"/>
              <w:spacing w:after="0" w:line="240" w:lineRule="auto"/>
              <w:ind w:left="0"/>
              <w:jc w:val="right"/>
              <w:rPr>
                <w:rFonts w:cs="Calibri"/>
                <w:color w:val="000000"/>
                <w:sz w:val="20"/>
                <w:szCs w:val="20"/>
              </w:rPr>
            </w:pPr>
            <w:r w:rsidRPr="0062446D">
              <w:rPr>
                <w:rFonts w:cs="Calibri"/>
                <w:color w:val="000000"/>
                <w:sz w:val="20"/>
                <w:szCs w:val="20"/>
              </w:rPr>
              <w:t>111’101,81</w:t>
            </w:r>
            <w:r w:rsidR="00874C34">
              <w:rPr>
                <w:rFonts w:cs="Calibri"/>
                <w:color w:val="000000"/>
                <w:sz w:val="20"/>
                <w:szCs w:val="20"/>
              </w:rPr>
              <w:t>2</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 xml:space="preserve">Muebles excepto de Oficina y Estantería </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31’073,290</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64,992</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31’426,327</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de Cómputo y tecnologías de la Información</w:t>
            </w:r>
          </w:p>
        </w:tc>
        <w:tc>
          <w:tcPr>
            <w:tcW w:w="1559" w:type="dxa"/>
            <w:shd w:val="clear" w:color="auto" w:fill="auto"/>
            <w:vAlign w:val="center"/>
          </w:tcPr>
          <w:p w:rsidR="000C6D0E" w:rsidRPr="0062446D" w:rsidRDefault="000C6D0E" w:rsidP="00BC3195">
            <w:pPr>
              <w:jc w:val="right"/>
              <w:rPr>
                <w:rFonts w:cs="Calibri"/>
                <w:color w:val="000000"/>
              </w:rPr>
            </w:pPr>
            <w:r w:rsidRPr="0062446D">
              <w:rPr>
                <w:rFonts w:cs="Calibri"/>
                <w:color w:val="000000"/>
              </w:rPr>
              <w:t>225’460,351</w:t>
            </w:r>
          </w:p>
        </w:tc>
        <w:tc>
          <w:tcPr>
            <w:tcW w:w="1276" w:type="dxa"/>
            <w:shd w:val="clear" w:color="auto" w:fill="auto"/>
            <w:vAlign w:val="center"/>
          </w:tcPr>
          <w:p w:rsidR="000C6D0E" w:rsidRPr="0062446D" w:rsidRDefault="000C6D0E" w:rsidP="00BC3195">
            <w:pPr>
              <w:jc w:val="right"/>
              <w:rPr>
                <w:rFonts w:cs="Calibri"/>
                <w:color w:val="000000"/>
                <w:lang w:val="es-ES"/>
              </w:rPr>
            </w:pPr>
            <w:r w:rsidRPr="0062446D">
              <w:rPr>
                <w:rFonts w:cs="Calibri"/>
                <w:color w:val="000000"/>
              </w:rPr>
              <w:t>20</w:t>
            </w:r>
            <w:r w:rsidRPr="0062446D">
              <w:rPr>
                <w:rFonts w:cs="Calibri"/>
                <w:color w:val="000000"/>
                <w:lang w:val="es-ES"/>
              </w:rPr>
              <w:t>%</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12’950,832</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132’614,290</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Otros Mobiliarios y Equipos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65’678,935</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5’734,924</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36’084,603</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Equipos y Aparatos Audiovisuales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3’641,630</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257,167</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2’280,246</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Aparatos Deportivos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184,123</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15%</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13,178</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144,590</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Cámaras Fotográficas y de Video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2’180,239</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150,782</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1’619,399</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Educacional y Recreativo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5’907,277</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552,860</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4’031,821</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Médico y de Laboratorio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3’259’351,457</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178’554,847</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1’790’282,416</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Instrumental Médico y de Laboratorio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162’193,869</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3’083,121</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130’774,836</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Vehículos y Equipo Terrestre</w:t>
            </w:r>
          </w:p>
        </w:tc>
        <w:tc>
          <w:tcPr>
            <w:tcW w:w="1559" w:type="dxa"/>
            <w:shd w:val="clear" w:color="auto" w:fill="auto"/>
            <w:vAlign w:val="center"/>
          </w:tcPr>
          <w:p w:rsidR="000C6D0E" w:rsidRPr="0062446D" w:rsidRDefault="000C6D0E" w:rsidP="00BC3195">
            <w:pPr>
              <w:jc w:val="right"/>
              <w:rPr>
                <w:rFonts w:cs="Calibri"/>
                <w:color w:val="000000"/>
              </w:rPr>
            </w:pPr>
            <w:r w:rsidRPr="0062446D">
              <w:rPr>
                <w:rFonts w:cs="Calibri"/>
                <w:color w:val="000000"/>
              </w:rPr>
              <w:t>243’633,675</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12%</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16’274,258</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146’712,724</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Maquinaria y Equipo Agropecuario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28’934,601</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708,366</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15’942,027</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Maquinaria y Equipo Industrial</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68’121,953</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25%</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1’486,564</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21’458,835</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de Aire Acondicionado</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90’898,904</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5’071,512</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43’749,241</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de Comunicación y Telecomunicación</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32’271,254</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12%</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2’010,204</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11’396,908</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Equipo General Eléctrico, Aparatos, Accesorios Eléctricos.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78’257,886</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25%</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3’092,163</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19’263,917</w:t>
            </w:r>
          </w:p>
        </w:tc>
      </w:tr>
      <w:tr w:rsidR="000C6D0E" w:rsidRPr="0062446D" w:rsidTr="0062446D">
        <w:trPr>
          <w:trHeight w:val="141"/>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Herramientas y Maquinas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1’612,820</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15%</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107,108</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727,744</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Otros Bienes Muebles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469,980</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20%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47,142</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rPr>
            </w:pPr>
            <w:r w:rsidRPr="0062446D">
              <w:rPr>
                <w:rFonts w:cs="Calibri"/>
                <w:color w:val="000000"/>
                <w:sz w:val="20"/>
                <w:szCs w:val="20"/>
              </w:rPr>
              <w:t>204,754</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rPr>
                <w:rFonts w:cs="Calibri"/>
                <w:bCs/>
                <w:color w:val="000000"/>
                <w:sz w:val="20"/>
                <w:szCs w:val="20"/>
                <w:lang w:val="es-ES"/>
              </w:rPr>
            </w:pPr>
            <w:r w:rsidRPr="0062446D">
              <w:rPr>
                <w:rFonts w:cs="Calibri"/>
                <w:bCs/>
                <w:color w:val="000000"/>
                <w:sz w:val="20"/>
                <w:szCs w:val="20"/>
                <w:lang w:val="es-ES"/>
              </w:rPr>
              <w:t>Bienes Artísticos, Culturales y Científicos</w:t>
            </w:r>
          </w:p>
        </w:tc>
        <w:tc>
          <w:tcPr>
            <w:tcW w:w="1559"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87,010</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0%</w:t>
            </w:r>
          </w:p>
        </w:tc>
        <w:tc>
          <w:tcPr>
            <w:tcW w:w="1418"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0</w:t>
            </w:r>
          </w:p>
        </w:tc>
        <w:tc>
          <w:tcPr>
            <w:tcW w:w="1467" w:type="dxa"/>
            <w:shd w:val="clear" w:color="auto" w:fill="auto"/>
            <w:vAlign w:val="center"/>
          </w:tcPr>
          <w:p w:rsidR="000C6D0E" w:rsidRPr="0062446D" w:rsidRDefault="000C6D0E" w:rsidP="00BC3195">
            <w:pPr>
              <w:pStyle w:val="Prrafodelista"/>
              <w:spacing w:after="0" w:line="240" w:lineRule="auto"/>
              <w:ind w:left="0"/>
              <w:jc w:val="right"/>
              <w:rPr>
                <w:rFonts w:cs="Calibri"/>
                <w:color w:val="000000"/>
                <w:sz w:val="20"/>
                <w:szCs w:val="20"/>
                <w:lang w:val="es-ES"/>
              </w:rPr>
            </w:pPr>
            <w:r w:rsidRPr="0062446D">
              <w:rPr>
                <w:rFonts w:cs="Calibri"/>
                <w:color w:val="000000"/>
                <w:sz w:val="20"/>
                <w:szCs w:val="20"/>
                <w:lang w:val="es-ES"/>
              </w:rPr>
              <w:t>139,989</w:t>
            </w:r>
          </w:p>
        </w:tc>
      </w:tr>
      <w:tr w:rsidR="000C6D0E" w:rsidRPr="0062446D" w:rsidTr="0062446D">
        <w:trPr>
          <w:jc w:val="center"/>
        </w:trPr>
        <w:tc>
          <w:tcPr>
            <w:tcW w:w="3449" w:type="dxa"/>
            <w:shd w:val="clear" w:color="auto" w:fill="auto"/>
          </w:tcPr>
          <w:p w:rsidR="000C6D0E" w:rsidRPr="0062446D" w:rsidRDefault="000C6D0E" w:rsidP="00BC3195">
            <w:pPr>
              <w:pStyle w:val="Prrafodelista"/>
              <w:spacing w:after="0" w:line="240" w:lineRule="auto"/>
              <w:ind w:left="0"/>
              <w:jc w:val="right"/>
              <w:rPr>
                <w:rFonts w:cs="Calibri"/>
                <w:b/>
                <w:bCs/>
                <w:color w:val="000000"/>
                <w:sz w:val="20"/>
                <w:szCs w:val="20"/>
                <w:lang w:val="es-ES"/>
              </w:rPr>
            </w:pPr>
            <w:r w:rsidRPr="0062446D">
              <w:rPr>
                <w:rFonts w:cs="Calibri"/>
                <w:b/>
                <w:bCs/>
                <w:color w:val="000000"/>
                <w:sz w:val="20"/>
                <w:szCs w:val="20"/>
                <w:lang w:val="es-ES"/>
              </w:rPr>
              <w:t>TOTALES</w:t>
            </w:r>
          </w:p>
        </w:tc>
        <w:tc>
          <w:tcPr>
            <w:tcW w:w="1559" w:type="dxa"/>
            <w:shd w:val="clear" w:color="auto" w:fill="auto"/>
            <w:vAlign w:val="center"/>
          </w:tcPr>
          <w:p w:rsidR="000C6D0E" w:rsidRPr="0062446D" w:rsidRDefault="000C6D0E" w:rsidP="00BC3195">
            <w:pPr>
              <w:pStyle w:val="Prrafodelista"/>
              <w:tabs>
                <w:tab w:val="left" w:pos="1090"/>
              </w:tabs>
              <w:spacing w:after="0" w:line="240" w:lineRule="auto"/>
              <w:ind w:left="0"/>
              <w:jc w:val="right"/>
              <w:rPr>
                <w:rFonts w:cs="Calibri"/>
                <w:b/>
                <w:color w:val="000000"/>
                <w:sz w:val="20"/>
                <w:szCs w:val="20"/>
              </w:rPr>
            </w:pPr>
            <w:r w:rsidRPr="0062446D">
              <w:rPr>
                <w:rFonts w:cs="Calibri"/>
                <w:b/>
                <w:color w:val="000000"/>
                <w:sz w:val="20"/>
                <w:szCs w:val="20"/>
              </w:rPr>
              <w:t>7’911’314,219</w:t>
            </w:r>
          </w:p>
        </w:tc>
        <w:tc>
          <w:tcPr>
            <w:tcW w:w="1276" w:type="dxa"/>
            <w:shd w:val="clear" w:color="auto" w:fill="auto"/>
            <w:vAlign w:val="center"/>
          </w:tcPr>
          <w:p w:rsidR="000C6D0E" w:rsidRPr="0062446D" w:rsidRDefault="000C6D0E" w:rsidP="00BC3195">
            <w:pPr>
              <w:pStyle w:val="Prrafodelista"/>
              <w:spacing w:after="0" w:line="240" w:lineRule="auto"/>
              <w:ind w:left="0"/>
              <w:jc w:val="right"/>
              <w:rPr>
                <w:rFonts w:cs="Calibri"/>
                <w:b/>
                <w:color w:val="000000"/>
                <w:sz w:val="20"/>
                <w:szCs w:val="20"/>
                <w:lang w:val="es-ES"/>
              </w:rPr>
            </w:pPr>
          </w:p>
        </w:tc>
        <w:tc>
          <w:tcPr>
            <w:tcW w:w="1418" w:type="dxa"/>
            <w:shd w:val="clear" w:color="auto" w:fill="auto"/>
            <w:vAlign w:val="center"/>
          </w:tcPr>
          <w:p w:rsidR="000C6D0E" w:rsidRPr="0062446D" w:rsidRDefault="000C6D0E" w:rsidP="00BC3195">
            <w:pPr>
              <w:pStyle w:val="Prrafodelista"/>
              <w:tabs>
                <w:tab w:val="right" w:pos="1152"/>
              </w:tabs>
              <w:spacing w:after="0" w:line="240" w:lineRule="auto"/>
              <w:ind w:left="0"/>
              <w:jc w:val="right"/>
              <w:rPr>
                <w:rFonts w:cs="Calibri"/>
                <w:b/>
                <w:color w:val="000000"/>
                <w:sz w:val="20"/>
                <w:szCs w:val="20"/>
                <w:lang w:val="es-ES"/>
              </w:rPr>
            </w:pPr>
            <w:r w:rsidRPr="0062446D">
              <w:rPr>
                <w:rFonts w:cs="Calibri"/>
                <w:b/>
                <w:color w:val="000000"/>
                <w:sz w:val="20"/>
                <w:szCs w:val="20"/>
                <w:lang w:val="es-ES"/>
              </w:rPr>
              <w:t>352’190,404</w:t>
            </w:r>
          </w:p>
        </w:tc>
        <w:tc>
          <w:tcPr>
            <w:tcW w:w="1467" w:type="dxa"/>
            <w:shd w:val="clear" w:color="auto" w:fill="auto"/>
            <w:vAlign w:val="center"/>
          </w:tcPr>
          <w:p w:rsidR="000C6D0E" w:rsidRPr="0062446D" w:rsidRDefault="0023791E" w:rsidP="00BC3195">
            <w:pPr>
              <w:pStyle w:val="Prrafodelista"/>
              <w:spacing w:after="0" w:line="240" w:lineRule="auto"/>
              <w:ind w:left="0"/>
              <w:jc w:val="right"/>
              <w:rPr>
                <w:rFonts w:cs="Calibri"/>
                <w:b/>
                <w:color w:val="000000"/>
                <w:sz w:val="20"/>
                <w:szCs w:val="20"/>
                <w:lang w:val="es-ES"/>
              </w:rPr>
            </w:pPr>
            <w:r>
              <w:rPr>
                <w:rFonts w:cs="Calibri"/>
                <w:b/>
                <w:color w:val="000000"/>
                <w:sz w:val="20"/>
                <w:szCs w:val="20"/>
                <w:lang w:val="es-ES"/>
              </w:rPr>
              <w:t>3’504’677,433</w:t>
            </w:r>
          </w:p>
        </w:tc>
      </w:tr>
    </w:tbl>
    <w:p w:rsidR="000C6D0E" w:rsidRPr="000C6D0E" w:rsidRDefault="000C6D0E" w:rsidP="000C6D0E">
      <w:pPr>
        <w:pStyle w:val="ROMANOS"/>
        <w:spacing w:after="0" w:line="240" w:lineRule="auto"/>
        <w:ind w:left="288" w:firstLine="0"/>
        <w:jc w:val="left"/>
        <w:rPr>
          <w:rFonts w:ascii="Calibri" w:hAnsi="Calibri" w:cs="Calibri"/>
          <w:i/>
          <w:sz w:val="22"/>
          <w:szCs w:val="22"/>
          <w:lang w:val="es-MX"/>
        </w:rPr>
      </w:pPr>
      <w:r w:rsidRPr="000C6D0E">
        <w:rPr>
          <w:rFonts w:ascii="Calibri" w:hAnsi="Calibri" w:cs="Calibri"/>
          <w:i/>
          <w:sz w:val="22"/>
          <w:szCs w:val="22"/>
          <w:lang w:val="es-MX"/>
        </w:rPr>
        <w:t>Para fines prácticos, los montos enunciados en la relación anterior fueron redondeados de acuerdo a la balanza de comprobación, las diferencias no afectan la razonabilidad de los estados financieros.</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62446D" w:rsidRDefault="0062446D" w:rsidP="000C6D0E">
      <w:pPr>
        <w:pStyle w:val="ROMANOS"/>
        <w:spacing w:after="0" w:line="240" w:lineRule="auto"/>
        <w:ind w:left="708" w:firstLine="0"/>
        <w:rPr>
          <w:rFonts w:ascii="Calibri" w:hAnsi="Calibri" w:cs="Calibri"/>
          <w:b/>
          <w:sz w:val="22"/>
          <w:szCs w:val="22"/>
          <w:u w:val="single"/>
          <w:lang w:val="es-MX"/>
        </w:rPr>
      </w:pPr>
    </w:p>
    <w:p w:rsidR="000C6D0E" w:rsidRPr="000C6D0E" w:rsidRDefault="000C6D0E" w:rsidP="000C6D0E">
      <w:pPr>
        <w:pStyle w:val="ROMANOS"/>
        <w:spacing w:after="0" w:line="240" w:lineRule="auto"/>
        <w:ind w:left="708" w:firstLine="0"/>
        <w:rPr>
          <w:rFonts w:ascii="Calibri" w:hAnsi="Calibri" w:cs="Calibri"/>
          <w:sz w:val="22"/>
          <w:szCs w:val="22"/>
        </w:rPr>
      </w:pPr>
      <w:r w:rsidRPr="000C6D0E">
        <w:rPr>
          <w:rFonts w:ascii="Calibri" w:hAnsi="Calibri" w:cs="Calibri"/>
          <w:b/>
          <w:sz w:val="22"/>
          <w:szCs w:val="22"/>
          <w:u w:val="single"/>
          <w:lang w:val="es-MX"/>
        </w:rPr>
        <w:lastRenderedPageBreak/>
        <w:t>Bienes Intangibles</w:t>
      </w:r>
    </w:p>
    <w:p w:rsidR="000C6D0E" w:rsidRPr="000C6D0E" w:rsidRDefault="000C6D0E" w:rsidP="000C6D0E">
      <w:pPr>
        <w:pStyle w:val="ROMANOS"/>
        <w:spacing w:after="0" w:line="240" w:lineRule="auto"/>
        <w:ind w:left="708" w:firstLine="0"/>
        <w:rPr>
          <w:rFonts w:ascii="Calibri" w:hAnsi="Calibri" w:cs="Calibri"/>
          <w:sz w:val="22"/>
          <w:szCs w:val="22"/>
        </w:rPr>
      </w:pPr>
    </w:p>
    <w:p w:rsidR="000C6D0E" w:rsidRPr="000C6D0E" w:rsidRDefault="000C6D0E" w:rsidP="000C6D0E">
      <w:pPr>
        <w:pStyle w:val="ROMANOS"/>
        <w:spacing w:after="0" w:line="240" w:lineRule="auto"/>
        <w:ind w:left="708" w:firstLine="0"/>
        <w:rPr>
          <w:rFonts w:ascii="Calibri" w:hAnsi="Calibri" w:cs="Calibri"/>
          <w:sz w:val="22"/>
          <w:szCs w:val="22"/>
        </w:rPr>
      </w:pPr>
      <w:r w:rsidRPr="000C6D0E">
        <w:rPr>
          <w:rFonts w:ascii="Calibri" w:hAnsi="Calibri" w:cs="Calibri"/>
          <w:sz w:val="22"/>
          <w:szCs w:val="22"/>
        </w:rPr>
        <w:t>Los bienes intangibles se integran de la siguiente manera:</w:t>
      </w:r>
    </w:p>
    <w:p w:rsidR="000C6D0E" w:rsidRPr="000C6D0E" w:rsidRDefault="000C6D0E" w:rsidP="000C6D0E">
      <w:pPr>
        <w:pStyle w:val="ROMANOS"/>
        <w:spacing w:after="0" w:line="240" w:lineRule="auto"/>
        <w:ind w:left="708" w:firstLine="0"/>
        <w:rPr>
          <w:rFonts w:ascii="Calibri" w:hAnsi="Calibri" w:cs="Calibri"/>
          <w:sz w:val="22"/>
          <w:szCs w:val="22"/>
        </w:rPr>
      </w:pPr>
    </w:p>
    <w:tbl>
      <w:tblPr>
        <w:tblW w:w="8150" w:type="dxa"/>
        <w:tblInd w:w="81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4A0" w:firstRow="1" w:lastRow="0" w:firstColumn="1" w:lastColumn="0" w:noHBand="0" w:noVBand="1"/>
      </w:tblPr>
      <w:tblGrid>
        <w:gridCol w:w="2119"/>
        <w:gridCol w:w="1567"/>
        <w:gridCol w:w="1417"/>
        <w:gridCol w:w="1630"/>
        <w:gridCol w:w="1417"/>
      </w:tblGrid>
      <w:tr w:rsidR="000C6D0E" w:rsidRPr="000C6D0E" w:rsidTr="00BC3195">
        <w:tc>
          <w:tcPr>
            <w:tcW w:w="2119" w:type="dxa"/>
            <w:shd w:val="clear" w:color="auto" w:fill="AB0033"/>
            <w:vAlign w:val="center"/>
          </w:tcPr>
          <w:p w:rsidR="000C6D0E" w:rsidRPr="000C6D0E" w:rsidRDefault="000C6D0E" w:rsidP="00BC3195">
            <w:pPr>
              <w:pStyle w:val="Prrafodelista"/>
              <w:spacing w:after="0" w:line="240" w:lineRule="auto"/>
              <w:ind w:left="0"/>
              <w:jc w:val="center"/>
              <w:rPr>
                <w:rFonts w:eastAsia="Times New Roman" w:cs="Calibri"/>
                <w:color w:val="FFFFFF"/>
                <w:lang w:val="es-ES"/>
              </w:rPr>
            </w:pPr>
            <w:r w:rsidRPr="000C6D0E">
              <w:rPr>
                <w:rFonts w:eastAsia="Times New Roman" w:cs="Calibri"/>
                <w:color w:val="FFFFFF"/>
                <w:lang w:val="es-ES"/>
              </w:rPr>
              <w:t>Bien</w:t>
            </w:r>
          </w:p>
        </w:tc>
        <w:tc>
          <w:tcPr>
            <w:tcW w:w="1567" w:type="dxa"/>
            <w:shd w:val="clear" w:color="auto" w:fill="AB0033"/>
            <w:vAlign w:val="center"/>
          </w:tcPr>
          <w:p w:rsidR="000C6D0E" w:rsidRPr="000C6D0E" w:rsidRDefault="000C6D0E" w:rsidP="00BC3195">
            <w:pPr>
              <w:pStyle w:val="Prrafodelista"/>
              <w:spacing w:after="0" w:line="240" w:lineRule="auto"/>
              <w:ind w:left="0"/>
              <w:jc w:val="center"/>
              <w:rPr>
                <w:rFonts w:eastAsia="Times New Roman" w:cs="Calibri"/>
                <w:bCs/>
                <w:color w:val="FFFFFF"/>
                <w:lang w:val="es-ES"/>
              </w:rPr>
            </w:pPr>
            <w:r w:rsidRPr="000C6D0E">
              <w:rPr>
                <w:rFonts w:eastAsia="Times New Roman" w:cs="Calibri"/>
                <w:bCs/>
                <w:color w:val="FFFFFF"/>
                <w:lang w:val="es-ES"/>
              </w:rPr>
              <w:t>Monto en Libros</w:t>
            </w:r>
          </w:p>
        </w:tc>
        <w:tc>
          <w:tcPr>
            <w:tcW w:w="1417" w:type="dxa"/>
            <w:shd w:val="clear" w:color="auto" w:fill="AB0033"/>
            <w:vAlign w:val="center"/>
          </w:tcPr>
          <w:p w:rsidR="000C6D0E" w:rsidRPr="000C6D0E" w:rsidRDefault="000C6D0E" w:rsidP="00BC3195">
            <w:pPr>
              <w:pStyle w:val="Prrafodelista"/>
              <w:spacing w:after="0" w:line="240" w:lineRule="auto"/>
              <w:ind w:left="0"/>
              <w:jc w:val="center"/>
              <w:rPr>
                <w:rFonts w:eastAsia="Times New Roman" w:cs="Calibri"/>
                <w:bCs/>
                <w:color w:val="FFFFFF"/>
                <w:lang w:val="es-ES"/>
              </w:rPr>
            </w:pPr>
            <w:r w:rsidRPr="000C6D0E">
              <w:rPr>
                <w:rFonts w:eastAsia="Times New Roman" w:cs="Calibri"/>
                <w:bCs/>
                <w:color w:val="FFFFFF"/>
                <w:lang w:val="es-ES"/>
              </w:rPr>
              <w:t>Porcentaje de amortización</w:t>
            </w:r>
          </w:p>
        </w:tc>
        <w:tc>
          <w:tcPr>
            <w:tcW w:w="1630" w:type="dxa"/>
            <w:shd w:val="clear" w:color="auto" w:fill="AB0033"/>
            <w:vAlign w:val="center"/>
          </w:tcPr>
          <w:p w:rsidR="000C6D0E" w:rsidRPr="000C6D0E" w:rsidRDefault="000C6D0E" w:rsidP="00BC3195">
            <w:pPr>
              <w:pStyle w:val="Prrafodelista"/>
              <w:spacing w:after="0" w:line="240" w:lineRule="auto"/>
              <w:ind w:left="0"/>
              <w:jc w:val="center"/>
              <w:rPr>
                <w:rFonts w:eastAsia="Times New Roman" w:cs="Calibri"/>
                <w:bCs/>
                <w:color w:val="FFFFFF"/>
                <w:lang w:val="es-ES"/>
              </w:rPr>
            </w:pPr>
            <w:r w:rsidRPr="000C6D0E">
              <w:rPr>
                <w:rFonts w:eastAsia="Times New Roman" w:cs="Calibri"/>
                <w:bCs/>
                <w:color w:val="FFFFFF"/>
                <w:lang w:val="es-ES"/>
              </w:rPr>
              <w:t>Amortización del ejercicio</w:t>
            </w:r>
          </w:p>
        </w:tc>
        <w:tc>
          <w:tcPr>
            <w:tcW w:w="1417" w:type="dxa"/>
            <w:shd w:val="clear" w:color="auto" w:fill="AB0033"/>
            <w:vAlign w:val="center"/>
          </w:tcPr>
          <w:p w:rsidR="000C6D0E" w:rsidRPr="000C6D0E" w:rsidRDefault="000C6D0E" w:rsidP="00BC3195">
            <w:pPr>
              <w:pStyle w:val="Prrafodelista"/>
              <w:spacing w:after="0" w:line="240" w:lineRule="auto"/>
              <w:ind w:left="0"/>
              <w:jc w:val="center"/>
              <w:rPr>
                <w:rFonts w:eastAsia="Times New Roman" w:cs="Calibri"/>
                <w:bCs/>
                <w:color w:val="FFFFFF"/>
                <w:lang w:val="es-ES"/>
              </w:rPr>
            </w:pPr>
            <w:r w:rsidRPr="000C6D0E">
              <w:rPr>
                <w:rFonts w:eastAsia="Times New Roman" w:cs="Calibri"/>
                <w:bCs/>
                <w:color w:val="FFFFFF"/>
                <w:lang w:val="es-ES"/>
              </w:rPr>
              <w:t>Amortización Acumulada</w:t>
            </w:r>
          </w:p>
        </w:tc>
      </w:tr>
      <w:tr w:rsidR="000C6D0E" w:rsidRPr="000C6D0E" w:rsidTr="00BC3195">
        <w:tc>
          <w:tcPr>
            <w:tcW w:w="2119" w:type="dxa"/>
            <w:shd w:val="clear" w:color="auto" w:fill="auto"/>
          </w:tcPr>
          <w:p w:rsidR="000C6D0E" w:rsidRPr="000C6D0E" w:rsidRDefault="000C6D0E" w:rsidP="00BC3195">
            <w:pPr>
              <w:pStyle w:val="Prrafodelista"/>
              <w:spacing w:after="0" w:line="240" w:lineRule="auto"/>
              <w:ind w:left="0"/>
              <w:jc w:val="both"/>
              <w:rPr>
                <w:rFonts w:cs="Calibri"/>
                <w:bCs/>
                <w:color w:val="000000"/>
                <w:lang w:val="es-ES"/>
              </w:rPr>
            </w:pPr>
            <w:r w:rsidRPr="000C6D0E">
              <w:rPr>
                <w:rFonts w:cs="Calibri"/>
                <w:bCs/>
                <w:color w:val="000000"/>
                <w:lang w:val="es-ES"/>
              </w:rPr>
              <w:t>Software</w:t>
            </w:r>
          </w:p>
        </w:tc>
        <w:tc>
          <w:tcPr>
            <w:tcW w:w="1567" w:type="dxa"/>
            <w:shd w:val="clear" w:color="auto" w:fill="auto"/>
            <w:vAlign w:val="center"/>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lang w:val="es-ES"/>
              </w:rPr>
              <w:t>3’083,431</w:t>
            </w:r>
          </w:p>
        </w:tc>
        <w:tc>
          <w:tcPr>
            <w:tcW w:w="1417" w:type="dxa"/>
            <w:shd w:val="clear" w:color="auto" w:fill="auto"/>
          </w:tcPr>
          <w:p w:rsidR="000C6D0E" w:rsidRPr="000C6D0E" w:rsidRDefault="000C6D0E" w:rsidP="00BC3195">
            <w:pPr>
              <w:pStyle w:val="Prrafodelista"/>
              <w:spacing w:after="0" w:line="240" w:lineRule="auto"/>
              <w:ind w:left="0"/>
              <w:jc w:val="center"/>
              <w:rPr>
                <w:rFonts w:cs="Calibri"/>
                <w:color w:val="000000"/>
                <w:lang w:val="es-ES"/>
              </w:rPr>
            </w:pPr>
            <w:r w:rsidRPr="000C6D0E">
              <w:rPr>
                <w:rFonts w:cs="Calibri"/>
                <w:color w:val="000000"/>
                <w:lang w:val="es-ES"/>
              </w:rPr>
              <w:t>100%</w:t>
            </w:r>
          </w:p>
        </w:tc>
        <w:tc>
          <w:tcPr>
            <w:tcW w:w="1630" w:type="dxa"/>
            <w:shd w:val="clear" w:color="auto" w:fill="auto"/>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lang w:val="es-ES"/>
              </w:rPr>
              <w:t>267,473</w:t>
            </w:r>
          </w:p>
        </w:tc>
        <w:tc>
          <w:tcPr>
            <w:tcW w:w="1417" w:type="dxa"/>
            <w:shd w:val="clear" w:color="auto" w:fill="auto"/>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lang w:val="es-ES"/>
              </w:rPr>
              <w:t>2’772,693</w:t>
            </w:r>
          </w:p>
        </w:tc>
      </w:tr>
      <w:tr w:rsidR="000C6D0E" w:rsidRPr="000C6D0E" w:rsidTr="00BC3195">
        <w:tc>
          <w:tcPr>
            <w:tcW w:w="2119" w:type="dxa"/>
            <w:shd w:val="clear" w:color="auto" w:fill="auto"/>
          </w:tcPr>
          <w:p w:rsidR="000C6D0E" w:rsidRPr="000C6D0E" w:rsidRDefault="000C6D0E" w:rsidP="00BC3195">
            <w:pPr>
              <w:pStyle w:val="Prrafodelista"/>
              <w:spacing w:after="0" w:line="240" w:lineRule="auto"/>
              <w:ind w:left="0"/>
              <w:jc w:val="both"/>
              <w:rPr>
                <w:rFonts w:cs="Calibri"/>
                <w:bCs/>
                <w:color w:val="000000"/>
                <w:lang w:val="es-ES"/>
              </w:rPr>
            </w:pPr>
            <w:r w:rsidRPr="000C6D0E">
              <w:rPr>
                <w:rFonts w:cs="Calibri"/>
                <w:bCs/>
                <w:color w:val="000000"/>
                <w:lang w:val="es-ES"/>
              </w:rPr>
              <w:t>Licencias</w:t>
            </w:r>
          </w:p>
        </w:tc>
        <w:tc>
          <w:tcPr>
            <w:tcW w:w="1567" w:type="dxa"/>
            <w:shd w:val="clear" w:color="auto" w:fill="auto"/>
            <w:vAlign w:val="center"/>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rPr>
              <w:t>1’341,982</w:t>
            </w:r>
          </w:p>
        </w:tc>
        <w:tc>
          <w:tcPr>
            <w:tcW w:w="1417" w:type="dxa"/>
            <w:shd w:val="clear" w:color="auto" w:fill="auto"/>
          </w:tcPr>
          <w:p w:rsidR="000C6D0E" w:rsidRPr="000C6D0E" w:rsidRDefault="000C6D0E" w:rsidP="00BC3195">
            <w:pPr>
              <w:pStyle w:val="Prrafodelista"/>
              <w:spacing w:after="0" w:line="240" w:lineRule="auto"/>
              <w:ind w:left="0"/>
              <w:jc w:val="center"/>
              <w:rPr>
                <w:rFonts w:cs="Calibri"/>
                <w:color w:val="000000"/>
                <w:lang w:val="es-ES"/>
              </w:rPr>
            </w:pPr>
            <w:r w:rsidRPr="000C6D0E">
              <w:rPr>
                <w:rFonts w:cs="Calibri"/>
                <w:color w:val="000000"/>
                <w:lang w:val="es-ES"/>
              </w:rPr>
              <w:t>100%</w:t>
            </w:r>
          </w:p>
        </w:tc>
        <w:tc>
          <w:tcPr>
            <w:tcW w:w="1630" w:type="dxa"/>
            <w:shd w:val="clear" w:color="auto" w:fill="auto"/>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lang w:val="es-ES"/>
              </w:rPr>
              <w:t>33,381</w:t>
            </w:r>
          </w:p>
        </w:tc>
        <w:tc>
          <w:tcPr>
            <w:tcW w:w="1417" w:type="dxa"/>
            <w:shd w:val="clear" w:color="auto" w:fill="auto"/>
          </w:tcPr>
          <w:p w:rsidR="000C6D0E" w:rsidRPr="000C6D0E" w:rsidRDefault="000C6D0E" w:rsidP="00BC3195">
            <w:pPr>
              <w:pStyle w:val="Prrafodelista"/>
              <w:spacing w:after="0" w:line="240" w:lineRule="auto"/>
              <w:ind w:left="0"/>
              <w:jc w:val="right"/>
              <w:rPr>
                <w:rFonts w:cs="Calibri"/>
                <w:color w:val="000000"/>
                <w:lang w:val="es-ES"/>
              </w:rPr>
            </w:pPr>
            <w:r w:rsidRPr="000C6D0E">
              <w:rPr>
                <w:rFonts w:cs="Calibri"/>
                <w:color w:val="000000"/>
                <w:lang w:val="es-ES"/>
              </w:rPr>
              <w:t>1’302,901</w:t>
            </w:r>
          </w:p>
        </w:tc>
      </w:tr>
      <w:tr w:rsidR="000C6D0E" w:rsidRPr="000C6D0E" w:rsidTr="00BC3195">
        <w:tc>
          <w:tcPr>
            <w:tcW w:w="2119" w:type="dxa"/>
            <w:shd w:val="clear" w:color="auto" w:fill="auto"/>
          </w:tcPr>
          <w:p w:rsidR="000C6D0E" w:rsidRPr="000C6D0E" w:rsidRDefault="000C6D0E" w:rsidP="00BC3195">
            <w:pPr>
              <w:pStyle w:val="Prrafodelista"/>
              <w:spacing w:after="0" w:line="240" w:lineRule="auto"/>
              <w:ind w:left="0"/>
              <w:jc w:val="right"/>
              <w:rPr>
                <w:rFonts w:cs="Calibri"/>
                <w:b/>
                <w:bCs/>
                <w:color w:val="000000"/>
                <w:lang w:val="es-ES"/>
              </w:rPr>
            </w:pPr>
            <w:r w:rsidRPr="000C6D0E">
              <w:rPr>
                <w:rFonts w:cs="Calibri"/>
                <w:b/>
                <w:bCs/>
                <w:color w:val="000000"/>
                <w:lang w:val="es-ES"/>
              </w:rPr>
              <w:t>TOTALES</w:t>
            </w:r>
          </w:p>
        </w:tc>
        <w:tc>
          <w:tcPr>
            <w:tcW w:w="1567" w:type="dxa"/>
            <w:shd w:val="clear" w:color="auto" w:fill="auto"/>
            <w:vAlign w:val="center"/>
          </w:tcPr>
          <w:p w:rsidR="000C6D0E" w:rsidRPr="000C6D0E" w:rsidRDefault="000C6D0E" w:rsidP="00BC3195">
            <w:pPr>
              <w:pStyle w:val="Prrafodelista"/>
              <w:spacing w:after="0" w:line="240" w:lineRule="auto"/>
              <w:ind w:left="0"/>
              <w:jc w:val="right"/>
              <w:rPr>
                <w:rFonts w:cs="Calibri"/>
                <w:b/>
                <w:bCs/>
                <w:color w:val="000000"/>
                <w:lang w:val="es-ES"/>
              </w:rPr>
            </w:pPr>
            <w:r w:rsidRPr="000C6D0E">
              <w:rPr>
                <w:rFonts w:cs="Calibri"/>
                <w:b/>
                <w:bCs/>
                <w:color w:val="000000"/>
                <w:lang w:val="es-ES"/>
              </w:rPr>
              <w:t>4’425,413</w:t>
            </w:r>
          </w:p>
        </w:tc>
        <w:tc>
          <w:tcPr>
            <w:tcW w:w="1417" w:type="dxa"/>
            <w:shd w:val="clear" w:color="auto" w:fill="auto"/>
          </w:tcPr>
          <w:p w:rsidR="000C6D0E" w:rsidRPr="000C6D0E" w:rsidRDefault="000C6D0E" w:rsidP="00BC3195">
            <w:pPr>
              <w:pStyle w:val="Prrafodelista"/>
              <w:spacing w:after="0" w:line="240" w:lineRule="auto"/>
              <w:ind w:left="0"/>
              <w:jc w:val="right"/>
              <w:rPr>
                <w:rFonts w:cs="Calibri"/>
                <w:b/>
                <w:bCs/>
                <w:color w:val="000000"/>
                <w:lang w:val="es-ES"/>
              </w:rPr>
            </w:pPr>
          </w:p>
        </w:tc>
        <w:tc>
          <w:tcPr>
            <w:tcW w:w="1630" w:type="dxa"/>
            <w:shd w:val="clear" w:color="auto" w:fill="auto"/>
          </w:tcPr>
          <w:p w:rsidR="000C6D0E" w:rsidRPr="000C6D0E" w:rsidRDefault="000C6D0E" w:rsidP="00BC3195">
            <w:pPr>
              <w:jc w:val="right"/>
              <w:rPr>
                <w:rFonts w:cs="Calibri"/>
                <w:b/>
                <w:bCs/>
                <w:color w:val="000000"/>
                <w:sz w:val="22"/>
                <w:szCs w:val="22"/>
                <w:lang w:val="es-ES"/>
              </w:rPr>
            </w:pPr>
            <w:r w:rsidRPr="000C6D0E">
              <w:rPr>
                <w:rFonts w:cs="Calibri"/>
                <w:b/>
                <w:bCs/>
                <w:color w:val="000000"/>
                <w:sz w:val="22"/>
                <w:szCs w:val="22"/>
                <w:lang w:val="es-ES"/>
              </w:rPr>
              <w:t>300,854</w:t>
            </w:r>
          </w:p>
        </w:tc>
        <w:tc>
          <w:tcPr>
            <w:tcW w:w="1417" w:type="dxa"/>
            <w:shd w:val="clear" w:color="auto" w:fill="auto"/>
          </w:tcPr>
          <w:p w:rsidR="000C6D0E" w:rsidRPr="000C6D0E" w:rsidRDefault="000C6D0E" w:rsidP="00BC3195">
            <w:pPr>
              <w:pStyle w:val="Prrafodelista"/>
              <w:spacing w:after="0" w:line="240" w:lineRule="auto"/>
              <w:ind w:left="0"/>
              <w:jc w:val="right"/>
              <w:rPr>
                <w:rFonts w:cs="Calibri"/>
                <w:b/>
                <w:bCs/>
                <w:color w:val="000000"/>
                <w:lang w:val="es-ES"/>
              </w:rPr>
            </w:pPr>
            <w:r w:rsidRPr="000C6D0E">
              <w:rPr>
                <w:rFonts w:cs="Calibri"/>
                <w:b/>
                <w:bCs/>
                <w:color w:val="000000"/>
                <w:lang w:val="es-ES"/>
              </w:rPr>
              <w:t>4’075,594</w:t>
            </w:r>
          </w:p>
        </w:tc>
      </w:tr>
    </w:tbl>
    <w:p w:rsidR="000C6D0E" w:rsidRPr="000C6D0E" w:rsidRDefault="000C6D0E" w:rsidP="000C6D0E">
      <w:pPr>
        <w:ind w:left="567"/>
        <w:jc w:val="right"/>
        <w:rPr>
          <w:rFonts w:cs="Calibri"/>
          <w:sz w:val="22"/>
          <w:szCs w:val="22"/>
          <w:lang w:val="es-ES"/>
        </w:rPr>
      </w:pPr>
      <w:r w:rsidRPr="000C6D0E">
        <w:rPr>
          <w:rFonts w:cs="Calibri"/>
          <w:sz w:val="22"/>
          <w:szCs w:val="22"/>
          <w:lang w:val="es-ES"/>
        </w:rPr>
        <w:t>*Cifras redondeadas para efecto de presentación</w:t>
      </w: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t>Estimaciones y Deterioros</w:t>
      </w:r>
      <w:r w:rsidRPr="000C6D0E">
        <w:rPr>
          <w:rFonts w:ascii="Calibri" w:hAnsi="Calibri" w:cs="Calibri"/>
          <w:b/>
          <w:sz w:val="22"/>
          <w:szCs w:val="22"/>
          <w:lang w:val="es-MX"/>
        </w:rPr>
        <w:tab/>
      </w:r>
    </w:p>
    <w:p w:rsidR="000C6D0E" w:rsidRPr="000C6D0E" w:rsidRDefault="000C6D0E" w:rsidP="000C6D0E">
      <w:pPr>
        <w:ind w:left="567"/>
        <w:rPr>
          <w:rFonts w:eastAsia="Times New Roman" w:cs="Calibri"/>
          <w:sz w:val="22"/>
          <w:szCs w:val="22"/>
          <w:lang w:eastAsia="es-ES"/>
        </w:rPr>
      </w:pPr>
    </w:p>
    <w:p w:rsidR="000C6D0E" w:rsidRPr="000C6D0E" w:rsidRDefault="000C6D0E" w:rsidP="000C6D0E">
      <w:pPr>
        <w:ind w:left="567"/>
        <w:rPr>
          <w:rFonts w:eastAsia="Times New Roman" w:cs="Calibri"/>
          <w:sz w:val="22"/>
          <w:szCs w:val="22"/>
          <w:lang w:eastAsia="es-ES"/>
        </w:rPr>
      </w:pPr>
      <w:r w:rsidRPr="000C6D0E">
        <w:rPr>
          <w:rFonts w:eastAsia="Times New Roman" w:cs="Calibri"/>
          <w:sz w:val="22"/>
          <w:szCs w:val="22"/>
          <w:lang w:eastAsia="es-ES"/>
        </w:rPr>
        <w:t>Actualmente se están definiendo criterios normativos para la estimación de cuentas incobrables y para la estimación de inventarios.</w:t>
      </w:r>
    </w:p>
    <w:p w:rsidR="000C6D0E" w:rsidRPr="000C6D0E" w:rsidRDefault="000C6D0E" w:rsidP="000C6D0E">
      <w:pPr>
        <w:pStyle w:val="Texto"/>
        <w:spacing w:after="0" w:line="240" w:lineRule="auto"/>
        <w:ind w:left="624" w:firstLine="0"/>
        <w:rPr>
          <w:rFonts w:ascii="Calibri" w:hAnsi="Calibri" w:cs="Calibri"/>
          <w:b/>
          <w:sz w:val="22"/>
          <w:szCs w:val="22"/>
          <w:lang w:val="es-MX"/>
        </w:rPr>
      </w:pPr>
    </w:p>
    <w:p w:rsidR="000C6D0E" w:rsidRPr="000C6D0E" w:rsidRDefault="000C6D0E" w:rsidP="000C6D0E">
      <w:pPr>
        <w:pStyle w:val="Texto"/>
        <w:spacing w:after="0" w:line="240" w:lineRule="auto"/>
        <w:ind w:left="624" w:firstLine="0"/>
        <w:rPr>
          <w:rFonts w:ascii="Calibri" w:hAnsi="Calibri" w:cs="Calibri"/>
          <w:b/>
          <w:sz w:val="22"/>
          <w:szCs w:val="22"/>
          <w:lang w:val="es-MX"/>
        </w:rPr>
      </w:pPr>
      <w:r w:rsidRPr="000C6D0E">
        <w:rPr>
          <w:rFonts w:ascii="Calibri" w:hAnsi="Calibri" w:cs="Calibri"/>
          <w:b/>
          <w:sz w:val="22"/>
          <w:szCs w:val="22"/>
          <w:lang w:val="es-MX"/>
        </w:rPr>
        <w:t>Otros Activos</w:t>
      </w:r>
    </w:p>
    <w:p w:rsidR="000C6D0E" w:rsidRPr="000C6D0E" w:rsidRDefault="000C6D0E" w:rsidP="000C6D0E">
      <w:pPr>
        <w:ind w:left="567"/>
        <w:jc w:val="both"/>
        <w:rPr>
          <w:rFonts w:eastAsia="Times New Roman" w:cs="Calibri"/>
          <w:sz w:val="22"/>
          <w:szCs w:val="22"/>
          <w:lang w:eastAsia="es-ES"/>
        </w:rPr>
      </w:pPr>
    </w:p>
    <w:p w:rsidR="000C6D0E" w:rsidRPr="000C6D0E" w:rsidRDefault="000C6D0E" w:rsidP="000C6D0E">
      <w:pPr>
        <w:ind w:left="567"/>
        <w:jc w:val="both"/>
        <w:rPr>
          <w:rFonts w:eastAsia="Times New Roman" w:cs="Calibri"/>
          <w:sz w:val="22"/>
          <w:szCs w:val="22"/>
          <w:lang w:eastAsia="es-ES"/>
        </w:rPr>
      </w:pPr>
      <w:r w:rsidRPr="000C6D0E">
        <w:rPr>
          <w:rFonts w:eastAsia="Times New Roman" w:cs="Calibri"/>
          <w:sz w:val="22"/>
          <w:szCs w:val="22"/>
          <w:lang w:eastAsia="es-ES"/>
        </w:rPr>
        <w:t xml:space="preserve">Otros Activos Diferidos por </w:t>
      </w:r>
      <w:r w:rsidRPr="00590318">
        <w:rPr>
          <w:rFonts w:eastAsia="Times New Roman" w:cs="Calibri"/>
          <w:sz w:val="22"/>
          <w:szCs w:val="22"/>
          <w:lang w:eastAsia="es-ES"/>
        </w:rPr>
        <w:t>$623,92</w:t>
      </w:r>
      <w:r w:rsidR="00F16AEB" w:rsidRPr="00590318">
        <w:rPr>
          <w:rFonts w:eastAsia="Times New Roman" w:cs="Calibri"/>
          <w:sz w:val="22"/>
          <w:szCs w:val="22"/>
          <w:lang w:eastAsia="es-ES"/>
        </w:rPr>
        <w:t>4</w:t>
      </w:r>
      <w:r w:rsidRPr="000C6D0E">
        <w:rPr>
          <w:rFonts w:eastAsia="Times New Roman" w:cs="Calibri"/>
          <w:sz w:val="22"/>
          <w:szCs w:val="22"/>
          <w:lang w:eastAsia="es-ES"/>
        </w:rPr>
        <w:t xml:space="preserve"> los cuales provienen de saldos de ejercicios anteriores. Incluyen depósitos en garantía realizados para arrendamientos y contratos de energía eléctrica.</w:t>
      </w:r>
    </w:p>
    <w:p w:rsidR="000C6D0E" w:rsidRPr="000C6D0E" w:rsidRDefault="000C6D0E" w:rsidP="000C6D0E">
      <w:pPr>
        <w:pStyle w:val="ROMANOS"/>
        <w:spacing w:after="0" w:line="240" w:lineRule="auto"/>
        <w:ind w:left="432"/>
        <w:rPr>
          <w:rFonts w:ascii="Calibri" w:hAnsi="Calibri" w:cs="Calibri"/>
          <w:b/>
          <w:sz w:val="22"/>
          <w:szCs w:val="22"/>
          <w:lang w:val="es-MX"/>
        </w:rPr>
      </w:pPr>
    </w:p>
    <w:p w:rsidR="000C6D0E" w:rsidRPr="000C6D0E" w:rsidRDefault="000C6D0E" w:rsidP="000C6D0E">
      <w:pPr>
        <w:pStyle w:val="ROMANOS"/>
        <w:spacing w:after="0" w:line="240" w:lineRule="auto"/>
        <w:ind w:left="432"/>
        <w:rPr>
          <w:rFonts w:ascii="Calibri" w:hAnsi="Calibri" w:cs="Calibri"/>
          <w:b/>
          <w:sz w:val="22"/>
          <w:szCs w:val="22"/>
          <w:lang w:val="es-MX"/>
        </w:rPr>
      </w:pPr>
      <w:r w:rsidRPr="000C6D0E">
        <w:rPr>
          <w:rFonts w:ascii="Calibri" w:hAnsi="Calibri" w:cs="Calibri"/>
          <w:b/>
          <w:sz w:val="22"/>
          <w:szCs w:val="22"/>
          <w:lang w:val="es-MX"/>
        </w:rPr>
        <w:t>Pasivo</w:t>
      </w:r>
    </w:p>
    <w:p w:rsidR="000C6D0E" w:rsidRPr="000C6D0E" w:rsidRDefault="000C6D0E" w:rsidP="000C6D0E">
      <w:pPr>
        <w:pStyle w:val="ROMANOS"/>
        <w:spacing w:after="0" w:line="240" w:lineRule="auto"/>
        <w:ind w:left="0" w:firstLine="0"/>
        <w:rPr>
          <w:rFonts w:ascii="Calibri" w:hAnsi="Calibri" w:cs="Calibri"/>
          <w:sz w:val="22"/>
          <w:szCs w:val="22"/>
          <w:lang w:val="es-MX"/>
        </w:rPr>
      </w:pPr>
      <w:r w:rsidRPr="000C6D0E">
        <w:rPr>
          <w:rFonts w:ascii="Calibri" w:hAnsi="Calibri" w:cs="Calibri"/>
          <w:sz w:val="22"/>
          <w:szCs w:val="22"/>
          <w:lang w:val="es-MX"/>
        </w:rPr>
        <w:tab/>
      </w:r>
    </w:p>
    <w:p w:rsidR="000C6D0E" w:rsidRPr="000C6D0E" w:rsidRDefault="000C6D0E" w:rsidP="000C6D0E">
      <w:pPr>
        <w:pStyle w:val="ROMANOS"/>
        <w:tabs>
          <w:tab w:val="left" w:pos="567"/>
        </w:tabs>
        <w:spacing w:after="0" w:line="240" w:lineRule="auto"/>
        <w:ind w:left="567" w:firstLine="0"/>
        <w:rPr>
          <w:rFonts w:ascii="Calibri" w:hAnsi="Calibri" w:cs="Calibri"/>
          <w:b/>
          <w:sz w:val="22"/>
          <w:szCs w:val="22"/>
          <w:lang w:val="es-MX"/>
        </w:rPr>
      </w:pPr>
      <w:r w:rsidRPr="000C6D0E">
        <w:rPr>
          <w:rFonts w:ascii="Calibri" w:hAnsi="Calibri" w:cs="Calibri"/>
          <w:b/>
          <w:sz w:val="22"/>
          <w:szCs w:val="22"/>
          <w:lang w:val="es-MX"/>
        </w:rPr>
        <w:t>Cuentas y Documentos por Pagar por fecha de vencimiento (a corto y a largo plazo y factibilidad de pago).</w:t>
      </w:r>
    </w:p>
    <w:p w:rsidR="000C6D0E" w:rsidRPr="000C6D0E" w:rsidRDefault="000C6D0E" w:rsidP="000C6D0E">
      <w:pPr>
        <w:pStyle w:val="ROMANOS"/>
        <w:spacing w:after="0" w:line="240" w:lineRule="auto"/>
        <w:rPr>
          <w:rFonts w:ascii="Calibri" w:hAnsi="Calibri" w:cs="Calibri"/>
          <w:b/>
          <w:sz w:val="22"/>
          <w:szCs w:val="22"/>
          <w:u w:val="single"/>
          <w:lang w:val="es-MX"/>
        </w:rPr>
      </w:pPr>
    </w:p>
    <w:p w:rsidR="000C6D0E" w:rsidRPr="000C6D0E" w:rsidRDefault="000C6D0E" w:rsidP="000C6D0E">
      <w:pPr>
        <w:pStyle w:val="Prrafodelista"/>
        <w:numPr>
          <w:ilvl w:val="0"/>
          <w:numId w:val="43"/>
        </w:numPr>
        <w:tabs>
          <w:tab w:val="left" w:pos="709"/>
          <w:tab w:val="left" w:pos="851"/>
        </w:tabs>
        <w:suppressAutoHyphens w:val="0"/>
        <w:autoSpaceDN/>
        <w:spacing w:after="0" w:line="240" w:lineRule="auto"/>
        <w:contextualSpacing/>
        <w:jc w:val="both"/>
        <w:textAlignment w:val="auto"/>
        <w:rPr>
          <w:rFonts w:cs="Calibri"/>
          <w:lang w:val="es-ES"/>
        </w:rPr>
      </w:pPr>
      <w:r w:rsidRPr="000C6D0E">
        <w:rPr>
          <w:rFonts w:cs="Calibri"/>
          <w:lang w:val="es-ES"/>
        </w:rPr>
        <w:t>Sueldos por Pagar ………………</w:t>
      </w:r>
      <w:r w:rsidR="0062446D">
        <w:rPr>
          <w:rFonts w:cs="Calibri"/>
          <w:lang w:val="es-ES"/>
        </w:rPr>
        <w:t>………………</w:t>
      </w:r>
      <w:r w:rsidRPr="000C6D0E">
        <w:rPr>
          <w:rFonts w:cs="Calibri"/>
          <w:lang w:val="es-ES"/>
        </w:rPr>
        <w:t>……</w:t>
      </w:r>
      <w:r w:rsidR="00843E00">
        <w:rPr>
          <w:rFonts w:cs="Calibri"/>
          <w:lang w:val="es-ES"/>
        </w:rPr>
        <w:t>………………………………………………..$ 56’254,220</w:t>
      </w:r>
    </w:p>
    <w:p w:rsidR="000C6D0E" w:rsidRPr="000C6D0E" w:rsidRDefault="000C6D0E" w:rsidP="000C6D0E">
      <w:pPr>
        <w:pStyle w:val="Prrafodelista"/>
        <w:tabs>
          <w:tab w:val="left" w:pos="709"/>
          <w:tab w:val="left" w:pos="851"/>
        </w:tabs>
        <w:spacing w:after="0" w:line="240" w:lineRule="auto"/>
        <w:ind w:left="1429"/>
        <w:jc w:val="both"/>
        <w:rPr>
          <w:rFonts w:cs="Calibri"/>
          <w:lang w:val="es-ES"/>
        </w:rPr>
      </w:pPr>
    </w:p>
    <w:p w:rsidR="000C6D0E" w:rsidRPr="000C6D0E" w:rsidRDefault="000C6D0E" w:rsidP="000C6D0E">
      <w:pPr>
        <w:pStyle w:val="ROMANOS"/>
        <w:spacing w:after="0" w:line="240" w:lineRule="auto"/>
        <w:ind w:left="567" w:firstLine="0"/>
        <w:rPr>
          <w:rFonts w:ascii="Calibri" w:eastAsia="Calibri" w:hAnsi="Calibri" w:cs="Calibri"/>
          <w:sz w:val="22"/>
          <w:szCs w:val="22"/>
          <w:lang w:eastAsia="en-US"/>
        </w:rPr>
      </w:pPr>
      <w:r w:rsidRPr="000C6D0E">
        <w:rPr>
          <w:rFonts w:ascii="Calibri" w:eastAsia="Calibri" w:hAnsi="Calibri" w:cs="Calibri"/>
          <w:sz w:val="22"/>
          <w:szCs w:val="22"/>
          <w:lang w:eastAsia="en-US"/>
        </w:rPr>
        <w:t xml:space="preserve">Este rubro se integra por la provisión de nómina del ejercicio y en su caso, nómina de ejercicios anteriores, así como bloqueos de nómina pendientes de cancelar. Para el cierre del ejercicio fiscal 2024 fue </w:t>
      </w:r>
      <w:r w:rsidR="0062446D" w:rsidRPr="000C6D0E">
        <w:rPr>
          <w:rFonts w:ascii="Calibri" w:eastAsia="Calibri" w:hAnsi="Calibri" w:cs="Calibri"/>
          <w:sz w:val="22"/>
          <w:szCs w:val="22"/>
          <w:lang w:eastAsia="en-US"/>
        </w:rPr>
        <w:t>provisionada</w:t>
      </w:r>
      <w:r w:rsidRPr="000C6D0E">
        <w:rPr>
          <w:rFonts w:ascii="Calibri" w:eastAsia="Calibri" w:hAnsi="Calibri" w:cs="Calibri"/>
          <w:sz w:val="22"/>
          <w:szCs w:val="22"/>
          <w:lang w:eastAsia="en-US"/>
        </w:rPr>
        <w:t xml:space="preserve"> la segunda parte del aguinaldo pagadera durante la primera quincena del ejercicio fiscal 2025.</w:t>
      </w:r>
    </w:p>
    <w:p w:rsidR="000C6D0E" w:rsidRPr="000C6D0E" w:rsidRDefault="000C6D0E" w:rsidP="000C6D0E">
      <w:pPr>
        <w:pStyle w:val="ROMANOS"/>
        <w:spacing w:after="0" w:line="240" w:lineRule="auto"/>
        <w:ind w:left="567" w:firstLine="0"/>
        <w:rPr>
          <w:rFonts w:ascii="Calibri" w:eastAsia="Calibri" w:hAnsi="Calibri" w:cs="Calibri"/>
          <w:sz w:val="22"/>
          <w:szCs w:val="22"/>
          <w:lang w:eastAsia="en-US"/>
        </w:rPr>
      </w:pPr>
    </w:p>
    <w:p w:rsidR="000C6D0E" w:rsidRPr="000C6D0E" w:rsidRDefault="000C6D0E" w:rsidP="000C6D0E">
      <w:pPr>
        <w:pStyle w:val="Prrafodelista"/>
        <w:numPr>
          <w:ilvl w:val="0"/>
          <w:numId w:val="43"/>
        </w:numPr>
        <w:tabs>
          <w:tab w:val="left" w:pos="709"/>
          <w:tab w:val="left" w:pos="851"/>
        </w:tabs>
        <w:suppressAutoHyphens w:val="0"/>
        <w:autoSpaceDN/>
        <w:spacing w:after="0" w:line="240" w:lineRule="auto"/>
        <w:contextualSpacing/>
        <w:jc w:val="both"/>
        <w:textAlignment w:val="auto"/>
        <w:rPr>
          <w:rFonts w:cs="Calibri"/>
          <w:lang w:val="es-ES"/>
        </w:rPr>
      </w:pPr>
      <w:r w:rsidRPr="000C6D0E">
        <w:rPr>
          <w:rFonts w:cs="Calibri"/>
          <w:lang w:val="es-ES"/>
        </w:rPr>
        <w:t>Proveedore</w:t>
      </w:r>
      <w:r w:rsidR="0062446D">
        <w:rPr>
          <w:rFonts w:cs="Calibri"/>
          <w:lang w:val="es-ES"/>
        </w:rPr>
        <w:t>s por Pagar a Corto Plazo ………….</w:t>
      </w:r>
      <w:r w:rsidRPr="000C6D0E">
        <w:rPr>
          <w:rFonts w:cs="Calibri"/>
          <w:lang w:val="es-ES"/>
        </w:rPr>
        <w:t>……………............................…$ 1’486’267,938</w:t>
      </w:r>
      <w:r w:rsidRPr="000C6D0E">
        <w:rPr>
          <w:rFonts w:cs="Calibri"/>
          <w:lang w:val="es-ES"/>
        </w:rPr>
        <w:tab/>
      </w:r>
    </w:p>
    <w:p w:rsidR="000C6D0E" w:rsidRPr="000C6D0E" w:rsidRDefault="000C6D0E" w:rsidP="000C6D0E">
      <w:pPr>
        <w:pStyle w:val="ROMANOS"/>
        <w:spacing w:after="0" w:line="240" w:lineRule="auto"/>
        <w:ind w:left="567" w:firstLine="0"/>
        <w:rPr>
          <w:rFonts w:ascii="Calibri" w:hAnsi="Calibri" w:cs="Calibri"/>
          <w:sz w:val="22"/>
          <w:szCs w:val="22"/>
        </w:rPr>
      </w:pPr>
      <w:r w:rsidRPr="000C6D0E">
        <w:rPr>
          <w:rFonts w:ascii="Calibri" w:hAnsi="Calibri" w:cs="Calibri"/>
          <w:sz w:val="22"/>
          <w:szCs w:val="22"/>
        </w:rPr>
        <w:t>Representa el importe por el adeudo a proveedores por adquisiciones o prestación de servicios del Organismo pendientes de pago al 31 de diciembre de 2024, registrados para su pago a corto plazo, de acuerdo a la capacidad financiera y a los presupuestos destinados para hacer frente a las obligaciones.</w:t>
      </w:r>
    </w:p>
    <w:p w:rsidR="000C6D0E" w:rsidRPr="000C6D0E" w:rsidRDefault="000C6D0E" w:rsidP="000C6D0E">
      <w:pPr>
        <w:pStyle w:val="ROMANOS"/>
        <w:spacing w:after="0" w:line="240" w:lineRule="auto"/>
        <w:ind w:left="567" w:firstLine="0"/>
        <w:rPr>
          <w:rFonts w:ascii="Calibri" w:hAnsi="Calibri" w:cs="Calibri"/>
          <w:sz w:val="22"/>
          <w:szCs w:val="22"/>
        </w:rPr>
      </w:pPr>
    </w:p>
    <w:p w:rsidR="000C6D0E" w:rsidRPr="000C6D0E" w:rsidRDefault="000C6D0E" w:rsidP="000C6D0E">
      <w:pPr>
        <w:pStyle w:val="Prrafodelista"/>
        <w:numPr>
          <w:ilvl w:val="0"/>
          <w:numId w:val="43"/>
        </w:numPr>
        <w:suppressAutoHyphens w:val="0"/>
        <w:autoSpaceDN/>
        <w:spacing w:after="0" w:line="240" w:lineRule="auto"/>
        <w:contextualSpacing/>
        <w:jc w:val="both"/>
        <w:textAlignment w:val="auto"/>
        <w:rPr>
          <w:rFonts w:cs="Calibri"/>
          <w:lang w:val="es-ES"/>
        </w:rPr>
      </w:pPr>
      <w:r w:rsidRPr="000C6D0E">
        <w:rPr>
          <w:rFonts w:cs="Calibri"/>
          <w:lang w:val="es-ES"/>
        </w:rPr>
        <w:t>Contratistas por Obras Públic</w:t>
      </w:r>
      <w:r w:rsidR="0062446D">
        <w:rPr>
          <w:rFonts w:cs="Calibri"/>
          <w:lang w:val="es-ES"/>
        </w:rPr>
        <w:t>as por Pagar a Corto Plazo………….</w:t>
      </w:r>
      <w:r w:rsidRPr="000C6D0E">
        <w:rPr>
          <w:rFonts w:cs="Calibri"/>
          <w:lang w:val="es-ES"/>
        </w:rPr>
        <w:t>………………..$ 58’174,688</w:t>
      </w:r>
    </w:p>
    <w:p w:rsidR="000C6D0E" w:rsidRPr="000C6D0E" w:rsidRDefault="000C6D0E" w:rsidP="000C6D0E">
      <w:pPr>
        <w:pStyle w:val="Prrafodelista"/>
        <w:spacing w:after="0" w:line="240" w:lineRule="auto"/>
        <w:ind w:left="1429"/>
        <w:jc w:val="both"/>
        <w:rPr>
          <w:rFonts w:cs="Calibri"/>
          <w:lang w:val="es-ES"/>
        </w:rPr>
      </w:pPr>
    </w:p>
    <w:p w:rsidR="000C6D0E" w:rsidRPr="000C6D0E" w:rsidRDefault="000C6D0E" w:rsidP="000C6D0E">
      <w:pPr>
        <w:pStyle w:val="ROMANOS"/>
        <w:spacing w:after="0" w:line="240" w:lineRule="auto"/>
        <w:ind w:left="567" w:firstLine="0"/>
        <w:rPr>
          <w:rFonts w:ascii="Calibri" w:hAnsi="Calibri" w:cs="Calibri"/>
          <w:sz w:val="22"/>
          <w:szCs w:val="22"/>
        </w:rPr>
      </w:pPr>
      <w:r w:rsidRPr="000C6D0E">
        <w:rPr>
          <w:rFonts w:ascii="Calibri" w:hAnsi="Calibri" w:cs="Calibri"/>
          <w:sz w:val="22"/>
          <w:szCs w:val="22"/>
        </w:rPr>
        <w:t>Representa el importe por pagar a Contratistas por la Construcción, ampliación o remodelación de bienes inmuebles del Organismo.</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43"/>
        </w:numPr>
        <w:suppressAutoHyphens w:val="0"/>
        <w:autoSpaceDN/>
        <w:spacing w:after="0" w:line="240" w:lineRule="auto"/>
        <w:contextualSpacing/>
        <w:jc w:val="both"/>
        <w:textAlignment w:val="auto"/>
        <w:rPr>
          <w:rFonts w:cs="Calibri"/>
          <w:lang w:val="es-ES"/>
        </w:rPr>
      </w:pPr>
      <w:r w:rsidRPr="000C6D0E">
        <w:rPr>
          <w:rFonts w:cs="Calibri"/>
          <w:lang w:val="es-ES"/>
        </w:rPr>
        <w:t>Cuenta: Retenciones y Contribucione</w:t>
      </w:r>
      <w:r w:rsidR="0062446D">
        <w:rPr>
          <w:rFonts w:cs="Calibri"/>
          <w:lang w:val="es-ES"/>
        </w:rPr>
        <w:t>s por Pagar a Corto Plazo…....</w:t>
      </w:r>
      <w:r w:rsidRPr="000C6D0E">
        <w:rPr>
          <w:rFonts w:cs="Calibri"/>
          <w:lang w:val="es-ES"/>
        </w:rPr>
        <w:t>.............$ 153’802,918</w:t>
      </w:r>
    </w:p>
    <w:p w:rsidR="000C6D0E" w:rsidRPr="000C6D0E" w:rsidRDefault="000C6D0E" w:rsidP="000C6D0E">
      <w:pPr>
        <w:pStyle w:val="Prrafodelista"/>
        <w:spacing w:after="0" w:line="240" w:lineRule="auto"/>
        <w:ind w:left="1429"/>
        <w:jc w:val="both"/>
        <w:rPr>
          <w:rFonts w:cs="Calibri"/>
          <w:lang w:val="es-ES"/>
        </w:rPr>
      </w:pPr>
    </w:p>
    <w:p w:rsidR="000C6D0E" w:rsidRPr="000C6D0E" w:rsidRDefault="000C6D0E" w:rsidP="000C6D0E">
      <w:pPr>
        <w:pStyle w:val="ROMANOS"/>
        <w:spacing w:after="0" w:line="240" w:lineRule="auto"/>
        <w:ind w:left="567" w:firstLine="0"/>
        <w:rPr>
          <w:rFonts w:ascii="Calibri" w:hAnsi="Calibri" w:cs="Calibri"/>
          <w:sz w:val="22"/>
          <w:szCs w:val="22"/>
        </w:rPr>
      </w:pPr>
      <w:r w:rsidRPr="000C6D0E">
        <w:rPr>
          <w:rFonts w:ascii="Calibri" w:hAnsi="Calibri" w:cs="Calibri"/>
          <w:sz w:val="22"/>
          <w:szCs w:val="22"/>
        </w:rPr>
        <w:lastRenderedPageBreak/>
        <w:t>Este rubro incluye las obligaciones fiscales del Organismo al 31 de diciembre de 2024 por concepto de retenciones de ISR, Impuesto sobre nóminas estatal y de Aportaciones de Seguridad Social. Así como también, retenciones para el entero de terceros de acuerdo a los contratos colectivos de trabajo.</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Prrafodelista"/>
        <w:numPr>
          <w:ilvl w:val="0"/>
          <w:numId w:val="43"/>
        </w:numPr>
        <w:suppressAutoHyphens w:val="0"/>
        <w:autoSpaceDN/>
        <w:spacing w:after="0" w:line="240" w:lineRule="auto"/>
        <w:contextualSpacing/>
        <w:jc w:val="both"/>
        <w:textAlignment w:val="auto"/>
        <w:rPr>
          <w:rFonts w:cs="Calibri"/>
          <w:lang w:val="es-ES"/>
        </w:rPr>
      </w:pPr>
      <w:r w:rsidRPr="000C6D0E">
        <w:rPr>
          <w:rFonts w:cs="Calibri"/>
          <w:lang w:val="es-ES"/>
        </w:rPr>
        <w:t>Cuenta: Otras Cuentas por Pagar a Corto Plazo……………………………………...$ 144’569,095</w:t>
      </w:r>
    </w:p>
    <w:p w:rsidR="000C6D0E" w:rsidRPr="000C6D0E" w:rsidRDefault="000C6D0E" w:rsidP="000C6D0E">
      <w:pPr>
        <w:pStyle w:val="Prrafodelista"/>
        <w:spacing w:after="0" w:line="240" w:lineRule="auto"/>
        <w:ind w:left="1429"/>
        <w:jc w:val="both"/>
        <w:rPr>
          <w:rFonts w:cs="Calibri"/>
          <w:lang w:val="es-ES"/>
        </w:rPr>
      </w:pPr>
    </w:p>
    <w:p w:rsidR="000C6D0E" w:rsidRPr="000C6D0E" w:rsidRDefault="000C6D0E" w:rsidP="000C6D0E">
      <w:pPr>
        <w:pStyle w:val="ROMANOS"/>
        <w:spacing w:after="0" w:line="240" w:lineRule="auto"/>
        <w:ind w:left="567" w:firstLine="0"/>
        <w:rPr>
          <w:rFonts w:ascii="Calibri" w:hAnsi="Calibri" w:cs="Calibri"/>
          <w:sz w:val="22"/>
          <w:szCs w:val="22"/>
          <w:lang w:val="es-MX"/>
        </w:rPr>
      </w:pPr>
      <w:r w:rsidRPr="000C6D0E">
        <w:rPr>
          <w:rFonts w:ascii="Calibri" w:hAnsi="Calibri" w:cs="Calibri"/>
          <w:sz w:val="22"/>
          <w:szCs w:val="22"/>
        </w:rPr>
        <w:t>Esta</w:t>
      </w:r>
      <w:r w:rsidRPr="000C6D0E">
        <w:rPr>
          <w:rFonts w:ascii="Calibri" w:hAnsi="Calibri" w:cs="Calibri"/>
          <w:sz w:val="22"/>
          <w:szCs w:val="22"/>
          <w:lang w:val="es-MX"/>
        </w:rPr>
        <w:t xml:space="preserve"> cuenta incluye la parte que cubre el Organismo como patrón por Aportaciones de Seguridad Social, así como otras obligaciones a corto plazo a cargo del Organismo.</w:t>
      </w:r>
    </w:p>
    <w:p w:rsidR="000C6D0E" w:rsidRPr="000C6D0E" w:rsidRDefault="000C6D0E" w:rsidP="000C6D0E">
      <w:pPr>
        <w:pStyle w:val="ROMANOS"/>
        <w:spacing w:after="0" w:line="240" w:lineRule="auto"/>
        <w:rPr>
          <w:rFonts w:ascii="Calibri" w:hAnsi="Calibri" w:cs="Calibri"/>
          <w:sz w:val="22"/>
          <w:szCs w:val="22"/>
        </w:rPr>
      </w:pPr>
    </w:p>
    <w:p w:rsidR="000C6D0E" w:rsidRPr="000C6D0E" w:rsidRDefault="000C6D0E" w:rsidP="000C6D0E">
      <w:pPr>
        <w:pStyle w:val="Prrafodelista"/>
        <w:numPr>
          <w:ilvl w:val="0"/>
          <w:numId w:val="43"/>
        </w:numPr>
        <w:suppressAutoHyphens w:val="0"/>
        <w:autoSpaceDN/>
        <w:spacing w:after="0" w:line="240" w:lineRule="auto"/>
        <w:contextualSpacing/>
        <w:jc w:val="both"/>
        <w:textAlignment w:val="auto"/>
        <w:rPr>
          <w:rFonts w:cs="Calibri"/>
          <w:lang w:val="es-ES"/>
        </w:rPr>
      </w:pPr>
      <w:r w:rsidRPr="000C6D0E">
        <w:rPr>
          <w:rFonts w:cs="Calibri"/>
          <w:lang w:val="es-ES"/>
        </w:rPr>
        <w:t>Cuenta: Otros Fondos de Terceros a CP…..…………..……………</w:t>
      </w:r>
      <w:r w:rsidR="0062446D">
        <w:rPr>
          <w:rFonts w:cs="Calibri"/>
          <w:lang w:val="es-ES"/>
        </w:rPr>
        <w:t>…..</w:t>
      </w:r>
      <w:r w:rsidRPr="000C6D0E">
        <w:rPr>
          <w:rFonts w:cs="Calibri"/>
          <w:lang w:val="es-ES"/>
        </w:rPr>
        <w:t>..……...……...…$ 47’650,004</w:t>
      </w:r>
    </w:p>
    <w:p w:rsidR="000C6D0E" w:rsidRPr="000C6D0E" w:rsidRDefault="000C6D0E" w:rsidP="000C6D0E">
      <w:pPr>
        <w:pStyle w:val="Prrafodelista"/>
        <w:spacing w:after="0" w:line="240" w:lineRule="auto"/>
        <w:ind w:left="1429"/>
        <w:jc w:val="both"/>
        <w:rPr>
          <w:rFonts w:cs="Calibri"/>
          <w:lang w:val="es-ES"/>
        </w:rPr>
      </w:pPr>
    </w:p>
    <w:p w:rsidR="000C6D0E" w:rsidRPr="000C6D0E" w:rsidRDefault="000C6D0E" w:rsidP="000C6D0E">
      <w:pPr>
        <w:pStyle w:val="ROMANOS"/>
        <w:spacing w:after="0" w:line="240" w:lineRule="auto"/>
        <w:ind w:left="567" w:firstLine="0"/>
        <w:rPr>
          <w:rFonts w:ascii="Calibri" w:hAnsi="Calibri" w:cs="Calibri"/>
          <w:sz w:val="22"/>
          <w:szCs w:val="22"/>
        </w:rPr>
      </w:pPr>
      <w:r w:rsidRPr="000C6D0E">
        <w:rPr>
          <w:rFonts w:ascii="Calibri" w:hAnsi="Calibri" w:cs="Calibri"/>
          <w:sz w:val="22"/>
          <w:szCs w:val="22"/>
          <w:lang w:val="es-MX"/>
        </w:rPr>
        <w:t>Su saldo más representativo se integra el fondo estatal del ahorro por los trabajadores estatales de conformidad   con las condiciones laborales.</w:t>
      </w:r>
    </w:p>
    <w:p w:rsidR="000C6D0E" w:rsidRPr="000C6D0E" w:rsidRDefault="000C6D0E" w:rsidP="000C6D0E">
      <w:pPr>
        <w:pStyle w:val="ROMANOS"/>
        <w:spacing w:after="0" w:line="240" w:lineRule="auto"/>
        <w:rPr>
          <w:rFonts w:ascii="Calibri" w:hAnsi="Calibri" w:cs="Calibri"/>
          <w:b/>
          <w:sz w:val="22"/>
          <w:szCs w:val="22"/>
          <w:u w:val="single"/>
          <w:lang w:val="es-MX"/>
        </w:rPr>
      </w:pPr>
    </w:p>
    <w:p w:rsidR="000C6D0E" w:rsidRPr="000C6D0E" w:rsidRDefault="000C6D0E" w:rsidP="000C6D0E">
      <w:pPr>
        <w:pStyle w:val="ROMANOS"/>
        <w:spacing w:after="0" w:line="240" w:lineRule="auto"/>
        <w:ind w:left="567" w:firstLine="0"/>
        <w:rPr>
          <w:rFonts w:ascii="Calibri" w:hAnsi="Calibri" w:cs="Calibri"/>
          <w:b/>
          <w:sz w:val="22"/>
          <w:szCs w:val="22"/>
          <w:lang w:val="es-MX"/>
        </w:rPr>
      </w:pPr>
      <w:r w:rsidRPr="000C6D0E">
        <w:rPr>
          <w:rFonts w:ascii="Calibri" w:hAnsi="Calibri" w:cs="Calibri"/>
          <w:b/>
          <w:sz w:val="22"/>
          <w:szCs w:val="22"/>
          <w:lang w:val="es-MX"/>
        </w:rPr>
        <w:t>Pasivos Diferidos a Corto Plazo</w:t>
      </w:r>
    </w:p>
    <w:p w:rsidR="000C6D0E" w:rsidRPr="000C6D0E" w:rsidRDefault="000C6D0E" w:rsidP="000C6D0E">
      <w:pPr>
        <w:pStyle w:val="ROMANOS"/>
        <w:tabs>
          <w:tab w:val="left" w:pos="426"/>
        </w:tabs>
        <w:spacing w:after="0" w:line="240" w:lineRule="auto"/>
        <w:ind w:left="0" w:firstLine="0"/>
        <w:rPr>
          <w:rFonts w:ascii="Calibri" w:hAnsi="Calibri" w:cs="Calibri"/>
          <w:sz w:val="22"/>
          <w:szCs w:val="22"/>
          <w:lang w:val="es-MX"/>
        </w:rPr>
      </w:pPr>
    </w:p>
    <w:p w:rsidR="000C6D0E" w:rsidRPr="000C6D0E" w:rsidRDefault="000C6D0E" w:rsidP="000C6D0E">
      <w:pPr>
        <w:pStyle w:val="ROMANOS"/>
        <w:numPr>
          <w:ilvl w:val="0"/>
          <w:numId w:val="44"/>
        </w:numPr>
        <w:tabs>
          <w:tab w:val="clear" w:pos="1440"/>
          <w:tab w:val="left" w:pos="426"/>
          <w:tab w:val="left" w:pos="1418"/>
        </w:tabs>
        <w:suppressAutoHyphens w:val="0"/>
        <w:autoSpaceDN/>
        <w:spacing w:after="0" w:line="240" w:lineRule="auto"/>
        <w:ind w:left="1134" w:hanging="141"/>
        <w:textAlignment w:val="auto"/>
        <w:rPr>
          <w:rFonts w:ascii="Calibri" w:hAnsi="Calibri" w:cs="Calibri"/>
          <w:sz w:val="22"/>
          <w:szCs w:val="22"/>
        </w:rPr>
      </w:pPr>
      <w:r w:rsidRPr="000C6D0E">
        <w:rPr>
          <w:rFonts w:ascii="Calibri" w:hAnsi="Calibri" w:cs="Calibri"/>
          <w:sz w:val="22"/>
          <w:szCs w:val="22"/>
          <w:lang w:val="es-MX"/>
        </w:rPr>
        <w:t>Cuenta: Ingresos Cobrados por Adelantado</w:t>
      </w:r>
      <w:r w:rsidRPr="000C6D0E">
        <w:rPr>
          <w:rFonts w:ascii="Calibri" w:hAnsi="Calibri" w:cs="Calibri"/>
          <w:sz w:val="22"/>
          <w:szCs w:val="22"/>
        </w:rPr>
        <w:t>……………</w:t>
      </w:r>
      <w:r w:rsidR="0062446D">
        <w:rPr>
          <w:rFonts w:ascii="Calibri" w:hAnsi="Calibri" w:cs="Calibri"/>
          <w:sz w:val="22"/>
          <w:szCs w:val="22"/>
        </w:rPr>
        <w:t>….</w:t>
      </w:r>
      <w:r w:rsidRPr="000C6D0E">
        <w:rPr>
          <w:rFonts w:ascii="Calibri" w:hAnsi="Calibri" w:cs="Calibri"/>
          <w:sz w:val="22"/>
          <w:szCs w:val="22"/>
        </w:rPr>
        <w:t>…..……..….…………….……..$ 515,276</w:t>
      </w:r>
    </w:p>
    <w:p w:rsidR="000C6D0E" w:rsidRPr="000C6D0E" w:rsidRDefault="000C6D0E" w:rsidP="000C6D0E">
      <w:pPr>
        <w:pStyle w:val="INCISO"/>
        <w:spacing w:after="0" w:line="240" w:lineRule="auto"/>
        <w:ind w:left="360"/>
        <w:rPr>
          <w:rFonts w:ascii="Calibri" w:hAnsi="Calibri" w:cs="Calibri"/>
          <w:b/>
          <w:smallCaps/>
          <w:sz w:val="22"/>
          <w:szCs w:val="22"/>
        </w:rPr>
      </w:pPr>
    </w:p>
    <w:p w:rsidR="000C6D0E" w:rsidRPr="000C6D0E" w:rsidRDefault="000C6D0E" w:rsidP="000C6D0E">
      <w:pPr>
        <w:pStyle w:val="INCISO"/>
        <w:spacing w:after="0" w:line="240" w:lineRule="auto"/>
        <w:ind w:left="360"/>
        <w:rPr>
          <w:rFonts w:ascii="Calibri" w:hAnsi="Calibri" w:cs="Calibri"/>
          <w:b/>
          <w:smallCaps/>
          <w:sz w:val="22"/>
          <w:szCs w:val="22"/>
        </w:rPr>
      </w:pPr>
      <w:r w:rsidRPr="000C6D0E">
        <w:rPr>
          <w:rFonts w:ascii="Calibri" w:hAnsi="Calibri" w:cs="Calibri"/>
          <w:b/>
          <w:smallCaps/>
          <w:sz w:val="22"/>
          <w:szCs w:val="22"/>
        </w:rPr>
        <w:t>III)</w:t>
      </w:r>
      <w:r w:rsidRPr="000C6D0E">
        <w:rPr>
          <w:rFonts w:ascii="Calibri" w:hAnsi="Calibri" w:cs="Calibri"/>
          <w:b/>
          <w:smallCaps/>
          <w:sz w:val="22"/>
          <w:szCs w:val="22"/>
        </w:rPr>
        <w:tab/>
        <w:t>Notas al Estado de Variación en la Hacienda Pública</w:t>
      </w:r>
    </w:p>
    <w:p w:rsidR="000C6D0E" w:rsidRPr="000C6D0E" w:rsidRDefault="000C6D0E" w:rsidP="000C6D0E">
      <w:pPr>
        <w:pStyle w:val="INCISO"/>
        <w:spacing w:after="0" w:line="240" w:lineRule="auto"/>
        <w:ind w:left="360"/>
        <w:rPr>
          <w:rFonts w:ascii="Calibri" w:hAnsi="Calibri" w:cs="Calibri"/>
          <w:b/>
          <w:smallCaps/>
          <w:sz w:val="22"/>
          <w:szCs w:val="22"/>
        </w:rPr>
      </w:pPr>
    </w:p>
    <w:p w:rsidR="000C6D0E" w:rsidRPr="000C6D0E" w:rsidRDefault="000C6D0E" w:rsidP="000C6D0E">
      <w:pPr>
        <w:pStyle w:val="ROMANOS"/>
        <w:spacing w:after="0" w:line="240" w:lineRule="auto"/>
        <w:ind w:left="567" w:firstLine="0"/>
        <w:rPr>
          <w:rFonts w:ascii="Calibri" w:hAnsi="Calibri" w:cs="Calibri"/>
          <w:sz w:val="22"/>
          <w:szCs w:val="22"/>
        </w:rPr>
      </w:pPr>
      <w:r w:rsidRPr="000C6D0E">
        <w:rPr>
          <w:rFonts w:ascii="Calibri" w:hAnsi="Calibri" w:cs="Calibri"/>
          <w:sz w:val="22"/>
          <w:szCs w:val="22"/>
        </w:rPr>
        <w:t>Al 31 de diciembre de 2024 se obtuvo un ahorro por un monto de $ 1’073’498,565.</w:t>
      </w:r>
    </w:p>
    <w:p w:rsidR="000C6D0E" w:rsidRPr="000C6D0E" w:rsidRDefault="000C6D0E" w:rsidP="000C6D0E">
      <w:pPr>
        <w:pStyle w:val="Prrafodelista"/>
        <w:spacing w:after="0" w:line="240" w:lineRule="auto"/>
        <w:jc w:val="both"/>
        <w:rPr>
          <w:rFonts w:cs="Calibri"/>
          <w:lang w:val="es-ES"/>
        </w:rPr>
      </w:pPr>
    </w:p>
    <w:p w:rsidR="000C6D0E" w:rsidRPr="000C6D0E" w:rsidRDefault="000C6D0E" w:rsidP="000C6D0E">
      <w:pPr>
        <w:pStyle w:val="ROMANOS"/>
        <w:spacing w:after="0" w:line="240" w:lineRule="auto"/>
        <w:ind w:left="708" w:firstLine="0"/>
        <w:rPr>
          <w:rFonts w:ascii="Calibri" w:hAnsi="Calibri" w:cs="Calibri"/>
          <w:sz w:val="22"/>
          <w:szCs w:val="22"/>
          <w:lang w:val="es-MX"/>
        </w:rPr>
      </w:pPr>
      <w:r w:rsidRPr="000C6D0E">
        <w:rPr>
          <w:rFonts w:ascii="Calibri" w:hAnsi="Calibri" w:cs="Calibri"/>
          <w:sz w:val="22"/>
          <w:szCs w:val="22"/>
          <w:lang w:val="es-MX"/>
        </w:rPr>
        <w:t xml:space="preserve">Durante el </w:t>
      </w:r>
      <w:r w:rsidR="005A7262">
        <w:rPr>
          <w:rFonts w:ascii="Calibri" w:hAnsi="Calibri" w:cs="Calibri"/>
          <w:sz w:val="22"/>
          <w:szCs w:val="22"/>
        </w:rPr>
        <w:t>ejercicio</w:t>
      </w:r>
      <w:r w:rsidRPr="000C6D0E">
        <w:rPr>
          <w:rFonts w:ascii="Calibri" w:hAnsi="Calibri" w:cs="Calibri"/>
          <w:sz w:val="22"/>
          <w:szCs w:val="22"/>
        </w:rPr>
        <w:t xml:space="preserve"> 2024 </w:t>
      </w:r>
      <w:r w:rsidRPr="000C6D0E">
        <w:rPr>
          <w:rFonts w:ascii="Calibri" w:hAnsi="Calibri" w:cs="Calibri"/>
          <w:sz w:val="22"/>
          <w:szCs w:val="22"/>
          <w:lang w:val="es-MX"/>
        </w:rPr>
        <w:t>se realizaron modificaciones a la cuenta de Resultados de Ejercicios Anteriores por reintegros de Recursos Federales a la Tesorería de la Federación y otros movimientos previamente autorizados en la Sesión de la Junta de Gobierno.</w:t>
      </w:r>
    </w:p>
    <w:p w:rsidR="000C6D0E" w:rsidRPr="000C6D0E" w:rsidRDefault="000C6D0E" w:rsidP="000C6D0E">
      <w:pPr>
        <w:pStyle w:val="ROMANOS"/>
        <w:spacing w:after="0" w:line="240" w:lineRule="auto"/>
        <w:ind w:left="708" w:firstLine="0"/>
        <w:rPr>
          <w:rFonts w:ascii="Calibri" w:hAnsi="Calibri" w:cs="Calibri"/>
          <w:sz w:val="22"/>
          <w:szCs w:val="22"/>
          <w:lang w:val="es-MX"/>
        </w:rPr>
      </w:pPr>
    </w:p>
    <w:p w:rsidR="000C6D0E" w:rsidRPr="000C6D0E" w:rsidRDefault="000C6D0E" w:rsidP="000C6D0E">
      <w:pPr>
        <w:pStyle w:val="ROMANOS"/>
        <w:spacing w:after="0" w:line="240" w:lineRule="auto"/>
        <w:ind w:left="708" w:firstLine="0"/>
        <w:rPr>
          <w:rFonts w:ascii="Calibri" w:hAnsi="Calibri" w:cs="Calibri"/>
          <w:sz w:val="22"/>
          <w:szCs w:val="22"/>
          <w:lang w:val="es-MX"/>
        </w:rPr>
      </w:pPr>
    </w:p>
    <w:p w:rsidR="000C6D0E" w:rsidRPr="000C6D0E" w:rsidRDefault="000C6D0E" w:rsidP="000C6D0E">
      <w:pPr>
        <w:pStyle w:val="INCISO"/>
        <w:spacing w:after="0" w:line="240" w:lineRule="auto"/>
        <w:ind w:left="360"/>
        <w:rPr>
          <w:rFonts w:ascii="Calibri" w:hAnsi="Calibri" w:cs="Calibri"/>
          <w:b/>
          <w:smallCaps/>
          <w:sz w:val="22"/>
          <w:szCs w:val="22"/>
        </w:rPr>
      </w:pPr>
      <w:r w:rsidRPr="000C6D0E">
        <w:rPr>
          <w:rFonts w:ascii="Calibri" w:hAnsi="Calibri" w:cs="Calibri"/>
          <w:b/>
          <w:smallCaps/>
          <w:sz w:val="22"/>
          <w:szCs w:val="22"/>
        </w:rPr>
        <w:t>IV)</w:t>
      </w:r>
      <w:r w:rsidRPr="000C6D0E">
        <w:rPr>
          <w:rFonts w:ascii="Calibri" w:hAnsi="Calibri" w:cs="Calibri"/>
          <w:b/>
          <w:smallCaps/>
          <w:sz w:val="22"/>
          <w:szCs w:val="22"/>
        </w:rPr>
        <w:tab/>
        <w:t xml:space="preserve">Notas al Estado de Flujos de Efectivo </w:t>
      </w:r>
    </w:p>
    <w:p w:rsidR="000C6D0E" w:rsidRPr="000C6D0E" w:rsidRDefault="000C6D0E" w:rsidP="000C6D0E">
      <w:pPr>
        <w:pStyle w:val="INCISO"/>
        <w:spacing w:after="0" w:line="240" w:lineRule="auto"/>
        <w:ind w:left="360"/>
        <w:rPr>
          <w:rFonts w:ascii="Calibri" w:hAnsi="Calibri" w:cs="Calibri"/>
          <w:smallCaps/>
          <w:sz w:val="22"/>
          <w:szCs w:val="22"/>
        </w:rPr>
      </w:pPr>
    </w:p>
    <w:p w:rsidR="000C6D0E" w:rsidRPr="000C6D0E" w:rsidRDefault="000C6D0E" w:rsidP="000C6D0E">
      <w:pPr>
        <w:pStyle w:val="ROMANOS"/>
        <w:spacing w:after="0" w:line="240" w:lineRule="auto"/>
        <w:ind w:left="1140"/>
        <w:rPr>
          <w:rFonts w:ascii="Calibri" w:hAnsi="Calibri" w:cs="Calibri"/>
          <w:b/>
          <w:sz w:val="22"/>
          <w:szCs w:val="22"/>
          <w:lang w:val="es-MX"/>
        </w:rPr>
      </w:pPr>
      <w:r w:rsidRPr="000C6D0E">
        <w:rPr>
          <w:rFonts w:ascii="Calibri" w:hAnsi="Calibri" w:cs="Calibri"/>
          <w:b/>
          <w:sz w:val="22"/>
          <w:szCs w:val="22"/>
          <w:lang w:val="es-MX"/>
        </w:rPr>
        <w:t>Efectivo y equivalentes</w:t>
      </w:r>
    </w:p>
    <w:p w:rsidR="000C6D0E" w:rsidRPr="000C6D0E" w:rsidRDefault="000C6D0E" w:rsidP="000C6D0E">
      <w:pPr>
        <w:pStyle w:val="ROMANOS"/>
        <w:spacing w:after="0" w:line="240" w:lineRule="auto"/>
        <w:ind w:left="1140"/>
        <w:rPr>
          <w:rFonts w:ascii="Calibri" w:hAnsi="Calibri" w:cs="Calibri"/>
          <w:b/>
          <w:sz w:val="22"/>
          <w:szCs w:val="22"/>
          <w:lang w:val="es-MX"/>
        </w:rPr>
      </w:pPr>
    </w:p>
    <w:p w:rsidR="000C6D0E" w:rsidRPr="000C6D0E" w:rsidRDefault="000C6D0E" w:rsidP="000C6D0E">
      <w:pPr>
        <w:pStyle w:val="ROMANOS"/>
        <w:numPr>
          <w:ilvl w:val="0"/>
          <w:numId w:val="23"/>
        </w:numPr>
        <w:tabs>
          <w:tab w:val="clear" w:pos="1440"/>
          <w:tab w:val="left" w:pos="720"/>
        </w:tabs>
        <w:suppressAutoHyphens w:val="0"/>
        <w:autoSpaceDN/>
        <w:spacing w:after="0" w:line="240" w:lineRule="auto"/>
        <w:textAlignment w:val="auto"/>
        <w:rPr>
          <w:rFonts w:ascii="Calibri" w:eastAsia="Calibri" w:hAnsi="Calibri" w:cs="Calibri"/>
          <w:sz w:val="22"/>
          <w:szCs w:val="22"/>
          <w:lang w:eastAsia="en-US"/>
        </w:rPr>
      </w:pPr>
      <w:r w:rsidRPr="000C6D0E">
        <w:rPr>
          <w:rFonts w:ascii="Calibri" w:eastAsia="Calibri" w:hAnsi="Calibri" w:cs="Calibri"/>
          <w:sz w:val="22"/>
          <w:szCs w:val="22"/>
          <w:lang w:eastAsia="en-US"/>
        </w:rPr>
        <w:t>El análisis de las cifras del periodo actual del ejercicio 2024 y periodo del ejercicio anterior, del Estado de Flujo de Efectivo en la cuenta de efectivo y equivalentes:</w:t>
      </w:r>
    </w:p>
    <w:p w:rsidR="000C6D0E" w:rsidRPr="000C6D0E" w:rsidRDefault="000C6D0E" w:rsidP="000C6D0E">
      <w:pPr>
        <w:pStyle w:val="ROMANOS"/>
        <w:spacing w:after="0" w:line="240" w:lineRule="auto"/>
        <w:rPr>
          <w:rFonts w:ascii="Calibri" w:eastAsia="Calibri" w:hAnsi="Calibri" w:cs="Calibri"/>
          <w:sz w:val="22"/>
          <w:szCs w:val="22"/>
          <w:lang w:eastAsia="en-US"/>
        </w:rPr>
      </w:pPr>
    </w:p>
    <w:p w:rsidR="000C6D0E" w:rsidRPr="000C6D0E" w:rsidRDefault="000C6D0E" w:rsidP="000C6D0E">
      <w:pPr>
        <w:pStyle w:val="ROMANOS"/>
        <w:spacing w:after="0" w:line="240" w:lineRule="auto"/>
        <w:ind w:left="1140"/>
        <w:rPr>
          <w:rFonts w:ascii="Calibri" w:hAnsi="Calibri" w:cs="Calibri"/>
          <w:b/>
          <w:sz w:val="22"/>
          <w:szCs w:val="22"/>
          <w:lang w:val="es-MX"/>
        </w:rPr>
      </w:pPr>
    </w:p>
    <w:tbl>
      <w:tblPr>
        <w:tblpPr w:leftFromText="141" w:rightFromText="141" w:vertAnchor="text" w:tblpXSpec="center" w:tblpY="1"/>
        <w:tblOverlap w:val="never"/>
        <w:tblW w:w="0" w:type="auto"/>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000" w:firstRow="0" w:lastRow="0" w:firstColumn="0" w:lastColumn="0" w:noHBand="0" w:noVBand="0"/>
      </w:tblPr>
      <w:tblGrid>
        <w:gridCol w:w="3433"/>
        <w:gridCol w:w="1536"/>
        <w:gridCol w:w="1518"/>
      </w:tblGrid>
      <w:tr w:rsidR="000C6D0E" w:rsidRPr="000C6D0E" w:rsidTr="00AE3695">
        <w:trPr>
          <w:cantSplit/>
          <w:trHeight w:val="200"/>
        </w:trPr>
        <w:tc>
          <w:tcPr>
            <w:tcW w:w="3433" w:type="dxa"/>
            <w:shd w:val="clear" w:color="auto" w:fill="AB0033"/>
          </w:tcPr>
          <w:p w:rsidR="000C6D0E" w:rsidRPr="000C6D0E" w:rsidRDefault="000C6D0E" w:rsidP="00BC3195">
            <w:pPr>
              <w:jc w:val="both"/>
              <w:rPr>
                <w:rFonts w:eastAsia="Times New Roman" w:cs="Calibri"/>
                <w:sz w:val="22"/>
                <w:szCs w:val="22"/>
                <w:lang w:eastAsia="es-ES"/>
              </w:rPr>
            </w:pPr>
          </w:p>
        </w:tc>
        <w:tc>
          <w:tcPr>
            <w:tcW w:w="1536" w:type="dxa"/>
            <w:shd w:val="clear" w:color="auto" w:fill="AB0033"/>
          </w:tcPr>
          <w:p w:rsidR="000C6D0E" w:rsidRPr="000C6D0E" w:rsidRDefault="000C6D0E" w:rsidP="00BC3195">
            <w:pPr>
              <w:jc w:val="center"/>
              <w:rPr>
                <w:rFonts w:eastAsia="Times New Roman" w:cs="Calibri"/>
                <w:color w:val="FFFFFF"/>
                <w:sz w:val="22"/>
                <w:szCs w:val="22"/>
                <w:lang w:eastAsia="es-ES"/>
              </w:rPr>
            </w:pPr>
            <w:r w:rsidRPr="000C6D0E">
              <w:rPr>
                <w:rFonts w:eastAsia="Times New Roman" w:cs="Calibri"/>
                <w:color w:val="FFFFFF"/>
                <w:sz w:val="22"/>
                <w:szCs w:val="22"/>
                <w:lang w:eastAsia="es-ES"/>
              </w:rPr>
              <w:t>2024</w:t>
            </w:r>
          </w:p>
        </w:tc>
        <w:tc>
          <w:tcPr>
            <w:tcW w:w="1518" w:type="dxa"/>
            <w:shd w:val="clear" w:color="auto" w:fill="AB0033"/>
          </w:tcPr>
          <w:p w:rsidR="000C6D0E" w:rsidRPr="000C6D0E" w:rsidRDefault="000C6D0E" w:rsidP="00BC3195">
            <w:pPr>
              <w:jc w:val="center"/>
              <w:rPr>
                <w:rFonts w:eastAsia="Times New Roman" w:cs="Calibri"/>
                <w:color w:val="FFFFFF"/>
                <w:sz w:val="22"/>
                <w:szCs w:val="22"/>
                <w:lang w:eastAsia="es-ES"/>
              </w:rPr>
            </w:pPr>
            <w:r w:rsidRPr="000C6D0E">
              <w:rPr>
                <w:rFonts w:eastAsia="Times New Roman" w:cs="Calibri"/>
                <w:color w:val="FFFFFF"/>
                <w:sz w:val="22"/>
                <w:szCs w:val="22"/>
                <w:lang w:eastAsia="es-ES"/>
              </w:rPr>
              <w:t>2023</w:t>
            </w:r>
          </w:p>
        </w:tc>
      </w:tr>
      <w:tr w:rsidR="000C6D0E" w:rsidRPr="000C6D0E" w:rsidTr="00AE3695">
        <w:trPr>
          <w:cantSplit/>
        </w:trPr>
        <w:tc>
          <w:tcPr>
            <w:tcW w:w="3433" w:type="dxa"/>
          </w:tcPr>
          <w:p w:rsidR="000C6D0E" w:rsidRPr="000C6D0E" w:rsidRDefault="000C6D0E" w:rsidP="00BC3195">
            <w:pPr>
              <w:jc w:val="both"/>
              <w:rPr>
                <w:rFonts w:eastAsia="Times New Roman" w:cs="Calibri"/>
                <w:sz w:val="22"/>
                <w:szCs w:val="22"/>
                <w:lang w:eastAsia="es-ES"/>
              </w:rPr>
            </w:pPr>
            <w:r w:rsidRPr="000C6D0E">
              <w:rPr>
                <w:rFonts w:cs="Calibri"/>
                <w:sz w:val="22"/>
                <w:szCs w:val="22"/>
              </w:rPr>
              <w:t>Efectivo</w:t>
            </w:r>
          </w:p>
        </w:tc>
        <w:tc>
          <w:tcPr>
            <w:tcW w:w="1536"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0</w:t>
            </w:r>
          </w:p>
        </w:tc>
        <w:tc>
          <w:tcPr>
            <w:tcW w:w="1518"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0</w:t>
            </w:r>
          </w:p>
        </w:tc>
      </w:tr>
      <w:tr w:rsidR="000C6D0E" w:rsidRPr="000C6D0E" w:rsidTr="00AE3695">
        <w:trPr>
          <w:cantSplit/>
        </w:trPr>
        <w:tc>
          <w:tcPr>
            <w:tcW w:w="3433" w:type="dxa"/>
          </w:tcPr>
          <w:p w:rsidR="000C6D0E" w:rsidRPr="000C6D0E" w:rsidRDefault="000C6D0E" w:rsidP="00BC3195">
            <w:pPr>
              <w:jc w:val="both"/>
              <w:rPr>
                <w:rFonts w:cs="Calibri"/>
                <w:sz w:val="22"/>
                <w:szCs w:val="22"/>
              </w:rPr>
            </w:pPr>
            <w:r w:rsidRPr="000C6D0E">
              <w:rPr>
                <w:rFonts w:cs="Calibri"/>
                <w:sz w:val="22"/>
                <w:szCs w:val="22"/>
              </w:rPr>
              <w:t>Bancos/Tesorería</w:t>
            </w:r>
          </w:p>
        </w:tc>
        <w:tc>
          <w:tcPr>
            <w:tcW w:w="1536"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1’906’531,989</w:t>
            </w:r>
          </w:p>
        </w:tc>
        <w:tc>
          <w:tcPr>
            <w:tcW w:w="1518"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1’717’239,247</w:t>
            </w:r>
          </w:p>
        </w:tc>
      </w:tr>
      <w:tr w:rsidR="000C6D0E" w:rsidRPr="000C6D0E" w:rsidTr="00AE3695">
        <w:trPr>
          <w:cantSplit/>
          <w:trHeight w:val="120"/>
        </w:trPr>
        <w:tc>
          <w:tcPr>
            <w:tcW w:w="3433" w:type="dxa"/>
          </w:tcPr>
          <w:p w:rsidR="000C6D0E" w:rsidRPr="000C6D0E" w:rsidRDefault="000C6D0E" w:rsidP="00BC3195">
            <w:pPr>
              <w:jc w:val="both"/>
              <w:rPr>
                <w:rFonts w:eastAsia="Times New Roman" w:cs="Calibri"/>
                <w:sz w:val="22"/>
                <w:szCs w:val="22"/>
                <w:lang w:eastAsia="es-ES"/>
              </w:rPr>
            </w:pPr>
            <w:r w:rsidRPr="000C6D0E">
              <w:rPr>
                <w:rFonts w:eastAsia="Times New Roman" w:cs="Calibri"/>
                <w:sz w:val="22"/>
                <w:szCs w:val="22"/>
                <w:lang w:eastAsia="es-ES"/>
              </w:rPr>
              <w:t>Inversiones Temporales (hasta 3 meses)</w:t>
            </w:r>
          </w:p>
        </w:tc>
        <w:tc>
          <w:tcPr>
            <w:tcW w:w="1536"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62’569,436</w:t>
            </w:r>
          </w:p>
        </w:tc>
        <w:tc>
          <w:tcPr>
            <w:tcW w:w="1518" w:type="dxa"/>
            <w:vAlign w:val="center"/>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53’587,531</w:t>
            </w:r>
          </w:p>
        </w:tc>
      </w:tr>
      <w:tr w:rsidR="000C6D0E" w:rsidRPr="000C6D0E" w:rsidTr="00AE3695">
        <w:trPr>
          <w:cantSplit/>
        </w:trPr>
        <w:tc>
          <w:tcPr>
            <w:tcW w:w="3433" w:type="dxa"/>
          </w:tcPr>
          <w:p w:rsidR="000C6D0E" w:rsidRPr="000C6D0E" w:rsidRDefault="000C6D0E" w:rsidP="00BC3195">
            <w:pPr>
              <w:jc w:val="both"/>
              <w:rPr>
                <w:rFonts w:eastAsia="Times New Roman" w:cs="Calibri"/>
                <w:sz w:val="22"/>
                <w:szCs w:val="22"/>
                <w:lang w:eastAsia="es-ES"/>
              </w:rPr>
            </w:pPr>
            <w:r w:rsidRPr="000C6D0E">
              <w:rPr>
                <w:rFonts w:eastAsia="Times New Roman" w:cs="Calibri"/>
                <w:sz w:val="22"/>
                <w:szCs w:val="22"/>
                <w:lang w:eastAsia="es-ES"/>
              </w:rPr>
              <w:t>Fondos con afectación específica</w:t>
            </w:r>
          </w:p>
        </w:tc>
        <w:tc>
          <w:tcPr>
            <w:tcW w:w="1536" w:type="dxa"/>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44,722</w:t>
            </w:r>
          </w:p>
        </w:tc>
        <w:tc>
          <w:tcPr>
            <w:tcW w:w="1518" w:type="dxa"/>
          </w:tcPr>
          <w:p w:rsidR="000C6D0E" w:rsidRPr="000C6D0E" w:rsidRDefault="000C6D0E" w:rsidP="00BC3195">
            <w:pPr>
              <w:jc w:val="right"/>
              <w:rPr>
                <w:rFonts w:eastAsia="Times New Roman" w:cs="Calibri"/>
                <w:sz w:val="22"/>
                <w:szCs w:val="22"/>
                <w:lang w:eastAsia="es-ES"/>
              </w:rPr>
            </w:pPr>
            <w:r w:rsidRPr="000C6D0E">
              <w:rPr>
                <w:rFonts w:eastAsia="Times New Roman" w:cs="Calibri"/>
                <w:sz w:val="22"/>
                <w:szCs w:val="22"/>
                <w:lang w:eastAsia="es-ES"/>
              </w:rPr>
              <w:t>44,722</w:t>
            </w:r>
          </w:p>
        </w:tc>
      </w:tr>
      <w:tr w:rsidR="000C6D0E" w:rsidRPr="000C6D0E" w:rsidTr="00AE3695">
        <w:trPr>
          <w:cantSplit/>
        </w:trPr>
        <w:tc>
          <w:tcPr>
            <w:tcW w:w="3433" w:type="dxa"/>
          </w:tcPr>
          <w:p w:rsidR="000C6D0E" w:rsidRPr="000C6D0E" w:rsidRDefault="000C6D0E" w:rsidP="00BC3195">
            <w:pPr>
              <w:jc w:val="both"/>
              <w:rPr>
                <w:rFonts w:eastAsia="Times New Roman" w:cs="Calibri"/>
                <w:b/>
                <w:sz w:val="22"/>
                <w:szCs w:val="22"/>
                <w:lang w:eastAsia="es-ES"/>
              </w:rPr>
            </w:pPr>
            <w:r w:rsidRPr="000C6D0E">
              <w:rPr>
                <w:rFonts w:eastAsia="Times New Roman" w:cs="Calibri"/>
                <w:b/>
                <w:sz w:val="22"/>
                <w:szCs w:val="22"/>
                <w:lang w:eastAsia="es-ES"/>
              </w:rPr>
              <w:t>Total de Efectivo y Equivalentes</w:t>
            </w:r>
          </w:p>
        </w:tc>
        <w:tc>
          <w:tcPr>
            <w:tcW w:w="1536" w:type="dxa"/>
            <w:vAlign w:val="center"/>
          </w:tcPr>
          <w:p w:rsidR="000C6D0E" w:rsidRPr="000C6D0E" w:rsidRDefault="000C6D0E" w:rsidP="00BC3195">
            <w:pPr>
              <w:tabs>
                <w:tab w:val="left" w:pos="1087"/>
              </w:tabs>
              <w:jc w:val="right"/>
              <w:rPr>
                <w:rFonts w:eastAsia="Times New Roman" w:cs="Calibri"/>
                <w:b/>
                <w:sz w:val="22"/>
                <w:szCs w:val="22"/>
                <w:lang w:eastAsia="es-ES"/>
              </w:rPr>
            </w:pPr>
            <w:r w:rsidRPr="000C6D0E">
              <w:rPr>
                <w:rFonts w:eastAsia="Times New Roman" w:cs="Calibri"/>
                <w:b/>
                <w:sz w:val="22"/>
                <w:szCs w:val="22"/>
                <w:lang w:eastAsia="es-ES"/>
              </w:rPr>
              <w:t>1’969’146,147</w:t>
            </w:r>
          </w:p>
        </w:tc>
        <w:tc>
          <w:tcPr>
            <w:tcW w:w="1518" w:type="dxa"/>
            <w:vAlign w:val="center"/>
          </w:tcPr>
          <w:p w:rsidR="000C6D0E" w:rsidRPr="000C6D0E" w:rsidRDefault="000C6D0E" w:rsidP="00BC3195">
            <w:pPr>
              <w:tabs>
                <w:tab w:val="left" w:pos="1087"/>
              </w:tabs>
              <w:jc w:val="right"/>
              <w:rPr>
                <w:rFonts w:eastAsia="Times New Roman" w:cs="Calibri"/>
                <w:b/>
                <w:sz w:val="22"/>
                <w:szCs w:val="22"/>
                <w:lang w:eastAsia="es-ES"/>
              </w:rPr>
            </w:pPr>
            <w:r w:rsidRPr="000C6D0E">
              <w:rPr>
                <w:rFonts w:eastAsia="Times New Roman" w:cs="Calibri"/>
                <w:b/>
                <w:sz w:val="22"/>
                <w:szCs w:val="22"/>
                <w:lang w:eastAsia="es-ES"/>
              </w:rPr>
              <w:t>1’770’871,500</w:t>
            </w:r>
          </w:p>
        </w:tc>
      </w:tr>
    </w:tbl>
    <w:p w:rsidR="000C6D0E" w:rsidRPr="000C6D0E" w:rsidRDefault="000C6D0E" w:rsidP="000C6D0E">
      <w:pPr>
        <w:pStyle w:val="ROMANOS"/>
        <w:spacing w:after="0" w:line="240" w:lineRule="auto"/>
        <w:ind w:left="1140"/>
        <w:rPr>
          <w:rFonts w:ascii="Calibri" w:hAnsi="Calibri" w:cs="Calibri"/>
          <w:b/>
          <w:sz w:val="22"/>
          <w:szCs w:val="22"/>
          <w:lang w:val="es-MX"/>
        </w:rPr>
      </w:pPr>
      <w:r w:rsidRPr="000C6D0E">
        <w:rPr>
          <w:rFonts w:ascii="Calibri" w:hAnsi="Calibri" w:cs="Calibri"/>
          <w:b/>
          <w:sz w:val="22"/>
          <w:szCs w:val="22"/>
          <w:lang w:val="es-MX"/>
        </w:rPr>
        <w:br w:type="textWrapping" w:clear="all"/>
      </w:r>
    </w:p>
    <w:p w:rsidR="000C6D0E" w:rsidRPr="000C6D0E" w:rsidRDefault="000C6D0E" w:rsidP="000C6D0E">
      <w:pPr>
        <w:pStyle w:val="ROMANOS"/>
        <w:numPr>
          <w:ilvl w:val="0"/>
          <w:numId w:val="23"/>
        </w:numPr>
        <w:tabs>
          <w:tab w:val="clear" w:pos="1440"/>
          <w:tab w:val="left" w:pos="720"/>
        </w:tabs>
        <w:suppressAutoHyphens w:val="0"/>
        <w:autoSpaceDN/>
        <w:spacing w:after="0" w:line="240" w:lineRule="auto"/>
        <w:textAlignment w:val="auto"/>
        <w:rPr>
          <w:rFonts w:ascii="Calibri" w:hAnsi="Calibri" w:cs="Calibri"/>
          <w:b/>
          <w:sz w:val="22"/>
          <w:szCs w:val="22"/>
          <w:lang w:val="es-MX"/>
        </w:rPr>
      </w:pPr>
      <w:r w:rsidRPr="000C6D0E">
        <w:rPr>
          <w:rFonts w:ascii="Calibri" w:eastAsia="Calibri" w:hAnsi="Calibri" w:cs="Calibri"/>
          <w:sz w:val="22"/>
          <w:szCs w:val="22"/>
          <w:lang w:eastAsia="en-US"/>
        </w:rPr>
        <w:t>Adquisiciones de bienes muebles e inmuebles con su monto global y porcentaje que se apl</w:t>
      </w:r>
      <w:r w:rsidRPr="000C6D0E">
        <w:rPr>
          <w:rFonts w:ascii="Calibri" w:eastAsia="Calibri" w:hAnsi="Calibri" w:cs="Calibri"/>
          <w:sz w:val="22"/>
          <w:szCs w:val="22"/>
          <w:lang w:eastAsia="en-US"/>
        </w:rPr>
        <w:t>i</w:t>
      </w:r>
      <w:r w:rsidRPr="000C6D0E">
        <w:rPr>
          <w:rFonts w:ascii="Calibri" w:eastAsia="Calibri" w:hAnsi="Calibri" w:cs="Calibri"/>
          <w:sz w:val="22"/>
          <w:szCs w:val="22"/>
          <w:lang w:eastAsia="en-US"/>
        </w:rPr>
        <w:t>có en el presupuesto Federal o Estatal según sea el caso:</w:t>
      </w:r>
    </w:p>
    <w:p w:rsidR="000C6D0E" w:rsidRPr="000C6D0E" w:rsidRDefault="000C6D0E" w:rsidP="000C6D0E">
      <w:pPr>
        <w:pStyle w:val="ROMANOS"/>
        <w:spacing w:after="0" w:line="240" w:lineRule="auto"/>
        <w:ind w:left="1068" w:firstLine="0"/>
        <w:rPr>
          <w:rFonts w:ascii="Calibri" w:hAnsi="Calibri" w:cs="Calibri"/>
          <w:b/>
          <w:sz w:val="22"/>
          <w:szCs w:val="22"/>
          <w:lang w:val="es-MX"/>
        </w:rPr>
      </w:pPr>
    </w:p>
    <w:p w:rsidR="000C6D0E" w:rsidRPr="000C6D0E" w:rsidRDefault="000C6D0E" w:rsidP="000C6D0E">
      <w:pPr>
        <w:pStyle w:val="ROMANOS"/>
        <w:spacing w:after="0" w:line="240" w:lineRule="auto"/>
        <w:ind w:left="567" w:firstLine="0"/>
        <w:rPr>
          <w:rFonts w:ascii="Calibri" w:hAnsi="Calibri" w:cs="Calibri"/>
          <w:sz w:val="22"/>
          <w:szCs w:val="22"/>
          <w:lang w:val="es-MX"/>
        </w:rPr>
      </w:pPr>
      <w:r w:rsidRPr="000C6D0E">
        <w:rPr>
          <w:rFonts w:ascii="Calibri" w:hAnsi="Calibri" w:cs="Calibri"/>
          <w:sz w:val="22"/>
          <w:szCs w:val="22"/>
          <w:lang w:val="es-MX"/>
        </w:rPr>
        <w:lastRenderedPageBreak/>
        <w:t>Al 31 de diciembre de 2024 se realizaron adquisiciones de bienes muebles e intangibles por un monto de $53’351,943.00.La adquisición de los bienes fue realizada con recursos de libre disposición hasta en un 4% y el 96 % con recursos etiquetados.</w:t>
      </w:r>
    </w:p>
    <w:p w:rsidR="000C6D0E" w:rsidRPr="000C6D0E" w:rsidRDefault="000C6D0E" w:rsidP="000C6D0E">
      <w:pPr>
        <w:pStyle w:val="ROMANOS"/>
        <w:spacing w:after="0" w:line="240" w:lineRule="auto"/>
        <w:ind w:left="567" w:firstLine="0"/>
        <w:rPr>
          <w:rFonts w:ascii="Calibri" w:hAnsi="Calibri" w:cs="Calibri"/>
          <w:sz w:val="22"/>
          <w:szCs w:val="22"/>
          <w:lang w:val="es-MX"/>
        </w:rPr>
      </w:pPr>
    </w:p>
    <w:tbl>
      <w:tblPr>
        <w:tblW w:w="7635" w:type="dxa"/>
        <w:jc w:val="center"/>
        <w:tblInd w:w="-192"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730"/>
        <w:gridCol w:w="1412"/>
        <w:gridCol w:w="1493"/>
      </w:tblGrid>
      <w:tr w:rsidR="000C6D0E" w:rsidRPr="000C6D0E" w:rsidTr="00BC3195">
        <w:trPr>
          <w:tblHeader/>
          <w:jc w:val="center"/>
        </w:trPr>
        <w:tc>
          <w:tcPr>
            <w:tcW w:w="4730" w:type="dxa"/>
            <w:shd w:val="clear" w:color="auto" w:fill="AB0033"/>
          </w:tcPr>
          <w:p w:rsidR="000C6D0E" w:rsidRPr="000C6D0E" w:rsidRDefault="000C6D0E" w:rsidP="00BC3195">
            <w:pPr>
              <w:tabs>
                <w:tab w:val="center" w:pos="4419"/>
                <w:tab w:val="right" w:pos="8838"/>
              </w:tabs>
              <w:jc w:val="center"/>
              <w:rPr>
                <w:rFonts w:eastAsia="Times New Roman" w:cs="Calibri"/>
                <w:bCs/>
                <w:color w:val="000000"/>
                <w:sz w:val="22"/>
                <w:szCs w:val="22"/>
                <w:lang w:val="es-ES"/>
              </w:rPr>
            </w:pPr>
            <w:r w:rsidRPr="000C6D0E">
              <w:rPr>
                <w:rFonts w:eastAsia="Times New Roman" w:cs="Calibri"/>
                <w:color w:val="FFFFFF" w:themeColor="background1"/>
                <w:sz w:val="22"/>
                <w:szCs w:val="22"/>
                <w:lang w:eastAsia="es-ES"/>
              </w:rPr>
              <w:t>Adquisiciones de Actividades de Inversión efectivamente pagadas</w:t>
            </w:r>
          </w:p>
        </w:tc>
        <w:tc>
          <w:tcPr>
            <w:tcW w:w="1412"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p>
        </w:tc>
        <w:tc>
          <w:tcPr>
            <w:tcW w:w="1493"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p>
        </w:tc>
      </w:tr>
      <w:tr w:rsidR="000C6D0E" w:rsidRPr="000C6D0E" w:rsidTr="00BC3195">
        <w:trPr>
          <w:tblHeader/>
          <w:jc w:val="center"/>
        </w:trPr>
        <w:tc>
          <w:tcPr>
            <w:tcW w:w="4730"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themeColor="background1"/>
                <w:sz w:val="22"/>
                <w:szCs w:val="22"/>
                <w:lang w:val="es-ES"/>
              </w:rPr>
            </w:pPr>
            <w:r w:rsidRPr="000C6D0E">
              <w:rPr>
                <w:rFonts w:eastAsia="Times New Roman" w:cs="Calibri"/>
                <w:bCs/>
                <w:color w:val="FFFFFF" w:themeColor="background1"/>
                <w:sz w:val="22"/>
                <w:szCs w:val="22"/>
                <w:lang w:val="es-ES"/>
              </w:rPr>
              <w:t>Concepto</w:t>
            </w:r>
          </w:p>
        </w:tc>
        <w:tc>
          <w:tcPr>
            <w:tcW w:w="1412"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2024</w:t>
            </w:r>
          </w:p>
        </w:tc>
        <w:tc>
          <w:tcPr>
            <w:tcW w:w="1493"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2023</w:t>
            </w:r>
          </w:p>
        </w:tc>
      </w:tr>
      <w:tr w:rsidR="000C6D0E" w:rsidRPr="000C6D0E" w:rsidTr="00BC3195">
        <w:trPr>
          <w:jc w:val="center"/>
        </w:trPr>
        <w:tc>
          <w:tcPr>
            <w:tcW w:w="4730" w:type="dxa"/>
            <w:shd w:val="clear" w:color="auto" w:fill="auto"/>
          </w:tcPr>
          <w:p w:rsidR="000C6D0E" w:rsidRPr="000C6D0E" w:rsidRDefault="000C6D0E" w:rsidP="00BC3195">
            <w:pPr>
              <w:spacing w:line="224" w:lineRule="exact"/>
              <w:jc w:val="both"/>
              <w:rPr>
                <w:rFonts w:eastAsia="Times New Roman" w:cs="Calibri"/>
                <w:b/>
                <w:sz w:val="22"/>
                <w:szCs w:val="22"/>
                <w:lang w:eastAsia="es-ES"/>
              </w:rPr>
            </w:pPr>
            <w:r w:rsidRPr="000C6D0E">
              <w:rPr>
                <w:rFonts w:cs="Calibri"/>
                <w:b/>
                <w:sz w:val="22"/>
                <w:szCs w:val="22"/>
              </w:rPr>
              <w:t>Bienes Inmuebles, Infraestructura y Construcciones en Proceso</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p>
        </w:tc>
      </w:tr>
      <w:tr w:rsidR="000C6D0E" w:rsidRPr="000C6D0E" w:rsidTr="00BC3195">
        <w:trPr>
          <w:trHeight w:val="35"/>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cs="Calibri"/>
                <w:sz w:val="22"/>
                <w:szCs w:val="22"/>
              </w:rPr>
              <w:t>Terrenos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cs="Calibri"/>
                <w:sz w:val="22"/>
                <w:szCs w:val="22"/>
              </w:rPr>
              <w:t>Viviendas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Edificios no Habitacionales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Infraestructura</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Construcciones en Proceso de Bienes de Dominio Público</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rPr>
                <w:rFonts w:cs="Calibri"/>
                <w:sz w:val="22"/>
                <w:szCs w:val="22"/>
              </w:rPr>
            </w:pPr>
            <w:r w:rsidRPr="000C6D0E">
              <w:rPr>
                <w:rFonts w:cs="Calibri"/>
                <w:sz w:val="22"/>
                <w:szCs w:val="22"/>
              </w:rPr>
              <w:t>Construcciones en Proceso de Bienes Propios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Otros Bienes Inmuebles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b/>
                <w:sz w:val="22"/>
                <w:szCs w:val="22"/>
                <w:lang w:eastAsia="es-ES"/>
              </w:rPr>
            </w:pPr>
            <w:r w:rsidRPr="000C6D0E">
              <w:rPr>
                <w:rFonts w:cs="Calibri"/>
                <w:b/>
                <w:sz w:val="22"/>
                <w:szCs w:val="22"/>
              </w:rPr>
              <w:t>Bienes Muebles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highlight w:val="yellow"/>
                <w:lang w:val="es-ES"/>
              </w:rPr>
            </w:pP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p>
        </w:tc>
      </w:tr>
      <w:tr w:rsidR="000C6D0E" w:rsidRPr="000C6D0E" w:rsidTr="00BC3195">
        <w:trPr>
          <w:trHeight w:val="90"/>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cs="Calibri"/>
                <w:sz w:val="22"/>
                <w:szCs w:val="22"/>
              </w:rPr>
              <w:t>Mobiliario y Equipo de Administración</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12,506,036</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19,942,636</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Mobiliario y Equipo Educacional y Recreativo</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548,301</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475,051</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Equipo e Instrumental Médico y de Laboratorio</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521,325,485</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44,235,135</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Vehículos y Equipo de Transporte</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1,310,500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31,894,181</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Equipo de Defensa y Seguridad</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rPr>
                <w:rFonts w:cs="Calibri"/>
                <w:sz w:val="22"/>
                <w:szCs w:val="22"/>
              </w:rPr>
            </w:pPr>
            <w:r w:rsidRPr="000C6D0E">
              <w:rPr>
                <w:rFonts w:cs="Calibri"/>
                <w:sz w:val="22"/>
                <w:szCs w:val="22"/>
              </w:rPr>
              <w:t>Maquinaria, Otros Equipos y Herramientas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17,661,621</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38,977,910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Colecciones, Obras de Arte y Objetos Valiosos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Activos Biológicos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sz w:val="22"/>
                <w:szCs w:val="22"/>
                <w:lang w:eastAsia="es-ES"/>
              </w:rPr>
            </w:pPr>
            <w:r w:rsidRPr="000C6D0E">
              <w:rPr>
                <w:rFonts w:eastAsia="Times New Roman" w:cs="Calibri"/>
                <w:sz w:val="22"/>
                <w:szCs w:val="22"/>
                <w:lang w:eastAsia="es-ES"/>
              </w:rPr>
              <w:t>Otras Inversiones (activos intangibles)</w:t>
            </w:r>
          </w:p>
        </w:tc>
        <w:tc>
          <w:tcPr>
            <w:tcW w:w="1412"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0</w:t>
            </w:r>
          </w:p>
        </w:tc>
        <w:tc>
          <w:tcPr>
            <w:tcW w:w="1493"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300,417</w:t>
            </w:r>
          </w:p>
        </w:tc>
      </w:tr>
      <w:tr w:rsidR="000C6D0E" w:rsidRPr="000C6D0E" w:rsidTr="00BC3195">
        <w:trPr>
          <w:trHeight w:val="43"/>
          <w:jc w:val="center"/>
        </w:trPr>
        <w:tc>
          <w:tcPr>
            <w:tcW w:w="4730" w:type="dxa"/>
            <w:shd w:val="clear" w:color="auto" w:fill="auto"/>
          </w:tcPr>
          <w:p w:rsidR="000C6D0E" w:rsidRPr="000C6D0E" w:rsidRDefault="000C6D0E" w:rsidP="00BC3195">
            <w:pPr>
              <w:spacing w:line="224" w:lineRule="exact"/>
              <w:jc w:val="both"/>
              <w:rPr>
                <w:rFonts w:eastAsia="Times New Roman" w:cs="Calibri"/>
                <w:b/>
                <w:sz w:val="22"/>
                <w:szCs w:val="22"/>
                <w:highlight w:val="yellow"/>
                <w:lang w:eastAsia="es-ES"/>
              </w:rPr>
            </w:pPr>
            <w:r w:rsidRPr="000C6D0E">
              <w:rPr>
                <w:rFonts w:cs="Calibri"/>
                <w:b/>
                <w:sz w:val="22"/>
                <w:szCs w:val="22"/>
              </w:rPr>
              <w:t>Total</w:t>
            </w:r>
          </w:p>
        </w:tc>
        <w:tc>
          <w:tcPr>
            <w:tcW w:w="1412" w:type="dxa"/>
            <w:shd w:val="clear" w:color="auto" w:fill="auto"/>
          </w:tcPr>
          <w:p w:rsidR="000C6D0E" w:rsidRPr="000C6D0E" w:rsidRDefault="000C6D0E" w:rsidP="00BC3195">
            <w:pPr>
              <w:tabs>
                <w:tab w:val="left" w:pos="1240"/>
                <w:tab w:val="center" w:pos="4419"/>
                <w:tab w:val="right" w:pos="8838"/>
              </w:tabs>
              <w:jc w:val="right"/>
              <w:rPr>
                <w:rFonts w:cs="Calibri"/>
                <w:b/>
                <w:color w:val="000000"/>
                <w:sz w:val="22"/>
                <w:szCs w:val="22"/>
                <w:lang w:val="es-ES"/>
              </w:rPr>
            </w:pPr>
            <w:r w:rsidRPr="000C6D0E">
              <w:rPr>
                <w:rFonts w:cs="Calibri"/>
                <w:b/>
                <w:color w:val="000000"/>
                <w:sz w:val="22"/>
                <w:szCs w:val="22"/>
                <w:lang w:val="es-ES"/>
              </w:rPr>
              <w:t>553,351,943</w:t>
            </w:r>
          </w:p>
        </w:tc>
        <w:tc>
          <w:tcPr>
            <w:tcW w:w="1493" w:type="dxa"/>
            <w:shd w:val="clear" w:color="auto" w:fill="auto"/>
          </w:tcPr>
          <w:p w:rsidR="000C6D0E" w:rsidRPr="000C6D0E" w:rsidRDefault="000C6D0E" w:rsidP="00BC3195">
            <w:pPr>
              <w:tabs>
                <w:tab w:val="left" w:pos="1240"/>
                <w:tab w:val="center" w:pos="4419"/>
                <w:tab w:val="right" w:pos="8838"/>
              </w:tabs>
              <w:jc w:val="right"/>
              <w:rPr>
                <w:rFonts w:cs="Calibri"/>
                <w:b/>
                <w:sz w:val="22"/>
                <w:szCs w:val="22"/>
              </w:rPr>
            </w:pPr>
            <w:r w:rsidRPr="000C6D0E">
              <w:rPr>
                <w:rFonts w:cs="Calibri"/>
                <w:b/>
                <w:color w:val="000000"/>
                <w:sz w:val="22"/>
                <w:szCs w:val="22"/>
                <w:lang w:val="es-ES"/>
              </w:rPr>
              <w:t>135,825,329</w:t>
            </w:r>
          </w:p>
        </w:tc>
      </w:tr>
    </w:tbl>
    <w:p w:rsidR="000C6D0E" w:rsidRPr="000C6D0E" w:rsidRDefault="000C6D0E" w:rsidP="000C6D0E">
      <w:pPr>
        <w:pStyle w:val="ROMANOS"/>
        <w:spacing w:after="0" w:line="240" w:lineRule="auto"/>
        <w:ind w:left="567" w:firstLine="0"/>
        <w:rPr>
          <w:rFonts w:ascii="Calibri" w:hAnsi="Calibri" w:cs="Calibri"/>
          <w:sz w:val="22"/>
          <w:szCs w:val="22"/>
          <w:lang w:val="es-MX"/>
        </w:rPr>
      </w:pPr>
    </w:p>
    <w:p w:rsidR="008D3BF3" w:rsidRDefault="008D3BF3" w:rsidP="000C6D0E">
      <w:pPr>
        <w:pStyle w:val="ROMANOS"/>
        <w:spacing w:after="0" w:line="240" w:lineRule="auto"/>
        <w:ind w:left="1140"/>
        <w:rPr>
          <w:rFonts w:ascii="Calibri" w:hAnsi="Calibri" w:cs="Calibri"/>
          <w:b/>
          <w:sz w:val="22"/>
          <w:szCs w:val="22"/>
          <w:lang w:val="es-MX"/>
        </w:rPr>
      </w:pPr>
    </w:p>
    <w:p w:rsidR="000C6D0E" w:rsidRPr="000C6D0E" w:rsidRDefault="000C6D0E" w:rsidP="000C6D0E">
      <w:pPr>
        <w:pStyle w:val="ROMANOS"/>
        <w:spacing w:after="0" w:line="240" w:lineRule="auto"/>
        <w:ind w:left="1140"/>
        <w:rPr>
          <w:rFonts w:ascii="Calibri" w:eastAsia="Calibri" w:hAnsi="Calibri" w:cs="Calibri"/>
          <w:sz w:val="22"/>
          <w:szCs w:val="22"/>
          <w:lang w:eastAsia="en-US"/>
        </w:rPr>
      </w:pPr>
      <w:r w:rsidRPr="000C6D0E">
        <w:rPr>
          <w:rFonts w:ascii="Calibri" w:hAnsi="Calibri" w:cs="Calibri"/>
          <w:b/>
          <w:sz w:val="22"/>
          <w:szCs w:val="22"/>
          <w:lang w:val="es-MX"/>
        </w:rPr>
        <w:t xml:space="preserve">3.- </w:t>
      </w:r>
      <w:r w:rsidRPr="000C6D0E">
        <w:rPr>
          <w:rFonts w:ascii="Calibri" w:eastAsia="Calibri" w:hAnsi="Calibri" w:cs="Calibri"/>
          <w:sz w:val="22"/>
          <w:szCs w:val="22"/>
          <w:lang w:eastAsia="en-US"/>
        </w:rPr>
        <w:t>Conciliación de los Flujos de Efectivo Netos de las Actividades de Operación y la cuenta de Ahorro/Desahorro antes de Rubros Extraordinarios:</w:t>
      </w:r>
    </w:p>
    <w:p w:rsidR="000C6D0E" w:rsidRPr="000C6D0E" w:rsidRDefault="000C6D0E" w:rsidP="000C6D0E">
      <w:pPr>
        <w:pStyle w:val="ROMANOS"/>
        <w:spacing w:after="0" w:line="240" w:lineRule="auto"/>
        <w:ind w:left="1140"/>
        <w:rPr>
          <w:rFonts w:ascii="Calibri" w:hAnsi="Calibri" w:cs="Calibri"/>
          <w:sz w:val="22"/>
          <w:szCs w:val="22"/>
          <w:lang w:val="es-MX"/>
        </w:rPr>
      </w:pPr>
    </w:p>
    <w:tbl>
      <w:tblPr>
        <w:tblW w:w="7948" w:type="dxa"/>
        <w:jc w:val="center"/>
        <w:tblInd w:w="250"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950"/>
        <w:gridCol w:w="1502"/>
        <w:gridCol w:w="1496"/>
      </w:tblGrid>
      <w:tr w:rsidR="000C6D0E" w:rsidRPr="000C6D0E" w:rsidTr="00AE3695">
        <w:trPr>
          <w:jc w:val="center"/>
        </w:trPr>
        <w:tc>
          <w:tcPr>
            <w:tcW w:w="4964" w:type="dxa"/>
            <w:shd w:val="clear" w:color="auto" w:fill="AB0033"/>
          </w:tcPr>
          <w:p w:rsidR="000C6D0E" w:rsidRPr="000C6D0E" w:rsidRDefault="000C6D0E" w:rsidP="00BC3195">
            <w:pPr>
              <w:tabs>
                <w:tab w:val="center" w:pos="4419"/>
                <w:tab w:val="right" w:pos="8838"/>
              </w:tabs>
              <w:jc w:val="center"/>
              <w:rPr>
                <w:rFonts w:eastAsia="Times New Roman" w:cs="Calibri"/>
                <w:b/>
                <w:bCs/>
                <w:color w:val="000000"/>
                <w:sz w:val="22"/>
                <w:szCs w:val="22"/>
                <w:lang w:val="es-ES"/>
              </w:rPr>
            </w:pPr>
          </w:p>
        </w:tc>
        <w:tc>
          <w:tcPr>
            <w:tcW w:w="1488"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2024</w:t>
            </w:r>
          </w:p>
        </w:tc>
        <w:tc>
          <w:tcPr>
            <w:tcW w:w="1496" w:type="dxa"/>
            <w:shd w:val="clear" w:color="auto" w:fill="AB0033"/>
          </w:tcPr>
          <w:p w:rsidR="000C6D0E" w:rsidRPr="000C6D0E" w:rsidRDefault="000C6D0E" w:rsidP="00BC3195">
            <w:pPr>
              <w:tabs>
                <w:tab w:val="center" w:pos="4419"/>
                <w:tab w:val="right" w:pos="8838"/>
              </w:tabs>
              <w:jc w:val="center"/>
              <w:rPr>
                <w:rFonts w:eastAsia="Times New Roman" w:cs="Calibri"/>
                <w:bCs/>
                <w:color w:val="FFFFFF"/>
                <w:sz w:val="22"/>
                <w:szCs w:val="22"/>
                <w:lang w:val="es-ES"/>
              </w:rPr>
            </w:pPr>
            <w:r w:rsidRPr="000C6D0E">
              <w:rPr>
                <w:rFonts w:eastAsia="Times New Roman" w:cs="Calibri"/>
                <w:bCs/>
                <w:color w:val="FFFFFF"/>
                <w:sz w:val="22"/>
                <w:szCs w:val="22"/>
                <w:lang w:val="es-ES"/>
              </w:rPr>
              <w:t>2023</w:t>
            </w:r>
          </w:p>
        </w:tc>
      </w:tr>
      <w:tr w:rsidR="000C6D0E" w:rsidRPr="000C6D0E" w:rsidTr="00AE3695">
        <w:trPr>
          <w:jc w:val="center"/>
        </w:trPr>
        <w:tc>
          <w:tcPr>
            <w:tcW w:w="4964"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Ahorro/Desahorro antes de rubros Extraordinarios</w:t>
            </w:r>
          </w:p>
        </w:tc>
        <w:tc>
          <w:tcPr>
            <w:tcW w:w="1488"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1’662’293,754</w:t>
            </w:r>
          </w:p>
        </w:tc>
        <w:tc>
          <w:tcPr>
            <w:tcW w:w="1496" w:type="dxa"/>
            <w:shd w:val="clear" w:color="auto" w:fill="auto"/>
          </w:tcPr>
          <w:p w:rsidR="000C6D0E" w:rsidRPr="000C6D0E" w:rsidRDefault="000C6D0E" w:rsidP="00BC3195">
            <w:pPr>
              <w:jc w:val="right"/>
              <w:rPr>
                <w:rFonts w:cs="Calibri"/>
                <w:color w:val="000000"/>
                <w:sz w:val="22"/>
                <w:szCs w:val="22"/>
                <w:lang w:val="es-ES"/>
              </w:rPr>
            </w:pPr>
            <w:r w:rsidRPr="000C6D0E">
              <w:rPr>
                <w:rFonts w:cs="Calibri"/>
                <w:color w:val="000000"/>
                <w:sz w:val="22"/>
                <w:szCs w:val="22"/>
                <w:lang w:val="es-ES"/>
              </w:rPr>
              <w:t>1,559,107,188</w:t>
            </w:r>
          </w:p>
        </w:tc>
      </w:tr>
      <w:tr w:rsidR="000C6D0E" w:rsidRPr="000C6D0E" w:rsidTr="00AE3695">
        <w:trPr>
          <w:jc w:val="center"/>
        </w:trPr>
        <w:tc>
          <w:tcPr>
            <w:tcW w:w="4964"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Depreciación y Amortizaciones</w:t>
            </w:r>
          </w:p>
        </w:tc>
        <w:tc>
          <w:tcPr>
            <w:tcW w:w="1488"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352’491,258</w:t>
            </w:r>
          </w:p>
        </w:tc>
        <w:tc>
          <w:tcPr>
            <w:tcW w:w="1496" w:type="dxa"/>
            <w:shd w:val="clear" w:color="auto" w:fill="auto"/>
          </w:tcPr>
          <w:p w:rsidR="000C6D0E" w:rsidRPr="000C6D0E" w:rsidRDefault="000C6D0E" w:rsidP="00BC3195">
            <w:pPr>
              <w:jc w:val="right"/>
              <w:rPr>
                <w:rFonts w:cs="Calibri"/>
                <w:color w:val="000000"/>
                <w:sz w:val="22"/>
                <w:szCs w:val="22"/>
                <w:lang w:val="es-ES"/>
              </w:rPr>
            </w:pPr>
            <w:r w:rsidRPr="000C6D0E">
              <w:rPr>
                <w:rFonts w:cs="Calibri"/>
                <w:color w:val="000000"/>
                <w:sz w:val="22"/>
                <w:szCs w:val="22"/>
                <w:lang w:val="es-ES"/>
              </w:rPr>
              <w:t>353,960,917</w:t>
            </w:r>
          </w:p>
        </w:tc>
      </w:tr>
      <w:tr w:rsidR="000C6D0E" w:rsidRPr="000C6D0E" w:rsidTr="00AE3695">
        <w:trPr>
          <w:trHeight w:val="43"/>
          <w:jc w:val="center"/>
        </w:trPr>
        <w:tc>
          <w:tcPr>
            <w:tcW w:w="4964"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Partidas extraordinarias</w:t>
            </w:r>
          </w:p>
        </w:tc>
        <w:tc>
          <w:tcPr>
            <w:tcW w:w="1488"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188,395</w:t>
            </w:r>
          </w:p>
        </w:tc>
        <w:tc>
          <w:tcPr>
            <w:tcW w:w="1496" w:type="dxa"/>
            <w:shd w:val="clear" w:color="auto" w:fill="auto"/>
          </w:tcPr>
          <w:p w:rsidR="000C6D0E" w:rsidRPr="000C6D0E" w:rsidRDefault="000C6D0E" w:rsidP="00BC3195">
            <w:pPr>
              <w:jc w:val="right"/>
              <w:rPr>
                <w:rFonts w:cs="Calibri"/>
                <w:color w:val="000000"/>
                <w:sz w:val="22"/>
                <w:szCs w:val="22"/>
                <w:lang w:val="es-ES"/>
              </w:rPr>
            </w:pPr>
            <w:r w:rsidRPr="000C6D0E">
              <w:rPr>
                <w:rFonts w:cs="Calibri"/>
                <w:color w:val="000000"/>
                <w:sz w:val="22"/>
                <w:szCs w:val="22"/>
                <w:lang w:val="es-ES"/>
              </w:rPr>
              <w:t>52,222</w:t>
            </w:r>
          </w:p>
        </w:tc>
      </w:tr>
      <w:tr w:rsidR="000C6D0E" w:rsidRPr="000C6D0E" w:rsidTr="00AE3695">
        <w:trPr>
          <w:trHeight w:val="43"/>
          <w:jc w:val="center"/>
        </w:trPr>
        <w:tc>
          <w:tcPr>
            <w:tcW w:w="4964" w:type="dxa"/>
            <w:shd w:val="clear" w:color="auto" w:fill="auto"/>
          </w:tcPr>
          <w:p w:rsidR="000C6D0E" w:rsidRPr="000C6D0E" w:rsidRDefault="000C6D0E" w:rsidP="00BC3195">
            <w:pPr>
              <w:tabs>
                <w:tab w:val="center" w:pos="4419"/>
                <w:tab w:val="right" w:pos="8838"/>
              </w:tabs>
              <w:jc w:val="both"/>
              <w:rPr>
                <w:rFonts w:cs="Calibri"/>
                <w:bCs/>
                <w:color w:val="000000"/>
                <w:sz w:val="22"/>
                <w:szCs w:val="22"/>
                <w:lang w:val="es-ES"/>
              </w:rPr>
            </w:pPr>
            <w:r w:rsidRPr="000C6D0E">
              <w:rPr>
                <w:rFonts w:cs="Calibri"/>
                <w:bCs/>
                <w:color w:val="000000"/>
                <w:sz w:val="22"/>
                <w:szCs w:val="22"/>
                <w:lang w:val="es-ES"/>
              </w:rPr>
              <w:t>Inversión Pública</w:t>
            </w:r>
          </w:p>
        </w:tc>
        <w:tc>
          <w:tcPr>
            <w:tcW w:w="1488" w:type="dxa"/>
            <w:shd w:val="clear" w:color="auto" w:fill="auto"/>
          </w:tcPr>
          <w:p w:rsidR="000C6D0E" w:rsidRPr="000C6D0E" w:rsidRDefault="000C6D0E" w:rsidP="00BC3195">
            <w:pPr>
              <w:tabs>
                <w:tab w:val="center" w:pos="4419"/>
                <w:tab w:val="right" w:pos="8838"/>
              </w:tabs>
              <w:jc w:val="right"/>
              <w:rPr>
                <w:rFonts w:cs="Calibri"/>
                <w:color w:val="000000"/>
                <w:sz w:val="22"/>
                <w:szCs w:val="22"/>
                <w:lang w:val="es-ES"/>
              </w:rPr>
            </w:pPr>
            <w:r w:rsidRPr="000C6D0E">
              <w:rPr>
                <w:rFonts w:cs="Calibri"/>
                <w:color w:val="000000"/>
                <w:sz w:val="22"/>
                <w:szCs w:val="22"/>
                <w:lang w:val="es-ES"/>
              </w:rPr>
              <w:t>236’115,536</w:t>
            </w:r>
          </w:p>
        </w:tc>
        <w:tc>
          <w:tcPr>
            <w:tcW w:w="1496" w:type="dxa"/>
            <w:shd w:val="clear" w:color="auto" w:fill="auto"/>
          </w:tcPr>
          <w:p w:rsidR="000C6D0E" w:rsidRPr="000C6D0E" w:rsidRDefault="000C6D0E" w:rsidP="00BC3195">
            <w:pPr>
              <w:jc w:val="right"/>
              <w:rPr>
                <w:rFonts w:cs="Calibri"/>
                <w:color w:val="000000"/>
                <w:sz w:val="22"/>
                <w:szCs w:val="22"/>
                <w:lang w:val="es-ES"/>
              </w:rPr>
            </w:pPr>
            <w:r w:rsidRPr="000C6D0E">
              <w:rPr>
                <w:rFonts w:cs="Calibri"/>
                <w:color w:val="000000"/>
                <w:sz w:val="22"/>
                <w:szCs w:val="22"/>
                <w:lang w:val="es-ES"/>
              </w:rPr>
              <w:t>227,025,295</w:t>
            </w:r>
          </w:p>
        </w:tc>
      </w:tr>
      <w:tr w:rsidR="000C6D0E" w:rsidRPr="000C6D0E" w:rsidTr="00AE3695">
        <w:trPr>
          <w:trHeight w:val="43"/>
          <w:jc w:val="center"/>
        </w:trPr>
        <w:tc>
          <w:tcPr>
            <w:tcW w:w="4964" w:type="dxa"/>
            <w:shd w:val="clear" w:color="auto" w:fill="auto"/>
          </w:tcPr>
          <w:p w:rsidR="000C6D0E" w:rsidRPr="000C6D0E" w:rsidRDefault="000C6D0E" w:rsidP="00BC3195">
            <w:pPr>
              <w:tabs>
                <w:tab w:val="center" w:pos="4419"/>
                <w:tab w:val="right" w:pos="8838"/>
              </w:tabs>
              <w:jc w:val="both"/>
              <w:rPr>
                <w:rFonts w:cs="Calibri"/>
                <w:b/>
                <w:bCs/>
                <w:color w:val="000000"/>
                <w:sz w:val="22"/>
                <w:szCs w:val="22"/>
                <w:lang w:val="es-ES"/>
              </w:rPr>
            </w:pPr>
            <w:r w:rsidRPr="000C6D0E">
              <w:rPr>
                <w:rFonts w:cs="Calibri"/>
                <w:b/>
                <w:bCs/>
                <w:color w:val="000000"/>
                <w:sz w:val="22"/>
                <w:szCs w:val="22"/>
                <w:lang w:val="es-ES"/>
              </w:rPr>
              <w:t>Ahorro/Desahorro</w:t>
            </w:r>
          </w:p>
        </w:tc>
        <w:tc>
          <w:tcPr>
            <w:tcW w:w="1488" w:type="dxa"/>
            <w:shd w:val="clear" w:color="auto" w:fill="auto"/>
          </w:tcPr>
          <w:p w:rsidR="000C6D0E" w:rsidRPr="000C6D0E" w:rsidRDefault="000C6D0E" w:rsidP="00BC3195">
            <w:pPr>
              <w:tabs>
                <w:tab w:val="left" w:pos="1240"/>
                <w:tab w:val="center" w:pos="4419"/>
                <w:tab w:val="right" w:pos="8838"/>
              </w:tabs>
              <w:jc w:val="right"/>
              <w:rPr>
                <w:rFonts w:cs="Calibri"/>
                <w:b/>
                <w:color w:val="000000"/>
                <w:sz w:val="22"/>
                <w:szCs w:val="22"/>
                <w:lang w:val="es-ES"/>
              </w:rPr>
            </w:pPr>
            <w:r w:rsidRPr="000C6D0E">
              <w:rPr>
                <w:rFonts w:cs="Calibri"/>
                <w:b/>
                <w:color w:val="000000"/>
                <w:sz w:val="22"/>
                <w:szCs w:val="22"/>
                <w:lang w:val="es-ES"/>
              </w:rPr>
              <w:t>1’073’498,565</w:t>
            </w:r>
          </w:p>
        </w:tc>
        <w:tc>
          <w:tcPr>
            <w:tcW w:w="1496" w:type="dxa"/>
            <w:shd w:val="clear" w:color="auto" w:fill="auto"/>
          </w:tcPr>
          <w:p w:rsidR="000C6D0E" w:rsidRPr="000C6D0E" w:rsidRDefault="007D42C6" w:rsidP="00BC3195">
            <w:pPr>
              <w:jc w:val="right"/>
              <w:rPr>
                <w:rFonts w:cs="Calibri"/>
                <w:b/>
                <w:color w:val="000000"/>
                <w:sz w:val="22"/>
                <w:szCs w:val="22"/>
                <w:lang w:val="es-ES"/>
              </w:rPr>
            </w:pPr>
            <w:r>
              <w:rPr>
                <w:rFonts w:cs="Calibri"/>
                <w:b/>
                <w:color w:val="000000"/>
                <w:sz w:val="22"/>
                <w:szCs w:val="22"/>
                <w:lang w:val="es-ES"/>
              </w:rPr>
              <w:t>978,068,754</w:t>
            </w:r>
          </w:p>
        </w:tc>
      </w:tr>
    </w:tbl>
    <w:p w:rsidR="000C6D0E" w:rsidRPr="000C6D0E" w:rsidRDefault="000C6D0E" w:rsidP="000C6D0E">
      <w:pPr>
        <w:ind w:left="567"/>
        <w:rPr>
          <w:rFonts w:cs="Calibri"/>
          <w:sz w:val="22"/>
          <w:szCs w:val="22"/>
          <w:lang w:val="es-ES"/>
        </w:rPr>
      </w:pPr>
      <w:r w:rsidRPr="000C6D0E">
        <w:rPr>
          <w:rFonts w:cs="Calibri"/>
          <w:sz w:val="22"/>
          <w:szCs w:val="22"/>
          <w:lang w:val="es-ES"/>
        </w:rPr>
        <w:t xml:space="preserve">    *Variación por redondeo de centavos</w:t>
      </w:r>
    </w:p>
    <w:p w:rsidR="000C6D0E" w:rsidRPr="000C6D0E" w:rsidRDefault="000C6D0E" w:rsidP="000C6D0E">
      <w:pPr>
        <w:ind w:left="567"/>
        <w:jc w:val="center"/>
        <w:rPr>
          <w:rFonts w:cs="Calibri"/>
          <w:sz w:val="22"/>
          <w:szCs w:val="22"/>
          <w:lang w:val="es-ES"/>
        </w:rPr>
      </w:pPr>
    </w:p>
    <w:p w:rsidR="000C6D0E" w:rsidRDefault="000C6D0E" w:rsidP="000C6D0E">
      <w:pPr>
        <w:ind w:left="567"/>
        <w:jc w:val="center"/>
        <w:rPr>
          <w:rFonts w:cs="Calibri"/>
          <w:sz w:val="22"/>
          <w:szCs w:val="22"/>
          <w:lang w:val="es-ES"/>
        </w:rPr>
      </w:pPr>
    </w:p>
    <w:p w:rsidR="008D3BF3" w:rsidRDefault="008D3BF3" w:rsidP="000C6D0E">
      <w:pPr>
        <w:ind w:left="567"/>
        <w:jc w:val="center"/>
        <w:rPr>
          <w:rFonts w:cs="Calibri"/>
          <w:sz w:val="22"/>
          <w:szCs w:val="22"/>
          <w:lang w:val="es-ES"/>
        </w:rPr>
      </w:pPr>
    </w:p>
    <w:p w:rsidR="008D3BF3" w:rsidRDefault="008D3BF3" w:rsidP="000C6D0E">
      <w:pPr>
        <w:ind w:left="567"/>
        <w:jc w:val="center"/>
        <w:rPr>
          <w:rFonts w:cs="Calibri"/>
          <w:sz w:val="22"/>
          <w:szCs w:val="22"/>
          <w:lang w:val="es-ES"/>
        </w:rPr>
      </w:pPr>
    </w:p>
    <w:p w:rsidR="008D3BF3" w:rsidRDefault="008D3BF3" w:rsidP="000C6D0E">
      <w:pPr>
        <w:ind w:left="567"/>
        <w:jc w:val="center"/>
        <w:rPr>
          <w:rFonts w:cs="Calibri"/>
          <w:sz w:val="22"/>
          <w:szCs w:val="22"/>
          <w:lang w:val="es-ES"/>
        </w:rPr>
      </w:pPr>
    </w:p>
    <w:p w:rsidR="008D3BF3" w:rsidRDefault="008D3BF3" w:rsidP="000C6D0E">
      <w:pPr>
        <w:ind w:left="567"/>
        <w:jc w:val="center"/>
        <w:rPr>
          <w:rFonts w:cs="Calibri"/>
          <w:sz w:val="22"/>
          <w:szCs w:val="22"/>
          <w:lang w:val="es-ES"/>
        </w:rPr>
      </w:pPr>
    </w:p>
    <w:p w:rsidR="008D3BF3" w:rsidRPr="000C6D0E" w:rsidRDefault="008D3BF3" w:rsidP="000C6D0E">
      <w:pPr>
        <w:ind w:left="567"/>
        <w:jc w:val="center"/>
        <w:rPr>
          <w:rFonts w:cs="Calibri"/>
          <w:sz w:val="22"/>
          <w:szCs w:val="22"/>
          <w:lang w:val="es-ES"/>
        </w:rPr>
      </w:pPr>
    </w:p>
    <w:p w:rsidR="000C6D0E" w:rsidRPr="000C6D0E" w:rsidRDefault="000C6D0E" w:rsidP="000C6D0E">
      <w:pPr>
        <w:pStyle w:val="INCISO"/>
        <w:spacing w:after="0" w:line="240" w:lineRule="auto"/>
        <w:ind w:left="360"/>
        <w:rPr>
          <w:rFonts w:ascii="Calibri" w:hAnsi="Calibri" w:cs="Calibri"/>
          <w:b/>
          <w:smallCaps/>
          <w:sz w:val="22"/>
          <w:szCs w:val="22"/>
        </w:rPr>
      </w:pPr>
      <w:r w:rsidRPr="000C6D0E">
        <w:rPr>
          <w:rFonts w:ascii="Calibri" w:hAnsi="Calibri" w:cs="Calibri"/>
          <w:b/>
          <w:smallCaps/>
          <w:sz w:val="22"/>
          <w:szCs w:val="22"/>
        </w:rPr>
        <w:lastRenderedPageBreak/>
        <w:t>V) Conciliación entre los ingresos presupuestarios y contables, así como entre los egresos presupuestarios y los gastos contables:</w:t>
      </w:r>
    </w:p>
    <w:p w:rsidR="000C6D0E" w:rsidRPr="000C6D0E" w:rsidRDefault="000C6D0E" w:rsidP="000C6D0E">
      <w:pPr>
        <w:pStyle w:val="INCISO"/>
        <w:spacing w:after="0" w:line="240" w:lineRule="auto"/>
        <w:ind w:left="360"/>
        <w:rPr>
          <w:rFonts w:ascii="Calibri" w:hAnsi="Calibri" w:cs="Calibri"/>
          <w:b/>
          <w:smallCaps/>
          <w:sz w:val="22"/>
          <w:szCs w:val="22"/>
        </w:rPr>
      </w:pPr>
    </w:p>
    <w:p w:rsidR="000C6D0E" w:rsidRPr="000C6D0E" w:rsidRDefault="000C6D0E" w:rsidP="000C6D0E">
      <w:pPr>
        <w:ind w:left="708" w:hanging="708"/>
        <w:jc w:val="both"/>
        <w:rPr>
          <w:rFonts w:cs="Calibri"/>
          <w:sz w:val="22"/>
          <w:szCs w:val="22"/>
          <w:lang w:val="es-ES"/>
        </w:rPr>
      </w:pPr>
      <w:r w:rsidRPr="000C6D0E">
        <w:rPr>
          <w:rFonts w:cs="Calibri"/>
          <w:sz w:val="22"/>
          <w:szCs w:val="22"/>
          <w:lang w:val="es-ES"/>
        </w:rPr>
        <w:t>Conciliación entre los Ingresos Presupuestarios y Contables</w:t>
      </w:r>
    </w:p>
    <w:p w:rsidR="000C6D0E" w:rsidRPr="000C6D0E" w:rsidRDefault="000C6D0E" w:rsidP="000C6D0E">
      <w:pPr>
        <w:jc w:val="both"/>
        <w:rPr>
          <w:rFonts w:cs="Calibri"/>
          <w:sz w:val="22"/>
          <w:szCs w:val="22"/>
          <w:lang w:val="es-ES"/>
        </w:rPr>
      </w:pPr>
    </w:p>
    <w:tbl>
      <w:tblPr>
        <w:tblW w:w="0" w:type="auto"/>
        <w:tblInd w:w="125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121"/>
        <w:gridCol w:w="1325"/>
        <w:gridCol w:w="428"/>
        <w:gridCol w:w="1753"/>
      </w:tblGrid>
      <w:tr w:rsidR="000C6D0E" w:rsidRPr="007D401A" w:rsidTr="00BC3195">
        <w:trPr>
          <w:trHeight w:val="91"/>
        </w:trPr>
        <w:tc>
          <w:tcPr>
            <w:tcW w:w="7627" w:type="dxa"/>
            <w:gridSpan w:val="4"/>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Servicios de Salud de Tamaulipas</w:t>
            </w:r>
          </w:p>
        </w:tc>
      </w:tr>
      <w:tr w:rsidR="000C6D0E" w:rsidRPr="007D401A" w:rsidTr="00BC3195">
        <w:trPr>
          <w:trHeight w:val="91"/>
        </w:trPr>
        <w:tc>
          <w:tcPr>
            <w:tcW w:w="7627" w:type="dxa"/>
            <w:gridSpan w:val="4"/>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Conciliación entre los Ingresos Presupuestarios y Contables</w:t>
            </w:r>
          </w:p>
        </w:tc>
      </w:tr>
      <w:tr w:rsidR="000C6D0E" w:rsidRPr="007D401A" w:rsidTr="00BC3195">
        <w:trPr>
          <w:trHeight w:val="91"/>
        </w:trPr>
        <w:tc>
          <w:tcPr>
            <w:tcW w:w="7627" w:type="dxa"/>
            <w:gridSpan w:val="4"/>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Correspondiente del 1 de Enero al 31 de Diciembre del 2024</w:t>
            </w:r>
          </w:p>
        </w:tc>
      </w:tr>
      <w:tr w:rsidR="000C6D0E" w:rsidRPr="007D401A" w:rsidTr="00BC3195">
        <w:trPr>
          <w:trHeight w:val="91"/>
        </w:trPr>
        <w:tc>
          <w:tcPr>
            <w:tcW w:w="7627" w:type="dxa"/>
            <w:gridSpan w:val="4"/>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(Cifras en pesos)</w:t>
            </w:r>
          </w:p>
        </w:tc>
      </w:tr>
      <w:tr w:rsidR="000C6D0E" w:rsidRPr="007D401A" w:rsidTr="00BC3195">
        <w:trPr>
          <w:trHeight w:val="91"/>
        </w:trPr>
        <w:tc>
          <w:tcPr>
            <w:tcW w:w="4121" w:type="dxa"/>
            <w:shd w:val="clear" w:color="auto" w:fill="AB0033"/>
          </w:tcPr>
          <w:p w:rsidR="000C6D0E" w:rsidRPr="007D401A" w:rsidRDefault="000C6D0E" w:rsidP="00BC3195">
            <w:pPr>
              <w:tabs>
                <w:tab w:val="center" w:pos="4419"/>
                <w:tab w:val="right" w:pos="8838"/>
              </w:tabs>
              <w:jc w:val="center"/>
              <w:rPr>
                <w:rFonts w:eastAsia="Times New Roman" w:cs="Calibri"/>
                <w:color w:val="FFFFFF"/>
                <w:lang w:val="es-ES"/>
              </w:rPr>
            </w:pPr>
            <w:r w:rsidRPr="007D401A">
              <w:rPr>
                <w:rFonts w:eastAsia="Times New Roman" w:cs="Calibri"/>
                <w:color w:val="FFFFFF"/>
                <w:lang w:val="es-ES"/>
              </w:rPr>
              <w:t>CONCEPTO</w:t>
            </w:r>
          </w:p>
        </w:tc>
        <w:tc>
          <w:tcPr>
            <w:tcW w:w="1753" w:type="dxa"/>
            <w:gridSpan w:val="2"/>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p>
        </w:tc>
        <w:tc>
          <w:tcPr>
            <w:tcW w:w="1753" w:type="dxa"/>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2024</w:t>
            </w:r>
          </w:p>
        </w:tc>
      </w:tr>
      <w:tr w:rsidR="000C6D0E" w:rsidRPr="007D401A" w:rsidTr="00BC3195">
        <w:trPr>
          <w:trHeight w:val="91"/>
        </w:trPr>
        <w:tc>
          <w:tcPr>
            <w:tcW w:w="4121" w:type="dxa"/>
            <w:shd w:val="clear" w:color="auto" w:fill="AB0033"/>
          </w:tcPr>
          <w:p w:rsidR="000C6D0E" w:rsidRPr="007D401A" w:rsidRDefault="000C6D0E" w:rsidP="00BC3195">
            <w:pPr>
              <w:tabs>
                <w:tab w:val="center" w:pos="4419"/>
                <w:tab w:val="right" w:pos="8838"/>
              </w:tabs>
              <w:rPr>
                <w:rFonts w:eastAsia="Times New Roman" w:cs="Calibri"/>
                <w:color w:val="FFFFFF"/>
                <w:lang w:val="es-ES"/>
              </w:rPr>
            </w:pPr>
            <w:r w:rsidRPr="007D401A">
              <w:rPr>
                <w:rFonts w:eastAsia="Times New Roman" w:cs="Calibri"/>
                <w:color w:val="FFFFFF"/>
                <w:lang w:val="es-ES"/>
              </w:rPr>
              <w:t>1.Ingresos Presupuestarios</w:t>
            </w:r>
          </w:p>
        </w:tc>
        <w:tc>
          <w:tcPr>
            <w:tcW w:w="1325" w:type="dxa"/>
            <w:shd w:val="clear" w:color="auto" w:fill="AB0033"/>
          </w:tcPr>
          <w:p w:rsidR="000C6D0E" w:rsidRPr="007D401A" w:rsidRDefault="000C6D0E" w:rsidP="00BC3195">
            <w:pPr>
              <w:pStyle w:val="Prrafodelista"/>
              <w:tabs>
                <w:tab w:val="center" w:pos="4419"/>
                <w:tab w:val="right" w:pos="8838"/>
              </w:tabs>
              <w:spacing w:after="0" w:line="240" w:lineRule="auto"/>
              <w:ind w:left="0"/>
              <w:jc w:val="both"/>
              <w:rPr>
                <w:rFonts w:eastAsia="Times New Roman" w:cs="Calibri"/>
                <w:bCs/>
                <w:color w:val="FFFFFF"/>
                <w:sz w:val="20"/>
                <w:szCs w:val="20"/>
                <w:lang w:val="es-ES"/>
              </w:rPr>
            </w:pPr>
          </w:p>
        </w:tc>
        <w:tc>
          <w:tcPr>
            <w:tcW w:w="2181" w:type="dxa"/>
            <w:gridSpan w:val="2"/>
            <w:shd w:val="clear" w:color="auto" w:fill="AB0033"/>
          </w:tcPr>
          <w:p w:rsidR="000C6D0E" w:rsidRPr="007D401A" w:rsidRDefault="000C6D0E" w:rsidP="00BC3195">
            <w:pPr>
              <w:pStyle w:val="Prrafodelista"/>
              <w:tabs>
                <w:tab w:val="center" w:pos="4419"/>
                <w:tab w:val="right" w:pos="8838"/>
              </w:tabs>
              <w:spacing w:after="0" w:line="240" w:lineRule="auto"/>
              <w:jc w:val="right"/>
              <w:rPr>
                <w:rFonts w:eastAsia="Times New Roman" w:cs="Calibri"/>
                <w:bCs/>
                <w:color w:val="FFFFFF"/>
                <w:sz w:val="20"/>
                <w:szCs w:val="20"/>
                <w:highlight w:val="yellow"/>
              </w:rPr>
            </w:pPr>
            <w:r w:rsidRPr="007D401A">
              <w:rPr>
                <w:rFonts w:eastAsia="Times New Roman" w:cs="Calibri"/>
                <w:bCs/>
                <w:color w:val="FFFFFF"/>
                <w:sz w:val="20"/>
                <w:szCs w:val="20"/>
              </w:rPr>
              <w:t>9’790,754,913</w:t>
            </w:r>
          </w:p>
        </w:tc>
      </w:tr>
      <w:tr w:rsidR="000C6D0E" w:rsidRPr="007D401A" w:rsidTr="00BC3195">
        <w:trPr>
          <w:trHeight w:val="46"/>
        </w:trPr>
        <w:tc>
          <w:tcPr>
            <w:tcW w:w="4121" w:type="dxa"/>
            <w:shd w:val="clear" w:color="auto" w:fill="auto"/>
          </w:tcPr>
          <w:p w:rsidR="000C6D0E" w:rsidRPr="007D401A" w:rsidRDefault="000C6D0E" w:rsidP="00BC3195">
            <w:pPr>
              <w:tabs>
                <w:tab w:val="center" w:pos="4419"/>
                <w:tab w:val="right" w:pos="8838"/>
              </w:tabs>
              <w:rPr>
                <w:rFonts w:cs="Calibri"/>
                <w:b/>
                <w:bCs/>
                <w:color w:val="000000"/>
                <w:lang w:val="es-ES"/>
              </w:rPr>
            </w:pPr>
            <w:r w:rsidRPr="007D401A">
              <w:rPr>
                <w:rFonts w:cs="Calibri"/>
                <w:b/>
                <w:bCs/>
                <w:color w:val="000000"/>
                <w:lang w:val="es-ES"/>
              </w:rPr>
              <w:t>2.Más Ingresos Contables No Presupuestarios</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both"/>
              <w:rPr>
                <w:rFonts w:cs="Calibri"/>
                <w:b/>
                <w:color w:val="000000"/>
                <w:sz w:val="20"/>
                <w:szCs w:val="20"/>
                <w:highlight w:val="yellow"/>
                <w:lang w:val="es-ES"/>
              </w:rPr>
            </w:pPr>
          </w:p>
        </w:tc>
        <w:tc>
          <w:tcPr>
            <w:tcW w:w="2181" w:type="dxa"/>
            <w:gridSpan w:val="2"/>
            <w:shd w:val="clear" w:color="auto" w:fill="auto"/>
            <w:vAlign w:val="center"/>
          </w:tcPr>
          <w:p w:rsidR="000C6D0E" w:rsidRPr="007D401A" w:rsidRDefault="000C6D0E" w:rsidP="00BC3195">
            <w:pPr>
              <w:pStyle w:val="Prrafodelista"/>
              <w:tabs>
                <w:tab w:val="center" w:pos="4419"/>
                <w:tab w:val="right" w:pos="8838"/>
              </w:tabs>
              <w:spacing w:after="0" w:line="240" w:lineRule="auto"/>
              <w:ind w:left="0"/>
              <w:jc w:val="right"/>
              <w:rPr>
                <w:rFonts w:cs="Calibri"/>
                <w:b/>
                <w:color w:val="000000"/>
                <w:sz w:val="20"/>
                <w:szCs w:val="20"/>
                <w:highlight w:val="yellow"/>
                <w:lang w:val="es-ES"/>
              </w:rPr>
            </w:pPr>
            <w:r w:rsidRPr="007D401A">
              <w:rPr>
                <w:rFonts w:cs="Calibri"/>
                <w:b/>
                <w:color w:val="000000"/>
                <w:sz w:val="20"/>
                <w:szCs w:val="20"/>
                <w:lang w:val="es-ES"/>
              </w:rPr>
              <w:t>4’933,435</w:t>
            </w: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sz w:val="20"/>
                <w:szCs w:val="20"/>
                <w:lang w:val="es-ES"/>
              </w:rPr>
            </w:pPr>
            <w:r w:rsidRPr="007D401A">
              <w:rPr>
                <w:rFonts w:cs="Calibri"/>
                <w:bCs/>
                <w:sz w:val="20"/>
                <w:szCs w:val="20"/>
                <w:lang w:val="es-ES"/>
              </w:rPr>
              <w:t>Ingresos Financieros</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bCs/>
                <w:sz w:val="20"/>
                <w:szCs w:val="20"/>
                <w:lang w:val="es-ES"/>
              </w:rPr>
            </w:pPr>
            <w:r w:rsidRPr="007D401A">
              <w:rPr>
                <w:rFonts w:cs="Calibri"/>
                <w:bCs/>
                <w:sz w:val="20"/>
                <w:szCs w:val="20"/>
                <w:lang w:val="es-ES"/>
              </w:rPr>
              <w:t>607</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both"/>
              <w:rPr>
                <w:rFonts w:cs="Calibri"/>
                <w:bCs/>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sz w:val="20"/>
                <w:szCs w:val="20"/>
                <w:lang w:val="es-ES"/>
              </w:rPr>
            </w:pPr>
            <w:r w:rsidRPr="007D401A">
              <w:rPr>
                <w:rFonts w:cs="Calibri"/>
                <w:bCs/>
                <w:sz w:val="20"/>
                <w:szCs w:val="20"/>
                <w:lang w:val="es-ES"/>
              </w:rPr>
              <w:t>Incremento de Almacén</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r w:rsidRPr="007D401A">
              <w:rPr>
                <w:rFonts w:cs="Calibri"/>
                <w:color w:val="000000"/>
                <w:sz w:val="20"/>
                <w:szCs w:val="20"/>
                <w:lang w:val="es-ES"/>
              </w:rPr>
              <w:t>-2,013</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both"/>
              <w:rPr>
                <w:rFonts w:cs="Calibri"/>
                <w:color w:val="000000"/>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color w:val="000000"/>
                <w:sz w:val="20"/>
                <w:szCs w:val="20"/>
                <w:lang w:val="es-ES"/>
              </w:rPr>
            </w:pPr>
            <w:r w:rsidRPr="007D401A">
              <w:rPr>
                <w:rFonts w:cs="Calibri"/>
                <w:bCs/>
                <w:color w:val="000000"/>
                <w:sz w:val="20"/>
                <w:szCs w:val="20"/>
                <w:lang w:val="es-ES"/>
              </w:rPr>
              <w:t>Bonificaciones y descuentos</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r w:rsidRPr="007D401A">
              <w:rPr>
                <w:rFonts w:cs="Calibri"/>
                <w:color w:val="000000"/>
                <w:sz w:val="20"/>
                <w:szCs w:val="20"/>
                <w:lang w:val="es-ES"/>
              </w:rPr>
              <w:t>178,974</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color w:val="000000"/>
                <w:sz w:val="20"/>
                <w:szCs w:val="20"/>
                <w:lang w:val="es-ES"/>
              </w:rPr>
            </w:pPr>
            <w:r w:rsidRPr="007D401A">
              <w:rPr>
                <w:rFonts w:cs="Calibri"/>
                <w:bCs/>
                <w:color w:val="000000"/>
                <w:sz w:val="20"/>
                <w:szCs w:val="20"/>
                <w:lang w:val="es-ES"/>
              </w:rPr>
              <w:t>Otros Ingresos y beneficios varios</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r w:rsidRPr="007D401A">
              <w:rPr>
                <w:rFonts w:cs="Calibri"/>
                <w:color w:val="000000"/>
                <w:sz w:val="20"/>
                <w:szCs w:val="20"/>
                <w:lang w:val="es-ES"/>
              </w:rPr>
              <w:t>4,755,867</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
                <w:bCs/>
                <w:color w:val="000000"/>
                <w:sz w:val="20"/>
                <w:szCs w:val="20"/>
                <w:lang w:val="es-ES"/>
              </w:rPr>
            </w:pPr>
            <w:r w:rsidRPr="007D401A">
              <w:rPr>
                <w:rFonts w:cs="Calibri"/>
                <w:b/>
                <w:bCs/>
                <w:color w:val="000000"/>
                <w:sz w:val="20"/>
                <w:szCs w:val="20"/>
                <w:lang w:val="es-ES"/>
              </w:rPr>
              <w:t>3.Menos Ingresos Presupuestales No Contables</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both"/>
              <w:rPr>
                <w:rFonts w:cs="Calibri"/>
                <w:b/>
                <w:color w:val="000000"/>
                <w:sz w:val="20"/>
                <w:szCs w:val="20"/>
                <w:lang w:val="es-ES"/>
              </w:rPr>
            </w:pPr>
          </w:p>
        </w:tc>
        <w:tc>
          <w:tcPr>
            <w:tcW w:w="2181" w:type="dxa"/>
            <w:gridSpan w:val="2"/>
            <w:shd w:val="clear" w:color="auto" w:fill="auto"/>
            <w:vAlign w:val="center"/>
          </w:tcPr>
          <w:p w:rsidR="000C6D0E" w:rsidRPr="007D401A" w:rsidRDefault="000C6D0E" w:rsidP="00BC3195">
            <w:pPr>
              <w:pStyle w:val="Prrafodelista"/>
              <w:tabs>
                <w:tab w:val="center" w:pos="4419"/>
                <w:tab w:val="right" w:pos="8838"/>
              </w:tabs>
              <w:spacing w:after="0" w:line="240" w:lineRule="auto"/>
              <w:ind w:left="0"/>
              <w:jc w:val="right"/>
              <w:rPr>
                <w:rFonts w:cs="Calibri"/>
                <w:b/>
                <w:color w:val="000000"/>
                <w:sz w:val="20"/>
                <w:szCs w:val="20"/>
                <w:lang w:val="es-ES"/>
              </w:rPr>
            </w:pPr>
            <w:r w:rsidRPr="007D401A">
              <w:rPr>
                <w:rFonts w:cs="Calibri"/>
                <w:b/>
                <w:color w:val="000000"/>
                <w:sz w:val="20"/>
                <w:szCs w:val="20"/>
                <w:lang w:val="es-ES"/>
              </w:rPr>
              <w:t>0</w:t>
            </w: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color w:val="000000"/>
                <w:sz w:val="20"/>
                <w:szCs w:val="20"/>
                <w:lang w:val="es-ES"/>
              </w:rPr>
            </w:pPr>
            <w:r w:rsidRPr="007D401A">
              <w:rPr>
                <w:rFonts w:cs="Calibri"/>
                <w:bCs/>
                <w:color w:val="000000"/>
                <w:sz w:val="20"/>
                <w:szCs w:val="20"/>
                <w:lang w:val="es-ES"/>
              </w:rPr>
              <w:t>Productos de Tipo Corriente</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r w:rsidRPr="007D401A">
              <w:rPr>
                <w:rFonts w:cs="Calibri"/>
                <w:color w:val="000000"/>
                <w:sz w:val="20"/>
                <w:szCs w:val="20"/>
                <w:lang w:val="es-ES"/>
              </w:rPr>
              <w:t>0</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Cs/>
                <w:color w:val="000000"/>
                <w:sz w:val="20"/>
                <w:szCs w:val="20"/>
                <w:lang w:val="es-ES"/>
              </w:rPr>
            </w:pPr>
            <w:r w:rsidRPr="007D401A">
              <w:rPr>
                <w:rFonts w:cs="Calibri"/>
                <w:bCs/>
                <w:color w:val="000000"/>
                <w:sz w:val="20"/>
                <w:szCs w:val="20"/>
                <w:lang w:val="es-ES"/>
              </w:rPr>
              <w:t>Aprovechamientos de Tipo Corriente</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r w:rsidRPr="007D401A">
              <w:rPr>
                <w:rFonts w:cs="Calibri"/>
                <w:color w:val="000000"/>
                <w:sz w:val="20"/>
                <w:szCs w:val="20"/>
                <w:lang w:val="es-ES"/>
              </w:rPr>
              <w:t>0</w:t>
            </w: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color w:val="000000"/>
                <w:sz w:val="20"/>
                <w:szCs w:val="20"/>
                <w:lang w:val="es-ES"/>
              </w:rPr>
            </w:pPr>
          </w:p>
        </w:tc>
      </w:tr>
      <w:tr w:rsidR="000C6D0E" w:rsidRPr="007D401A" w:rsidTr="00BC3195">
        <w:tc>
          <w:tcPr>
            <w:tcW w:w="4121" w:type="dxa"/>
            <w:shd w:val="clear" w:color="auto" w:fill="auto"/>
          </w:tcPr>
          <w:p w:rsidR="000C6D0E" w:rsidRPr="007D401A" w:rsidRDefault="000C6D0E" w:rsidP="00BC3195">
            <w:pPr>
              <w:pStyle w:val="Prrafodelista"/>
              <w:tabs>
                <w:tab w:val="center" w:pos="4419"/>
                <w:tab w:val="right" w:pos="8838"/>
              </w:tabs>
              <w:spacing w:after="0" w:line="240" w:lineRule="auto"/>
              <w:ind w:left="0"/>
              <w:rPr>
                <w:rFonts w:cs="Calibri"/>
                <w:b/>
                <w:bCs/>
                <w:color w:val="000000"/>
                <w:sz w:val="20"/>
                <w:szCs w:val="20"/>
                <w:lang w:val="es-ES"/>
              </w:rPr>
            </w:pPr>
            <w:r w:rsidRPr="007D401A">
              <w:rPr>
                <w:rFonts w:cs="Calibri"/>
                <w:b/>
                <w:bCs/>
                <w:color w:val="000000"/>
                <w:sz w:val="20"/>
                <w:szCs w:val="20"/>
                <w:lang w:val="es-ES"/>
              </w:rPr>
              <w:t>4.Total de Ingresos Contables 4=(1+2-3)</w:t>
            </w:r>
          </w:p>
        </w:tc>
        <w:tc>
          <w:tcPr>
            <w:tcW w:w="1325" w:type="dxa"/>
            <w:shd w:val="clear" w:color="auto" w:fill="auto"/>
          </w:tcPr>
          <w:p w:rsidR="000C6D0E" w:rsidRPr="007D401A" w:rsidRDefault="000C6D0E" w:rsidP="00BC3195">
            <w:pPr>
              <w:pStyle w:val="Prrafodelista"/>
              <w:tabs>
                <w:tab w:val="center" w:pos="4419"/>
                <w:tab w:val="right" w:pos="8838"/>
              </w:tabs>
              <w:spacing w:after="0" w:line="240" w:lineRule="auto"/>
              <w:ind w:left="0"/>
              <w:jc w:val="both"/>
              <w:rPr>
                <w:rFonts w:cs="Calibri"/>
                <w:b/>
                <w:color w:val="000000"/>
                <w:sz w:val="20"/>
                <w:szCs w:val="20"/>
                <w:lang w:val="es-ES"/>
              </w:rPr>
            </w:pPr>
          </w:p>
        </w:tc>
        <w:tc>
          <w:tcPr>
            <w:tcW w:w="2181" w:type="dxa"/>
            <w:gridSpan w:val="2"/>
            <w:shd w:val="clear" w:color="auto" w:fill="auto"/>
          </w:tcPr>
          <w:p w:rsidR="000C6D0E" w:rsidRPr="007D401A" w:rsidRDefault="000C6D0E" w:rsidP="00BC3195">
            <w:pPr>
              <w:pStyle w:val="Prrafodelista"/>
              <w:tabs>
                <w:tab w:val="center" w:pos="4419"/>
                <w:tab w:val="right" w:pos="8838"/>
              </w:tabs>
              <w:spacing w:after="0" w:line="240" w:lineRule="auto"/>
              <w:ind w:left="0"/>
              <w:jc w:val="right"/>
              <w:rPr>
                <w:rFonts w:cs="Calibri"/>
                <w:b/>
                <w:color w:val="000000"/>
                <w:sz w:val="20"/>
                <w:szCs w:val="20"/>
                <w:lang w:val="es-ES"/>
              </w:rPr>
            </w:pPr>
            <w:r w:rsidRPr="007D401A">
              <w:rPr>
                <w:rFonts w:cs="Calibri"/>
                <w:b/>
                <w:color w:val="000000"/>
                <w:sz w:val="20"/>
                <w:szCs w:val="20"/>
                <w:lang w:val="es-ES"/>
              </w:rPr>
              <w:t>9’795’688,348</w:t>
            </w:r>
          </w:p>
        </w:tc>
      </w:tr>
    </w:tbl>
    <w:p w:rsidR="000C6D0E" w:rsidRPr="000C6D0E" w:rsidRDefault="000C6D0E" w:rsidP="000C6D0E">
      <w:pPr>
        <w:jc w:val="both"/>
        <w:rPr>
          <w:rFonts w:cs="Calibri"/>
          <w:sz w:val="22"/>
          <w:szCs w:val="22"/>
          <w:lang w:val="es-ES"/>
        </w:rPr>
      </w:pPr>
      <w:r w:rsidRPr="000C6D0E">
        <w:rPr>
          <w:rFonts w:cs="Calibri"/>
          <w:sz w:val="22"/>
          <w:szCs w:val="22"/>
          <w:lang w:val="es-ES"/>
        </w:rPr>
        <w:t>Variación por redondeo de centavos</w:t>
      </w:r>
    </w:p>
    <w:p w:rsidR="000C6D0E" w:rsidRPr="000C6D0E" w:rsidRDefault="000C6D0E" w:rsidP="000C6D0E">
      <w:pPr>
        <w:jc w:val="both"/>
        <w:rPr>
          <w:rFonts w:cs="Calibri"/>
          <w:sz w:val="22"/>
          <w:szCs w:val="22"/>
          <w:lang w:val="es-ES"/>
        </w:rPr>
      </w:pPr>
    </w:p>
    <w:p w:rsidR="000C6D0E" w:rsidRPr="000C6D0E" w:rsidRDefault="000C6D0E" w:rsidP="000C6D0E">
      <w:pPr>
        <w:jc w:val="both"/>
        <w:rPr>
          <w:rFonts w:cs="Calibri"/>
          <w:sz w:val="22"/>
          <w:szCs w:val="22"/>
          <w:lang w:val="es-ES"/>
        </w:rPr>
      </w:pPr>
    </w:p>
    <w:p w:rsidR="007D401A" w:rsidRDefault="007D401A" w:rsidP="000C6D0E">
      <w:pPr>
        <w:jc w:val="both"/>
        <w:rPr>
          <w:rFonts w:cs="Calibri"/>
          <w:sz w:val="22"/>
          <w:szCs w:val="22"/>
          <w:lang w:val="es-ES"/>
        </w:rPr>
      </w:pPr>
    </w:p>
    <w:p w:rsidR="007D401A" w:rsidRDefault="007D401A" w:rsidP="000C6D0E">
      <w:pPr>
        <w:jc w:val="both"/>
        <w:rPr>
          <w:rFonts w:cs="Calibri"/>
          <w:sz w:val="22"/>
          <w:szCs w:val="22"/>
          <w:lang w:val="es-ES"/>
        </w:rPr>
      </w:pPr>
    </w:p>
    <w:p w:rsidR="007D401A" w:rsidRDefault="007D401A" w:rsidP="000C6D0E">
      <w:pPr>
        <w:jc w:val="both"/>
        <w:rPr>
          <w:rFonts w:cs="Calibri"/>
          <w:sz w:val="22"/>
          <w:szCs w:val="22"/>
          <w:lang w:val="es-ES"/>
        </w:rPr>
      </w:pPr>
    </w:p>
    <w:p w:rsidR="000C6D0E" w:rsidRPr="000C6D0E" w:rsidRDefault="000C6D0E" w:rsidP="000C6D0E">
      <w:pPr>
        <w:jc w:val="both"/>
        <w:rPr>
          <w:rFonts w:cs="Calibri"/>
          <w:sz w:val="22"/>
          <w:szCs w:val="22"/>
          <w:lang w:val="es-ES"/>
        </w:rPr>
      </w:pPr>
      <w:r w:rsidRPr="000C6D0E">
        <w:rPr>
          <w:rFonts w:cs="Calibri"/>
          <w:sz w:val="22"/>
          <w:szCs w:val="22"/>
          <w:lang w:val="es-ES"/>
        </w:rPr>
        <w:t>Conciliación entre los Egresos Presupuestarios y los Gastos Contables</w:t>
      </w:r>
    </w:p>
    <w:p w:rsidR="000C6D0E" w:rsidRPr="000C6D0E" w:rsidRDefault="000C6D0E" w:rsidP="000C6D0E">
      <w:pPr>
        <w:jc w:val="both"/>
        <w:rPr>
          <w:rFonts w:cs="Calibri"/>
          <w:sz w:val="22"/>
          <w:szCs w:val="22"/>
          <w:lang w:val="es-ES"/>
        </w:rPr>
      </w:pPr>
    </w:p>
    <w:tbl>
      <w:tblPr>
        <w:tblW w:w="0" w:type="auto"/>
        <w:tblInd w:w="586"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951"/>
        <w:gridCol w:w="1262"/>
        <w:gridCol w:w="1559"/>
      </w:tblGrid>
      <w:tr w:rsidR="000C6D0E" w:rsidRPr="007D401A" w:rsidTr="00BC3195">
        <w:trPr>
          <w:trHeight w:val="115"/>
          <w:tblHeader/>
        </w:trPr>
        <w:tc>
          <w:tcPr>
            <w:tcW w:w="7772" w:type="dxa"/>
            <w:gridSpan w:val="3"/>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Servicios de Salud de Tamaulipas</w:t>
            </w:r>
          </w:p>
        </w:tc>
      </w:tr>
      <w:tr w:rsidR="000C6D0E" w:rsidRPr="007D401A" w:rsidTr="00BC3195">
        <w:trPr>
          <w:trHeight w:val="115"/>
          <w:tblHeader/>
        </w:trPr>
        <w:tc>
          <w:tcPr>
            <w:tcW w:w="7772" w:type="dxa"/>
            <w:gridSpan w:val="3"/>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Conciliación entre los Egresos Presupuestarios y los Gastos Contables</w:t>
            </w:r>
          </w:p>
        </w:tc>
      </w:tr>
      <w:tr w:rsidR="000C6D0E" w:rsidRPr="007D401A" w:rsidTr="00BC3195">
        <w:trPr>
          <w:trHeight w:val="115"/>
          <w:tblHeader/>
        </w:trPr>
        <w:tc>
          <w:tcPr>
            <w:tcW w:w="7772" w:type="dxa"/>
            <w:gridSpan w:val="3"/>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Correspondiente del 1 de Enero al 31 de Diciembre del 2024</w:t>
            </w:r>
          </w:p>
        </w:tc>
      </w:tr>
      <w:tr w:rsidR="000C6D0E" w:rsidRPr="007D401A" w:rsidTr="00BC3195">
        <w:trPr>
          <w:trHeight w:val="115"/>
          <w:tblHeader/>
        </w:trPr>
        <w:tc>
          <w:tcPr>
            <w:tcW w:w="7772" w:type="dxa"/>
            <w:gridSpan w:val="3"/>
            <w:shd w:val="clear" w:color="auto" w:fill="AB0033"/>
          </w:tcPr>
          <w:p w:rsidR="000C6D0E" w:rsidRPr="007D401A" w:rsidRDefault="000C6D0E" w:rsidP="00BC3195">
            <w:pPr>
              <w:pStyle w:val="Prrafodelista"/>
              <w:tabs>
                <w:tab w:val="center" w:pos="4419"/>
                <w:tab w:val="right" w:pos="8838"/>
              </w:tabs>
              <w:spacing w:after="0" w:line="240" w:lineRule="auto"/>
              <w:ind w:left="0"/>
              <w:jc w:val="center"/>
              <w:rPr>
                <w:rFonts w:eastAsia="Times New Roman" w:cs="Calibri"/>
                <w:bCs/>
                <w:color w:val="FFFFFF"/>
                <w:sz w:val="20"/>
                <w:szCs w:val="20"/>
                <w:lang w:val="es-ES"/>
              </w:rPr>
            </w:pPr>
            <w:r w:rsidRPr="007D401A">
              <w:rPr>
                <w:rFonts w:eastAsia="Times New Roman" w:cs="Calibri"/>
                <w:bCs/>
                <w:color w:val="FFFFFF"/>
                <w:sz w:val="20"/>
                <w:szCs w:val="20"/>
                <w:lang w:val="es-ES"/>
              </w:rPr>
              <w:t>(Cifras en pesos)</w:t>
            </w:r>
          </w:p>
        </w:tc>
      </w:tr>
      <w:tr w:rsidR="000C6D0E" w:rsidRPr="007D401A" w:rsidTr="00BC3195">
        <w:trPr>
          <w:trHeight w:val="115"/>
          <w:tblHeader/>
        </w:trPr>
        <w:tc>
          <w:tcPr>
            <w:tcW w:w="4951" w:type="dxa"/>
            <w:shd w:val="clear" w:color="auto" w:fill="AB0033"/>
          </w:tcPr>
          <w:p w:rsidR="000C6D0E" w:rsidRPr="007D401A" w:rsidRDefault="000C6D0E" w:rsidP="00BC3195">
            <w:pPr>
              <w:tabs>
                <w:tab w:val="center" w:pos="4419"/>
                <w:tab w:val="right" w:pos="8838"/>
              </w:tabs>
              <w:jc w:val="center"/>
              <w:rPr>
                <w:rFonts w:eastAsia="Times New Roman" w:cs="Calibri"/>
                <w:color w:val="FFFFFF"/>
                <w:lang w:val="es-ES"/>
              </w:rPr>
            </w:pPr>
            <w:r w:rsidRPr="007D401A">
              <w:rPr>
                <w:rFonts w:eastAsia="Times New Roman" w:cs="Calibri"/>
                <w:color w:val="FFFFFF"/>
                <w:lang w:val="es-ES"/>
              </w:rPr>
              <w:t>CONCEPTO</w:t>
            </w:r>
          </w:p>
        </w:tc>
        <w:tc>
          <w:tcPr>
            <w:tcW w:w="2821" w:type="dxa"/>
            <w:gridSpan w:val="2"/>
            <w:shd w:val="clear" w:color="auto" w:fill="AB0033"/>
          </w:tcPr>
          <w:p w:rsidR="000C6D0E" w:rsidRPr="007D401A" w:rsidRDefault="000C6D0E" w:rsidP="007D401A">
            <w:pPr>
              <w:tabs>
                <w:tab w:val="center" w:pos="4419"/>
                <w:tab w:val="right" w:pos="8838"/>
              </w:tabs>
              <w:jc w:val="center"/>
              <w:rPr>
                <w:rFonts w:eastAsia="Times New Roman" w:cs="Calibri"/>
                <w:bCs/>
                <w:color w:val="FFFFFF"/>
                <w:lang w:val="es-ES"/>
              </w:rPr>
            </w:pPr>
            <w:r w:rsidRPr="007D401A">
              <w:rPr>
                <w:rFonts w:eastAsia="Times New Roman" w:cs="Calibri"/>
                <w:bCs/>
                <w:color w:val="FFFFFF"/>
                <w:lang w:val="es-ES"/>
              </w:rPr>
              <w:t>2024</w:t>
            </w:r>
          </w:p>
        </w:tc>
      </w:tr>
      <w:tr w:rsidR="000C6D0E" w:rsidRPr="007D401A" w:rsidTr="00BC3195">
        <w:trPr>
          <w:trHeight w:val="115"/>
        </w:trPr>
        <w:tc>
          <w:tcPr>
            <w:tcW w:w="4951" w:type="dxa"/>
            <w:shd w:val="clear" w:color="auto" w:fill="AB0033"/>
          </w:tcPr>
          <w:p w:rsidR="000C6D0E" w:rsidRPr="007D401A" w:rsidRDefault="000C6D0E" w:rsidP="00BC3195">
            <w:pPr>
              <w:tabs>
                <w:tab w:val="center" w:pos="4419"/>
                <w:tab w:val="right" w:pos="8838"/>
              </w:tabs>
              <w:jc w:val="both"/>
              <w:rPr>
                <w:rFonts w:eastAsia="Times New Roman" w:cs="Calibri"/>
                <w:color w:val="FFFFFF"/>
                <w:lang w:val="es-ES"/>
              </w:rPr>
            </w:pPr>
            <w:r w:rsidRPr="007D401A">
              <w:rPr>
                <w:rFonts w:eastAsia="Times New Roman" w:cs="Calibri"/>
                <w:color w:val="FFFFFF"/>
                <w:lang w:val="es-ES"/>
              </w:rPr>
              <w:t>1.Total de Egresos Presupuestarios</w:t>
            </w:r>
          </w:p>
        </w:tc>
        <w:tc>
          <w:tcPr>
            <w:tcW w:w="1262" w:type="dxa"/>
            <w:shd w:val="clear" w:color="auto" w:fill="AB0033"/>
          </w:tcPr>
          <w:p w:rsidR="000C6D0E" w:rsidRPr="007D401A" w:rsidRDefault="000C6D0E" w:rsidP="00BC3195">
            <w:pPr>
              <w:tabs>
                <w:tab w:val="center" w:pos="4419"/>
                <w:tab w:val="right" w:pos="8838"/>
              </w:tabs>
              <w:jc w:val="both"/>
              <w:rPr>
                <w:rFonts w:eastAsia="Times New Roman" w:cs="Calibri"/>
                <w:bCs/>
                <w:color w:val="FFFFFF"/>
                <w:highlight w:val="yellow"/>
                <w:lang w:val="es-ES"/>
              </w:rPr>
            </w:pPr>
          </w:p>
        </w:tc>
        <w:tc>
          <w:tcPr>
            <w:tcW w:w="1559" w:type="dxa"/>
            <w:shd w:val="clear" w:color="auto" w:fill="AB0033"/>
          </w:tcPr>
          <w:p w:rsidR="000C6D0E" w:rsidRPr="007D401A" w:rsidRDefault="000C6D0E" w:rsidP="00BC3195">
            <w:pPr>
              <w:tabs>
                <w:tab w:val="center" w:pos="4419"/>
                <w:tab w:val="right" w:pos="8838"/>
              </w:tabs>
              <w:jc w:val="right"/>
              <w:rPr>
                <w:rFonts w:eastAsia="Times New Roman" w:cs="Calibri"/>
                <w:bCs/>
                <w:color w:val="FFFFFF"/>
              </w:rPr>
            </w:pPr>
            <w:r w:rsidRPr="007D401A">
              <w:rPr>
                <w:rFonts w:eastAsia="Times New Roman" w:cs="Calibri"/>
                <w:bCs/>
                <w:color w:val="FFFFFF"/>
              </w:rPr>
              <w:t>10,578,207,592</w:t>
            </w: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
                <w:bCs/>
                <w:color w:val="000000"/>
                <w:lang w:val="es-ES"/>
              </w:rPr>
            </w:pPr>
            <w:r w:rsidRPr="007D401A">
              <w:rPr>
                <w:rFonts w:cs="Calibri"/>
                <w:b/>
                <w:bCs/>
                <w:color w:val="000000"/>
                <w:lang w:val="es-ES"/>
              </w:rPr>
              <w:t>2.Menos Egresos Presupuestarios No Contables</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highlight w:val="yellow"/>
                <w:lang w:val="es-ES"/>
              </w:rPr>
            </w:pPr>
          </w:p>
        </w:tc>
        <w:tc>
          <w:tcPr>
            <w:tcW w:w="1559" w:type="dxa"/>
            <w:shd w:val="clear" w:color="auto" w:fill="auto"/>
          </w:tcPr>
          <w:p w:rsidR="000C6D0E" w:rsidRPr="007D401A" w:rsidRDefault="000C6D0E" w:rsidP="00BC3195">
            <w:pPr>
              <w:tabs>
                <w:tab w:val="center" w:pos="4419"/>
                <w:tab w:val="right" w:pos="8838"/>
              </w:tabs>
              <w:jc w:val="right"/>
              <w:rPr>
                <w:rFonts w:cs="Calibri"/>
                <w:color w:val="000000"/>
                <w:highlight w:val="yellow"/>
                <w:lang w:val="es-ES"/>
              </w:rPr>
            </w:pPr>
            <w:r w:rsidRPr="007D401A">
              <w:rPr>
                <w:rFonts w:cs="Calibri"/>
                <w:color w:val="000000"/>
                <w:lang w:val="es-ES"/>
              </w:rPr>
              <w:t>1,751,878,208</w:t>
            </w: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Mobiliario y equipo de Administración</w:t>
            </w:r>
          </w:p>
        </w:tc>
        <w:tc>
          <w:tcPr>
            <w:tcW w:w="1262" w:type="dxa"/>
            <w:shd w:val="clear" w:color="auto" w:fill="auto"/>
          </w:tcPr>
          <w:p w:rsidR="000C6D0E" w:rsidRPr="007D401A" w:rsidRDefault="000C6D0E" w:rsidP="00BC3195">
            <w:pPr>
              <w:tabs>
                <w:tab w:val="center" w:pos="4419"/>
                <w:tab w:val="right" w:pos="8838"/>
              </w:tabs>
              <w:jc w:val="right"/>
              <w:rPr>
                <w:rFonts w:cs="Calibri"/>
                <w:lang w:val="es-ES"/>
              </w:rPr>
            </w:pPr>
            <w:r w:rsidRPr="007D401A">
              <w:rPr>
                <w:rFonts w:cs="Calibri"/>
                <w:lang w:val="es-ES"/>
              </w:rPr>
              <w:t>12,506,036</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Mobiliario y equipo educacional recreativo</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548,301</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Equipo e instrumental médico y de laboratorio</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521,325,485</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Vehículos y equipo de transporte</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1,310,500</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Maquinaria, otros equipos y herramientas</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17,661,621</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Activos Intangibles</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0</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rPr>
          <w:trHeight w:val="199"/>
        </w:trPr>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Inversión Pública</w:t>
            </w:r>
          </w:p>
        </w:tc>
        <w:tc>
          <w:tcPr>
            <w:tcW w:w="1262" w:type="dxa"/>
            <w:shd w:val="clear" w:color="auto" w:fill="auto"/>
          </w:tcPr>
          <w:p w:rsidR="000C6D0E" w:rsidRPr="007D401A" w:rsidRDefault="000C6D0E" w:rsidP="00BC3195">
            <w:pPr>
              <w:tabs>
                <w:tab w:val="center" w:pos="4419"/>
                <w:tab w:val="right" w:pos="8838"/>
              </w:tabs>
              <w:jc w:val="right"/>
              <w:rPr>
                <w:rFonts w:cs="Calibri"/>
              </w:rPr>
            </w:pPr>
            <w:r w:rsidRPr="007D401A">
              <w:rPr>
                <w:rFonts w:cs="Calibri"/>
              </w:rPr>
              <w:t>257,655,543</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Adeudos fiscales de ejercicios anteriores</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rPr>
            </w:pPr>
            <w:r w:rsidRPr="007D401A">
              <w:rPr>
                <w:rFonts w:cs="Calibri"/>
                <w:color w:val="000000"/>
              </w:rPr>
              <w:t>940,870,721</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highlight w:val="yellow"/>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
                <w:bCs/>
                <w:color w:val="000000"/>
                <w:lang w:val="es-ES"/>
              </w:rPr>
            </w:pPr>
            <w:r w:rsidRPr="007D401A">
              <w:rPr>
                <w:rFonts w:cs="Calibri"/>
                <w:b/>
                <w:bCs/>
                <w:color w:val="000000"/>
                <w:lang w:val="es-ES"/>
              </w:rPr>
              <w:t>3.Más gastos Contables No Presupuestales</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r w:rsidRPr="007D401A">
              <w:rPr>
                <w:rFonts w:cs="Calibri"/>
                <w:color w:val="000000"/>
                <w:lang w:val="es-ES"/>
              </w:rPr>
              <w:t>-104,139,600</w:t>
            </w: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Cs/>
                <w:color w:val="000000"/>
                <w:lang w:val="es-ES"/>
              </w:rPr>
            </w:pPr>
            <w:r w:rsidRPr="007D401A">
              <w:rPr>
                <w:rFonts w:cs="Calibri"/>
                <w:bCs/>
                <w:color w:val="000000"/>
                <w:lang w:val="es-ES"/>
              </w:rPr>
              <w:t>Estimaciones, depreciaciones, deterioros etc.</w:t>
            </w:r>
          </w:p>
        </w:tc>
        <w:tc>
          <w:tcPr>
            <w:tcW w:w="1262" w:type="dxa"/>
            <w:shd w:val="clear" w:color="auto" w:fill="auto"/>
          </w:tcPr>
          <w:p w:rsidR="000C6D0E" w:rsidRPr="007D401A" w:rsidRDefault="000C6D0E" w:rsidP="00BC3195">
            <w:pPr>
              <w:tabs>
                <w:tab w:val="center" w:pos="4419"/>
                <w:tab w:val="right" w:pos="8838"/>
              </w:tabs>
              <w:ind w:left="4419" w:hanging="4419"/>
              <w:jc w:val="right"/>
              <w:rPr>
                <w:rFonts w:cs="Calibri"/>
                <w:color w:val="000000"/>
                <w:lang w:val="es-ES"/>
              </w:rPr>
            </w:pPr>
            <w:r w:rsidRPr="007D401A">
              <w:rPr>
                <w:rFonts w:cs="Calibri"/>
                <w:color w:val="000000"/>
                <w:lang w:val="es-ES"/>
              </w:rPr>
              <w:t>352,491,258</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Disminución de Inventarios</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lang w:val="es-ES"/>
              </w:rPr>
            </w:pPr>
            <w:r w:rsidRPr="007D401A">
              <w:rPr>
                <w:rFonts w:cs="Calibri"/>
                <w:color w:val="000000"/>
                <w:lang w:val="es-ES"/>
              </w:rPr>
              <w:t>-4,219</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rPr>
          <w:trHeight w:val="236"/>
        </w:trPr>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 xml:space="preserve">Otros Gastos </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lang w:val="es-ES"/>
              </w:rPr>
            </w:pPr>
            <w:r w:rsidRPr="007D401A">
              <w:rPr>
                <w:rFonts w:cs="Calibri"/>
                <w:color w:val="000000"/>
                <w:lang w:val="es-ES"/>
              </w:rPr>
              <w:t>192,614</w:t>
            </w:r>
          </w:p>
        </w:tc>
        <w:tc>
          <w:tcPr>
            <w:tcW w:w="1559" w:type="dxa"/>
            <w:shd w:val="clear" w:color="auto" w:fill="auto"/>
          </w:tcPr>
          <w:p w:rsidR="000C6D0E" w:rsidRPr="007D401A" w:rsidRDefault="000C6D0E" w:rsidP="00BC3195">
            <w:pPr>
              <w:tabs>
                <w:tab w:val="center" w:pos="4419"/>
                <w:tab w:val="right" w:pos="8838"/>
              </w:tabs>
              <w:jc w:val="right"/>
              <w:rPr>
                <w:rFonts w:cs="Calibri"/>
                <w:color w:val="000000"/>
                <w:lang w:val="es-ES"/>
              </w:rPr>
            </w:pPr>
          </w:p>
        </w:tc>
      </w:tr>
      <w:tr w:rsidR="000C6D0E" w:rsidRPr="007D401A" w:rsidTr="00BC3195">
        <w:trPr>
          <w:trHeight w:val="236"/>
        </w:trPr>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t>Materiales y Suministros (consumos)</w:t>
            </w:r>
          </w:p>
        </w:tc>
        <w:tc>
          <w:tcPr>
            <w:tcW w:w="1262" w:type="dxa"/>
            <w:shd w:val="clear" w:color="auto" w:fill="auto"/>
          </w:tcPr>
          <w:p w:rsidR="000C6D0E" w:rsidRPr="007D401A" w:rsidRDefault="000C6D0E" w:rsidP="00BC3195">
            <w:pPr>
              <w:tabs>
                <w:tab w:val="center" w:pos="4419"/>
                <w:tab w:val="right" w:pos="8838"/>
              </w:tabs>
              <w:jc w:val="right"/>
              <w:rPr>
                <w:rFonts w:cs="Calibri"/>
                <w:bCs/>
                <w:lang w:val="es-ES"/>
              </w:rPr>
            </w:pPr>
            <w:r w:rsidRPr="007D401A">
              <w:rPr>
                <w:rFonts w:cs="Calibri"/>
                <w:bCs/>
                <w:lang w:val="es-ES"/>
              </w:rPr>
              <w:t>-</w:t>
            </w:r>
            <w:r w:rsidRPr="007D401A">
              <w:rPr>
                <w:rFonts w:cs="Calibri"/>
                <w:bCs/>
                <w:lang w:val="es-ES"/>
              </w:rPr>
              <w:lastRenderedPageBreak/>
              <w:t>692,934,790</w:t>
            </w:r>
          </w:p>
        </w:tc>
        <w:tc>
          <w:tcPr>
            <w:tcW w:w="1559" w:type="dxa"/>
            <w:shd w:val="clear" w:color="auto" w:fill="auto"/>
          </w:tcPr>
          <w:p w:rsidR="000C6D0E" w:rsidRPr="007D401A" w:rsidRDefault="000C6D0E" w:rsidP="00BC3195">
            <w:pPr>
              <w:tabs>
                <w:tab w:val="center" w:pos="4419"/>
                <w:tab w:val="right" w:pos="8838"/>
              </w:tabs>
              <w:rPr>
                <w:rFonts w:cs="Calibri"/>
                <w:bCs/>
                <w:color w:val="000000"/>
                <w:lang w:val="es-ES"/>
              </w:rPr>
            </w:pPr>
          </w:p>
        </w:tc>
      </w:tr>
      <w:tr w:rsidR="000C6D0E" w:rsidRPr="007D401A" w:rsidTr="00BC3195">
        <w:trPr>
          <w:trHeight w:val="236"/>
        </w:trPr>
        <w:tc>
          <w:tcPr>
            <w:tcW w:w="4951" w:type="dxa"/>
            <w:shd w:val="clear" w:color="auto" w:fill="auto"/>
          </w:tcPr>
          <w:p w:rsidR="000C6D0E" w:rsidRPr="007D401A" w:rsidRDefault="000C6D0E" w:rsidP="00BC3195">
            <w:pPr>
              <w:tabs>
                <w:tab w:val="center" w:pos="4419"/>
                <w:tab w:val="right" w:pos="8838"/>
              </w:tabs>
              <w:rPr>
                <w:rFonts w:cs="Calibri"/>
                <w:bCs/>
                <w:color w:val="000000"/>
                <w:lang w:val="es-ES"/>
              </w:rPr>
            </w:pPr>
            <w:r w:rsidRPr="007D401A">
              <w:rPr>
                <w:rFonts w:cs="Calibri"/>
                <w:bCs/>
                <w:color w:val="000000"/>
                <w:lang w:val="es-ES"/>
              </w:rPr>
              <w:lastRenderedPageBreak/>
              <w:t>Inversión Pública</w:t>
            </w:r>
          </w:p>
        </w:tc>
        <w:tc>
          <w:tcPr>
            <w:tcW w:w="1262" w:type="dxa"/>
            <w:shd w:val="clear" w:color="auto" w:fill="auto"/>
          </w:tcPr>
          <w:p w:rsidR="000C6D0E" w:rsidRPr="007D401A" w:rsidRDefault="000C6D0E" w:rsidP="00BC3195">
            <w:pPr>
              <w:tabs>
                <w:tab w:val="center" w:pos="4419"/>
                <w:tab w:val="right" w:pos="8838"/>
              </w:tabs>
              <w:jc w:val="right"/>
              <w:rPr>
                <w:rFonts w:cs="Calibri"/>
                <w:color w:val="000000"/>
                <w:highlight w:val="yellow"/>
                <w:lang w:val="es-ES"/>
              </w:rPr>
            </w:pPr>
            <w:r w:rsidRPr="007D401A">
              <w:rPr>
                <w:rFonts w:cs="Calibri"/>
                <w:color w:val="000000"/>
                <w:lang w:val="es-ES"/>
              </w:rPr>
              <w:t>236,115,536</w:t>
            </w:r>
          </w:p>
        </w:tc>
        <w:tc>
          <w:tcPr>
            <w:tcW w:w="1559" w:type="dxa"/>
            <w:shd w:val="clear" w:color="auto" w:fill="auto"/>
          </w:tcPr>
          <w:p w:rsidR="000C6D0E" w:rsidRPr="007D401A" w:rsidRDefault="000C6D0E" w:rsidP="00BC3195">
            <w:pPr>
              <w:tabs>
                <w:tab w:val="center" w:pos="4419"/>
                <w:tab w:val="right" w:pos="8838"/>
              </w:tabs>
              <w:rPr>
                <w:rFonts w:cs="Calibri"/>
                <w:bCs/>
                <w:color w:val="000000"/>
                <w:lang w:val="es-ES"/>
              </w:rPr>
            </w:pPr>
          </w:p>
        </w:tc>
      </w:tr>
      <w:tr w:rsidR="000C6D0E" w:rsidRPr="007D401A" w:rsidTr="00BC3195">
        <w:tc>
          <w:tcPr>
            <w:tcW w:w="4951" w:type="dxa"/>
            <w:shd w:val="clear" w:color="auto" w:fill="auto"/>
          </w:tcPr>
          <w:p w:rsidR="000C6D0E" w:rsidRPr="007D401A" w:rsidRDefault="000C6D0E" w:rsidP="00BC3195">
            <w:pPr>
              <w:tabs>
                <w:tab w:val="center" w:pos="4419"/>
                <w:tab w:val="right" w:pos="8838"/>
              </w:tabs>
              <w:jc w:val="both"/>
              <w:rPr>
                <w:rFonts w:cs="Calibri"/>
                <w:b/>
                <w:bCs/>
                <w:color w:val="000000"/>
                <w:lang w:val="es-ES"/>
              </w:rPr>
            </w:pPr>
            <w:r w:rsidRPr="007D401A">
              <w:rPr>
                <w:rFonts w:cs="Calibri"/>
                <w:b/>
                <w:bCs/>
                <w:color w:val="000000"/>
                <w:lang w:val="es-ES"/>
              </w:rPr>
              <w:t>4.Total de Gasto Contable 4=(1-2+3)</w:t>
            </w:r>
          </w:p>
        </w:tc>
        <w:tc>
          <w:tcPr>
            <w:tcW w:w="1262" w:type="dxa"/>
            <w:shd w:val="clear" w:color="auto" w:fill="auto"/>
          </w:tcPr>
          <w:p w:rsidR="000C6D0E" w:rsidRPr="007D401A" w:rsidRDefault="000C6D0E" w:rsidP="00BC3195">
            <w:pPr>
              <w:tabs>
                <w:tab w:val="center" w:pos="4419"/>
                <w:tab w:val="right" w:pos="8838"/>
              </w:tabs>
              <w:jc w:val="right"/>
              <w:rPr>
                <w:rFonts w:cs="Calibri"/>
                <w:b/>
                <w:color w:val="000000"/>
                <w:lang w:val="es-ES"/>
              </w:rPr>
            </w:pPr>
          </w:p>
        </w:tc>
        <w:tc>
          <w:tcPr>
            <w:tcW w:w="1559" w:type="dxa"/>
            <w:shd w:val="clear" w:color="auto" w:fill="auto"/>
          </w:tcPr>
          <w:p w:rsidR="000C6D0E" w:rsidRPr="007D401A" w:rsidRDefault="007D401A" w:rsidP="00BC3195">
            <w:pPr>
              <w:tabs>
                <w:tab w:val="center" w:pos="4419"/>
                <w:tab w:val="right" w:pos="8838"/>
              </w:tabs>
              <w:jc w:val="right"/>
              <w:rPr>
                <w:rFonts w:cs="Calibri"/>
                <w:b/>
                <w:color w:val="000000"/>
                <w:lang w:val="es-ES"/>
              </w:rPr>
            </w:pPr>
            <w:r w:rsidRPr="007D401A">
              <w:rPr>
                <w:rFonts w:cs="Calibri"/>
                <w:b/>
                <w:color w:val="000000"/>
                <w:lang w:val="es-ES"/>
              </w:rPr>
              <w:t>8’722’189,783</w:t>
            </w:r>
          </w:p>
        </w:tc>
      </w:tr>
    </w:tbl>
    <w:p w:rsidR="000C6D0E" w:rsidRPr="000C6D0E" w:rsidRDefault="000C6D0E" w:rsidP="000C6D0E">
      <w:pPr>
        <w:jc w:val="both"/>
        <w:rPr>
          <w:rFonts w:cs="Calibri"/>
          <w:sz w:val="22"/>
          <w:szCs w:val="22"/>
          <w:lang w:val="es-ES"/>
        </w:rPr>
      </w:pPr>
      <w:r w:rsidRPr="000C6D0E">
        <w:rPr>
          <w:rFonts w:cs="Calibri"/>
          <w:sz w:val="22"/>
          <w:szCs w:val="22"/>
          <w:lang w:val="es-ES"/>
        </w:rPr>
        <w:t>Variación por redondeo de centavos</w:t>
      </w:r>
    </w:p>
    <w:p w:rsidR="000C6D0E" w:rsidRPr="000C6D0E" w:rsidRDefault="000C6D0E" w:rsidP="000C6D0E">
      <w:pPr>
        <w:pStyle w:val="Texto"/>
        <w:spacing w:after="0" w:line="240" w:lineRule="auto"/>
        <w:ind w:firstLine="0"/>
        <w:rPr>
          <w:rFonts w:ascii="Calibri" w:hAnsi="Calibri" w:cs="Calibri"/>
          <w:sz w:val="22"/>
          <w:szCs w:val="22"/>
        </w:rPr>
      </w:pPr>
    </w:p>
    <w:p w:rsidR="000C6D0E" w:rsidRPr="000C6D0E" w:rsidRDefault="000C6D0E" w:rsidP="000C6D0E">
      <w:pPr>
        <w:pStyle w:val="Texto"/>
        <w:spacing w:after="0" w:line="240" w:lineRule="auto"/>
        <w:ind w:firstLine="0"/>
        <w:rPr>
          <w:rFonts w:ascii="Calibri" w:hAnsi="Calibri" w:cs="Calibri"/>
          <w:sz w:val="22"/>
          <w:szCs w:val="22"/>
        </w:rPr>
      </w:pPr>
    </w:p>
    <w:p w:rsidR="000C6D0E" w:rsidRPr="000C6D0E" w:rsidRDefault="000C6D0E" w:rsidP="000C6D0E">
      <w:pPr>
        <w:pStyle w:val="Texto"/>
        <w:spacing w:after="0" w:line="240" w:lineRule="auto"/>
        <w:ind w:firstLine="0"/>
        <w:rPr>
          <w:rFonts w:ascii="Calibri" w:hAnsi="Calibri" w:cs="Calibri"/>
          <w:sz w:val="22"/>
          <w:szCs w:val="22"/>
        </w:rPr>
      </w:pPr>
      <w:r w:rsidRPr="000C6D0E">
        <w:rPr>
          <w:rFonts w:ascii="Calibri" w:hAnsi="Calibri" w:cs="Calibri"/>
          <w:sz w:val="22"/>
          <w:szCs w:val="22"/>
        </w:rPr>
        <w:t>Bajo protesta de decir verdad declaramos que los Estados Financieros y sus Notas, son razonablemente correctos y son responsabilidad del emisor.</w:t>
      </w:r>
    </w:p>
    <w:p w:rsidR="000C6D0E" w:rsidRDefault="000C6D0E" w:rsidP="000C6D0E">
      <w:pPr>
        <w:pStyle w:val="Texto"/>
        <w:spacing w:after="0" w:line="240" w:lineRule="auto"/>
        <w:ind w:firstLine="0"/>
        <w:rPr>
          <w:rFonts w:ascii="Encode Sans" w:hAnsi="Encode Sans" w:cs="DIN Pro Regular"/>
          <w:sz w:val="20"/>
        </w:rPr>
      </w:pPr>
    </w:p>
    <w:p w:rsidR="000C6D0E" w:rsidRDefault="000C6D0E" w:rsidP="000C6D0E">
      <w:pPr>
        <w:pStyle w:val="Texto"/>
        <w:spacing w:after="0" w:line="240" w:lineRule="auto"/>
        <w:ind w:firstLine="0"/>
        <w:rPr>
          <w:rFonts w:ascii="Encode Sans" w:hAnsi="Encode Sans" w:cs="DIN Pro Regular"/>
          <w:b/>
          <w:smallCaps/>
          <w:sz w:val="20"/>
          <w:lang w:val="es-MX"/>
        </w:rPr>
      </w:pPr>
    </w:p>
    <w:p w:rsidR="000C6D0E" w:rsidRDefault="000C6D0E" w:rsidP="000C6D0E">
      <w:pPr>
        <w:pStyle w:val="Texto"/>
        <w:spacing w:after="0" w:line="240" w:lineRule="auto"/>
        <w:ind w:firstLine="0"/>
        <w:rPr>
          <w:rFonts w:ascii="Encode Sans" w:hAnsi="Encode Sans" w:cs="DIN Pro Regular"/>
          <w:b/>
          <w:smallCaps/>
          <w:sz w:val="20"/>
          <w:lang w:val="es-MX"/>
        </w:rPr>
      </w:pPr>
    </w:p>
    <w:p w:rsidR="000C6D0E" w:rsidRDefault="000C6D0E" w:rsidP="000C6D0E">
      <w:pPr>
        <w:pStyle w:val="Texto"/>
        <w:spacing w:after="0" w:line="240" w:lineRule="auto"/>
        <w:ind w:firstLine="0"/>
        <w:rPr>
          <w:rFonts w:ascii="Encode Sans" w:hAnsi="Encode Sans" w:cs="DIN Pro Regular"/>
          <w:b/>
          <w:smallCaps/>
          <w:sz w:val="20"/>
          <w:lang w:val="es-MX"/>
        </w:rPr>
      </w:pPr>
    </w:p>
    <w:p w:rsidR="000C6D0E" w:rsidRPr="00750099" w:rsidRDefault="000C6D0E" w:rsidP="000C6D0E">
      <w:pPr>
        <w:pStyle w:val="Texto"/>
        <w:spacing w:after="0" w:line="240" w:lineRule="auto"/>
        <w:ind w:firstLine="0"/>
        <w:rPr>
          <w:rFonts w:ascii="Encode Sans" w:hAnsi="Encode Sans" w:cs="DIN Pro Regular"/>
          <w:b/>
          <w:smallCaps/>
          <w:sz w:val="20"/>
          <w:lang w:val="es-MX"/>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Pr="00750099" w:rsidRDefault="000C6D0E" w:rsidP="000C6D0E">
      <w:pPr>
        <w:rPr>
          <w:rFonts w:ascii="Encode Sans" w:hAnsi="Encode Sans" w:cs="DIN Pro Regular"/>
          <w:b/>
        </w:rPr>
      </w:pPr>
    </w:p>
    <w:p w:rsidR="000C6D0E" w:rsidRPr="00750099" w:rsidRDefault="000C6D0E" w:rsidP="000C6D0E">
      <w:pPr>
        <w:rPr>
          <w:rFonts w:ascii="Encode Sans" w:eastAsia="Times New Roman" w:hAnsi="Encode Sans" w:cs="DIN Pro Regular"/>
          <w:b/>
          <w:lang w:val="es-ES" w:eastAsia="es-ES"/>
        </w:rPr>
      </w:pPr>
    </w:p>
    <w:p w:rsidR="000C6D0E" w:rsidRPr="00750099" w:rsidRDefault="000C6D0E" w:rsidP="000C6D0E">
      <w:pPr>
        <w:rPr>
          <w:rFonts w:ascii="Encode Sans" w:eastAsia="Times New Roman" w:hAnsi="Encode Sans" w:cs="DIN Pro Regular"/>
          <w:b/>
          <w:lang w:val="es-ES" w:eastAsia="es-ES"/>
        </w:rPr>
      </w:pPr>
      <w:r w:rsidRPr="00750099">
        <w:rPr>
          <w:rFonts w:ascii="Encode Sans" w:hAnsi="Encode Sans" w:cs="DIN Pro Regular"/>
          <w:b/>
        </w:rPr>
        <w:br w:type="page"/>
      </w:r>
    </w:p>
    <w:p w:rsidR="000C6D0E" w:rsidRPr="000C6D0E" w:rsidRDefault="000C6D0E" w:rsidP="000C6D0E">
      <w:pPr>
        <w:pStyle w:val="Texto"/>
        <w:spacing w:after="0" w:line="240" w:lineRule="auto"/>
        <w:ind w:firstLine="0"/>
        <w:rPr>
          <w:rFonts w:ascii="Calibri" w:hAnsi="Calibri" w:cs="Calibri"/>
          <w:sz w:val="22"/>
          <w:szCs w:val="22"/>
        </w:rPr>
      </w:pPr>
    </w:p>
    <w:p w:rsidR="000C6D0E" w:rsidRPr="000C6D0E" w:rsidRDefault="000C6D0E" w:rsidP="000C6D0E">
      <w:pPr>
        <w:jc w:val="center"/>
        <w:rPr>
          <w:rFonts w:cs="Calibri"/>
          <w:b/>
          <w:sz w:val="22"/>
          <w:szCs w:val="22"/>
        </w:rPr>
      </w:pPr>
      <w:r w:rsidRPr="000C6D0E">
        <w:rPr>
          <w:rFonts w:cs="Calibri"/>
          <w:b/>
          <w:sz w:val="22"/>
          <w:szCs w:val="22"/>
        </w:rPr>
        <w:t>c) NOTAS DE MEMORIA (CUENTAS DE ORDEN)</w:t>
      </w:r>
    </w:p>
    <w:p w:rsidR="000C6D0E" w:rsidRPr="000C6D0E" w:rsidRDefault="000C6D0E" w:rsidP="000C6D0E">
      <w:pPr>
        <w:pStyle w:val="Texto"/>
        <w:spacing w:after="0" w:line="240" w:lineRule="auto"/>
        <w:rPr>
          <w:rFonts w:ascii="Calibri" w:hAnsi="Calibri" w:cs="Calibri"/>
          <w:sz w:val="22"/>
          <w:szCs w:val="22"/>
          <w:lang w:val="es-MX"/>
        </w:rPr>
      </w:pPr>
    </w:p>
    <w:p w:rsidR="000C6D0E" w:rsidRPr="000C6D0E" w:rsidRDefault="000C6D0E" w:rsidP="000C6D0E">
      <w:pPr>
        <w:pStyle w:val="Texto"/>
        <w:spacing w:after="0" w:line="240" w:lineRule="auto"/>
        <w:rPr>
          <w:rFonts w:ascii="Calibri" w:hAnsi="Calibri" w:cs="Calibri"/>
          <w:b/>
          <w:sz w:val="22"/>
          <w:szCs w:val="22"/>
        </w:rPr>
      </w:pPr>
      <w:r w:rsidRPr="000C6D0E">
        <w:rPr>
          <w:rFonts w:ascii="Calibri" w:hAnsi="Calibri" w:cs="Calibri"/>
          <w:b/>
          <w:sz w:val="22"/>
          <w:szCs w:val="22"/>
        </w:rPr>
        <w:t>Cuentas de Orden Contables y Presupuestarias:</w:t>
      </w:r>
    </w:p>
    <w:p w:rsidR="000C6D0E" w:rsidRPr="000C6D0E" w:rsidRDefault="000C6D0E" w:rsidP="000C6D0E">
      <w:pPr>
        <w:pStyle w:val="Texto"/>
        <w:spacing w:after="0" w:line="240" w:lineRule="auto"/>
        <w:rPr>
          <w:rFonts w:ascii="Calibri" w:hAnsi="Calibri" w:cs="Calibri"/>
          <w:b/>
          <w:sz w:val="22"/>
          <w:szCs w:val="22"/>
        </w:rPr>
      </w:pPr>
    </w:p>
    <w:p w:rsidR="000C6D0E" w:rsidRPr="000C6D0E" w:rsidRDefault="000C6D0E" w:rsidP="000C6D0E">
      <w:pPr>
        <w:pStyle w:val="Texto"/>
        <w:spacing w:after="0" w:line="240" w:lineRule="auto"/>
        <w:rPr>
          <w:rFonts w:ascii="Calibri" w:hAnsi="Calibri" w:cs="Calibri"/>
          <w:b/>
          <w:sz w:val="22"/>
          <w:szCs w:val="22"/>
        </w:rPr>
      </w:pPr>
    </w:p>
    <w:p w:rsidR="000C6D0E" w:rsidRPr="000C6D0E" w:rsidRDefault="000C6D0E" w:rsidP="000C6D0E">
      <w:pPr>
        <w:pStyle w:val="Texto"/>
        <w:spacing w:after="0" w:line="240" w:lineRule="auto"/>
        <w:rPr>
          <w:rFonts w:ascii="Calibri" w:hAnsi="Calibri" w:cs="Calibri"/>
          <w:b/>
          <w:sz w:val="22"/>
          <w:szCs w:val="22"/>
        </w:rPr>
      </w:pPr>
      <w:r w:rsidRPr="000C6D0E">
        <w:rPr>
          <w:rFonts w:ascii="Calibri" w:hAnsi="Calibri" w:cs="Calibri"/>
          <w:b/>
          <w:sz w:val="22"/>
          <w:szCs w:val="22"/>
        </w:rPr>
        <w:t>CONTABLES</w:t>
      </w:r>
    </w:p>
    <w:p w:rsidR="000C6D0E" w:rsidRPr="000C6D0E" w:rsidRDefault="000C6D0E" w:rsidP="000C6D0E">
      <w:pPr>
        <w:pStyle w:val="Texto"/>
        <w:spacing w:after="0" w:line="240" w:lineRule="auto"/>
        <w:rPr>
          <w:rFonts w:ascii="Calibri" w:hAnsi="Calibri" w:cs="Calibri"/>
          <w:b/>
          <w:sz w:val="22"/>
          <w:szCs w:val="22"/>
        </w:rPr>
      </w:pPr>
    </w:p>
    <w:p w:rsidR="000C6D0E" w:rsidRPr="000C6D0E" w:rsidRDefault="000C6D0E" w:rsidP="000C6D0E">
      <w:pPr>
        <w:pStyle w:val="Texto"/>
        <w:spacing w:after="0" w:line="240" w:lineRule="auto"/>
        <w:ind w:left="288" w:firstLine="0"/>
        <w:rPr>
          <w:rFonts w:ascii="Calibri" w:eastAsia="Calibri" w:hAnsi="Calibri" w:cs="Calibri"/>
          <w:sz w:val="22"/>
          <w:szCs w:val="22"/>
          <w:lang w:eastAsia="en-US"/>
        </w:rPr>
      </w:pPr>
      <w:r w:rsidRPr="000C6D0E">
        <w:rPr>
          <w:rFonts w:ascii="Calibri" w:eastAsia="Calibri" w:hAnsi="Calibri" w:cs="Calibri"/>
          <w:sz w:val="22"/>
          <w:szCs w:val="22"/>
          <w:lang w:eastAsia="en-US"/>
        </w:rPr>
        <w:t>Los pasivos contingentes, reportados por la Dirección Jurídica del Organismo, se encuentran recon</w:t>
      </w:r>
      <w:r w:rsidRPr="000C6D0E">
        <w:rPr>
          <w:rFonts w:ascii="Calibri" w:eastAsia="Calibri" w:hAnsi="Calibri" w:cs="Calibri"/>
          <w:sz w:val="22"/>
          <w:szCs w:val="22"/>
          <w:lang w:eastAsia="en-US"/>
        </w:rPr>
        <w:t>o</w:t>
      </w:r>
      <w:r w:rsidRPr="000C6D0E">
        <w:rPr>
          <w:rFonts w:ascii="Calibri" w:eastAsia="Calibri" w:hAnsi="Calibri" w:cs="Calibri"/>
          <w:sz w:val="22"/>
          <w:szCs w:val="22"/>
          <w:lang w:eastAsia="en-US"/>
        </w:rPr>
        <w:t>cidos en las cuentas de orden contables en los estados financieros hasta por un monto de $ 372’830,129 relacionados a Juicios Laborales.</w:t>
      </w:r>
    </w:p>
    <w:p w:rsidR="000C6D0E" w:rsidRPr="000C6D0E" w:rsidRDefault="000C6D0E" w:rsidP="000C6D0E">
      <w:pPr>
        <w:pStyle w:val="Texto"/>
        <w:spacing w:after="0" w:line="240" w:lineRule="auto"/>
        <w:rPr>
          <w:rFonts w:ascii="Calibri" w:hAnsi="Calibri" w:cs="Calibri"/>
          <w:b/>
          <w:sz w:val="22"/>
          <w:szCs w:val="22"/>
        </w:rPr>
      </w:pPr>
    </w:p>
    <w:p w:rsidR="000C6D0E" w:rsidRPr="000C6D0E" w:rsidRDefault="000C6D0E" w:rsidP="000C6D0E">
      <w:pPr>
        <w:pStyle w:val="Texto"/>
        <w:spacing w:after="0" w:line="240" w:lineRule="auto"/>
        <w:rPr>
          <w:rFonts w:ascii="Calibri" w:hAnsi="Calibri" w:cs="Calibri"/>
          <w:b/>
          <w:sz w:val="22"/>
          <w:szCs w:val="22"/>
        </w:rPr>
      </w:pPr>
      <w:r w:rsidRPr="000C6D0E">
        <w:rPr>
          <w:rFonts w:ascii="Calibri" w:hAnsi="Calibri" w:cs="Calibri"/>
          <w:b/>
          <w:sz w:val="22"/>
          <w:szCs w:val="22"/>
        </w:rPr>
        <w:t>PRESUPUESTARIAS</w:t>
      </w:r>
    </w:p>
    <w:p w:rsidR="000C6D0E" w:rsidRPr="000C6D0E" w:rsidRDefault="000C6D0E" w:rsidP="000C6D0E">
      <w:pPr>
        <w:pStyle w:val="Texto"/>
        <w:spacing w:after="0" w:line="240" w:lineRule="auto"/>
        <w:rPr>
          <w:rFonts w:ascii="Calibri" w:hAnsi="Calibri" w:cs="Calibri"/>
          <w:b/>
          <w:sz w:val="22"/>
          <w:szCs w:val="22"/>
        </w:rPr>
      </w:pPr>
    </w:p>
    <w:p w:rsidR="000C6D0E" w:rsidRPr="000C6D0E" w:rsidRDefault="000C6D0E" w:rsidP="000C6D0E">
      <w:pPr>
        <w:pStyle w:val="Prrafodelista"/>
        <w:spacing w:after="0" w:line="240" w:lineRule="auto"/>
        <w:ind w:left="1080"/>
        <w:rPr>
          <w:rFonts w:cs="Calibri"/>
          <w:lang w:val="es-ES"/>
        </w:rPr>
      </w:pPr>
      <w:r w:rsidRPr="000C6D0E">
        <w:rPr>
          <w:rFonts w:cs="Calibri"/>
          <w:lang w:val="es-ES"/>
        </w:rPr>
        <w:t>INGRESOS</w:t>
      </w:r>
    </w:p>
    <w:p w:rsidR="000C6D0E" w:rsidRPr="000C6D0E" w:rsidRDefault="000C6D0E" w:rsidP="000C6D0E">
      <w:pPr>
        <w:pStyle w:val="Prrafodelista"/>
        <w:spacing w:after="0" w:line="240" w:lineRule="auto"/>
        <w:ind w:left="1080"/>
        <w:rPr>
          <w:rFonts w:cs="Calibri"/>
          <w:lang w:val="es-ES"/>
        </w:rPr>
      </w:pPr>
    </w:p>
    <w:tbl>
      <w:tblPr>
        <w:tblW w:w="0" w:type="auto"/>
        <w:tblInd w:w="1413"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273"/>
        <w:gridCol w:w="2268"/>
      </w:tblGrid>
      <w:tr w:rsidR="000C6D0E" w:rsidRPr="000C6D0E" w:rsidTr="00BC3195">
        <w:tc>
          <w:tcPr>
            <w:tcW w:w="4273" w:type="dxa"/>
            <w:shd w:val="clear" w:color="auto" w:fill="AB0033"/>
          </w:tcPr>
          <w:p w:rsidR="000C6D0E" w:rsidRPr="000C6D0E" w:rsidRDefault="000C6D0E" w:rsidP="00BC3195">
            <w:pPr>
              <w:pStyle w:val="Prrafodelista"/>
              <w:tabs>
                <w:tab w:val="center" w:pos="4419"/>
                <w:tab w:val="right" w:pos="8838"/>
              </w:tabs>
              <w:spacing w:after="0" w:line="240" w:lineRule="auto"/>
              <w:ind w:left="0"/>
              <w:jc w:val="center"/>
              <w:rPr>
                <w:rFonts w:eastAsia="Times New Roman" w:cs="Calibri"/>
                <w:color w:val="FFFFFF"/>
                <w:lang w:val="es-ES"/>
              </w:rPr>
            </w:pPr>
            <w:r w:rsidRPr="000C6D0E">
              <w:rPr>
                <w:rFonts w:eastAsia="Times New Roman" w:cs="Calibri"/>
                <w:color w:val="FFFFFF"/>
                <w:lang w:val="es-ES"/>
              </w:rPr>
              <w:t>Concepto</w:t>
            </w:r>
          </w:p>
        </w:tc>
        <w:tc>
          <w:tcPr>
            <w:tcW w:w="2268" w:type="dxa"/>
            <w:shd w:val="clear" w:color="auto" w:fill="AB0033"/>
          </w:tcPr>
          <w:p w:rsidR="000C6D0E" w:rsidRPr="000C6D0E" w:rsidRDefault="000C6D0E" w:rsidP="00BC3195">
            <w:pPr>
              <w:pStyle w:val="Prrafodelista"/>
              <w:tabs>
                <w:tab w:val="center" w:pos="4419"/>
                <w:tab w:val="right" w:pos="8838"/>
              </w:tabs>
              <w:spacing w:after="0" w:line="240" w:lineRule="auto"/>
              <w:ind w:left="0"/>
              <w:jc w:val="center"/>
              <w:rPr>
                <w:rFonts w:eastAsia="Times New Roman" w:cs="Calibri"/>
                <w:bCs/>
                <w:color w:val="FFFFFF"/>
                <w:lang w:val="es-ES"/>
              </w:rPr>
            </w:pPr>
            <w:r w:rsidRPr="000C6D0E">
              <w:rPr>
                <w:rFonts w:eastAsia="Times New Roman" w:cs="Calibri"/>
                <w:bCs/>
                <w:color w:val="FFFFFF"/>
                <w:lang w:val="es-ES"/>
              </w:rPr>
              <w:t>Importe</w:t>
            </w:r>
          </w:p>
        </w:tc>
      </w:tr>
      <w:tr w:rsidR="000C6D0E" w:rsidRPr="000C6D0E" w:rsidTr="00BC3195">
        <w:tc>
          <w:tcPr>
            <w:tcW w:w="4273"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Ley de Ingresos Estimada</w:t>
            </w:r>
          </w:p>
        </w:tc>
        <w:tc>
          <w:tcPr>
            <w:tcW w:w="2268" w:type="dxa"/>
            <w:shd w:val="clear" w:color="auto" w:fill="auto"/>
          </w:tcPr>
          <w:p w:rsidR="000C6D0E" w:rsidRPr="000C6D0E" w:rsidRDefault="000C6D0E" w:rsidP="00BC3195">
            <w:pPr>
              <w:pStyle w:val="Prrafodelista"/>
              <w:tabs>
                <w:tab w:val="center" w:pos="4419"/>
                <w:tab w:val="right" w:pos="8838"/>
              </w:tabs>
              <w:spacing w:after="0" w:line="240" w:lineRule="auto"/>
              <w:jc w:val="right"/>
              <w:rPr>
                <w:rFonts w:cs="Calibri"/>
                <w:bCs/>
                <w:color w:val="000000"/>
                <w:highlight w:val="yellow"/>
              </w:rPr>
            </w:pPr>
            <w:r w:rsidRPr="000C6D0E">
              <w:rPr>
                <w:rFonts w:cs="Calibri"/>
                <w:bCs/>
                <w:color w:val="000000"/>
              </w:rPr>
              <w:t>7’650’764,155</w:t>
            </w:r>
          </w:p>
        </w:tc>
      </w:tr>
      <w:tr w:rsidR="000C6D0E" w:rsidRPr="000C6D0E" w:rsidTr="00BC3195">
        <w:tc>
          <w:tcPr>
            <w:tcW w:w="4273"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Ley de Ingresos por Ejecutar</w:t>
            </w:r>
          </w:p>
        </w:tc>
        <w:tc>
          <w:tcPr>
            <w:tcW w:w="2268" w:type="dxa"/>
            <w:shd w:val="clear" w:color="auto" w:fill="auto"/>
          </w:tcPr>
          <w:p w:rsidR="000C6D0E" w:rsidRPr="000C6D0E" w:rsidRDefault="000C6D0E" w:rsidP="00BC3195">
            <w:pPr>
              <w:pStyle w:val="Prrafodelista"/>
              <w:tabs>
                <w:tab w:val="center" w:pos="4419"/>
                <w:tab w:val="right" w:pos="8838"/>
              </w:tabs>
              <w:spacing w:after="0" w:line="240" w:lineRule="auto"/>
              <w:ind w:left="0"/>
              <w:jc w:val="right"/>
              <w:rPr>
                <w:rFonts w:cs="Calibri"/>
                <w:color w:val="000000"/>
                <w:highlight w:val="yellow"/>
                <w:lang w:val="es-ES"/>
              </w:rPr>
            </w:pPr>
            <w:r w:rsidRPr="000C6D0E">
              <w:rPr>
                <w:rFonts w:cs="Calibri"/>
                <w:color w:val="000000"/>
                <w:lang w:val="es-ES"/>
              </w:rPr>
              <w:t>240,890,715</w:t>
            </w:r>
          </w:p>
        </w:tc>
      </w:tr>
      <w:tr w:rsidR="000C6D0E" w:rsidRPr="000C6D0E" w:rsidTr="00BC3195">
        <w:tc>
          <w:tcPr>
            <w:tcW w:w="4273"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Modificaciones a la Ley de Ingresos Estimada</w:t>
            </w:r>
          </w:p>
        </w:tc>
        <w:tc>
          <w:tcPr>
            <w:tcW w:w="2268" w:type="dxa"/>
            <w:shd w:val="clear" w:color="auto" w:fill="auto"/>
          </w:tcPr>
          <w:p w:rsidR="000C6D0E" w:rsidRPr="000C6D0E" w:rsidRDefault="00606B96" w:rsidP="00BC3195">
            <w:pPr>
              <w:pStyle w:val="Prrafodelista"/>
              <w:tabs>
                <w:tab w:val="center" w:pos="4419"/>
                <w:tab w:val="right" w:pos="8838"/>
              </w:tabs>
              <w:spacing w:after="0" w:line="240" w:lineRule="auto"/>
              <w:jc w:val="right"/>
              <w:rPr>
                <w:rFonts w:cs="Calibri"/>
                <w:bCs/>
                <w:color w:val="000000"/>
              </w:rPr>
            </w:pPr>
            <w:r>
              <w:rPr>
                <w:rFonts w:cs="Calibri"/>
                <w:bCs/>
                <w:color w:val="000000"/>
              </w:rPr>
              <w:t>2’380’</w:t>
            </w:r>
            <w:r w:rsidR="000C6D0E" w:rsidRPr="000C6D0E">
              <w:rPr>
                <w:rFonts w:cs="Calibri"/>
                <w:bCs/>
                <w:color w:val="000000"/>
              </w:rPr>
              <w:t>881,473</w:t>
            </w:r>
          </w:p>
        </w:tc>
      </w:tr>
      <w:tr w:rsidR="000C6D0E" w:rsidRPr="000C6D0E" w:rsidTr="00BC3195">
        <w:tc>
          <w:tcPr>
            <w:tcW w:w="4273"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Ley de Ingresos Devengada</w:t>
            </w:r>
          </w:p>
        </w:tc>
        <w:tc>
          <w:tcPr>
            <w:tcW w:w="2268" w:type="dxa"/>
            <w:shd w:val="clear" w:color="auto" w:fill="auto"/>
          </w:tcPr>
          <w:p w:rsidR="000C6D0E" w:rsidRPr="000C6D0E" w:rsidRDefault="00606B96" w:rsidP="00BC3195">
            <w:pPr>
              <w:jc w:val="right"/>
              <w:rPr>
                <w:rFonts w:cs="Calibri"/>
                <w:bCs/>
                <w:color w:val="000000"/>
                <w:sz w:val="22"/>
                <w:szCs w:val="22"/>
              </w:rPr>
            </w:pPr>
            <w:r>
              <w:rPr>
                <w:rFonts w:cs="Calibri"/>
                <w:bCs/>
                <w:color w:val="000000"/>
                <w:sz w:val="22"/>
                <w:szCs w:val="22"/>
              </w:rPr>
              <w:t>9’790’</w:t>
            </w:r>
            <w:r w:rsidR="000C6D0E" w:rsidRPr="000C6D0E">
              <w:rPr>
                <w:rFonts w:cs="Calibri"/>
                <w:bCs/>
                <w:color w:val="000000"/>
                <w:sz w:val="22"/>
                <w:szCs w:val="22"/>
              </w:rPr>
              <w:t>754,913</w:t>
            </w:r>
          </w:p>
        </w:tc>
      </w:tr>
      <w:tr w:rsidR="000C6D0E" w:rsidRPr="000C6D0E" w:rsidTr="00BC3195">
        <w:tc>
          <w:tcPr>
            <w:tcW w:w="4273"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Ley de Ingresos Recaudada</w:t>
            </w:r>
          </w:p>
        </w:tc>
        <w:tc>
          <w:tcPr>
            <w:tcW w:w="2268"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color w:val="000000"/>
                <w:lang w:val="es-ES"/>
              </w:rPr>
            </w:pPr>
            <w:r>
              <w:rPr>
                <w:rFonts w:cs="Calibri"/>
                <w:bCs/>
                <w:color w:val="000000"/>
              </w:rPr>
              <w:t>9’790’</w:t>
            </w:r>
            <w:r w:rsidR="000C6D0E" w:rsidRPr="000C6D0E">
              <w:rPr>
                <w:rFonts w:cs="Calibri"/>
                <w:bCs/>
                <w:color w:val="000000"/>
              </w:rPr>
              <w:t>754,913</w:t>
            </w:r>
          </w:p>
        </w:tc>
      </w:tr>
    </w:tbl>
    <w:p w:rsidR="000C6D0E" w:rsidRPr="000C6D0E" w:rsidRDefault="000C6D0E" w:rsidP="000C6D0E">
      <w:pPr>
        <w:rPr>
          <w:rFonts w:cs="Calibri"/>
          <w:sz w:val="22"/>
          <w:szCs w:val="22"/>
          <w:lang w:val="es-ES"/>
        </w:rPr>
      </w:pPr>
    </w:p>
    <w:p w:rsidR="000C6D0E" w:rsidRPr="000C6D0E" w:rsidRDefault="000C6D0E" w:rsidP="000C6D0E">
      <w:pPr>
        <w:pStyle w:val="Prrafodelista"/>
        <w:spacing w:after="0" w:line="240" w:lineRule="auto"/>
        <w:ind w:left="1080"/>
        <w:rPr>
          <w:rFonts w:cs="Calibri"/>
          <w:lang w:val="es-ES"/>
        </w:rPr>
      </w:pPr>
      <w:r w:rsidRPr="000C6D0E">
        <w:rPr>
          <w:rFonts w:cs="Calibri"/>
          <w:lang w:val="es-ES"/>
        </w:rPr>
        <w:t>EGRESOS</w:t>
      </w:r>
    </w:p>
    <w:p w:rsidR="000C6D0E" w:rsidRPr="000C6D0E" w:rsidRDefault="000C6D0E" w:rsidP="000C6D0E">
      <w:pPr>
        <w:pStyle w:val="Prrafodelista"/>
        <w:spacing w:after="0" w:line="240" w:lineRule="auto"/>
        <w:ind w:left="1080"/>
        <w:rPr>
          <w:rFonts w:cs="Calibri"/>
          <w:lang w:val="es-ES"/>
        </w:rPr>
      </w:pPr>
    </w:p>
    <w:tbl>
      <w:tblPr>
        <w:tblW w:w="0" w:type="auto"/>
        <w:tblInd w:w="959"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999"/>
        <w:gridCol w:w="2139"/>
      </w:tblGrid>
      <w:tr w:rsidR="000C6D0E" w:rsidRPr="000C6D0E" w:rsidTr="00BC3195">
        <w:tc>
          <w:tcPr>
            <w:tcW w:w="4999" w:type="dxa"/>
            <w:shd w:val="clear" w:color="auto" w:fill="AB0033"/>
          </w:tcPr>
          <w:p w:rsidR="000C6D0E" w:rsidRPr="000C6D0E" w:rsidRDefault="000C6D0E" w:rsidP="00BC3195">
            <w:pPr>
              <w:pStyle w:val="Prrafodelista"/>
              <w:tabs>
                <w:tab w:val="center" w:pos="4419"/>
                <w:tab w:val="right" w:pos="8838"/>
              </w:tabs>
              <w:spacing w:after="0" w:line="240" w:lineRule="auto"/>
              <w:ind w:left="0"/>
              <w:jc w:val="center"/>
              <w:rPr>
                <w:rFonts w:eastAsia="Times New Roman" w:cs="Calibri"/>
                <w:color w:val="FFFFFF"/>
                <w:lang w:val="es-ES"/>
              </w:rPr>
            </w:pPr>
            <w:r w:rsidRPr="000C6D0E">
              <w:rPr>
                <w:rFonts w:eastAsia="Times New Roman" w:cs="Calibri"/>
                <w:color w:val="FFFFFF"/>
                <w:lang w:val="es-ES"/>
              </w:rPr>
              <w:t>Concepto</w:t>
            </w:r>
          </w:p>
        </w:tc>
        <w:tc>
          <w:tcPr>
            <w:tcW w:w="2139" w:type="dxa"/>
            <w:shd w:val="clear" w:color="auto" w:fill="AB0033"/>
          </w:tcPr>
          <w:p w:rsidR="000C6D0E" w:rsidRPr="000C6D0E" w:rsidRDefault="000C6D0E" w:rsidP="00BC3195">
            <w:pPr>
              <w:pStyle w:val="Prrafodelista"/>
              <w:tabs>
                <w:tab w:val="center" w:pos="4419"/>
                <w:tab w:val="right" w:pos="8838"/>
              </w:tabs>
              <w:spacing w:after="0" w:line="240" w:lineRule="auto"/>
              <w:ind w:left="0"/>
              <w:jc w:val="center"/>
              <w:rPr>
                <w:rFonts w:eastAsia="Times New Roman" w:cs="Calibri"/>
                <w:bCs/>
                <w:color w:val="FFFFFF"/>
                <w:lang w:val="es-ES"/>
              </w:rPr>
            </w:pPr>
            <w:r w:rsidRPr="000C6D0E">
              <w:rPr>
                <w:rFonts w:eastAsia="Times New Roman" w:cs="Calibri"/>
                <w:bCs/>
                <w:color w:val="FFFFFF"/>
                <w:lang w:val="es-ES"/>
              </w:rPr>
              <w:t>Importe</w:t>
            </w:r>
          </w:p>
        </w:tc>
      </w:tr>
      <w:tr w:rsidR="000C6D0E" w:rsidRPr="000C6D0E" w:rsidTr="00BC3195">
        <w:tc>
          <w:tcPr>
            <w:tcW w:w="4999" w:type="dxa"/>
            <w:shd w:val="clear" w:color="auto" w:fill="auto"/>
          </w:tcPr>
          <w:p w:rsidR="000C6D0E" w:rsidRPr="000C6D0E" w:rsidRDefault="000C6D0E" w:rsidP="00BC3195">
            <w:pPr>
              <w:pStyle w:val="Prrafodelista"/>
              <w:tabs>
                <w:tab w:val="center" w:pos="4419"/>
                <w:tab w:val="right" w:pos="8838"/>
              </w:tabs>
              <w:spacing w:after="0" w:line="240" w:lineRule="auto"/>
              <w:ind w:left="0"/>
              <w:rPr>
                <w:rFonts w:cs="Calibri"/>
                <w:bCs/>
                <w:color w:val="000000"/>
                <w:lang w:val="es-ES"/>
              </w:rPr>
            </w:pPr>
            <w:r w:rsidRPr="000C6D0E">
              <w:rPr>
                <w:rFonts w:cs="Calibri"/>
                <w:bCs/>
                <w:color w:val="000000"/>
                <w:lang w:val="es-ES"/>
              </w:rPr>
              <w:t>Presupuesto de Egresos Aprobado</w:t>
            </w:r>
          </w:p>
        </w:tc>
        <w:tc>
          <w:tcPr>
            <w:tcW w:w="2139" w:type="dxa"/>
            <w:shd w:val="clear" w:color="auto" w:fill="auto"/>
          </w:tcPr>
          <w:p w:rsidR="000C6D0E" w:rsidRPr="000C6D0E" w:rsidRDefault="000C6D0E" w:rsidP="00BC3195">
            <w:pPr>
              <w:pStyle w:val="Prrafodelista"/>
              <w:tabs>
                <w:tab w:val="center" w:pos="4419"/>
                <w:tab w:val="right" w:pos="8838"/>
              </w:tabs>
              <w:spacing w:after="0" w:line="240" w:lineRule="auto"/>
              <w:ind w:left="0"/>
              <w:jc w:val="right"/>
              <w:rPr>
                <w:rFonts w:cs="Calibri"/>
                <w:color w:val="000000"/>
                <w:highlight w:val="yellow"/>
                <w:lang w:val="es-ES"/>
              </w:rPr>
            </w:pPr>
            <w:r w:rsidRPr="000C6D0E">
              <w:rPr>
                <w:rFonts w:cs="Calibri"/>
                <w:color w:val="000000"/>
                <w:lang w:val="es-ES"/>
              </w:rPr>
              <w:t>7’650’764,155</w:t>
            </w:r>
          </w:p>
        </w:tc>
      </w:tr>
      <w:tr w:rsidR="000C6D0E" w:rsidRPr="000C6D0E" w:rsidTr="00BC3195">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Presupuesto de Egresos por Ejercer</w:t>
            </w:r>
          </w:p>
        </w:tc>
        <w:tc>
          <w:tcPr>
            <w:tcW w:w="2139" w:type="dxa"/>
            <w:shd w:val="clear" w:color="auto" w:fill="auto"/>
          </w:tcPr>
          <w:p w:rsidR="000C6D0E" w:rsidRPr="000C6D0E" w:rsidRDefault="000C6D0E" w:rsidP="00BC3195">
            <w:pPr>
              <w:pStyle w:val="Prrafodelista"/>
              <w:tabs>
                <w:tab w:val="center" w:pos="4419"/>
                <w:tab w:val="right" w:pos="8838"/>
              </w:tabs>
              <w:spacing w:after="0" w:line="240" w:lineRule="auto"/>
              <w:ind w:left="0"/>
              <w:jc w:val="right"/>
              <w:rPr>
                <w:rFonts w:cs="Calibri"/>
                <w:bCs/>
                <w:color w:val="000000"/>
                <w:highlight w:val="yellow"/>
              </w:rPr>
            </w:pPr>
            <w:r w:rsidRPr="000C6D0E">
              <w:rPr>
                <w:rFonts w:cs="Calibri"/>
                <w:bCs/>
                <w:color w:val="000000"/>
              </w:rPr>
              <w:t>84,613,279</w:t>
            </w:r>
          </w:p>
        </w:tc>
      </w:tr>
      <w:tr w:rsidR="000C6D0E" w:rsidRPr="000C6D0E" w:rsidTr="00BC3195">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Modificaciones al Presupuesto de Egresos Aprobado</w:t>
            </w:r>
          </w:p>
        </w:tc>
        <w:tc>
          <w:tcPr>
            <w:tcW w:w="2139"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bCs/>
                <w:color w:val="000000"/>
                <w:highlight w:val="yellow"/>
              </w:rPr>
            </w:pPr>
            <w:r>
              <w:rPr>
                <w:rFonts w:cs="Calibri"/>
                <w:bCs/>
                <w:color w:val="000000"/>
              </w:rPr>
              <w:t>3’136’</w:t>
            </w:r>
            <w:r w:rsidR="000C6D0E" w:rsidRPr="000C6D0E">
              <w:rPr>
                <w:rFonts w:cs="Calibri"/>
                <w:bCs/>
                <w:color w:val="000000"/>
              </w:rPr>
              <w:t>844,648</w:t>
            </w:r>
          </w:p>
        </w:tc>
      </w:tr>
      <w:tr w:rsidR="000C6D0E" w:rsidRPr="000C6D0E" w:rsidTr="00BC3195">
        <w:trPr>
          <w:trHeight w:val="125"/>
        </w:trPr>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Presupuesto de Egresos Comprometido</w:t>
            </w:r>
          </w:p>
        </w:tc>
        <w:tc>
          <w:tcPr>
            <w:tcW w:w="2139"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bCs/>
                <w:color w:val="000000"/>
                <w:highlight w:val="yellow"/>
              </w:rPr>
            </w:pPr>
            <w:r>
              <w:rPr>
                <w:rFonts w:cs="Calibri"/>
                <w:bCs/>
                <w:color w:val="000000"/>
              </w:rPr>
              <w:t>10’702’</w:t>
            </w:r>
            <w:r w:rsidR="000C6D0E" w:rsidRPr="000C6D0E">
              <w:rPr>
                <w:rFonts w:cs="Calibri"/>
                <w:bCs/>
                <w:color w:val="000000"/>
              </w:rPr>
              <w:t>995,525</w:t>
            </w:r>
          </w:p>
        </w:tc>
      </w:tr>
      <w:tr w:rsidR="000C6D0E" w:rsidRPr="000C6D0E" w:rsidTr="00BC3195">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Presupuesto de Egresos Devengado</w:t>
            </w:r>
          </w:p>
        </w:tc>
        <w:tc>
          <w:tcPr>
            <w:tcW w:w="2139"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bCs/>
                <w:color w:val="000000"/>
                <w:highlight w:val="yellow"/>
              </w:rPr>
            </w:pPr>
            <w:r>
              <w:rPr>
                <w:rFonts w:cs="Calibri"/>
                <w:bCs/>
                <w:color w:val="000000"/>
              </w:rPr>
              <w:t>10’578’</w:t>
            </w:r>
            <w:r w:rsidR="000C6D0E" w:rsidRPr="000C6D0E">
              <w:rPr>
                <w:rFonts w:cs="Calibri"/>
                <w:bCs/>
                <w:color w:val="000000"/>
              </w:rPr>
              <w:t>207,592</w:t>
            </w:r>
          </w:p>
        </w:tc>
      </w:tr>
      <w:tr w:rsidR="000C6D0E" w:rsidRPr="000C6D0E" w:rsidTr="00BC3195">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Presupuesto de Egresos Ejercido</w:t>
            </w:r>
          </w:p>
        </w:tc>
        <w:tc>
          <w:tcPr>
            <w:tcW w:w="2139"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bCs/>
                <w:color w:val="000000"/>
              </w:rPr>
            </w:pPr>
            <w:r>
              <w:rPr>
                <w:rFonts w:cs="Calibri"/>
                <w:bCs/>
                <w:color w:val="000000"/>
              </w:rPr>
              <w:t>9’511’</w:t>
            </w:r>
            <w:r w:rsidR="000C6D0E" w:rsidRPr="000C6D0E">
              <w:rPr>
                <w:rFonts w:cs="Calibri"/>
                <w:bCs/>
                <w:color w:val="000000"/>
              </w:rPr>
              <w:t>334,755</w:t>
            </w:r>
          </w:p>
        </w:tc>
      </w:tr>
      <w:tr w:rsidR="000C6D0E" w:rsidRPr="000C6D0E" w:rsidTr="00BC3195">
        <w:tc>
          <w:tcPr>
            <w:tcW w:w="4999" w:type="dxa"/>
            <w:shd w:val="clear" w:color="auto" w:fill="auto"/>
          </w:tcPr>
          <w:p w:rsidR="000C6D0E" w:rsidRPr="000C6D0E" w:rsidRDefault="000C6D0E" w:rsidP="00BC3195">
            <w:pPr>
              <w:tabs>
                <w:tab w:val="center" w:pos="4419"/>
                <w:tab w:val="right" w:pos="8838"/>
              </w:tabs>
              <w:rPr>
                <w:rFonts w:cs="Calibri"/>
                <w:bCs/>
                <w:color w:val="000000"/>
                <w:sz w:val="22"/>
                <w:szCs w:val="22"/>
                <w:lang w:val="es-ES"/>
              </w:rPr>
            </w:pPr>
            <w:r w:rsidRPr="000C6D0E">
              <w:rPr>
                <w:rFonts w:cs="Calibri"/>
                <w:bCs/>
                <w:color w:val="000000"/>
                <w:sz w:val="22"/>
                <w:szCs w:val="22"/>
                <w:lang w:val="es-ES"/>
              </w:rPr>
              <w:t>Presupuesto de Egresos Pagado</w:t>
            </w:r>
          </w:p>
        </w:tc>
        <w:tc>
          <w:tcPr>
            <w:tcW w:w="2139" w:type="dxa"/>
            <w:shd w:val="clear" w:color="auto" w:fill="auto"/>
          </w:tcPr>
          <w:p w:rsidR="000C6D0E" w:rsidRPr="000C6D0E" w:rsidRDefault="00606B96" w:rsidP="00BC3195">
            <w:pPr>
              <w:pStyle w:val="Prrafodelista"/>
              <w:tabs>
                <w:tab w:val="center" w:pos="4419"/>
                <w:tab w:val="right" w:pos="8838"/>
              </w:tabs>
              <w:spacing w:after="0" w:line="240" w:lineRule="auto"/>
              <w:ind w:left="0"/>
              <w:jc w:val="right"/>
              <w:rPr>
                <w:rFonts w:cs="Calibri"/>
                <w:bCs/>
                <w:color w:val="000000"/>
              </w:rPr>
            </w:pPr>
            <w:r>
              <w:rPr>
                <w:rFonts w:cs="Calibri"/>
                <w:bCs/>
                <w:color w:val="000000"/>
              </w:rPr>
              <w:t>9’511’</w:t>
            </w:r>
            <w:r w:rsidR="000C6D0E" w:rsidRPr="000C6D0E">
              <w:rPr>
                <w:rFonts w:cs="Calibri"/>
                <w:bCs/>
                <w:color w:val="000000"/>
              </w:rPr>
              <w:t>334,755</w:t>
            </w:r>
          </w:p>
        </w:tc>
      </w:tr>
    </w:tbl>
    <w:p w:rsidR="000C6D0E" w:rsidRPr="000C6D0E" w:rsidRDefault="000C6D0E" w:rsidP="000C6D0E">
      <w:pPr>
        <w:pStyle w:val="Texto"/>
        <w:spacing w:after="0" w:line="240" w:lineRule="auto"/>
        <w:ind w:firstLine="0"/>
        <w:rPr>
          <w:rFonts w:ascii="Calibri" w:hAnsi="Calibri" w:cs="Calibri"/>
          <w:sz w:val="22"/>
          <w:szCs w:val="22"/>
        </w:rPr>
      </w:pPr>
    </w:p>
    <w:p w:rsidR="000C6D0E" w:rsidRPr="000C6D0E" w:rsidRDefault="000C6D0E" w:rsidP="000C6D0E">
      <w:pPr>
        <w:jc w:val="both"/>
        <w:rPr>
          <w:rFonts w:cs="Calibri"/>
          <w:sz w:val="22"/>
          <w:szCs w:val="22"/>
          <w:lang w:val="es-ES"/>
        </w:rPr>
      </w:pPr>
    </w:p>
    <w:p w:rsidR="000C6D0E" w:rsidRPr="000C6D0E" w:rsidRDefault="000C6D0E" w:rsidP="000C6D0E">
      <w:pPr>
        <w:pStyle w:val="Texto"/>
        <w:spacing w:after="0" w:line="240" w:lineRule="auto"/>
        <w:ind w:firstLine="0"/>
        <w:rPr>
          <w:rFonts w:ascii="Calibri" w:hAnsi="Calibri" w:cs="Calibri"/>
          <w:sz w:val="22"/>
          <w:szCs w:val="22"/>
        </w:rPr>
      </w:pPr>
      <w:r w:rsidRPr="000C6D0E">
        <w:rPr>
          <w:rFonts w:ascii="Calibri" w:hAnsi="Calibri" w:cs="Calibri"/>
          <w:sz w:val="22"/>
          <w:szCs w:val="22"/>
        </w:rPr>
        <w:t>Bajo protesta de decir verdad declaramos que los Estados Financieros y sus Notas, son razonablemente correctos y son responsabilidad del emisor</w:t>
      </w:r>
    </w:p>
    <w:p w:rsidR="000C6D0E" w:rsidRPr="000C6D0E" w:rsidRDefault="000C6D0E" w:rsidP="000C6D0E">
      <w:pPr>
        <w:pStyle w:val="Texto"/>
        <w:spacing w:after="0" w:line="240" w:lineRule="auto"/>
        <w:ind w:firstLine="0"/>
        <w:rPr>
          <w:rFonts w:ascii="Calibri" w:hAnsi="Calibri" w:cs="Calibri"/>
          <w:sz w:val="22"/>
          <w:szCs w:val="22"/>
        </w:rPr>
      </w:pPr>
    </w:p>
    <w:p w:rsidR="000C6D0E" w:rsidRPr="00750099" w:rsidRDefault="000C6D0E" w:rsidP="000C6D0E">
      <w:pPr>
        <w:pStyle w:val="Texto"/>
        <w:spacing w:after="0" w:line="240" w:lineRule="auto"/>
        <w:ind w:firstLine="0"/>
        <w:rPr>
          <w:rFonts w:ascii="Encode Sans" w:hAnsi="Encode Sans" w:cs="DIN Pro Regular"/>
          <w:b/>
          <w:smallCaps/>
          <w:sz w:val="20"/>
        </w:rPr>
      </w:pPr>
    </w:p>
    <w:p w:rsidR="000C6D0E" w:rsidRDefault="000C6D0E" w:rsidP="000C6D0E">
      <w:pPr>
        <w:pStyle w:val="Texto"/>
        <w:spacing w:after="0" w:line="240" w:lineRule="auto"/>
        <w:ind w:firstLine="0"/>
        <w:rPr>
          <w:rFonts w:ascii="Encode Sans" w:hAnsi="Encode Sans" w:cs="DIN Pro Regular"/>
          <w:b/>
          <w:smallCaps/>
          <w:sz w:val="20"/>
          <w:lang w:val="es-MX"/>
        </w:rPr>
      </w:pPr>
      <w:r>
        <w:rPr>
          <w:rFonts w:ascii="Encode Sans" w:hAnsi="Encode Sans" w:cs="DIN Pro Regular"/>
          <w:sz w:val="20"/>
        </w:rPr>
        <w:tab/>
      </w:r>
    </w:p>
    <w:p w:rsidR="000C6D0E" w:rsidRDefault="000C6D0E" w:rsidP="000C6D0E">
      <w:pPr>
        <w:pStyle w:val="Texto"/>
        <w:spacing w:after="0" w:line="240" w:lineRule="auto"/>
        <w:ind w:firstLine="0"/>
        <w:rPr>
          <w:rFonts w:ascii="Encode Sans" w:hAnsi="Encode Sans" w:cs="DIN Pro Regular"/>
          <w:b/>
          <w:smallCaps/>
          <w:sz w:val="20"/>
          <w:lang w:val="es-MX"/>
        </w:rPr>
      </w:pPr>
    </w:p>
    <w:p w:rsidR="000C6D0E" w:rsidRDefault="000C6D0E" w:rsidP="000C6D0E">
      <w:pPr>
        <w:pStyle w:val="Texto"/>
        <w:spacing w:after="0" w:line="240" w:lineRule="auto"/>
        <w:ind w:firstLine="0"/>
        <w:rPr>
          <w:rFonts w:ascii="Encode Sans" w:hAnsi="Encode Sans" w:cs="DIN Pro Regular"/>
          <w:b/>
          <w:smallCaps/>
          <w:sz w:val="20"/>
          <w:lang w:val="es-MX"/>
        </w:rPr>
      </w:pPr>
    </w:p>
    <w:p w:rsidR="000C6D0E" w:rsidRPr="00750099" w:rsidRDefault="000C6D0E" w:rsidP="000C6D0E">
      <w:pPr>
        <w:pStyle w:val="Texto"/>
        <w:spacing w:after="0" w:line="240" w:lineRule="auto"/>
        <w:ind w:firstLine="0"/>
        <w:rPr>
          <w:rFonts w:ascii="Encode Sans" w:hAnsi="Encode Sans" w:cs="DIN Pro Regular"/>
          <w:b/>
          <w:smallCaps/>
          <w:sz w:val="20"/>
          <w:lang w:val="es-MX"/>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Default="000C6D0E" w:rsidP="000C6D0E">
      <w:pPr>
        <w:rPr>
          <w:rFonts w:ascii="Encode Sans" w:hAnsi="Encode Sans" w:cs="DIN Pro Regular"/>
          <w:b/>
        </w:rPr>
      </w:pPr>
    </w:p>
    <w:p w:rsidR="000C6D0E" w:rsidRPr="00B96DEF" w:rsidRDefault="000C6D0E" w:rsidP="000C6D0E">
      <w:pPr>
        <w:tabs>
          <w:tab w:val="left" w:pos="2915"/>
        </w:tabs>
        <w:rPr>
          <w:rFonts w:ascii="Encode Sans" w:eastAsia="Times New Roman" w:hAnsi="Encode Sans" w:cs="DIN Pro Regular"/>
          <w:lang w:val="es-ES" w:eastAsia="es-ES"/>
        </w:rPr>
      </w:pPr>
    </w:p>
    <w:p w:rsidR="00B054E2" w:rsidRPr="00B054E2" w:rsidRDefault="00B054E2" w:rsidP="00B054E2">
      <w:pPr>
        <w:tabs>
          <w:tab w:val="left" w:pos="7565"/>
        </w:tabs>
        <w:rPr>
          <w:rFonts w:ascii="Encode Sans" w:eastAsia="Times New Roman" w:hAnsi="Encode Sans" w:cs="Arial"/>
          <w:lang w:val="es-ES" w:eastAsia="es-ES"/>
        </w:rPr>
      </w:pPr>
    </w:p>
    <w:sectPr w:rsidR="00B054E2" w:rsidRPr="00B054E2">
      <w:headerReference w:type="default" r:id="rId14"/>
      <w:footerReference w:type="default" r:id="rId15"/>
      <w:pgSz w:w="12240" w:h="15840"/>
      <w:pgMar w:top="1701" w:right="1440" w:bottom="1077" w:left="1440" w:header="45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E9F" w:rsidRDefault="00710E9F">
      <w:r>
        <w:separator/>
      </w:r>
    </w:p>
  </w:endnote>
  <w:endnote w:type="continuationSeparator" w:id="0">
    <w:p w:rsidR="00710E9F" w:rsidRDefault="0071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DIN Pro Regular">
    <w:altName w:val="Arial"/>
    <w:charset w:val="00"/>
    <w:family w:val="swiss"/>
    <w:pitch w:val="variable"/>
    <w:sig w:usb0="A00002BF" w:usb1="4000207B" w:usb2="00000008"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95" w:rsidRDefault="00BC3195">
    <w:pPr>
      <w:pStyle w:val="Piedepgina"/>
      <w:jc w:val="center"/>
    </w:pPr>
    <w:r>
      <w:rPr>
        <w:noProof/>
        <w:lang w:eastAsia="es-MX"/>
      </w:rPr>
      <mc:AlternateContent>
        <mc:Choice Requires="wps">
          <w:drawing>
            <wp:anchor distT="0" distB="0" distL="114300" distR="114300" simplePos="0" relativeHeight="251663360" behindDoc="1" locked="0" layoutInCell="1" allowOverlap="1" wp14:anchorId="4D9DD2C6" wp14:editId="3AABE114">
              <wp:simplePos x="0" y="0"/>
              <wp:positionH relativeFrom="column">
                <wp:posOffset>4315</wp:posOffset>
              </wp:positionH>
              <wp:positionV relativeFrom="paragraph">
                <wp:posOffset>-55796</wp:posOffset>
              </wp:positionV>
              <wp:extent cx="6191888" cy="0"/>
              <wp:effectExtent l="0" t="0" r="18412" b="19050"/>
              <wp:wrapNone/>
              <wp:docPr id="4" name="Conector recto 12"/>
              <wp:cNvGraphicFramePr/>
              <a:graphic xmlns:a="http://schemas.openxmlformats.org/drawingml/2006/main">
                <a:graphicData uri="http://schemas.microsoft.com/office/word/2010/wordprocessingShape">
                  <wps:wsp>
                    <wps:cNvCnPr/>
                    <wps:spPr>
                      <a:xfrm>
                        <a:off x="0" y="0"/>
                        <a:ext cx="6191888" cy="0"/>
                      </a:xfrm>
                      <a:prstGeom prst="straightConnector1">
                        <a:avLst/>
                      </a:prstGeom>
                      <a:noFill/>
                      <a:ln w="25557">
                        <a:solidFill>
                          <a:srgbClr val="BC955C"/>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Conector recto 12" o:spid="_x0000_s1026" type="#_x0000_t32" style="position:absolute;margin-left:.35pt;margin-top:-4.4pt;width:487.5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" strokecolor="#bc955c" strokeweight=".70992mm">
              <v:stroke joinstyle="miter"/>
            </v:shape>
          </w:pict>
        </mc:Fallback>
      </mc:AlternateContent>
    </w:r>
    <w:r>
      <w:rPr>
        <w:rFonts w:ascii="Helvetica" w:hAnsi="Helvetica" w:cs="Arial"/>
      </w:rPr>
      <w:t xml:space="preserve">Contable / </w:t>
    </w:r>
    <w:r>
      <w:rPr>
        <w:rFonts w:ascii="Helvetica" w:hAnsi="Helvetica" w:cs="Arial"/>
      </w:rPr>
      <w:fldChar w:fldCharType="begin"/>
    </w:r>
    <w:r>
      <w:rPr>
        <w:rFonts w:ascii="Helvetica" w:hAnsi="Helvetica" w:cs="Arial"/>
      </w:rPr>
      <w:instrText xml:space="preserve"> PAGE </w:instrText>
    </w:r>
    <w:r>
      <w:rPr>
        <w:rFonts w:ascii="Helvetica" w:hAnsi="Helvetica" w:cs="Arial"/>
      </w:rPr>
      <w:fldChar w:fldCharType="separate"/>
    </w:r>
    <w:r w:rsidR="00C608E4">
      <w:rPr>
        <w:rFonts w:ascii="Helvetica" w:hAnsi="Helvetica" w:cs="Arial"/>
        <w:noProof/>
      </w:rPr>
      <w:t>1</w:t>
    </w:r>
    <w:r>
      <w:rPr>
        <w:rFonts w:ascii="Helvetica" w:hAnsi="Helvetica"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E9F" w:rsidRDefault="00710E9F">
      <w:r>
        <w:rPr>
          <w:color w:val="000000"/>
        </w:rPr>
        <w:separator/>
      </w:r>
    </w:p>
  </w:footnote>
  <w:footnote w:type="continuationSeparator" w:id="0">
    <w:p w:rsidR="00710E9F" w:rsidRDefault="00710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195" w:rsidRDefault="00BC3195">
    <w:pPr>
      <w:pStyle w:val="Encabezado"/>
      <w:tabs>
        <w:tab w:val="clear" w:pos="8838"/>
        <w:tab w:val="left" w:pos="7965"/>
      </w:tabs>
    </w:pPr>
    <w:r>
      <w:rPr>
        <w:noProof/>
        <w:lang w:eastAsia="es-MX"/>
      </w:rPr>
      <w:drawing>
        <wp:anchor distT="0" distB="0" distL="114300" distR="114300" simplePos="0" relativeHeight="251664384" behindDoc="0" locked="0" layoutInCell="1" allowOverlap="1" wp14:anchorId="2EBC924B" wp14:editId="13451FF7">
          <wp:simplePos x="0" y="0"/>
          <wp:positionH relativeFrom="margin">
            <wp:posOffset>5319395</wp:posOffset>
          </wp:positionH>
          <wp:positionV relativeFrom="margin">
            <wp:posOffset>-855345</wp:posOffset>
          </wp:positionV>
          <wp:extent cx="1238885" cy="400050"/>
          <wp:effectExtent l="0" t="0" r="0" b="0"/>
          <wp:wrapSquare wrapText="bothSides"/>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8885" cy="400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MX"/>
      </w:rPr>
      <w:drawing>
        <wp:anchor distT="0" distB="0" distL="114300" distR="114300" simplePos="0" relativeHeight="251659264" behindDoc="0" locked="0" layoutInCell="1" allowOverlap="1" wp14:anchorId="5DE7FC9A" wp14:editId="27D290CA">
          <wp:simplePos x="0" y="0"/>
          <wp:positionH relativeFrom="column">
            <wp:posOffset>-463550</wp:posOffset>
          </wp:positionH>
          <wp:positionV relativeFrom="paragraph">
            <wp:posOffset>-171450</wp:posOffset>
          </wp:positionV>
          <wp:extent cx="1215390" cy="567055"/>
          <wp:effectExtent l="0" t="0" r="3810" b="4445"/>
          <wp:wrapTopAndBottom/>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215390" cy="567055"/>
                  </a:xfrm>
                  <a:prstGeom prst="rect">
                    <a:avLst/>
                  </a:prstGeom>
                  <a:noFill/>
                  <a:ln>
                    <a:noFill/>
                    <a:prstDash/>
                  </a:ln>
                </pic:spPr>
              </pic:pic>
            </a:graphicData>
          </a:graphic>
        </wp:anchor>
      </w:drawing>
    </w:r>
  </w:p>
  <w:p w:rsidR="00BC3195" w:rsidRDefault="00BC3195">
    <w:pPr>
      <w:pStyle w:val="Encabezado"/>
      <w:tabs>
        <w:tab w:val="clear" w:pos="8838"/>
        <w:tab w:val="left" w:pos="7965"/>
      </w:tabs>
      <w:jc w:val="center"/>
    </w:pPr>
    <w:r>
      <w:rPr>
        <w:b/>
        <w:noProof/>
        <w:sz w:val="24"/>
        <w:szCs w:val="24"/>
        <w:lang w:eastAsia="es-MX"/>
      </w:rPr>
      <mc:AlternateContent>
        <mc:Choice Requires="wps">
          <w:drawing>
            <wp:anchor distT="0" distB="0" distL="114300" distR="114300" simplePos="0" relativeHeight="251660288" behindDoc="1" locked="0" layoutInCell="1" allowOverlap="1" wp14:anchorId="54095DFD" wp14:editId="06678D21">
              <wp:simplePos x="0" y="0"/>
              <wp:positionH relativeFrom="column">
                <wp:posOffset>33174</wp:posOffset>
              </wp:positionH>
              <wp:positionV relativeFrom="paragraph">
                <wp:posOffset>293586</wp:posOffset>
              </wp:positionV>
              <wp:extent cx="6191887" cy="0"/>
              <wp:effectExtent l="0" t="0" r="18413" b="19050"/>
              <wp:wrapNone/>
              <wp:docPr id="3" name="Conector recto 12"/>
              <wp:cNvGraphicFramePr/>
              <a:graphic xmlns:a="http://schemas.openxmlformats.org/drawingml/2006/main">
                <a:graphicData uri="http://schemas.microsoft.com/office/word/2010/wordprocessingShape">
                  <wps:wsp>
                    <wps:cNvCnPr/>
                    <wps:spPr>
                      <a:xfrm>
                        <a:off x="0" y="0"/>
                        <a:ext cx="6191887" cy="0"/>
                      </a:xfrm>
                      <a:prstGeom prst="straightConnector1">
                        <a:avLst/>
                      </a:prstGeom>
                      <a:noFill/>
                      <a:ln w="25557">
                        <a:solidFill>
                          <a:srgbClr val="BC955C"/>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Conector recto 12" o:spid="_x0000_s1026" type="#_x0000_t32" style="position:absolute;margin-left:2.6pt;margin-top:23.1pt;width:487.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" strokecolor="#bc955c" strokeweight=".70992mm">
              <v:stroke joinstyle="miter"/>
            </v:shape>
          </w:pict>
        </mc:Fallback>
      </mc:AlternateContent>
    </w:r>
    <w:r>
      <w:rPr>
        <w:b/>
        <w:sz w:val="24"/>
        <w:szCs w:val="24"/>
        <w:lang w:eastAsia="es-MX"/>
      </w:rPr>
      <w:t>Servicios de Salud de Tamaulipas</w:t>
    </w:r>
    <w:r>
      <w:rPr>
        <w:rFonts w:ascii="Encode Sans" w:hAnsi="Encode Sans" w:cs="Arial"/>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4D2A52"/>
    <w:multiLevelType w:val="hybridMultilevel"/>
    <w:tmpl w:val="E4926B6E"/>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4ED3AA4"/>
    <w:multiLevelType w:val="multilevel"/>
    <w:tmpl w:val="CAEEC098"/>
    <w:styleLink w:val="WWNum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5DF485A"/>
    <w:multiLevelType w:val="hybridMultilevel"/>
    <w:tmpl w:val="ECA2AA26"/>
    <w:lvl w:ilvl="0" w:tplc="28546F74">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E566FB"/>
    <w:multiLevelType w:val="hybridMultilevel"/>
    <w:tmpl w:val="5EF6565C"/>
    <w:lvl w:ilvl="0" w:tplc="85C09A20">
      <w:start w:val="1"/>
      <w:numFmt w:val="lowerLetter"/>
      <w:lvlText w:val="%1)"/>
      <w:lvlJc w:val="left"/>
      <w:pPr>
        <w:ind w:left="984" w:hanging="360"/>
      </w:pPr>
      <w:rPr>
        <w:rFonts w:ascii="Encode Sans" w:hAnsi="Encode Sans" w:cs="Arial" w:hint="default"/>
        <w:b w:val="0"/>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7">
    <w:nsid w:val="1B6B067E"/>
    <w:multiLevelType w:val="hybridMultilevel"/>
    <w:tmpl w:val="907439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23AF3324"/>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529504E"/>
    <w:multiLevelType w:val="hybridMultilevel"/>
    <w:tmpl w:val="F88E18B8"/>
    <w:lvl w:ilvl="0" w:tplc="D4A67146">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68390B"/>
    <w:multiLevelType w:val="hybridMultilevel"/>
    <w:tmpl w:val="495A5420"/>
    <w:lvl w:ilvl="0" w:tplc="A59492B8">
      <w:start w:val="1"/>
      <w:numFmt w:val="lowerLetter"/>
      <w:lvlText w:val="%1)"/>
      <w:lvlJc w:val="left"/>
      <w:pPr>
        <w:ind w:left="984" w:hanging="360"/>
      </w:pPr>
      <w:rPr>
        <w:rFonts w:hint="default"/>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13">
    <w:nsid w:val="30ED3BEC"/>
    <w:multiLevelType w:val="hybridMultilevel"/>
    <w:tmpl w:val="F88E18B8"/>
    <w:lvl w:ilvl="0" w:tplc="D4A67146">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31EE3786"/>
    <w:multiLevelType w:val="hybridMultilevel"/>
    <w:tmpl w:val="78C0C014"/>
    <w:lvl w:ilvl="0" w:tplc="59C44036">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4F840D4"/>
    <w:multiLevelType w:val="hybridMultilevel"/>
    <w:tmpl w:val="8EA616CE"/>
    <w:lvl w:ilvl="0" w:tplc="1E46CB58">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92A439A"/>
    <w:multiLevelType w:val="hybridMultilevel"/>
    <w:tmpl w:val="5B6A8C10"/>
    <w:lvl w:ilvl="0" w:tplc="48C630C6">
      <w:start w:val="2"/>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26086C"/>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E88283F"/>
    <w:multiLevelType w:val="hybridMultilevel"/>
    <w:tmpl w:val="3D425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254AA7"/>
    <w:multiLevelType w:val="hybridMultilevel"/>
    <w:tmpl w:val="D28E47A4"/>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2515161"/>
    <w:multiLevelType w:val="multilevel"/>
    <w:tmpl w:val="588C5D0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4">
    <w:nsid w:val="44CA2FDE"/>
    <w:multiLevelType w:val="hybridMultilevel"/>
    <w:tmpl w:val="41E6A9EC"/>
    <w:lvl w:ilvl="0" w:tplc="C08C6E58">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B5115B"/>
    <w:multiLevelType w:val="hybridMultilevel"/>
    <w:tmpl w:val="541AB8F0"/>
    <w:lvl w:ilvl="0" w:tplc="431C0C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nsid w:val="4D310B2C"/>
    <w:multiLevelType w:val="hybridMultilevel"/>
    <w:tmpl w:val="453ED6B0"/>
    <w:lvl w:ilvl="0" w:tplc="96966D48">
      <w:start w:val="1"/>
      <w:numFmt w:val="lowerLetter"/>
      <w:lvlText w:val="%1)"/>
      <w:lvlJc w:val="left"/>
      <w:pPr>
        <w:ind w:left="1429" w:hanging="360"/>
      </w:pPr>
      <w:rPr>
        <w:sz w:val="2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nsid w:val="4EA01F4E"/>
    <w:multiLevelType w:val="hybridMultilevel"/>
    <w:tmpl w:val="5706DF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4F0E0339"/>
    <w:multiLevelType w:val="hybridMultilevel"/>
    <w:tmpl w:val="A7F4B7B0"/>
    <w:lvl w:ilvl="0" w:tplc="BEA41F0E">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D241DE"/>
    <w:multiLevelType w:val="multilevel"/>
    <w:tmpl w:val="293AF32C"/>
    <w:lvl w:ilvl="0">
      <w:numFmt w:val="bullet"/>
      <w:lvlText w:val=""/>
      <w:lvlJc w:val="left"/>
      <w:pPr>
        <w:ind w:left="1429"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51945611"/>
    <w:multiLevelType w:val="multilevel"/>
    <w:tmpl w:val="08AE6C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559F703C"/>
    <w:multiLevelType w:val="hybridMultilevel"/>
    <w:tmpl w:val="D28E47A4"/>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55F02B81"/>
    <w:multiLevelType w:val="multilevel"/>
    <w:tmpl w:val="65944F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5BD53DB4"/>
    <w:multiLevelType w:val="hybridMultilevel"/>
    <w:tmpl w:val="549659FE"/>
    <w:lvl w:ilvl="0" w:tplc="080A0001">
      <w:start w:val="1"/>
      <w:numFmt w:val="bullet"/>
      <w:lvlText w:val=""/>
      <w:lvlJc w:val="left"/>
      <w:pPr>
        <w:ind w:left="1486" w:hanging="360"/>
      </w:pPr>
      <w:rPr>
        <w:rFonts w:ascii="Symbol" w:hAnsi="Symbol" w:hint="default"/>
      </w:rPr>
    </w:lvl>
    <w:lvl w:ilvl="1" w:tplc="080A0003" w:tentative="1">
      <w:start w:val="1"/>
      <w:numFmt w:val="bullet"/>
      <w:lvlText w:val="o"/>
      <w:lvlJc w:val="left"/>
      <w:pPr>
        <w:ind w:left="2206" w:hanging="360"/>
      </w:pPr>
      <w:rPr>
        <w:rFonts w:ascii="Courier New" w:hAnsi="Courier New" w:cs="Courier New" w:hint="default"/>
      </w:rPr>
    </w:lvl>
    <w:lvl w:ilvl="2" w:tplc="080A0005" w:tentative="1">
      <w:start w:val="1"/>
      <w:numFmt w:val="bullet"/>
      <w:lvlText w:val=""/>
      <w:lvlJc w:val="left"/>
      <w:pPr>
        <w:ind w:left="2926" w:hanging="360"/>
      </w:pPr>
      <w:rPr>
        <w:rFonts w:ascii="Wingdings" w:hAnsi="Wingdings" w:hint="default"/>
      </w:rPr>
    </w:lvl>
    <w:lvl w:ilvl="3" w:tplc="080A0001" w:tentative="1">
      <w:start w:val="1"/>
      <w:numFmt w:val="bullet"/>
      <w:lvlText w:val=""/>
      <w:lvlJc w:val="left"/>
      <w:pPr>
        <w:ind w:left="3646" w:hanging="360"/>
      </w:pPr>
      <w:rPr>
        <w:rFonts w:ascii="Symbol" w:hAnsi="Symbol" w:hint="default"/>
      </w:rPr>
    </w:lvl>
    <w:lvl w:ilvl="4" w:tplc="080A0003" w:tentative="1">
      <w:start w:val="1"/>
      <w:numFmt w:val="bullet"/>
      <w:lvlText w:val="o"/>
      <w:lvlJc w:val="left"/>
      <w:pPr>
        <w:ind w:left="4366" w:hanging="360"/>
      </w:pPr>
      <w:rPr>
        <w:rFonts w:ascii="Courier New" w:hAnsi="Courier New" w:cs="Courier New" w:hint="default"/>
      </w:rPr>
    </w:lvl>
    <w:lvl w:ilvl="5" w:tplc="080A0005" w:tentative="1">
      <w:start w:val="1"/>
      <w:numFmt w:val="bullet"/>
      <w:lvlText w:val=""/>
      <w:lvlJc w:val="left"/>
      <w:pPr>
        <w:ind w:left="5086" w:hanging="360"/>
      </w:pPr>
      <w:rPr>
        <w:rFonts w:ascii="Wingdings" w:hAnsi="Wingdings" w:hint="default"/>
      </w:rPr>
    </w:lvl>
    <w:lvl w:ilvl="6" w:tplc="080A0001" w:tentative="1">
      <w:start w:val="1"/>
      <w:numFmt w:val="bullet"/>
      <w:lvlText w:val=""/>
      <w:lvlJc w:val="left"/>
      <w:pPr>
        <w:ind w:left="5806" w:hanging="360"/>
      </w:pPr>
      <w:rPr>
        <w:rFonts w:ascii="Symbol" w:hAnsi="Symbol" w:hint="default"/>
      </w:rPr>
    </w:lvl>
    <w:lvl w:ilvl="7" w:tplc="080A0003" w:tentative="1">
      <w:start w:val="1"/>
      <w:numFmt w:val="bullet"/>
      <w:lvlText w:val="o"/>
      <w:lvlJc w:val="left"/>
      <w:pPr>
        <w:ind w:left="6526" w:hanging="360"/>
      </w:pPr>
      <w:rPr>
        <w:rFonts w:ascii="Courier New" w:hAnsi="Courier New" w:cs="Courier New" w:hint="default"/>
      </w:rPr>
    </w:lvl>
    <w:lvl w:ilvl="8" w:tplc="080A0005" w:tentative="1">
      <w:start w:val="1"/>
      <w:numFmt w:val="bullet"/>
      <w:lvlText w:val=""/>
      <w:lvlJc w:val="left"/>
      <w:pPr>
        <w:ind w:left="7246" w:hanging="360"/>
      </w:pPr>
      <w:rPr>
        <w:rFonts w:ascii="Wingdings" w:hAnsi="Wingdings" w:hint="default"/>
      </w:rPr>
    </w:lvl>
  </w:abstractNum>
  <w:abstractNum w:abstractNumId="34">
    <w:nsid w:val="64460D07"/>
    <w:multiLevelType w:val="multilevel"/>
    <w:tmpl w:val="E2F6BC28"/>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5">
    <w:nsid w:val="67712097"/>
    <w:multiLevelType w:val="hybridMultilevel"/>
    <w:tmpl w:val="DE748D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8A25BB3"/>
    <w:multiLevelType w:val="hybridMultilevel"/>
    <w:tmpl w:val="40E63352"/>
    <w:lvl w:ilvl="0" w:tplc="9D541BDA">
      <w:start w:val="10"/>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0B361E"/>
    <w:multiLevelType w:val="multilevel"/>
    <w:tmpl w:val="B540E582"/>
    <w:lvl w:ilvl="0">
      <w:start w:val="1"/>
      <w:numFmt w:val="decimal"/>
      <w:lvlText w:val="%1."/>
      <w:lvlJc w:val="left"/>
      <w:pPr>
        <w:ind w:left="708" w:hanging="420"/>
      </w:p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8">
    <w:nsid w:val="6C6F2CE7"/>
    <w:multiLevelType w:val="multilevel"/>
    <w:tmpl w:val="C4C2BD0E"/>
    <w:styleLink w:val="WWNum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6D036D5C"/>
    <w:multiLevelType w:val="hybridMultilevel"/>
    <w:tmpl w:val="7D86E8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nsid w:val="73BA70C9"/>
    <w:multiLevelType w:val="multilevel"/>
    <w:tmpl w:val="325EA270"/>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nsid w:val="75D2542B"/>
    <w:multiLevelType w:val="hybridMultilevel"/>
    <w:tmpl w:val="9ABCCDE4"/>
    <w:lvl w:ilvl="0" w:tplc="9852049A">
      <w:start w:val="13"/>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121DFD"/>
    <w:multiLevelType w:val="multilevel"/>
    <w:tmpl w:val="39FA9C26"/>
    <w:styleLink w:val="WWNum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7E026AD9"/>
    <w:multiLevelType w:val="hybridMultilevel"/>
    <w:tmpl w:val="3D425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2"/>
  </w:num>
  <w:num w:numId="3">
    <w:abstractNumId w:val="42"/>
  </w:num>
  <w:num w:numId="4">
    <w:abstractNumId w:val="38"/>
  </w:num>
  <w:num w:numId="5">
    <w:abstractNumId w:val="37"/>
  </w:num>
  <w:num w:numId="6">
    <w:abstractNumId w:val="34"/>
  </w:num>
  <w:num w:numId="7">
    <w:abstractNumId w:val="23"/>
  </w:num>
  <w:num w:numId="8">
    <w:abstractNumId w:val="29"/>
  </w:num>
  <w:num w:numId="9">
    <w:abstractNumId w:val="32"/>
  </w:num>
  <w:num w:numId="10">
    <w:abstractNumId w:val="25"/>
  </w:num>
  <w:num w:numId="11">
    <w:abstractNumId w:val="27"/>
  </w:num>
  <w:num w:numId="12">
    <w:abstractNumId w:val="33"/>
  </w:num>
  <w:num w:numId="13">
    <w:abstractNumId w:val="10"/>
  </w:num>
  <w:num w:numId="14">
    <w:abstractNumId w:val="30"/>
  </w:num>
  <w:num w:numId="15">
    <w:abstractNumId w:val="0"/>
  </w:num>
  <w:num w:numId="16">
    <w:abstractNumId w:val="4"/>
  </w:num>
  <w:num w:numId="17">
    <w:abstractNumId w:val="17"/>
  </w:num>
  <w:num w:numId="18">
    <w:abstractNumId w:val="11"/>
  </w:num>
  <w:num w:numId="19">
    <w:abstractNumId w:val="3"/>
  </w:num>
  <w:num w:numId="20">
    <w:abstractNumId w:val="8"/>
  </w:num>
  <w:num w:numId="21">
    <w:abstractNumId w:val="18"/>
  </w:num>
  <w:num w:numId="22">
    <w:abstractNumId w:val="16"/>
  </w:num>
  <w:num w:numId="23">
    <w:abstractNumId w:val="14"/>
  </w:num>
  <w:num w:numId="24">
    <w:abstractNumId w:val="22"/>
  </w:num>
  <w:num w:numId="25">
    <w:abstractNumId w:val="20"/>
  </w:num>
  <w:num w:numId="26">
    <w:abstractNumId w:val="28"/>
  </w:num>
  <w:num w:numId="27">
    <w:abstractNumId w:val="5"/>
  </w:num>
  <w:num w:numId="28">
    <w:abstractNumId w:val="19"/>
  </w:num>
  <w:num w:numId="29">
    <w:abstractNumId w:val="24"/>
  </w:num>
  <w:num w:numId="30">
    <w:abstractNumId w:val="26"/>
  </w:num>
  <w:num w:numId="31">
    <w:abstractNumId w:val="39"/>
  </w:num>
  <w:num w:numId="32">
    <w:abstractNumId w:val="7"/>
  </w:num>
  <w:num w:numId="33">
    <w:abstractNumId w:val="36"/>
  </w:num>
  <w:num w:numId="34">
    <w:abstractNumId w:val="41"/>
  </w:num>
  <w:num w:numId="35">
    <w:abstractNumId w:val="9"/>
  </w:num>
  <w:num w:numId="36">
    <w:abstractNumId w:val="12"/>
  </w:num>
  <w:num w:numId="37">
    <w:abstractNumId w:val="6"/>
  </w:num>
  <w:num w:numId="38">
    <w:abstractNumId w:val="1"/>
  </w:num>
  <w:num w:numId="39">
    <w:abstractNumId w:val="31"/>
  </w:num>
  <w:num w:numId="40">
    <w:abstractNumId w:val="35"/>
  </w:num>
  <w:num w:numId="41">
    <w:abstractNumId w:val="21"/>
  </w:num>
  <w:num w:numId="42">
    <w:abstractNumId w:val="15"/>
  </w:num>
  <w:num w:numId="43">
    <w:abstractNumId w:val="1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753C4"/>
    <w:rsid w:val="00041BA3"/>
    <w:rsid w:val="0005475A"/>
    <w:rsid w:val="00061687"/>
    <w:rsid w:val="000C6D0E"/>
    <w:rsid w:val="001150C3"/>
    <w:rsid w:val="0019468C"/>
    <w:rsid w:val="001D1B14"/>
    <w:rsid w:val="001D714E"/>
    <w:rsid w:val="001E2392"/>
    <w:rsid w:val="001F4FC0"/>
    <w:rsid w:val="00221680"/>
    <w:rsid w:val="0023791E"/>
    <w:rsid w:val="00356EEF"/>
    <w:rsid w:val="00395F77"/>
    <w:rsid w:val="003A56B6"/>
    <w:rsid w:val="003C606A"/>
    <w:rsid w:val="00421DDE"/>
    <w:rsid w:val="00427E1A"/>
    <w:rsid w:val="00466258"/>
    <w:rsid w:val="004B564C"/>
    <w:rsid w:val="00505741"/>
    <w:rsid w:val="0051607F"/>
    <w:rsid w:val="005744BD"/>
    <w:rsid w:val="00590318"/>
    <w:rsid w:val="005A7262"/>
    <w:rsid w:val="005C0F61"/>
    <w:rsid w:val="00606B96"/>
    <w:rsid w:val="0062446D"/>
    <w:rsid w:val="006750BB"/>
    <w:rsid w:val="006753C4"/>
    <w:rsid w:val="0070095A"/>
    <w:rsid w:val="00710E9F"/>
    <w:rsid w:val="00721475"/>
    <w:rsid w:val="00724DC0"/>
    <w:rsid w:val="007D401A"/>
    <w:rsid w:val="007D42C6"/>
    <w:rsid w:val="00843E00"/>
    <w:rsid w:val="00874C34"/>
    <w:rsid w:val="008D3BF3"/>
    <w:rsid w:val="008F73EF"/>
    <w:rsid w:val="0091128B"/>
    <w:rsid w:val="00950A4D"/>
    <w:rsid w:val="00966C7D"/>
    <w:rsid w:val="009821B3"/>
    <w:rsid w:val="00A0751B"/>
    <w:rsid w:val="00A550D6"/>
    <w:rsid w:val="00AB6DC4"/>
    <w:rsid w:val="00AE3695"/>
    <w:rsid w:val="00AF0202"/>
    <w:rsid w:val="00B0192A"/>
    <w:rsid w:val="00B054E2"/>
    <w:rsid w:val="00B31CA8"/>
    <w:rsid w:val="00B60C2C"/>
    <w:rsid w:val="00BC3195"/>
    <w:rsid w:val="00C22F6F"/>
    <w:rsid w:val="00C44ADF"/>
    <w:rsid w:val="00C608E4"/>
    <w:rsid w:val="00C74185"/>
    <w:rsid w:val="00EB0C8F"/>
    <w:rsid w:val="00EC7202"/>
    <w:rsid w:val="00EE6F70"/>
    <w:rsid w:val="00F14663"/>
    <w:rsid w:val="00F16AEB"/>
    <w:rsid w:val="00FD32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spacing w:after="200" w:line="276" w:lineRule="auto"/>
    </w:pPr>
    <w:rPr>
      <w:sz w:val="22"/>
      <w:szCs w:val="22"/>
      <w:lang w:eastAsia="en-U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a">
    <w:name w:val="List"/>
    <w:basedOn w:val="Textbody"/>
    <w:rPr>
      <w:rFonts w:cs="Arial"/>
    </w:rPr>
  </w:style>
  <w:style w:type="paragraph" w:styleId="Epgraf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Footnote">
    <w:name w:val="Footnote"/>
    <w:basedOn w:val="Standard"/>
    <w:pPr>
      <w:spacing w:after="0" w:line="240" w:lineRule="auto"/>
    </w:pPr>
    <w:rPr>
      <w:sz w:val="20"/>
      <w:szCs w:val="20"/>
    </w:rPr>
  </w:style>
  <w:style w:type="paragraph" w:customStyle="1" w:styleId="HeaderandFooter">
    <w:name w:val="Header and Footer"/>
    <w:basedOn w:val="Standard"/>
  </w:style>
  <w:style w:type="paragraph" w:styleId="Encabezado">
    <w:name w:val="header"/>
    <w:basedOn w:val="Standard"/>
    <w:uiPriority w:val="99"/>
    <w:pPr>
      <w:tabs>
        <w:tab w:val="center" w:pos="4419"/>
        <w:tab w:val="right" w:pos="8838"/>
      </w:tabs>
      <w:spacing w:after="0" w:line="240" w:lineRule="auto"/>
    </w:pPr>
  </w:style>
  <w:style w:type="paragraph" w:styleId="Piedepgina">
    <w:name w:val="footer"/>
    <w:basedOn w:val="Standard"/>
    <w:uiPriority w:val="99"/>
    <w:pPr>
      <w:tabs>
        <w:tab w:val="center" w:pos="4419"/>
        <w:tab w:val="right" w:pos="8838"/>
      </w:tabs>
      <w:spacing w:after="0" w:line="240" w:lineRule="auto"/>
    </w:pPr>
  </w:style>
  <w:style w:type="paragraph" w:customStyle="1" w:styleId="Text">
    <w:name w:val="Text"/>
    <w:basedOn w:val="Standard"/>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Standard"/>
    <w:pPr>
      <w:tabs>
        <w:tab w:val="left" w:pos="144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Standard"/>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Standard"/>
    <w:uiPriority w:val="99"/>
    <w:pPr>
      <w:spacing w:after="0" w:line="240" w:lineRule="auto"/>
    </w:pPr>
    <w:rPr>
      <w:rFonts w:ascii="Tahoma" w:hAnsi="Tahoma"/>
      <w:sz w:val="16"/>
      <w:szCs w:val="16"/>
    </w:rPr>
  </w:style>
  <w:style w:type="paragraph" w:styleId="Prrafodelista">
    <w:name w:val="List Paragraph"/>
    <w:basedOn w:val="Standard"/>
    <w:uiPriority w:val="34"/>
    <w:qFormat/>
    <w:pPr>
      <w:ind w:left="720"/>
    </w:pPr>
  </w:style>
  <w:style w:type="paragraph" w:customStyle="1" w:styleId="Titulo1">
    <w:name w:val="Titulo 1"/>
    <w:basedOn w:val="Tex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Standard"/>
    <w:uiPriority w:val="99"/>
    <w:qFormat/>
    <w:pPr>
      <w:spacing w:before="280" w:after="280" w:line="240" w:lineRule="auto"/>
    </w:pPr>
    <w:rPr>
      <w:rFonts w:ascii="Times New Roman" w:eastAsia="Times New Roman" w:hAnsi="Times New Roman"/>
      <w:sz w:val="24"/>
      <w:szCs w:val="24"/>
      <w:lang w:eastAsia="es-MX"/>
    </w:rPr>
  </w:style>
  <w:style w:type="paragraph" w:customStyle="1" w:styleId="Framecontents">
    <w:name w:val="Frame contents"/>
    <w:basedOn w:val="Standard"/>
  </w:style>
  <w:style w:type="character" w:customStyle="1" w:styleId="TextonotapieCar">
    <w:name w:val="Texto nota pie Car"/>
    <w:link w:val="Textonotapie"/>
    <w:uiPriority w:val="99"/>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TextoCar">
    <w:name w:val="Texto Car"/>
    <w:rPr>
      <w:rFonts w:ascii="Arial" w:eastAsia="Times New Roman" w:hAnsi="Arial" w:cs="Arial"/>
      <w:sz w:val="18"/>
      <w:szCs w:val="20"/>
      <w:lang w:val="es-ES" w:eastAsia="es-ES"/>
    </w:rPr>
  </w:style>
  <w:style w:type="character" w:customStyle="1" w:styleId="TextodegloboCar">
    <w:name w:val="Texto de globo Car"/>
    <w:uiPriority w:val="99"/>
    <w:rPr>
      <w:rFonts w:ascii="Tahoma" w:hAnsi="Tahoma" w:cs="Tahoma"/>
      <w:sz w:val="16"/>
      <w:szCs w:val="16"/>
    </w:rPr>
  </w:style>
  <w:style w:type="character" w:customStyle="1" w:styleId="ROMANOSCar">
    <w:name w:val="ROMANOS Car"/>
    <w:rPr>
      <w:rFonts w:ascii="Arial" w:eastAsia="Times New Roman" w:hAnsi="Arial" w:cs="Arial"/>
      <w:sz w:val="18"/>
      <w:szCs w:val="18"/>
      <w:lang w:val="es-ES" w:eastAsia="es-ES"/>
    </w:rPr>
  </w:style>
  <w:style w:type="paragraph" w:customStyle="1" w:styleId="Texto">
    <w:name w:val="Texto"/>
    <w:basedOn w:val="Normal"/>
    <w:qFormat/>
    <w:pPr>
      <w:widowControl/>
      <w:suppressAutoHyphens w:val="0"/>
      <w:spacing w:after="101" w:line="216" w:lineRule="exact"/>
      <w:ind w:firstLine="288"/>
      <w:jc w:val="both"/>
      <w:textAlignment w:val="auto"/>
    </w:pPr>
    <w:rPr>
      <w:rFonts w:ascii="Arial" w:eastAsia="Times New Roman" w:hAnsi="Arial" w:cs="Arial"/>
      <w:sz w:val="18"/>
      <w:lang w:val="es-ES" w:eastAsia="es-ES"/>
    </w:rPr>
  </w:style>
  <w:style w:type="numbering" w:customStyle="1" w:styleId="Sinlista1">
    <w:name w:val="Sin lista1"/>
    <w:basedOn w:val="Sinlista"/>
    <w:pPr>
      <w:numPr>
        <w:numId w:val="1"/>
      </w:numPr>
    </w:pPr>
  </w:style>
  <w:style w:type="numbering" w:customStyle="1" w:styleId="WWNum1">
    <w:name w:val="WWNum1"/>
    <w:basedOn w:val="Sinlista"/>
    <w:pPr>
      <w:numPr>
        <w:numId w:val="2"/>
      </w:numPr>
    </w:pPr>
  </w:style>
  <w:style w:type="numbering" w:customStyle="1" w:styleId="WWNum2">
    <w:name w:val="WWNum2"/>
    <w:basedOn w:val="Sinlista"/>
    <w:pPr>
      <w:numPr>
        <w:numId w:val="3"/>
      </w:numPr>
    </w:pPr>
  </w:style>
  <w:style w:type="numbering" w:customStyle="1" w:styleId="WWNum3">
    <w:name w:val="WWNum3"/>
    <w:basedOn w:val="Sinlista"/>
    <w:pPr>
      <w:numPr>
        <w:numId w:val="4"/>
      </w:numPr>
    </w:pPr>
  </w:style>
  <w:style w:type="paragraph" w:styleId="Textonotapie">
    <w:name w:val="footnote text"/>
    <w:basedOn w:val="Normal"/>
    <w:link w:val="TextonotapieCar"/>
    <w:uiPriority w:val="99"/>
    <w:semiHidden/>
    <w:unhideWhenUsed/>
    <w:rsid w:val="000C6D0E"/>
    <w:pPr>
      <w:widowControl/>
      <w:suppressAutoHyphens w:val="0"/>
      <w:autoSpaceDN/>
      <w:textAlignment w:val="auto"/>
    </w:pPr>
  </w:style>
  <w:style w:type="character" w:customStyle="1" w:styleId="TextonotapieCar1">
    <w:name w:val="Texto nota pie Car1"/>
    <w:basedOn w:val="Fuentedeprrafopredeter"/>
    <w:uiPriority w:val="99"/>
    <w:semiHidden/>
    <w:rsid w:val="000C6D0E"/>
  </w:style>
  <w:style w:type="character" w:styleId="Refdenotaalpie">
    <w:name w:val="footnote reference"/>
    <w:uiPriority w:val="99"/>
    <w:unhideWhenUsed/>
    <w:rsid w:val="000C6D0E"/>
    <w:rPr>
      <w:vertAlign w:val="superscript"/>
    </w:rPr>
  </w:style>
  <w:style w:type="table" w:styleId="Tablaconcuadrcula">
    <w:name w:val="Table Grid"/>
    <w:basedOn w:val="Tablanormal"/>
    <w:uiPriority w:val="59"/>
    <w:rsid w:val="000C6D0E"/>
    <w:pPr>
      <w:widowControl/>
      <w:autoSpaceDN/>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0C6D0E"/>
    <w:rPr>
      <w:i/>
      <w:iCs/>
    </w:rPr>
  </w:style>
  <w:style w:type="paragraph" w:styleId="Sinespaciado">
    <w:name w:val="No Spacing"/>
    <w:uiPriority w:val="1"/>
    <w:qFormat/>
    <w:rsid w:val="000C6D0E"/>
    <w:pPr>
      <w:widowControl/>
      <w:autoSpaceDN/>
      <w:textAlignment w:val="auto"/>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spacing w:after="200" w:line="276" w:lineRule="auto"/>
    </w:pPr>
    <w:rPr>
      <w:sz w:val="22"/>
      <w:szCs w:val="22"/>
      <w:lang w:eastAsia="en-U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a">
    <w:name w:val="List"/>
    <w:basedOn w:val="Textbody"/>
    <w:rPr>
      <w:rFonts w:cs="Arial"/>
    </w:rPr>
  </w:style>
  <w:style w:type="paragraph" w:styleId="Epgraf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Footnote">
    <w:name w:val="Footnote"/>
    <w:basedOn w:val="Standard"/>
    <w:pPr>
      <w:spacing w:after="0" w:line="240" w:lineRule="auto"/>
    </w:pPr>
    <w:rPr>
      <w:sz w:val="20"/>
      <w:szCs w:val="20"/>
    </w:rPr>
  </w:style>
  <w:style w:type="paragraph" w:customStyle="1" w:styleId="HeaderandFooter">
    <w:name w:val="Header and Footer"/>
    <w:basedOn w:val="Standard"/>
  </w:style>
  <w:style w:type="paragraph" w:styleId="Encabezado">
    <w:name w:val="header"/>
    <w:basedOn w:val="Standard"/>
    <w:uiPriority w:val="99"/>
    <w:pPr>
      <w:tabs>
        <w:tab w:val="center" w:pos="4419"/>
        <w:tab w:val="right" w:pos="8838"/>
      </w:tabs>
      <w:spacing w:after="0" w:line="240" w:lineRule="auto"/>
    </w:pPr>
  </w:style>
  <w:style w:type="paragraph" w:styleId="Piedepgina">
    <w:name w:val="footer"/>
    <w:basedOn w:val="Standard"/>
    <w:uiPriority w:val="99"/>
    <w:pPr>
      <w:tabs>
        <w:tab w:val="center" w:pos="4419"/>
        <w:tab w:val="right" w:pos="8838"/>
      </w:tabs>
      <w:spacing w:after="0" w:line="240" w:lineRule="auto"/>
    </w:pPr>
  </w:style>
  <w:style w:type="paragraph" w:customStyle="1" w:styleId="Text">
    <w:name w:val="Text"/>
    <w:basedOn w:val="Standard"/>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Standard"/>
    <w:pPr>
      <w:tabs>
        <w:tab w:val="left" w:pos="144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Standard"/>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Standard"/>
    <w:uiPriority w:val="99"/>
    <w:pPr>
      <w:spacing w:after="0" w:line="240" w:lineRule="auto"/>
    </w:pPr>
    <w:rPr>
      <w:rFonts w:ascii="Tahoma" w:hAnsi="Tahoma"/>
      <w:sz w:val="16"/>
      <w:szCs w:val="16"/>
    </w:rPr>
  </w:style>
  <w:style w:type="paragraph" w:styleId="Prrafodelista">
    <w:name w:val="List Paragraph"/>
    <w:basedOn w:val="Standard"/>
    <w:uiPriority w:val="34"/>
    <w:qFormat/>
    <w:pPr>
      <w:ind w:left="720"/>
    </w:pPr>
  </w:style>
  <w:style w:type="paragraph" w:customStyle="1" w:styleId="Titulo1">
    <w:name w:val="Titulo 1"/>
    <w:basedOn w:val="Tex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Standard"/>
    <w:uiPriority w:val="99"/>
    <w:qFormat/>
    <w:pPr>
      <w:spacing w:before="280" w:after="280" w:line="240" w:lineRule="auto"/>
    </w:pPr>
    <w:rPr>
      <w:rFonts w:ascii="Times New Roman" w:eastAsia="Times New Roman" w:hAnsi="Times New Roman"/>
      <w:sz w:val="24"/>
      <w:szCs w:val="24"/>
      <w:lang w:eastAsia="es-MX"/>
    </w:rPr>
  </w:style>
  <w:style w:type="paragraph" w:customStyle="1" w:styleId="Framecontents">
    <w:name w:val="Frame contents"/>
    <w:basedOn w:val="Standard"/>
  </w:style>
  <w:style w:type="character" w:customStyle="1" w:styleId="TextonotapieCar">
    <w:name w:val="Texto nota pie Car"/>
    <w:link w:val="Textonotapie"/>
    <w:uiPriority w:val="99"/>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TextoCar">
    <w:name w:val="Texto Car"/>
    <w:rPr>
      <w:rFonts w:ascii="Arial" w:eastAsia="Times New Roman" w:hAnsi="Arial" w:cs="Arial"/>
      <w:sz w:val="18"/>
      <w:szCs w:val="20"/>
      <w:lang w:val="es-ES" w:eastAsia="es-ES"/>
    </w:rPr>
  </w:style>
  <w:style w:type="character" w:customStyle="1" w:styleId="TextodegloboCar">
    <w:name w:val="Texto de globo Car"/>
    <w:uiPriority w:val="99"/>
    <w:rPr>
      <w:rFonts w:ascii="Tahoma" w:hAnsi="Tahoma" w:cs="Tahoma"/>
      <w:sz w:val="16"/>
      <w:szCs w:val="16"/>
    </w:rPr>
  </w:style>
  <w:style w:type="character" w:customStyle="1" w:styleId="ROMANOSCar">
    <w:name w:val="ROMANOS Car"/>
    <w:rPr>
      <w:rFonts w:ascii="Arial" w:eastAsia="Times New Roman" w:hAnsi="Arial" w:cs="Arial"/>
      <w:sz w:val="18"/>
      <w:szCs w:val="18"/>
      <w:lang w:val="es-ES" w:eastAsia="es-ES"/>
    </w:rPr>
  </w:style>
  <w:style w:type="paragraph" w:customStyle="1" w:styleId="Texto">
    <w:name w:val="Texto"/>
    <w:basedOn w:val="Normal"/>
    <w:qFormat/>
    <w:pPr>
      <w:widowControl/>
      <w:suppressAutoHyphens w:val="0"/>
      <w:spacing w:after="101" w:line="216" w:lineRule="exact"/>
      <w:ind w:firstLine="288"/>
      <w:jc w:val="both"/>
      <w:textAlignment w:val="auto"/>
    </w:pPr>
    <w:rPr>
      <w:rFonts w:ascii="Arial" w:eastAsia="Times New Roman" w:hAnsi="Arial" w:cs="Arial"/>
      <w:sz w:val="18"/>
      <w:lang w:val="es-ES" w:eastAsia="es-ES"/>
    </w:rPr>
  </w:style>
  <w:style w:type="numbering" w:customStyle="1" w:styleId="Sinlista1">
    <w:name w:val="Sin lista1"/>
    <w:basedOn w:val="Sinlista"/>
    <w:pPr>
      <w:numPr>
        <w:numId w:val="1"/>
      </w:numPr>
    </w:pPr>
  </w:style>
  <w:style w:type="numbering" w:customStyle="1" w:styleId="WWNum1">
    <w:name w:val="WWNum1"/>
    <w:basedOn w:val="Sinlista"/>
    <w:pPr>
      <w:numPr>
        <w:numId w:val="2"/>
      </w:numPr>
    </w:pPr>
  </w:style>
  <w:style w:type="numbering" w:customStyle="1" w:styleId="WWNum2">
    <w:name w:val="WWNum2"/>
    <w:basedOn w:val="Sinlista"/>
    <w:pPr>
      <w:numPr>
        <w:numId w:val="3"/>
      </w:numPr>
    </w:pPr>
  </w:style>
  <w:style w:type="numbering" w:customStyle="1" w:styleId="WWNum3">
    <w:name w:val="WWNum3"/>
    <w:basedOn w:val="Sinlista"/>
    <w:pPr>
      <w:numPr>
        <w:numId w:val="4"/>
      </w:numPr>
    </w:pPr>
  </w:style>
  <w:style w:type="paragraph" w:styleId="Textonotapie">
    <w:name w:val="footnote text"/>
    <w:basedOn w:val="Normal"/>
    <w:link w:val="TextonotapieCar"/>
    <w:uiPriority w:val="99"/>
    <w:semiHidden/>
    <w:unhideWhenUsed/>
    <w:rsid w:val="000C6D0E"/>
    <w:pPr>
      <w:widowControl/>
      <w:suppressAutoHyphens w:val="0"/>
      <w:autoSpaceDN/>
      <w:textAlignment w:val="auto"/>
    </w:pPr>
  </w:style>
  <w:style w:type="character" w:customStyle="1" w:styleId="TextonotapieCar1">
    <w:name w:val="Texto nota pie Car1"/>
    <w:basedOn w:val="Fuentedeprrafopredeter"/>
    <w:uiPriority w:val="99"/>
    <w:semiHidden/>
    <w:rsid w:val="000C6D0E"/>
  </w:style>
  <w:style w:type="character" w:styleId="Refdenotaalpie">
    <w:name w:val="footnote reference"/>
    <w:uiPriority w:val="99"/>
    <w:unhideWhenUsed/>
    <w:rsid w:val="000C6D0E"/>
    <w:rPr>
      <w:vertAlign w:val="superscript"/>
    </w:rPr>
  </w:style>
  <w:style w:type="table" w:styleId="Tablaconcuadrcula">
    <w:name w:val="Table Grid"/>
    <w:basedOn w:val="Tablanormal"/>
    <w:uiPriority w:val="59"/>
    <w:rsid w:val="000C6D0E"/>
    <w:pPr>
      <w:widowControl/>
      <w:autoSpaceDN/>
      <w:textAlignment w:val="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0C6D0E"/>
    <w:rPr>
      <w:i/>
      <w:iCs/>
    </w:rPr>
  </w:style>
  <w:style w:type="paragraph" w:styleId="Sinespaciado">
    <w:name w:val="No Spacing"/>
    <w:uiPriority w:val="1"/>
    <w:qFormat/>
    <w:rsid w:val="000C6D0E"/>
    <w:pPr>
      <w:widowControl/>
      <w:autoSpaceDN/>
      <w:textAlignment w:val="auto"/>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97143">
      <w:bodyDiv w:val="1"/>
      <w:marLeft w:val="0"/>
      <w:marRight w:val="0"/>
      <w:marTop w:val="0"/>
      <w:marBottom w:val="0"/>
      <w:divBdr>
        <w:top w:val="none" w:sz="0" w:space="0" w:color="auto"/>
        <w:left w:val="none" w:sz="0" w:space="0" w:color="auto"/>
        <w:bottom w:val="none" w:sz="0" w:space="0" w:color="auto"/>
        <w:right w:val="none" w:sz="0" w:space="0" w:color="auto"/>
      </w:divBdr>
    </w:div>
    <w:div w:id="529535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24</Pages>
  <Words>5131</Words>
  <Characters>28224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Carlos Arriaga</cp:lastModifiedBy>
  <cp:revision>51</cp:revision>
  <cp:lastPrinted>2024-09-11T18:36:00Z</cp:lastPrinted>
  <dcterms:created xsi:type="dcterms:W3CDTF">2025-01-31T15:23:00Z</dcterms:created>
  <dcterms:modified xsi:type="dcterms:W3CDTF">2025-02-22T01:41:00Z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Secretaria de Hacienda y Credito Publico</vt:lpwstr>
  </property>
</Properties>
</file>