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82813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20265678" w14:textId="77777777" w:rsidR="003F3903" w:rsidRDefault="00A800BB">
      <w:pPr>
        <w:jc w:val="center"/>
        <w:rPr>
          <w:rFonts w:ascii="Encode Sans" w:hAnsi="Encode Sans" w:cs="Arial"/>
          <w:b/>
        </w:rPr>
      </w:pPr>
      <w:bookmarkStart w:id="0" w:name="_GoBack"/>
      <w:bookmarkEnd w:id="0"/>
      <w:r>
        <w:rPr>
          <w:rFonts w:ascii="Encode Sans" w:hAnsi="Encode Sans" w:cs="Arial"/>
          <w:b/>
        </w:rPr>
        <w:t>CUENTA PÚBLICA 2024</w:t>
      </w:r>
    </w:p>
    <w:p w14:paraId="79CFECD7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21874F57" w14:textId="77777777" w:rsidR="000031A7" w:rsidRDefault="000031A7">
      <w:pPr>
        <w:tabs>
          <w:tab w:val="left" w:pos="11760"/>
        </w:tabs>
        <w:rPr>
          <w:rFonts w:cs="DIN Pro Regular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9"/>
        <w:gridCol w:w="1560"/>
        <w:gridCol w:w="1880"/>
        <w:gridCol w:w="1560"/>
        <w:gridCol w:w="1216"/>
        <w:gridCol w:w="1222"/>
        <w:gridCol w:w="1042"/>
        <w:gridCol w:w="1097"/>
        <w:gridCol w:w="1602"/>
      </w:tblGrid>
      <w:tr w:rsidR="000031A7" w:rsidRPr="000031A7" w14:paraId="28AE3AF6" w14:textId="77777777" w:rsidTr="000031A7">
        <w:trPr>
          <w:trHeight w:val="765"/>
        </w:trPr>
        <w:tc>
          <w:tcPr>
            <w:tcW w:w="2205" w:type="dxa"/>
            <w:vAlign w:val="center"/>
            <w:hideMark/>
          </w:tcPr>
          <w:p w14:paraId="50781D27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0031A7">
              <w:rPr>
                <w:rFonts w:cs="DIN Pro Regular"/>
                <w:b/>
                <w:bCs/>
              </w:rPr>
              <w:t>Nombre del Programa</w:t>
            </w:r>
          </w:p>
        </w:tc>
        <w:tc>
          <w:tcPr>
            <w:tcW w:w="1814" w:type="dxa"/>
            <w:vAlign w:val="center"/>
            <w:hideMark/>
          </w:tcPr>
          <w:p w14:paraId="2B035349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0031A7">
              <w:rPr>
                <w:rFonts w:cs="DIN Pro Regular"/>
                <w:b/>
                <w:bCs/>
              </w:rPr>
              <w:t>Nombre del Indicador</w:t>
            </w:r>
          </w:p>
        </w:tc>
        <w:tc>
          <w:tcPr>
            <w:tcW w:w="1534" w:type="dxa"/>
            <w:vAlign w:val="center"/>
            <w:hideMark/>
          </w:tcPr>
          <w:p w14:paraId="399EE37F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0031A7">
              <w:rPr>
                <w:rFonts w:cs="DIN Pro Regular"/>
                <w:b/>
                <w:bCs/>
              </w:rPr>
              <w:t>Método de cálculo</w:t>
            </w:r>
          </w:p>
        </w:tc>
        <w:tc>
          <w:tcPr>
            <w:tcW w:w="1438" w:type="dxa"/>
            <w:vAlign w:val="center"/>
            <w:hideMark/>
          </w:tcPr>
          <w:p w14:paraId="1F8A6005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0031A7">
              <w:rPr>
                <w:rFonts w:cs="DIN Pro Regular"/>
                <w:b/>
                <w:bCs/>
              </w:rPr>
              <w:t>Unidad de medida</w:t>
            </w:r>
          </w:p>
        </w:tc>
        <w:tc>
          <w:tcPr>
            <w:tcW w:w="1350" w:type="dxa"/>
            <w:vAlign w:val="center"/>
            <w:hideMark/>
          </w:tcPr>
          <w:p w14:paraId="1A927457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0031A7">
              <w:rPr>
                <w:rFonts w:cs="DIN Pro Regular"/>
                <w:b/>
                <w:bCs/>
              </w:rPr>
              <w:t>Meta</w:t>
            </w:r>
          </w:p>
        </w:tc>
        <w:tc>
          <w:tcPr>
            <w:tcW w:w="1356" w:type="dxa"/>
            <w:vAlign w:val="center"/>
            <w:hideMark/>
          </w:tcPr>
          <w:p w14:paraId="7F85DCE2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0031A7">
              <w:rPr>
                <w:rFonts w:cs="DIN Pro Regular"/>
                <w:b/>
                <w:bCs/>
              </w:rPr>
              <w:t>Tipo-dimensión-frecuencia</w:t>
            </w:r>
          </w:p>
        </w:tc>
        <w:tc>
          <w:tcPr>
            <w:tcW w:w="1354" w:type="dxa"/>
            <w:vAlign w:val="center"/>
            <w:hideMark/>
          </w:tcPr>
          <w:p w14:paraId="4D77BB8B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0031A7">
              <w:rPr>
                <w:rFonts w:cs="DIN Pro Regular"/>
                <w:b/>
                <w:bCs/>
              </w:rPr>
              <w:t>Realizado en el periodo</w:t>
            </w:r>
          </w:p>
        </w:tc>
        <w:tc>
          <w:tcPr>
            <w:tcW w:w="1215" w:type="dxa"/>
            <w:vAlign w:val="center"/>
            <w:hideMark/>
          </w:tcPr>
          <w:p w14:paraId="05629DA4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0031A7">
              <w:rPr>
                <w:rFonts w:cs="DIN Pro Regular"/>
                <w:b/>
                <w:bCs/>
              </w:rPr>
              <w:t>Avance respecto a la meta anual</w:t>
            </w:r>
          </w:p>
        </w:tc>
        <w:tc>
          <w:tcPr>
            <w:tcW w:w="1814" w:type="dxa"/>
            <w:vAlign w:val="center"/>
            <w:hideMark/>
          </w:tcPr>
          <w:p w14:paraId="33463D66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  <w:bCs/>
              </w:rPr>
            </w:pPr>
            <w:r w:rsidRPr="000031A7">
              <w:rPr>
                <w:rFonts w:cs="DIN Pro Regular"/>
                <w:b/>
                <w:bCs/>
              </w:rPr>
              <w:t>Justificaciones</w:t>
            </w:r>
          </w:p>
        </w:tc>
      </w:tr>
      <w:tr w:rsidR="000031A7" w:rsidRPr="000031A7" w14:paraId="25CE3760" w14:textId="77777777" w:rsidTr="000031A7">
        <w:trPr>
          <w:trHeight w:val="2160"/>
        </w:trPr>
        <w:tc>
          <w:tcPr>
            <w:tcW w:w="2205" w:type="dxa"/>
            <w:vAlign w:val="center"/>
            <w:hideMark/>
          </w:tcPr>
          <w:p w14:paraId="3F18BF17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EO60                 Producción de Programas Informativos de Radio</w:t>
            </w:r>
          </w:p>
        </w:tc>
        <w:tc>
          <w:tcPr>
            <w:tcW w:w="1814" w:type="dxa"/>
            <w:vAlign w:val="center"/>
            <w:hideMark/>
          </w:tcPr>
          <w:p w14:paraId="3367B963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Tasa de Variación de Contenidos Transmitidos</w:t>
            </w:r>
          </w:p>
        </w:tc>
        <w:tc>
          <w:tcPr>
            <w:tcW w:w="1534" w:type="dxa"/>
            <w:vAlign w:val="center"/>
            <w:hideMark/>
          </w:tcPr>
          <w:p w14:paraId="2D3FD140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 xml:space="preserve">((Contenidos </w:t>
            </w:r>
            <w:r w:rsidRPr="000031A7">
              <w:rPr>
                <w:rFonts w:cs="DIN Pro Regular"/>
                <w:b/>
              </w:rPr>
              <w:br/>
              <w:t xml:space="preserve">Transmitidos en el periodo T/ </w:t>
            </w:r>
            <w:r w:rsidRPr="000031A7">
              <w:rPr>
                <w:rFonts w:cs="DIN Pro Regular"/>
                <w:b/>
              </w:rPr>
              <w:br/>
              <w:t xml:space="preserve">Contenidos </w:t>
            </w:r>
            <w:r w:rsidRPr="000031A7">
              <w:rPr>
                <w:rFonts w:cs="DIN Pro Regular"/>
                <w:b/>
              </w:rPr>
              <w:br/>
              <w:t>Transmitidos en el periodo T-1)-1) *100</w:t>
            </w:r>
          </w:p>
        </w:tc>
        <w:tc>
          <w:tcPr>
            <w:tcW w:w="1438" w:type="dxa"/>
            <w:noWrap/>
            <w:vAlign w:val="center"/>
            <w:hideMark/>
          </w:tcPr>
          <w:p w14:paraId="044B4644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Contenidos</w:t>
            </w:r>
          </w:p>
        </w:tc>
        <w:tc>
          <w:tcPr>
            <w:tcW w:w="1350" w:type="dxa"/>
            <w:noWrap/>
            <w:vAlign w:val="center"/>
            <w:hideMark/>
          </w:tcPr>
          <w:p w14:paraId="56D35327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356" w:type="dxa"/>
            <w:noWrap/>
            <w:vAlign w:val="center"/>
            <w:hideMark/>
          </w:tcPr>
          <w:p w14:paraId="0429DEB5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Anual</w:t>
            </w:r>
          </w:p>
        </w:tc>
        <w:tc>
          <w:tcPr>
            <w:tcW w:w="1354" w:type="dxa"/>
            <w:vAlign w:val="center"/>
            <w:hideMark/>
          </w:tcPr>
          <w:p w14:paraId="55516992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 de Enero al 31 de Diciembre 2024</w:t>
            </w:r>
          </w:p>
        </w:tc>
        <w:tc>
          <w:tcPr>
            <w:tcW w:w="1215" w:type="dxa"/>
            <w:noWrap/>
            <w:vAlign w:val="center"/>
            <w:hideMark/>
          </w:tcPr>
          <w:p w14:paraId="2F4BD923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105%</w:t>
            </w:r>
          </w:p>
        </w:tc>
        <w:tc>
          <w:tcPr>
            <w:tcW w:w="1814" w:type="dxa"/>
            <w:vAlign w:val="center"/>
            <w:hideMark/>
          </w:tcPr>
          <w:p w14:paraId="0BD5D80E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En el periodo que se informa, se transmitieron 11648 contenidos, que representa un 5% más, que en el mismo periodo del año anterior  11093 contenidos</w:t>
            </w:r>
          </w:p>
        </w:tc>
      </w:tr>
      <w:tr w:rsidR="000031A7" w:rsidRPr="000031A7" w14:paraId="21A955E6" w14:textId="77777777" w:rsidTr="000031A7">
        <w:trPr>
          <w:trHeight w:val="2190"/>
        </w:trPr>
        <w:tc>
          <w:tcPr>
            <w:tcW w:w="2205" w:type="dxa"/>
            <w:vAlign w:val="center"/>
            <w:hideMark/>
          </w:tcPr>
          <w:p w14:paraId="732F30BE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lastRenderedPageBreak/>
              <w:t>EO60                 Producción de Programas Informativos de Radio</w:t>
            </w:r>
          </w:p>
        </w:tc>
        <w:tc>
          <w:tcPr>
            <w:tcW w:w="1814" w:type="dxa"/>
            <w:vAlign w:val="center"/>
            <w:hideMark/>
          </w:tcPr>
          <w:p w14:paraId="746DE52D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Porcentaje de Contenidos Clasificados</w:t>
            </w:r>
          </w:p>
        </w:tc>
        <w:tc>
          <w:tcPr>
            <w:tcW w:w="1534" w:type="dxa"/>
            <w:vAlign w:val="center"/>
            <w:hideMark/>
          </w:tcPr>
          <w:p w14:paraId="36FDEECD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(Contenidos Clasificados en el periodo T/ Contenidos Transmitidos en el periodo T)*100</w:t>
            </w:r>
          </w:p>
        </w:tc>
        <w:tc>
          <w:tcPr>
            <w:tcW w:w="1438" w:type="dxa"/>
            <w:noWrap/>
            <w:vAlign w:val="center"/>
            <w:hideMark/>
          </w:tcPr>
          <w:p w14:paraId="46BF0743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Contenidos</w:t>
            </w:r>
          </w:p>
        </w:tc>
        <w:tc>
          <w:tcPr>
            <w:tcW w:w="1350" w:type="dxa"/>
            <w:noWrap/>
            <w:vAlign w:val="center"/>
            <w:hideMark/>
          </w:tcPr>
          <w:p w14:paraId="2986788C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356" w:type="dxa"/>
            <w:noWrap/>
            <w:vAlign w:val="center"/>
            <w:hideMark/>
          </w:tcPr>
          <w:p w14:paraId="26CB5938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Anual</w:t>
            </w:r>
          </w:p>
        </w:tc>
        <w:tc>
          <w:tcPr>
            <w:tcW w:w="1354" w:type="dxa"/>
            <w:vAlign w:val="center"/>
            <w:hideMark/>
          </w:tcPr>
          <w:p w14:paraId="622A8252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 de Enero al 31 de Diciembre 2024</w:t>
            </w:r>
          </w:p>
        </w:tc>
        <w:tc>
          <w:tcPr>
            <w:tcW w:w="1215" w:type="dxa"/>
            <w:noWrap/>
            <w:vAlign w:val="center"/>
            <w:hideMark/>
          </w:tcPr>
          <w:p w14:paraId="13D680D9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814" w:type="dxa"/>
            <w:vAlign w:val="center"/>
            <w:hideMark/>
          </w:tcPr>
          <w:p w14:paraId="2719BE61" w14:textId="65FD7E68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En el periodo que se informa, se clasificaron 11648 contenidos, que representa 100% de los contenidos transmitidos en el  periodo</w:t>
            </w:r>
          </w:p>
        </w:tc>
      </w:tr>
      <w:tr w:rsidR="000031A7" w:rsidRPr="000031A7" w14:paraId="480CABCC" w14:textId="77777777" w:rsidTr="000031A7">
        <w:trPr>
          <w:trHeight w:val="2160"/>
        </w:trPr>
        <w:tc>
          <w:tcPr>
            <w:tcW w:w="2205" w:type="dxa"/>
            <w:vAlign w:val="center"/>
            <w:hideMark/>
          </w:tcPr>
          <w:p w14:paraId="7851170B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EO60                 Producción de Programas Informativos de Radio</w:t>
            </w:r>
          </w:p>
        </w:tc>
        <w:tc>
          <w:tcPr>
            <w:tcW w:w="1814" w:type="dxa"/>
            <w:vAlign w:val="center"/>
            <w:hideMark/>
          </w:tcPr>
          <w:p w14:paraId="59EDED91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Porcentaje de Contenidos Transmitidos</w:t>
            </w:r>
          </w:p>
        </w:tc>
        <w:tc>
          <w:tcPr>
            <w:tcW w:w="1534" w:type="dxa"/>
            <w:vAlign w:val="center"/>
            <w:hideMark/>
          </w:tcPr>
          <w:p w14:paraId="17BFB529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(Contenidos Transmitidos en el periodo T) /Contenidos Programados para Transmitirse en el periodo T)</w:t>
            </w:r>
            <w:r w:rsidRPr="000031A7">
              <w:rPr>
                <w:rFonts w:cs="DIN Pro Regular"/>
                <w:b/>
              </w:rPr>
              <w:br/>
              <w:t>*100</w:t>
            </w:r>
          </w:p>
        </w:tc>
        <w:tc>
          <w:tcPr>
            <w:tcW w:w="1438" w:type="dxa"/>
            <w:noWrap/>
            <w:vAlign w:val="center"/>
            <w:hideMark/>
          </w:tcPr>
          <w:p w14:paraId="3095A56F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Contenidos</w:t>
            </w:r>
          </w:p>
        </w:tc>
        <w:tc>
          <w:tcPr>
            <w:tcW w:w="1350" w:type="dxa"/>
            <w:noWrap/>
            <w:vAlign w:val="center"/>
            <w:hideMark/>
          </w:tcPr>
          <w:p w14:paraId="77F86E5C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356" w:type="dxa"/>
            <w:noWrap/>
            <w:vAlign w:val="center"/>
            <w:hideMark/>
          </w:tcPr>
          <w:p w14:paraId="10AEB3DD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Anual</w:t>
            </w:r>
          </w:p>
        </w:tc>
        <w:tc>
          <w:tcPr>
            <w:tcW w:w="1354" w:type="dxa"/>
            <w:vAlign w:val="center"/>
            <w:hideMark/>
          </w:tcPr>
          <w:p w14:paraId="1936E341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 de Enero al 31 de Diciembre 2024</w:t>
            </w:r>
          </w:p>
        </w:tc>
        <w:tc>
          <w:tcPr>
            <w:tcW w:w="1215" w:type="dxa"/>
            <w:noWrap/>
            <w:vAlign w:val="center"/>
            <w:hideMark/>
          </w:tcPr>
          <w:p w14:paraId="69B8F067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814" w:type="dxa"/>
            <w:vAlign w:val="center"/>
            <w:hideMark/>
          </w:tcPr>
          <w:p w14:paraId="76EB9DAB" w14:textId="48E75B4F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En el periodo que se informa, se transmitieron 11648 contenidos, que representa 100% de los contenidos transmitidos Programados en el  periodo</w:t>
            </w:r>
          </w:p>
        </w:tc>
      </w:tr>
      <w:tr w:rsidR="000031A7" w:rsidRPr="000031A7" w14:paraId="66C7BAFF" w14:textId="77777777" w:rsidTr="000031A7">
        <w:trPr>
          <w:trHeight w:val="2160"/>
        </w:trPr>
        <w:tc>
          <w:tcPr>
            <w:tcW w:w="2205" w:type="dxa"/>
            <w:vAlign w:val="center"/>
            <w:hideMark/>
          </w:tcPr>
          <w:p w14:paraId="2927828F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lastRenderedPageBreak/>
              <w:t>EO60                 Producción de Programas Informativos de Radio</w:t>
            </w:r>
          </w:p>
        </w:tc>
        <w:tc>
          <w:tcPr>
            <w:tcW w:w="1814" w:type="dxa"/>
            <w:vAlign w:val="center"/>
            <w:hideMark/>
          </w:tcPr>
          <w:p w14:paraId="6BC86C6E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Porcentaje de Instalaciones Rehabilitadas</w:t>
            </w:r>
          </w:p>
        </w:tc>
        <w:tc>
          <w:tcPr>
            <w:tcW w:w="1534" w:type="dxa"/>
            <w:vAlign w:val="center"/>
            <w:hideMark/>
          </w:tcPr>
          <w:p w14:paraId="02F4B8EB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(Instalaciones Rehabilitadas en el Periodo T / Instalaciones Programadas para Rehabilitación en el Periodo T) *100</w:t>
            </w:r>
          </w:p>
        </w:tc>
        <w:tc>
          <w:tcPr>
            <w:tcW w:w="1438" w:type="dxa"/>
            <w:vAlign w:val="center"/>
            <w:hideMark/>
          </w:tcPr>
          <w:p w14:paraId="0166B3B7" w14:textId="6EA6C561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Porcentaje de Avance</w:t>
            </w:r>
          </w:p>
        </w:tc>
        <w:tc>
          <w:tcPr>
            <w:tcW w:w="1350" w:type="dxa"/>
            <w:noWrap/>
            <w:vAlign w:val="center"/>
            <w:hideMark/>
          </w:tcPr>
          <w:p w14:paraId="5C092AA1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356" w:type="dxa"/>
            <w:noWrap/>
            <w:vAlign w:val="center"/>
            <w:hideMark/>
          </w:tcPr>
          <w:p w14:paraId="66B54755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Anual</w:t>
            </w:r>
          </w:p>
        </w:tc>
        <w:tc>
          <w:tcPr>
            <w:tcW w:w="1354" w:type="dxa"/>
            <w:vAlign w:val="center"/>
            <w:hideMark/>
          </w:tcPr>
          <w:p w14:paraId="537E87B5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 de Enero al 31 de Diciembre 2024</w:t>
            </w:r>
          </w:p>
        </w:tc>
        <w:tc>
          <w:tcPr>
            <w:tcW w:w="1215" w:type="dxa"/>
            <w:noWrap/>
            <w:vAlign w:val="center"/>
            <w:hideMark/>
          </w:tcPr>
          <w:p w14:paraId="3828FFF3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0%</w:t>
            </w:r>
          </w:p>
        </w:tc>
        <w:tc>
          <w:tcPr>
            <w:tcW w:w="1814" w:type="dxa"/>
            <w:vAlign w:val="center"/>
            <w:hideMark/>
          </w:tcPr>
          <w:p w14:paraId="17EFD4E9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El Indicador y la Meta se restructura para el 2025</w:t>
            </w:r>
          </w:p>
        </w:tc>
      </w:tr>
      <w:tr w:rsidR="000031A7" w:rsidRPr="000031A7" w14:paraId="4567A497" w14:textId="77777777" w:rsidTr="000031A7">
        <w:trPr>
          <w:trHeight w:val="2640"/>
        </w:trPr>
        <w:tc>
          <w:tcPr>
            <w:tcW w:w="2205" w:type="dxa"/>
            <w:vAlign w:val="center"/>
            <w:hideMark/>
          </w:tcPr>
          <w:p w14:paraId="175DA600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EO60                 Producción de Programas Informativos de Radio</w:t>
            </w:r>
          </w:p>
        </w:tc>
        <w:tc>
          <w:tcPr>
            <w:tcW w:w="1814" w:type="dxa"/>
            <w:vAlign w:val="center"/>
            <w:hideMark/>
          </w:tcPr>
          <w:p w14:paraId="7EB60DE9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Porcentaje de Actualización Tecnológica</w:t>
            </w:r>
          </w:p>
        </w:tc>
        <w:tc>
          <w:tcPr>
            <w:tcW w:w="1534" w:type="dxa"/>
            <w:vAlign w:val="center"/>
            <w:hideMark/>
          </w:tcPr>
          <w:p w14:paraId="2940A187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Porcentaje de Actualización Tecnológico realizado en el Periodo T/ Porcentaje de Actualización</w:t>
            </w:r>
            <w:r w:rsidRPr="000031A7">
              <w:rPr>
                <w:rFonts w:cs="DIN Pro Regular"/>
                <w:b/>
              </w:rPr>
              <w:br/>
              <w:t>Tecnológico Programado en el Periodo T ) *100</w:t>
            </w:r>
          </w:p>
        </w:tc>
        <w:tc>
          <w:tcPr>
            <w:tcW w:w="1438" w:type="dxa"/>
            <w:vAlign w:val="center"/>
            <w:hideMark/>
          </w:tcPr>
          <w:p w14:paraId="2F817184" w14:textId="0EEF18B8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Porcentaje de Avance</w:t>
            </w:r>
          </w:p>
        </w:tc>
        <w:tc>
          <w:tcPr>
            <w:tcW w:w="1350" w:type="dxa"/>
            <w:noWrap/>
            <w:vAlign w:val="center"/>
            <w:hideMark/>
          </w:tcPr>
          <w:p w14:paraId="13EC94A5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356" w:type="dxa"/>
            <w:noWrap/>
            <w:vAlign w:val="center"/>
            <w:hideMark/>
          </w:tcPr>
          <w:p w14:paraId="760F408D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Anual</w:t>
            </w:r>
          </w:p>
        </w:tc>
        <w:tc>
          <w:tcPr>
            <w:tcW w:w="1354" w:type="dxa"/>
            <w:vAlign w:val="center"/>
            <w:hideMark/>
          </w:tcPr>
          <w:p w14:paraId="422C4D6B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 de Enero al 31 de Diciembre 2024</w:t>
            </w:r>
          </w:p>
        </w:tc>
        <w:tc>
          <w:tcPr>
            <w:tcW w:w="1215" w:type="dxa"/>
            <w:noWrap/>
            <w:vAlign w:val="center"/>
            <w:hideMark/>
          </w:tcPr>
          <w:p w14:paraId="38A2E6CD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0%</w:t>
            </w:r>
          </w:p>
        </w:tc>
        <w:tc>
          <w:tcPr>
            <w:tcW w:w="1814" w:type="dxa"/>
            <w:vAlign w:val="center"/>
            <w:hideMark/>
          </w:tcPr>
          <w:p w14:paraId="5C7D13A6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El Indicador y la Meta se restructura para el 2025</w:t>
            </w:r>
          </w:p>
        </w:tc>
      </w:tr>
      <w:tr w:rsidR="000031A7" w:rsidRPr="000031A7" w14:paraId="3AD96B14" w14:textId="77777777" w:rsidTr="000031A7">
        <w:trPr>
          <w:trHeight w:val="2550"/>
        </w:trPr>
        <w:tc>
          <w:tcPr>
            <w:tcW w:w="2205" w:type="dxa"/>
            <w:vAlign w:val="center"/>
            <w:hideMark/>
          </w:tcPr>
          <w:p w14:paraId="3422142A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EO60                 Producción de Programas Informativos de Radio</w:t>
            </w:r>
          </w:p>
        </w:tc>
        <w:tc>
          <w:tcPr>
            <w:tcW w:w="1814" w:type="dxa"/>
            <w:vAlign w:val="center"/>
            <w:hideMark/>
          </w:tcPr>
          <w:p w14:paraId="1A6C6AE6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Porcentaje de Contenidos Producidos</w:t>
            </w:r>
          </w:p>
        </w:tc>
        <w:tc>
          <w:tcPr>
            <w:tcW w:w="1534" w:type="dxa"/>
            <w:vAlign w:val="center"/>
            <w:hideMark/>
          </w:tcPr>
          <w:p w14:paraId="4C4DB2A6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(Contenidos Producidos en el periodo T/Total de Contenidos Transmitidos en el periodo T) *100</w:t>
            </w:r>
          </w:p>
        </w:tc>
        <w:tc>
          <w:tcPr>
            <w:tcW w:w="1438" w:type="dxa"/>
            <w:vAlign w:val="center"/>
            <w:hideMark/>
          </w:tcPr>
          <w:p w14:paraId="5BCB73E1" w14:textId="059415B3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Contenidos Producidos</w:t>
            </w:r>
          </w:p>
        </w:tc>
        <w:tc>
          <w:tcPr>
            <w:tcW w:w="1350" w:type="dxa"/>
            <w:noWrap/>
            <w:vAlign w:val="center"/>
            <w:hideMark/>
          </w:tcPr>
          <w:p w14:paraId="272955F5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86%</w:t>
            </w:r>
          </w:p>
        </w:tc>
        <w:tc>
          <w:tcPr>
            <w:tcW w:w="1356" w:type="dxa"/>
            <w:noWrap/>
            <w:vAlign w:val="center"/>
            <w:hideMark/>
          </w:tcPr>
          <w:p w14:paraId="77D35BF6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Anual</w:t>
            </w:r>
          </w:p>
        </w:tc>
        <w:tc>
          <w:tcPr>
            <w:tcW w:w="1354" w:type="dxa"/>
            <w:vAlign w:val="center"/>
            <w:hideMark/>
          </w:tcPr>
          <w:p w14:paraId="027BE2E8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 de Enero al 31 de Diciembre 2024</w:t>
            </w:r>
          </w:p>
        </w:tc>
        <w:tc>
          <w:tcPr>
            <w:tcW w:w="1215" w:type="dxa"/>
            <w:noWrap/>
            <w:vAlign w:val="center"/>
            <w:hideMark/>
          </w:tcPr>
          <w:p w14:paraId="65BC9F8B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86%</w:t>
            </w:r>
          </w:p>
        </w:tc>
        <w:tc>
          <w:tcPr>
            <w:tcW w:w="1814" w:type="dxa"/>
            <w:vAlign w:val="center"/>
            <w:hideMark/>
          </w:tcPr>
          <w:p w14:paraId="1041795C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 xml:space="preserve">En el periodo que se informa, se produjeron y coprodujeron 9990 que representa 86% de los  11648 contenidos </w:t>
            </w:r>
            <w:r w:rsidRPr="000031A7">
              <w:rPr>
                <w:rFonts w:cs="DIN Pro Regular"/>
                <w:b/>
              </w:rPr>
              <w:lastRenderedPageBreak/>
              <w:t>que se transmitieron en el  periodo; lo que representa el 100% de cumplimiento de la meta programada</w:t>
            </w:r>
          </w:p>
        </w:tc>
      </w:tr>
      <w:tr w:rsidR="000031A7" w:rsidRPr="000031A7" w14:paraId="023FB09E" w14:textId="77777777" w:rsidTr="000031A7">
        <w:trPr>
          <w:trHeight w:val="1980"/>
        </w:trPr>
        <w:tc>
          <w:tcPr>
            <w:tcW w:w="2205" w:type="dxa"/>
            <w:vAlign w:val="center"/>
            <w:hideMark/>
          </w:tcPr>
          <w:p w14:paraId="41EDC1FF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lastRenderedPageBreak/>
              <w:t>EO60                 Producción de Programas Informativos de Radio</w:t>
            </w:r>
          </w:p>
        </w:tc>
        <w:tc>
          <w:tcPr>
            <w:tcW w:w="1814" w:type="dxa"/>
            <w:vAlign w:val="center"/>
            <w:hideMark/>
          </w:tcPr>
          <w:p w14:paraId="59382469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Porcentaje de Capacitaciones impartidas</w:t>
            </w:r>
          </w:p>
        </w:tc>
        <w:tc>
          <w:tcPr>
            <w:tcW w:w="1534" w:type="dxa"/>
            <w:vAlign w:val="center"/>
            <w:hideMark/>
          </w:tcPr>
          <w:p w14:paraId="59D9A2A4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(Capacitaciones Impartidas en el Periodo T/Capacitaciones Programadas a Impartir en el Periodo T)*100</w:t>
            </w:r>
          </w:p>
        </w:tc>
        <w:tc>
          <w:tcPr>
            <w:tcW w:w="1438" w:type="dxa"/>
            <w:noWrap/>
            <w:vAlign w:val="center"/>
            <w:hideMark/>
          </w:tcPr>
          <w:p w14:paraId="0D4146E5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Capacitaciones</w:t>
            </w:r>
          </w:p>
        </w:tc>
        <w:tc>
          <w:tcPr>
            <w:tcW w:w="1350" w:type="dxa"/>
            <w:noWrap/>
            <w:vAlign w:val="center"/>
            <w:hideMark/>
          </w:tcPr>
          <w:p w14:paraId="1C498673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356" w:type="dxa"/>
            <w:noWrap/>
            <w:vAlign w:val="center"/>
            <w:hideMark/>
          </w:tcPr>
          <w:p w14:paraId="4BB7B9A7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Anual</w:t>
            </w:r>
          </w:p>
        </w:tc>
        <w:tc>
          <w:tcPr>
            <w:tcW w:w="1354" w:type="dxa"/>
            <w:vAlign w:val="center"/>
            <w:hideMark/>
          </w:tcPr>
          <w:p w14:paraId="625A0745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 de Enero al 31 de Diciembre 2024</w:t>
            </w:r>
          </w:p>
        </w:tc>
        <w:tc>
          <w:tcPr>
            <w:tcW w:w="1215" w:type="dxa"/>
            <w:noWrap/>
            <w:vAlign w:val="center"/>
            <w:hideMark/>
          </w:tcPr>
          <w:p w14:paraId="32D5C679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814" w:type="dxa"/>
            <w:vAlign w:val="center"/>
            <w:hideMark/>
          </w:tcPr>
          <w:p w14:paraId="4E2BD2B8" w14:textId="1D11391D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En el periodo que se informa, se impartieron las 8 capacitaciones que se programaron en el  periodo</w:t>
            </w:r>
          </w:p>
        </w:tc>
      </w:tr>
      <w:tr w:rsidR="000031A7" w:rsidRPr="000031A7" w14:paraId="66CC0BF7" w14:textId="77777777" w:rsidTr="000031A7">
        <w:trPr>
          <w:trHeight w:val="1620"/>
        </w:trPr>
        <w:tc>
          <w:tcPr>
            <w:tcW w:w="2205" w:type="dxa"/>
            <w:vAlign w:val="center"/>
            <w:hideMark/>
          </w:tcPr>
          <w:p w14:paraId="606753B8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EO60                 Producción de Programas Informativos de Radio</w:t>
            </w:r>
          </w:p>
        </w:tc>
        <w:tc>
          <w:tcPr>
            <w:tcW w:w="1814" w:type="dxa"/>
            <w:vAlign w:val="center"/>
            <w:hideMark/>
          </w:tcPr>
          <w:p w14:paraId="7703AE22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 xml:space="preserve">Porcentaje de </w:t>
            </w:r>
            <w:proofErr w:type="spellStart"/>
            <w:r w:rsidRPr="000031A7">
              <w:rPr>
                <w:rFonts w:cs="DIN Pro Regular"/>
                <w:b/>
              </w:rPr>
              <w:t>Covenios</w:t>
            </w:r>
            <w:proofErr w:type="spellEnd"/>
            <w:r w:rsidRPr="000031A7">
              <w:rPr>
                <w:rFonts w:cs="DIN Pro Regular"/>
                <w:b/>
              </w:rPr>
              <w:t xml:space="preserve"> Celebrados</w:t>
            </w:r>
          </w:p>
        </w:tc>
        <w:tc>
          <w:tcPr>
            <w:tcW w:w="1534" w:type="dxa"/>
            <w:vAlign w:val="center"/>
            <w:hideMark/>
          </w:tcPr>
          <w:p w14:paraId="633C3B98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(Convenios Firmados/Convenios Programados para Firma) *100</w:t>
            </w:r>
          </w:p>
        </w:tc>
        <w:tc>
          <w:tcPr>
            <w:tcW w:w="1438" w:type="dxa"/>
            <w:noWrap/>
            <w:vAlign w:val="center"/>
            <w:hideMark/>
          </w:tcPr>
          <w:p w14:paraId="18C73021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Convenios</w:t>
            </w:r>
          </w:p>
        </w:tc>
        <w:tc>
          <w:tcPr>
            <w:tcW w:w="1350" w:type="dxa"/>
            <w:noWrap/>
            <w:vAlign w:val="center"/>
            <w:hideMark/>
          </w:tcPr>
          <w:p w14:paraId="2C8E29C5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356" w:type="dxa"/>
            <w:noWrap/>
            <w:vAlign w:val="center"/>
            <w:hideMark/>
          </w:tcPr>
          <w:p w14:paraId="64E544DA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Anual</w:t>
            </w:r>
          </w:p>
        </w:tc>
        <w:tc>
          <w:tcPr>
            <w:tcW w:w="1354" w:type="dxa"/>
            <w:vAlign w:val="center"/>
            <w:hideMark/>
          </w:tcPr>
          <w:p w14:paraId="4A8F5AAD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 de Enero al 31 de Diciembre 2024</w:t>
            </w:r>
          </w:p>
        </w:tc>
        <w:tc>
          <w:tcPr>
            <w:tcW w:w="1215" w:type="dxa"/>
            <w:noWrap/>
            <w:vAlign w:val="center"/>
            <w:hideMark/>
          </w:tcPr>
          <w:p w14:paraId="789685DF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814" w:type="dxa"/>
            <w:vAlign w:val="center"/>
            <w:hideMark/>
          </w:tcPr>
          <w:p w14:paraId="419AB2D9" w14:textId="38C8D325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En el periodo que se informa, se celebraron los 19 Convenios que se programaron para el  periodo</w:t>
            </w:r>
          </w:p>
        </w:tc>
      </w:tr>
      <w:tr w:rsidR="000031A7" w:rsidRPr="000031A7" w14:paraId="098169A8" w14:textId="77777777" w:rsidTr="000031A7">
        <w:trPr>
          <w:trHeight w:val="2760"/>
        </w:trPr>
        <w:tc>
          <w:tcPr>
            <w:tcW w:w="2205" w:type="dxa"/>
            <w:vAlign w:val="center"/>
            <w:hideMark/>
          </w:tcPr>
          <w:p w14:paraId="3CF3FA77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lastRenderedPageBreak/>
              <w:t>EO60                 Producción de Programas Informativos de Radio</w:t>
            </w:r>
          </w:p>
        </w:tc>
        <w:tc>
          <w:tcPr>
            <w:tcW w:w="1814" w:type="dxa"/>
            <w:vAlign w:val="center"/>
            <w:hideMark/>
          </w:tcPr>
          <w:p w14:paraId="76DC8B1B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Porcentaje de Mantenimientos a Mobiliario y</w:t>
            </w:r>
            <w:r w:rsidRPr="000031A7">
              <w:rPr>
                <w:rFonts w:cs="DIN Pro Regular"/>
                <w:b/>
              </w:rPr>
              <w:br/>
              <w:t>Equipos Realizados</w:t>
            </w:r>
          </w:p>
        </w:tc>
        <w:tc>
          <w:tcPr>
            <w:tcW w:w="1534" w:type="dxa"/>
            <w:vAlign w:val="center"/>
            <w:hideMark/>
          </w:tcPr>
          <w:p w14:paraId="05D18FE3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(Mantenimientos a Mobiliario y Equipos Realizados en el Periodo T / Mantenimientos a Mobiliario y</w:t>
            </w:r>
            <w:r w:rsidRPr="000031A7">
              <w:rPr>
                <w:rFonts w:cs="DIN Pro Regular"/>
                <w:b/>
              </w:rPr>
              <w:br/>
              <w:t>Equipos Programados en el Periodo T ) *100</w:t>
            </w:r>
          </w:p>
        </w:tc>
        <w:tc>
          <w:tcPr>
            <w:tcW w:w="1438" w:type="dxa"/>
            <w:noWrap/>
            <w:vAlign w:val="center"/>
            <w:hideMark/>
          </w:tcPr>
          <w:p w14:paraId="53899B5B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Mantenimientos</w:t>
            </w:r>
          </w:p>
        </w:tc>
        <w:tc>
          <w:tcPr>
            <w:tcW w:w="1350" w:type="dxa"/>
            <w:noWrap/>
            <w:vAlign w:val="center"/>
            <w:hideMark/>
          </w:tcPr>
          <w:p w14:paraId="6119CC1F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356" w:type="dxa"/>
            <w:noWrap/>
            <w:vAlign w:val="center"/>
            <w:hideMark/>
          </w:tcPr>
          <w:p w14:paraId="35B8A7D7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Anual</w:t>
            </w:r>
          </w:p>
        </w:tc>
        <w:tc>
          <w:tcPr>
            <w:tcW w:w="1354" w:type="dxa"/>
            <w:vAlign w:val="center"/>
            <w:hideMark/>
          </w:tcPr>
          <w:p w14:paraId="080BB023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 de Enero al 31 de Diciembre 2024</w:t>
            </w:r>
          </w:p>
        </w:tc>
        <w:tc>
          <w:tcPr>
            <w:tcW w:w="1215" w:type="dxa"/>
            <w:noWrap/>
            <w:vAlign w:val="center"/>
            <w:hideMark/>
          </w:tcPr>
          <w:p w14:paraId="4370D7B3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814" w:type="dxa"/>
            <w:vAlign w:val="center"/>
            <w:hideMark/>
          </w:tcPr>
          <w:p w14:paraId="5B0FD594" w14:textId="0B590278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En el periodo que se informa, se realizaron los 84 Mantenimientos a Mobiliario y Equipos que se programaron para el  periodo</w:t>
            </w:r>
          </w:p>
        </w:tc>
      </w:tr>
      <w:tr w:rsidR="000031A7" w:rsidRPr="000031A7" w14:paraId="1D02B1CF" w14:textId="77777777" w:rsidTr="000031A7">
        <w:trPr>
          <w:trHeight w:val="2790"/>
        </w:trPr>
        <w:tc>
          <w:tcPr>
            <w:tcW w:w="2205" w:type="dxa"/>
            <w:vAlign w:val="center"/>
            <w:hideMark/>
          </w:tcPr>
          <w:p w14:paraId="44BF122B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EO60                 Producción de Programas Informativos de Radio</w:t>
            </w:r>
          </w:p>
        </w:tc>
        <w:tc>
          <w:tcPr>
            <w:tcW w:w="1814" w:type="dxa"/>
            <w:vAlign w:val="center"/>
            <w:hideMark/>
          </w:tcPr>
          <w:p w14:paraId="7128E80A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Porcentaje de Mantenimientos Realizados a la</w:t>
            </w:r>
            <w:r w:rsidRPr="000031A7">
              <w:rPr>
                <w:rFonts w:cs="DIN Pro Regular"/>
                <w:b/>
              </w:rPr>
              <w:br/>
              <w:t>Infraestructura</w:t>
            </w:r>
          </w:p>
        </w:tc>
        <w:tc>
          <w:tcPr>
            <w:tcW w:w="1534" w:type="dxa"/>
            <w:vAlign w:val="center"/>
            <w:hideMark/>
          </w:tcPr>
          <w:p w14:paraId="495AC177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(Mantenimientos Realizados a la Infraestructura en el Periodo T/ Mantenimientos Programados a la</w:t>
            </w:r>
            <w:r w:rsidRPr="000031A7">
              <w:rPr>
                <w:rFonts w:cs="DIN Pro Regular"/>
                <w:b/>
              </w:rPr>
              <w:br/>
              <w:t>Infraestructura en el Periodo T) *100</w:t>
            </w:r>
          </w:p>
        </w:tc>
        <w:tc>
          <w:tcPr>
            <w:tcW w:w="1438" w:type="dxa"/>
            <w:noWrap/>
            <w:vAlign w:val="center"/>
            <w:hideMark/>
          </w:tcPr>
          <w:p w14:paraId="39BCD98F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Mantenimientos</w:t>
            </w:r>
          </w:p>
        </w:tc>
        <w:tc>
          <w:tcPr>
            <w:tcW w:w="1350" w:type="dxa"/>
            <w:noWrap/>
            <w:vAlign w:val="center"/>
            <w:hideMark/>
          </w:tcPr>
          <w:p w14:paraId="1CF308EF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356" w:type="dxa"/>
            <w:noWrap/>
            <w:vAlign w:val="center"/>
            <w:hideMark/>
          </w:tcPr>
          <w:p w14:paraId="32AA8554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Anual</w:t>
            </w:r>
          </w:p>
        </w:tc>
        <w:tc>
          <w:tcPr>
            <w:tcW w:w="1354" w:type="dxa"/>
            <w:vAlign w:val="center"/>
            <w:hideMark/>
          </w:tcPr>
          <w:p w14:paraId="52C9AC73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 de Enero al 31 de Diciembre 2024</w:t>
            </w:r>
          </w:p>
        </w:tc>
        <w:tc>
          <w:tcPr>
            <w:tcW w:w="1215" w:type="dxa"/>
            <w:noWrap/>
            <w:vAlign w:val="center"/>
            <w:hideMark/>
          </w:tcPr>
          <w:p w14:paraId="1DE995D1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814" w:type="dxa"/>
            <w:vAlign w:val="center"/>
            <w:hideMark/>
          </w:tcPr>
          <w:p w14:paraId="252524D4" w14:textId="70C068C4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En el periodo que se informa, se realizaron los 70 Mantenimientos menores  que se programaron para el  periodo</w:t>
            </w:r>
          </w:p>
        </w:tc>
      </w:tr>
      <w:tr w:rsidR="000031A7" w:rsidRPr="000031A7" w14:paraId="5F9FEFDB" w14:textId="77777777" w:rsidTr="000031A7">
        <w:trPr>
          <w:trHeight w:val="1680"/>
        </w:trPr>
        <w:tc>
          <w:tcPr>
            <w:tcW w:w="2205" w:type="dxa"/>
            <w:vAlign w:val="center"/>
            <w:hideMark/>
          </w:tcPr>
          <w:p w14:paraId="0B6C0F0B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lastRenderedPageBreak/>
              <w:t>EO60                 Producción de Programas Informativos de Radio</w:t>
            </w:r>
          </w:p>
        </w:tc>
        <w:tc>
          <w:tcPr>
            <w:tcW w:w="1814" w:type="dxa"/>
            <w:vAlign w:val="center"/>
            <w:hideMark/>
          </w:tcPr>
          <w:p w14:paraId="4B89DF5A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Porcentaje de acciones realizadas</w:t>
            </w:r>
          </w:p>
        </w:tc>
        <w:tc>
          <w:tcPr>
            <w:tcW w:w="1534" w:type="dxa"/>
            <w:vAlign w:val="center"/>
            <w:hideMark/>
          </w:tcPr>
          <w:p w14:paraId="034A6F0B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(Acciones Realizadas en el Periodo T/Acciones Programadas a Realizarse en el Periodo T) *100</w:t>
            </w:r>
          </w:p>
        </w:tc>
        <w:tc>
          <w:tcPr>
            <w:tcW w:w="1438" w:type="dxa"/>
            <w:vAlign w:val="center"/>
            <w:hideMark/>
          </w:tcPr>
          <w:p w14:paraId="5992A953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Porcentaje de Acciones</w:t>
            </w:r>
          </w:p>
        </w:tc>
        <w:tc>
          <w:tcPr>
            <w:tcW w:w="1350" w:type="dxa"/>
            <w:noWrap/>
            <w:vAlign w:val="center"/>
            <w:hideMark/>
          </w:tcPr>
          <w:p w14:paraId="6A76B510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356" w:type="dxa"/>
            <w:noWrap/>
            <w:vAlign w:val="center"/>
            <w:hideMark/>
          </w:tcPr>
          <w:p w14:paraId="670D0479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Anual</w:t>
            </w:r>
          </w:p>
        </w:tc>
        <w:tc>
          <w:tcPr>
            <w:tcW w:w="1354" w:type="dxa"/>
            <w:vAlign w:val="center"/>
            <w:hideMark/>
          </w:tcPr>
          <w:p w14:paraId="797171BE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 de Enero al 31 de Diciembre 2024</w:t>
            </w:r>
          </w:p>
        </w:tc>
        <w:tc>
          <w:tcPr>
            <w:tcW w:w="1215" w:type="dxa"/>
            <w:noWrap/>
            <w:vAlign w:val="center"/>
            <w:hideMark/>
          </w:tcPr>
          <w:p w14:paraId="1025736C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814" w:type="dxa"/>
            <w:vAlign w:val="center"/>
            <w:hideMark/>
          </w:tcPr>
          <w:p w14:paraId="07C9B135" w14:textId="208029BB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 xml:space="preserve">En el periodo que se informa, se realizaron  las 4 acciones  que se </w:t>
            </w:r>
            <w:proofErr w:type="spellStart"/>
            <w:r w:rsidRPr="000031A7">
              <w:rPr>
                <w:rFonts w:cs="DIN Pro Regular"/>
                <w:b/>
              </w:rPr>
              <w:t>programarón</w:t>
            </w:r>
            <w:proofErr w:type="spellEnd"/>
            <w:r w:rsidRPr="000031A7">
              <w:rPr>
                <w:rFonts w:cs="DIN Pro Regular"/>
                <w:b/>
              </w:rPr>
              <w:t xml:space="preserve"> para el  periodo</w:t>
            </w:r>
          </w:p>
        </w:tc>
      </w:tr>
      <w:tr w:rsidR="000031A7" w:rsidRPr="000031A7" w14:paraId="47B64062" w14:textId="77777777" w:rsidTr="000031A7">
        <w:trPr>
          <w:trHeight w:val="3300"/>
        </w:trPr>
        <w:tc>
          <w:tcPr>
            <w:tcW w:w="2205" w:type="dxa"/>
            <w:vAlign w:val="center"/>
            <w:hideMark/>
          </w:tcPr>
          <w:p w14:paraId="15C187D7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EO60                 Producción de Programas Informativos de Radio</w:t>
            </w:r>
          </w:p>
        </w:tc>
        <w:tc>
          <w:tcPr>
            <w:tcW w:w="1814" w:type="dxa"/>
            <w:vAlign w:val="center"/>
            <w:hideMark/>
          </w:tcPr>
          <w:p w14:paraId="3C85106F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Porcentaje de Licencias y Sistemas Adquiridos</w:t>
            </w:r>
          </w:p>
        </w:tc>
        <w:tc>
          <w:tcPr>
            <w:tcW w:w="1534" w:type="dxa"/>
            <w:vAlign w:val="center"/>
            <w:hideMark/>
          </w:tcPr>
          <w:p w14:paraId="57D4372F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(licencias y sistemas digitales adquiridos en el Periodo T/ licencias y sistemas digitales programados para</w:t>
            </w:r>
            <w:r w:rsidRPr="000031A7">
              <w:rPr>
                <w:rFonts w:cs="DIN Pro Regular"/>
                <w:b/>
              </w:rPr>
              <w:br/>
              <w:t>ser adquiridos en el Periodo T) *100</w:t>
            </w:r>
          </w:p>
        </w:tc>
        <w:tc>
          <w:tcPr>
            <w:tcW w:w="1438" w:type="dxa"/>
            <w:vAlign w:val="center"/>
            <w:hideMark/>
          </w:tcPr>
          <w:p w14:paraId="0355DD25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Porcentaje de Avance</w:t>
            </w:r>
          </w:p>
        </w:tc>
        <w:tc>
          <w:tcPr>
            <w:tcW w:w="1350" w:type="dxa"/>
            <w:noWrap/>
            <w:vAlign w:val="center"/>
            <w:hideMark/>
          </w:tcPr>
          <w:p w14:paraId="10118A78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356" w:type="dxa"/>
            <w:noWrap/>
            <w:vAlign w:val="center"/>
            <w:hideMark/>
          </w:tcPr>
          <w:p w14:paraId="0BF9CFA6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Anual</w:t>
            </w:r>
          </w:p>
        </w:tc>
        <w:tc>
          <w:tcPr>
            <w:tcW w:w="1354" w:type="dxa"/>
            <w:vAlign w:val="center"/>
            <w:hideMark/>
          </w:tcPr>
          <w:p w14:paraId="099FD3AC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 de Enero al 31 de Diciembre 2024</w:t>
            </w:r>
          </w:p>
        </w:tc>
        <w:tc>
          <w:tcPr>
            <w:tcW w:w="1215" w:type="dxa"/>
            <w:noWrap/>
            <w:vAlign w:val="center"/>
            <w:hideMark/>
          </w:tcPr>
          <w:p w14:paraId="53882215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814" w:type="dxa"/>
            <w:vAlign w:val="center"/>
            <w:hideMark/>
          </w:tcPr>
          <w:p w14:paraId="28906D1A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En el periodo que se informa, se tuvo un avance del 25% en el proyecto según lo programado en el periodo</w:t>
            </w:r>
          </w:p>
        </w:tc>
      </w:tr>
      <w:tr w:rsidR="000031A7" w:rsidRPr="000031A7" w14:paraId="1275ED1E" w14:textId="77777777" w:rsidTr="000031A7">
        <w:trPr>
          <w:trHeight w:val="2565"/>
        </w:trPr>
        <w:tc>
          <w:tcPr>
            <w:tcW w:w="2205" w:type="dxa"/>
            <w:vAlign w:val="center"/>
            <w:hideMark/>
          </w:tcPr>
          <w:p w14:paraId="35D0C373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EO60                 Producción de Programas Informativos de Radio</w:t>
            </w:r>
          </w:p>
        </w:tc>
        <w:tc>
          <w:tcPr>
            <w:tcW w:w="1814" w:type="dxa"/>
            <w:vAlign w:val="center"/>
            <w:hideMark/>
          </w:tcPr>
          <w:p w14:paraId="24E6D012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Porcentaje de Mobiliario y Equipo Renovado</w:t>
            </w:r>
          </w:p>
        </w:tc>
        <w:tc>
          <w:tcPr>
            <w:tcW w:w="1534" w:type="dxa"/>
            <w:vAlign w:val="center"/>
            <w:hideMark/>
          </w:tcPr>
          <w:p w14:paraId="45C90C58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(Mobiliario y Equipo Renovado en el Periodo T/Mobiliario y Equipo Programado para Renovarse en el</w:t>
            </w:r>
            <w:r w:rsidRPr="000031A7">
              <w:rPr>
                <w:rFonts w:cs="DIN Pro Regular"/>
                <w:b/>
              </w:rPr>
              <w:br/>
              <w:t>Periodo T) *100</w:t>
            </w:r>
          </w:p>
        </w:tc>
        <w:tc>
          <w:tcPr>
            <w:tcW w:w="1438" w:type="dxa"/>
            <w:vAlign w:val="center"/>
            <w:hideMark/>
          </w:tcPr>
          <w:p w14:paraId="4CEB6296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Porcentaje de Avance</w:t>
            </w:r>
          </w:p>
        </w:tc>
        <w:tc>
          <w:tcPr>
            <w:tcW w:w="1350" w:type="dxa"/>
            <w:noWrap/>
            <w:vAlign w:val="center"/>
            <w:hideMark/>
          </w:tcPr>
          <w:p w14:paraId="7D31ED6E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356" w:type="dxa"/>
            <w:noWrap/>
            <w:vAlign w:val="center"/>
            <w:hideMark/>
          </w:tcPr>
          <w:p w14:paraId="7F6E8619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Anual</w:t>
            </w:r>
          </w:p>
        </w:tc>
        <w:tc>
          <w:tcPr>
            <w:tcW w:w="1354" w:type="dxa"/>
            <w:vAlign w:val="center"/>
            <w:hideMark/>
          </w:tcPr>
          <w:p w14:paraId="4E1B7813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 de Enero al 31 de Diciembre 2024</w:t>
            </w:r>
          </w:p>
        </w:tc>
        <w:tc>
          <w:tcPr>
            <w:tcW w:w="1215" w:type="dxa"/>
            <w:noWrap/>
            <w:vAlign w:val="center"/>
            <w:hideMark/>
          </w:tcPr>
          <w:p w14:paraId="0EDA48A6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50%</w:t>
            </w:r>
          </w:p>
        </w:tc>
        <w:tc>
          <w:tcPr>
            <w:tcW w:w="1814" w:type="dxa"/>
            <w:vAlign w:val="center"/>
            <w:hideMark/>
          </w:tcPr>
          <w:p w14:paraId="6721B050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El Indicador y la Meta se restructura para el 2025</w:t>
            </w:r>
          </w:p>
        </w:tc>
      </w:tr>
      <w:tr w:rsidR="000031A7" w:rsidRPr="000031A7" w14:paraId="0D3275B8" w14:textId="77777777" w:rsidTr="000031A7">
        <w:trPr>
          <w:trHeight w:val="3330"/>
        </w:trPr>
        <w:tc>
          <w:tcPr>
            <w:tcW w:w="2205" w:type="dxa"/>
            <w:vAlign w:val="center"/>
            <w:hideMark/>
          </w:tcPr>
          <w:p w14:paraId="51165BA2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lastRenderedPageBreak/>
              <w:t>EO60                 Producción de Programas Informativos de Radio</w:t>
            </w:r>
          </w:p>
        </w:tc>
        <w:tc>
          <w:tcPr>
            <w:tcW w:w="1814" w:type="dxa"/>
            <w:vAlign w:val="center"/>
            <w:hideMark/>
          </w:tcPr>
          <w:p w14:paraId="61C6377B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Porcentaje de Servicios Contratados</w:t>
            </w:r>
          </w:p>
        </w:tc>
        <w:tc>
          <w:tcPr>
            <w:tcW w:w="1534" w:type="dxa"/>
            <w:vAlign w:val="center"/>
            <w:hideMark/>
          </w:tcPr>
          <w:p w14:paraId="0C4B5D87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(Servicios Contratados en el Periodo T/ Servicios programados a contratar en el Periodo T)*100</w:t>
            </w:r>
          </w:p>
        </w:tc>
        <w:tc>
          <w:tcPr>
            <w:tcW w:w="1438" w:type="dxa"/>
            <w:vAlign w:val="center"/>
            <w:hideMark/>
          </w:tcPr>
          <w:p w14:paraId="424FB07A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Porcentaje de Avance</w:t>
            </w:r>
          </w:p>
        </w:tc>
        <w:tc>
          <w:tcPr>
            <w:tcW w:w="1350" w:type="dxa"/>
            <w:noWrap/>
            <w:vAlign w:val="center"/>
            <w:hideMark/>
          </w:tcPr>
          <w:p w14:paraId="06320726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356" w:type="dxa"/>
            <w:noWrap/>
            <w:vAlign w:val="center"/>
            <w:hideMark/>
          </w:tcPr>
          <w:p w14:paraId="4848F394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Anual</w:t>
            </w:r>
          </w:p>
        </w:tc>
        <w:tc>
          <w:tcPr>
            <w:tcW w:w="1354" w:type="dxa"/>
            <w:vAlign w:val="center"/>
            <w:hideMark/>
          </w:tcPr>
          <w:p w14:paraId="31B54624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 de Enero al 31 de Diciembre 2024</w:t>
            </w:r>
          </w:p>
        </w:tc>
        <w:tc>
          <w:tcPr>
            <w:tcW w:w="1215" w:type="dxa"/>
            <w:noWrap/>
            <w:vAlign w:val="center"/>
            <w:hideMark/>
          </w:tcPr>
          <w:p w14:paraId="12509099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>100%</w:t>
            </w:r>
          </w:p>
        </w:tc>
        <w:tc>
          <w:tcPr>
            <w:tcW w:w="1814" w:type="dxa"/>
            <w:vAlign w:val="center"/>
            <w:hideMark/>
          </w:tcPr>
          <w:p w14:paraId="37C7F5EE" w14:textId="77777777" w:rsidR="000031A7" w:rsidRPr="000031A7" w:rsidRDefault="000031A7" w:rsidP="000031A7">
            <w:pPr>
              <w:tabs>
                <w:tab w:val="left" w:pos="11760"/>
              </w:tabs>
              <w:rPr>
                <w:rFonts w:cs="DIN Pro Regular"/>
                <w:b/>
              </w:rPr>
            </w:pPr>
            <w:r w:rsidRPr="000031A7">
              <w:rPr>
                <w:rFonts w:cs="DIN Pro Regular"/>
                <w:b/>
              </w:rPr>
              <w:t xml:space="preserve">Se tuvo un avance del 100% según lo </w:t>
            </w:r>
            <w:proofErr w:type="spellStart"/>
            <w:r w:rsidRPr="000031A7">
              <w:rPr>
                <w:rFonts w:cs="DIN Pro Regular"/>
                <w:b/>
              </w:rPr>
              <w:t>programado.Este</w:t>
            </w:r>
            <w:proofErr w:type="spellEnd"/>
            <w:r w:rsidRPr="000031A7">
              <w:rPr>
                <w:rFonts w:cs="DIN Pro Regular"/>
                <w:b/>
              </w:rPr>
              <w:t xml:space="preserve"> porcentaje se midió como un  acumulado y no como porcentaje, con  base en esto la meta real refleja un cumplimiento del 100% de los  servicios programados</w:t>
            </w:r>
          </w:p>
        </w:tc>
      </w:tr>
    </w:tbl>
    <w:p w14:paraId="73A7F204" w14:textId="77777777" w:rsidR="000031A7" w:rsidRDefault="000031A7">
      <w:pPr>
        <w:tabs>
          <w:tab w:val="left" w:pos="11760"/>
        </w:tabs>
        <w:rPr>
          <w:rFonts w:cs="DIN Pro Regular"/>
          <w:b/>
        </w:rPr>
      </w:pPr>
    </w:p>
    <w:p w14:paraId="545E7AD3" w14:textId="77777777" w:rsidR="003F3903" w:rsidRDefault="003F3903">
      <w:pPr>
        <w:jc w:val="both"/>
        <w:rPr>
          <w:rFonts w:cs="DIN Pro Regular"/>
        </w:rPr>
      </w:pPr>
    </w:p>
    <w:p w14:paraId="479AE58A" w14:textId="77777777" w:rsidR="003F3903" w:rsidRDefault="003F3903">
      <w:pPr>
        <w:jc w:val="both"/>
        <w:rPr>
          <w:rFonts w:cs="DIN Pro Regular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B5BD3" w14:textId="77777777" w:rsidR="00C86ADE" w:rsidRDefault="00A800BB">
      <w:pPr>
        <w:spacing w:after="0" w:line="240" w:lineRule="auto"/>
      </w:pPr>
      <w:r>
        <w:separator/>
      </w:r>
    </w:p>
  </w:endnote>
  <w:endnote w:type="continuationSeparator" w:id="0">
    <w:p w14:paraId="1D477D19" w14:textId="77777777" w:rsidR="00C86ADE" w:rsidRDefault="00A8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62CFD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2ACDF414" wp14:editId="3A196008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D8AF44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ED08B7">
      <w:rPr>
        <w:rFonts w:ascii="Arial" w:hAnsi="Arial" w:cs="Arial"/>
        <w:noProof/>
      </w:rPr>
      <w:t>7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64CE2" w14:textId="77777777" w:rsidR="00C86ADE" w:rsidRDefault="00A800BB">
      <w:pPr>
        <w:spacing w:after="0" w:line="240" w:lineRule="auto"/>
      </w:pPr>
      <w:r>
        <w:separator/>
      </w:r>
    </w:p>
  </w:footnote>
  <w:footnote w:type="continuationSeparator" w:id="0">
    <w:p w14:paraId="443A84FB" w14:textId="77777777" w:rsidR="00C86ADE" w:rsidRDefault="00A8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D3C1E" w14:textId="17C751E0" w:rsidR="003F3903" w:rsidRPr="00ED08B7" w:rsidRDefault="00A800BB" w:rsidP="00ED08B7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3E20DBD" wp14:editId="0A6A98A7">
              <wp:simplePos x="0" y="0"/>
              <wp:positionH relativeFrom="column">
                <wp:posOffset>6701790</wp:posOffset>
              </wp:positionH>
              <wp:positionV relativeFrom="paragraph">
                <wp:posOffset>-297814</wp:posOffset>
              </wp:positionV>
              <wp:extent cx="1762125" cy="781050"/>
              <wp:effectExtent l="0" t="0" r="9525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1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85F8A8" w14:textId="27BC6B78" w:rsidR="003F3903" w:rsidRDefault="000031A7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39784" wp14:editId="04FBFA11">
                                <wp:extent cx="1242695" cy="467360"/>
                                <wp:effectExtent l="0" t="0" r="0" b="8890"/>
                                <wp:docPr id="712711920" name="Imagen 3" descr="Texto&#10;&#10;El contenido generado por IA puede ser incorrecto.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1E725A7-0B3D-48F0-99AE-AF8D61DF16B8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2711920" name="Imagen 3" descr="Texto&#10;&#10;El contenido generado por IA puede ser incorrecto.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1E725A7-0B3D-48F0-99AE-AF8D61DF16B8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695" cy="467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3E20DBD" id="2 Rectángulo" o:spid="_x0000_s1026" style="position:absolute;left:0;text-align:left;margin-left:527.7pt;margin-top:-23.45pt;width:138.75pt;height:61.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" o:allowincell="f" stroked="f" strokeweight="1pt">
              <v:textbox>
                <w:txbxContent>
                  <w:p w14:paraId="7A85F8A8" w14:textId="27BC6B78" w:rsidR="003F3903" w:rsidRDefault="000031A7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739784" wp14:editId="04FBFA11">
                          <wp:extent cx="1242695" cy="467360"/>
                          <wp:effectExtent l="0" t="0" r="0" b="8890"/>
                          <wp:docPr id="712711920" name="Imagen 3" descr="Texto&#10;&#10;El contenido generado por IA puede ser incorrecto.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A1E725A7-0B3D-48F0-99AE-AF8D61DF16B8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12711920" name="Imagen 3" descr="Texto&#10;&#10;El contenido generado por IA puede ser incorrecto.">
                                    <a:extLst>
                                      <a:ext uri="{FF2B5EF4-FFF2-40B4-BE49-F238E27FC236}">
                                        <a16:creationId xmlns:a16="http://schemas.microsoft.com/office/drawing/2014/main" id="{A1E725A7-0B3D-48F0-99AE-AF8D61DF16B8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695" cy="467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732992" behindDoc="1" locked="0" layoutInCell="0" allowOverlap="1" wp14:anchorId="2D74FA6A" wp14:editId="7BB77FE2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8B7">
      <w:rPr>
        <w:rFonts w:ascii="Arial" w:hAnsi="Arial" w:cs="Arial"/>
      </w:rPr>
      <w:t xml:space="preserve">          </w:t>
    </w:r>
    <w:r w:rsidR="000031A7">
      <w:rPr>
        <w:rFonts w:ascii="Encode Sans" w:hAnsi="Encode Sans" w:cs="Arial"/>
        <w:b/>
        <w:bCs/>
        <w:sz w:val="24"/>
        <w:szCs w:val="24"/>
      </w:rPr>
      <w:t>Sistema Estatal de Radio y Televisión Tama</w:t>
    </w:r>
    <w:r w:rsidR="00BC1EEE">
      <w:rPr>
        <w:rFonts w:ascii="Encode Sans" w:hAnsi="Encode Sans" w:cs="Arial"/>
        <w:b/>
        <w:bCs/>
        <w:sz w:val="24"/>
        <w:szCs w:val="24"/>
      </w:rPr>
      <w:t>ulipas.</w:t>
    </w:r>
  </w:p>
  <w:p w14:paraId="14C7FBFB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571A7EAF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49B1F6F7" wp14:editId="4B5C30EE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03"/>
    <w:rsid w:val="000031A7"/>
    <w:rsid w:val="000A0276"/>
    <w:rsid w:val="00173244"/>
    <w:rsid w:val="003F3903"/>
    <w:rsid w:val="00495808"/>
    <w:rsid w:val="00A800BB"/>
    <w:rsid w:val="00BB6BEC"/>
    <w:rsid w:val="00BC1EEE"/>
    <w:rsid w:val="00C86ADE"/>
    <w:rsid w:val="00E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77A8A7"/>
  <w15:docId w15:val="{C0B28C6F-E8D8-48B1-AC60-9C440103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00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65FB-0184-47BE-B63E-20F472DC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903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CentroRegional</cp:lastModifiedBy>
  <cp:revision>3</cp:revision>
  <cp:lastPrinted>2022-12-20T20:35:00Z</cp:lastPrinted>
  <dcterms:created xsi:type="dcterms:W3CDTF">2025-02-25T19:43:00Z</dcterms:created>
  <dcterms:modified xsi:type="dcterms:W3CDTF">2025-02-25T22:39:00Z</dcterms:modified>
  <dc:language>es-MX</dc:language>
</cp:coreProperties>
</file>