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C4" w:rsidRPr="00EE6F70" w:rsidRDefault="006753C4">
      <w:pPr>
        <w:pStyle w:val="Text"/>
        <w:rPr>
          <w:rFonts w:asciiTheme="majorHAnsi" w:hAnsiTheme="majorHAnsi"/>
          <w:sz w:val="22"/>
          <w:szCs w:val="22"/>
        </w:rPr>
      </w:pPr>
      <w:bookmarkStart w:id="0" w:name="_GoBack"/>
      <w:bookmarkEnd w:id="0"/>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t>Cuenta Pública 2024</w:t>
      </w:r>
    </w:p>
    <w:p w:rsidR="006753C4" w:rsidRPr="00EE6F70" w:rsidRDefault="006753C4">
      <w:pPr>
        <w:pStyle w:val="Text"/>
        <w:spacing w:after="0" w:line="240" w:lineRule="exact"/>
        <w:jc w:val="center"/>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t>Notas a los Estados Financieros</w:t>
      </w:r>
    </w:p>
    <w:p w:rsidR="006753C4" w:rsidRPr="00EE6F70" w:rsidRDefault="006753C4">
      <w:pPr>
        <w:pStyle w:val="Text"/>
        <w:spacing w:after="0" w:line="240" w:lineRule="exact"/>
        <w:ind w:firstLine="0"/>
        <w:rPr>
          <w:rFonts w:asciiTheme="majorHAnsi" w:hAnsiTheme="majorHAnsi" w:cs="DIN Pro Regular"/>
          <w:b/>
          <w:sz w:val="22"/>
          <w:szCs w:val="22"/>
        </w:rPr>
      </w:pPr>
    </w:p>
    <w:p w:rsidR="006753C4" w:rsidRPr="00EE6F70" w:rsidRDefault="006753C4">
      <w:pPr>
        <w:pStyle w:val="Text"/>
        <w:spacing w:after="0" w:line="240" w:lineRule="exact"/>
        <w:ind w:firstLine="0"/>
        <w:rPr>
          <w:rFonts w:asciiTheme="majorHAnsi" w:hAnsiTheme="majorHAnsi" w:cs="DIN Pro Regular"/>
          <w:b/>
          <w:sz w:val="22"/>
          <w:szCs w:val="22"/>
        </w:rPr>
      </w:pPr>
    </w:p>
    <w:p w:rsidR="006753C4" w:rsidRPr="00EE6F70" w:rsidRDefault="001D1B14">
      <w:pPr>
        <w:pStyle w:val="Text"/>
        <w:spacing w:after="0" w:line="240" w:lineRule="exact"/>
        <w:ind w:firstLine="0"/>
        <w:jc w:val="center"/>
        <w:rPr>
          <w:rFonts w:asciiTheme="majorHAnsi" w:hAnsiTheme="majorHAnsi"/>
          <w:sz w:val="22"/>
          <w:szCs w:val="22"/>
        </w:rPr>
      </w:pPr>
      <w:r w:rsidRPr="00EE6F70">
        <w:rPr>
          <w:rFonts w:asciiTheme="majorHAnsi" w:hAnsiTheme="majorHAnsi" w:cs="DIN Pro Regular"/>
          <w:b/>
          <w:sz w:val="22"/>
          <w:szCs w:val="22"/>
          <w:lang w:val="es-MX"/>
        </w:rPr>
        <w:t>a) NOTAS DE GESTIÓN ADMINISTRATIVA</w:t>
      </w:r>
    </w:p>
    <w:p w:rsidR="006753C4" w:rsidRPr="00EE6F70" w:rsidRDefault="006753C4">
      <w:pPr>
        <w:pStyle w:val="Text"/>
        <w:spacing w:after="0" w:line="240" w:lineRule="exact"/>
        <w:ind w:firstLine="0"/>
        <w:jc w:val="left"/>
        <w:rPr>
          <w:rFonts w:asciiTheme="majorHAnsi" w:hAnsiTheme="majorHAnsi" w:cs="DIN Pro Regular"/>
          <w:b/>
          <w:sz w:val="22"/>
          <w:szCs w:val="22"/>
          <w:lang w:val="es-MX"/>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Autorización e Historia</w:t>
      </w:r>
    </w:p>
    <w:p w:rsidR="006753C4" w:rsidRPr="00EE6F70" w:rsidRDefault="006753C4">
      <w:pPr>
        <w:spacing w:after="101" w:line="216" w:lineRule="exact"/>
        <w:ind w:left="709"/>
        <w:jc w:val="both"/>
        <w:rPr>
          <w:rFonts w:asciiTheme="majorHAnsi" w:eastAsia="Times New Roman" w:hAnsiTheme="majorHAnsi" w:cs="Calibri"/>
          <w:sz w:val="22"/>
          <w:szCs w:val="22"/>
          <w:u w:val="single"/>
          <w:lang w:val="es-ES" w:eastAsia="es-ES"/>
        </w:rPr>
      </w:pPr>
    </w:p>
    <w:p w:rsidR="006753C4" w:rsidRPr="00EE6F70" w:rsidRDefault="001D1B14">
      <w:pPr>
        <w:spacing w:after="101" w:line="216" w:lineRule="exact"/>
        <w:ind w:left="709"/>
        <w:jc w:val="both"/>
        <w:rPr>
          <w:rFonts w:asciiTheme="majorHAnsi" w:eastAsia="Times New Roman" w:hAnsiTheme="majorHAnsi" w:cs="Calibri"/>
          <w:sz w:val="22"/>
          <w:szCs w:val="22"/>
          <w:u w:val="single"/>
          <w:lang w:val="es-ES" w:eastAsia="es-ES"/>
        </w:rPr>
      </w:pPr>
      <w:r w:rsidRPr="00EE6F70">
        <w:rPr>
          <w:rFonts w:asciiTheme="majorHAnsi" w:eastAsia="Times New Roman" w:hAnsiTheme="majorHAnsi" w:cs="Calibri"/>
          <w:sz w:val="22"/>
          <w:szCs w:val="22"/>
          <w:u w:val="single"/>
          <w:lang w:val="es-ES" w:eastAsia="es-ES"/>
        </w:rPr>
        <w:t>Fecha de creación del Organismo</w:t>
      </w:r>
    </w:p>
    <w:p w:rsidR="006753C4" w:rsidRPr="00EE6F70" w:rsidRDefault="006753C4">
      <w:pPr>
        <w:spacing w:after="101" w:line="216" w:lineRule="exact"/>
        <w:ind w:left="709"/>
        <w:jc w:val="both"/>
        <w:rPr>
          <w:rFonts w:asciiTheme="majorHAnsi" w:eastAsia="Times New Roman" w:hAnsiTheme="majorHAnsi" w:cs="Calibri"/>
          <w:sz w:val="22"/>
          <w:szCs w:val="22"/>
          <w:u w:val="single"/>
          <w:lang w:val="es-ES" w:eastAsia="es-ES"/>
        </w:rPr>
      </w:pPr>
    </w:p>
    <w:p w:rsidR="006753C4" w:rsidRPr="00EE6F70" w:rsidRDefault="001D1B14">
      <w:pPr>
        <w:spacing w:line="216" w:lineRule="exact"/>
        <w:ind w:left="709"/>
        <w:jc w:val="both"/>
        <w:rPr>
          <w:rFonts w:asciiTheme="majorHAnsi" w:eastAsia="Times New Roman" w:hAnsiTheme="majorHAnsi" w:cs="Calibri"/>
          <w:sz w:val="22"/>
          <w:szCs w:val="22"/>
          <w:lang w:val="es-ES" w:eastAsia="es-ES"/>
        </w:rPr>
      </w:pPr>
      <w:r w:rsidRPr="00EE6F70">
        <w:rPr>
          <w:rFonts w:asciiTheme="majorHAnsi" w:eastAsia="Times New Roman" w:hAnsiTheme="majorHAnsi" w:cs="Calibri"/>
          <w:sz w:val="22"/>
          <w:szCs w:val="22"/>
          <w:lang w:val="es-ES" w:eastAsia="es-ES"/>
        </w:rPr>
        <w:t>Con fecha 10 de marzo de 2015 se suscribió el Acuerdo de Coordinación para la Ejecución del Sistema de Protección Social en Salud 2015, mismo que tiene por objeto establecer las bases y compromisos por parte de autoridades federales y estatales para la ejecución del Sistema Estatal de Protección Social en Salud en el Estado de Tamaulipas, que, entre otras cuestiones, acordó que el Régimen Estatal de Protección Social en Salud cuente con personalidad jurídica y patrimonio propio.</w:t>
      </w:r>
    </w:p>
    <w:p w:rsidR="006753C4" w:rsidRPr="00EE6F70" w:rsidRDefault="006753C4">
      <w:pPr>
        <w:spacing w:line="216" w:lineRule="exact"/>
        <w:ind w:left="709"/>
        <w:jc w:val="both"/>
        <w:rPr>
          <w:rFonts w:asciiTheme="majorHAnsi" w:eastAsia="Times New Roman" w:hAnsiTheme="majorHAnsi" w:cs="Calibri"/>
          <w:sz w:val="22"/>
          <w:szCs w:val="22"/>
          <w:lang w:val="es-ES" w:eastAsia="es-ES"/>
        </w:rPr>
      </w:pPr>
    </w:p>
    <w:p w:rsidR="006753C4" w:rsidRPr="00EE6F70" w:rsidRDefault="001D1B14">
      <w:pPr>
        <w:spacing w:line="216" w:lineRule="exact"/>
        <w:ind w:left="709"/>
        <w:jc w:val="both"/>
        <w:rPr>
          <w:rFonts w:asciiTheme="majorHAnsi" w:eastAsia="Times New Roman" w:hAnsiTheme="majorHAnsi" w:cs="Calibri"/>
          <w:sz w:val="22"/>
          <w:szCs w:val="22"/>
          <w:lang w:val="es-ES" w:eastAsia="es-ES"/>
        </w:rPr>
      </w:pPr>
      <w:r w:rsidRPr="00EE6F70">
        <w:rPr>
          <w:rFonts w:asciiTheme="majorHAnsi" w:eastAsia="Times New Roman" w:hAnsiTheme="majorHAnsi" w:cs="Calibri"/>
          <w:sz w:val="22"/>
          <w:szCs w:val="22"/>
          <w:lang w:val="es-ES" w:eastAsia="es-ES"/>
        </w:rPr>
        <w:t>En virtud de lo anterior, el 17 de septiembre de 2015 se crea mediante Decreto publicado en el Periódico Oficial de Tamaulipas, el Régimen Estatal de Protección Social en Salud de Tamaulipas, con carácter de Organismo Público Descentralizado de la Administración Pública Estatal, sectorizada a la Secretaria de Salud del Gobierno del Estado, con personalidad jurídica y patrimonio propios.</w:t>
      </w:r>
    </w:p>
    <w:p w:rsidR="006753C4" w:rsidRPr="00EE6F70" w:rsidRDefault="006753C4">
      <w:pPr>
        <w:spacing w:line="216" w:lineRule="exact"/>
        <w:ind w:left="709"/>
        <w:jc w:val="both"/>
        <w:rPr>
          <w:rFonts w:asciiTheme="majorHAnsi" w:eastAsia="Times New Roman" w:hAnsiTheme="majorHAnsi" w:cs="Calibri"/>
          <w:sz w:val="22"/>
          <w:szCs w:val="22"/>
          <w:lang w:val="es-ES"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Por el término de vigencia al 31 de diciembre de 2019, a partir del 01 de enero de 2020 desaparece el programa de Seguro Popular a nivel nacional.</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Panorama Económico y Financiero</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Derivado de la decisión tomada por la actual Administración Pública Federal no hay panorama económico o financiero que evaluar, debido a que se ha aprobado la conclusión del programa Seguro Popular a nivel nacional, lo cual impacta contundentemente al Organismo Público Descentralizado.</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Organización y Objeto Social</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Objeto Social</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after="101" w:line="216" w:lineRule="exact"/>
        <w:ind w:left="709"/>
        <w:jc w:val="both"/>
        <w:rPr>
          <w:rFonts w:asciiTheme="majorHAnsi" w:hAnsiTheme="majorHAnsi" w:cs="Calibri"/>
          <w:sz w:val="22"/>
          <w:szCs w:val="22"/>
          <w:lang w:val="es-ES" w:eastAsia="es-ES"/>
        </w:rPr>
      </w:pPr>
      <w:r w:rsidRPr="00EE6F70">
        <w:rPr>
          <w:rFonts w:asciiTheme="majorHAnsi" w:hAnsiTheme="majorHAnsi" w:cs="Calibri"/>
          <w:sz w:val="22"/>
          <w:szCs w:val="22"/>
          <w:lang w:val="es-ES" w:eastAsia="es-ES"/>
        </w:rPr>
        <w:t>Conforme a la normatividad tuvo por objeto ejercer las acciones establecidas en el Título Tercero Bis de la Ley General de Salud, que correspondan a la Entidad, respecto a los Regímenes Estatales de Protección Social en Salud, particularmente las dispuestas por el apartado B) del artículo 77 bis 5 de la misma legislación general referida y conforme al Reglamento de la Ley General de Salud en material de Protección Social en Salud.</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Principal actividad</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hAnsiTheme="majorHAnsi"/>
          <w:sz w:val="22"/>
          <w:szCs w:val="22"/>
        </w:rPr>
      </w:pPr>
      <w:r w:rsidRPr="00EE6F70">
        <w:rPr>
          <w:rFonts w:asciiTheme="majorHAnsi" w:eastAsia="Times New Roman" w:hAnsiTheme="majorHAnsi" w:cs="Calibri"/>
          <w:sz w:val="22"/>
          <w:szCs w:val="22"/>
          <w:lang w:val="es-ES" w:eastAsia="es-ES"/>
        </w:rPr>
        <w:t>El Régimen Estatal de Protección Social en Salud de Tamaulipas tuvo como objetivo brindar protección financiera a la población no derechohabiente, mediante un esquema de aseguramiento de salud, público y voluntario.</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Ejercicio fiscal</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 xml:space="preserve">Se presenta la Información Financiera, Presupuestaria y Programática correspondiente al </w:t>
      </w:r>
      <w:r w:rsidRPr="00EE6F70">
        <w:rPr>
          <w:rFonts w:asciiTheme="majorHAnsi" w:eastAsia="Times New Roman" w:hAnsiTheme="majorHAnsi" w:cs="Calibri"/>
          <w:sz w:val="22"/>
          <w:szCs w:val="22"/>
          <w:lang w:eastAsia="es-ES"/>
        </w:rPr>
        <w:lastRenderedPageBreak/>
        <w:t>ejercicio fiscal 2024.</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Régimen jurídico</w:t>
      </w:r>
    </w:p>
    <w:p w:rsidR="006753C4" w:rsidRPr="00EE6F70" w:rsidRDefault="001D1B14">
      <w:pPr>
        <w:spacing w:after="101" w:line="216" w:lineRule="exact"/>
        <w:ind w:left="709"/>
        <w:jc w:val="both"/>
        <w:rPr>
          <w:rFonts w:asciiTheme="majorHAnsi" w:hAnsiTheme="majorHAnsi" w:cs="Calibri"/>
          <w:sz w:val="22"/>
          <w:szCs w:val="22"/>
          <w:lang w:val="es-ES" w:eastAsia="es-ES"/>
        </w:rPr>
      </w:pPr>
      <w:r w:rsidRPr="00EE6F70">
        <w:rPr>
          <w:rFonts w:asciiTheme="majorHAnsi" w:hAnsiTheme="majorHAnsi" w:cs="Calibri"/>
          <w:sz w:val="22"/>
          <w:szCs w:val="22"/>
          <w:lang w:val="es-ES" w:eastAsia="es-ES"/>
        </w:rPr>
        <w:t>El Régimen Estatal de Protección Social en Salud de Tamaulipas fue un Organismo Público Descentralizado de la Administración Pública Estatal con personalidad jurídica y patrimonio propios sectorizado a la Secretaria de Salud, creado mediante el Decreto publicado en el Periódico Oficial del Estado de Tamaulipas el 17 de septiembre de 2015.</w:t>
      </w:r>
    </w:p>
    <w:p w:rsidR="006753C4" w:rsidRPr="00EE6F70" w:rsidRDefault="006753C4">
      <w:pPr>
        <w:rPr>
          <w:rFonts w:asciiTheme="majorHAnsi" w:hAnsiTheme="majorHAnsi" w:cs="Calibri"/>
          <w:sz w:val="22"/>
          <w:szCs w:val="22"/>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Consideraciones fiscales del Organismo</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hAnsiTheme="majorHAnsi"/>
          <w:sz w:val="22"/>
          <w:szCs w:val="22"/>
        </w:rPr>
      </w:pPr>
      <w:r w:rsidRPr="00EE6F70">
        <w:rPr>
          <w:rFonts w:asciiTheme="majorHAnsi" w:eastAsia="Times New Roman" w:hAnsiTheme="majorHAnsi" w:cs="Calibri"/>
          <w:sz w:val="22"/>
          <w:szCs w:val="22"/>
          <w:lang w:val="es-ES" w:eastAsia="es-ES"/>
        </w:rPr>
        <w:t xml:space="preserve">El Organismo está sujeto al Régimen de Personas Morales con fines no lucrativos, obligado a enterar el Impuesto Sobre la Renta retenido a quienes haga pagos por salarios, por la prestación de servicios profesionales y por el arrendamiento de bienes inmuebles; así mismo, está obligado al pago de aportaciones de seguridad social por sus trabajadores y a la retención y entero de las cuotas correspondientes a los mismos. De conformidad con el </w:t>
      </w:r>
      <w:r w:rsidRPr="00EE6F70">
        <w:rPr>
          <w:rFonts w:asciiTheme="majorHAnsi" w:eastAsia="Times New Roman" w:hAnsiTheme="majorHAnsi" w:cs="Calibri"/>
          <w:sz w:val="22"/>
          <w:szCs w:val="22"/>
          <w:lang w:eastAsia="es-ES"/>
        </w:rPr>
        <w:t>Decreto Gubernamental mediante el cual se extingue el Organismo Público Descentralizado Régimen Estatal de Protección Social de Salud de Tamaulipas y el Acuerdo mediante el cual se establece las Bases para el Desarrollo del Proceso de Extinción del O.P.D. REPSS, se cancelaran el registro federal de contribuyentes ante las instancias correspondientes.</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spacing w:line="240" w:lineRule="exact"/>
        <w:ind w:left="708"/>
        <w:jc w:val="both"/>
        <w:rPr>
          <w:rFonts w:asciiTheme="majorHAnsi" w:eastAsia="Times New Roman" w:hAnsiTheme="majorHAnsi" w:cs="Calibri"/>
          <w:sz w:val="22"/>
          <w:szCs w:val="22"/>
          <w:u w:val="single"/>
          <w:lang w:eastAsia="es-ES"/>
        </w:rPr>
      </w:pPr>
      <w:r w:rsidRPr="00EE6F70">
        <w:rPr>
          <w:rFonts w:asciiTheme="majorHAnsi" w:eastAsia="Times New Roman" w:hAnsiTheme="majorHAnsi" w:cs="Calibri"/>
          <w:sz w:val="22"/>
          <w:szCs w:val="22"/>
          <w:u w:val="single"/>
          <w:lang w:eastAsia="es-ES"/>
        </w:rPr>
        <w:t>Estructura organizacional básica</w:t>
      </w:r>
    </w:p>
    <w:p w:rsidR="006753C4" w:rsidRPr="00EE6F70" w:rsidRDefault="006753C4">
      <w:pPr>
        <w:spacing w:line="240" w:lineRule="exact"/>
        <w:ind w:left="708"/>
        <w:jc w:val="both"/>
        <w:rPr>
          <w:rFonts w:asciiTheme="majorHAnsi" w:eastAsia="Times New Roman" w:hAnsiTheme="majorHAnsi" w:cs="Calibri"/>
          <w:sz w:val="22"/>
          <w:szCs w:val="22"/>
          <w:u w:val="single"/>
          <w:lang w:eastAsia="es-ES"/>
        </w:rPr>
      </w:pPr>
    </w:p>
    <w:p w:rsidR="006753C4" w:rsidRPr="00EE6F70" w:rsidRDefault="001D1B14">
      <w:pPr>
        <w:autoSpaceDE w:val="0"/>
        <w:ind w:left="709"/>
        <w:jc w:val="both"/>
        <w:rPr>
          <w:rFonts w:asciiTheme="majorHAnsi" w:hAnsiTheme="majorHAnsi" w:cs="Calibri"/>
          <w:sz w:val="22"/>
          <w:szCs w:val="22"/>
          <w:lang w:val="es" w:eastAsia="es"/>
        </w:rPr>
      </w:pPr>
      <w:r w:rsidRPr="00EE6F70">
        <w:rPr>
          <w:rFonts w:asciiTheme="majorHAnsi" w:hAnsiTheme="majorHAnsi" w:cs="Calibri"/>
          <w:sz w:val="22"/>
          <w:szCs w:val="22"/>
          <w:lang w:val="es" w:eastAsia="es"/>
        </w:rPr>
        <w:t>Conforme a los artículos 5 y 11 del Decreto Gubernamental mediante el cual se crea el Régimen Estatal de Protección Social en Salud de Tamaulipas, el Organismo contaba con la siguiente Estructura organizacional básica:</w:t>
      </w:r>
    </w:p>
    <w:p w:rsidR="006753C4" w:rsidRPr="00EE6F70" w:rsidRDefault="006753C4">
      <w:pPr>
        <w:autoSpaceDE w:val="0"/>
        <w:ind w:left="709"/>
        <w:jc w:val="both"/>
        <w:rPr>
          <w:rFonts w:asciiTheme="majorHAnsi" w:hAnsiTheme="majorHAnsi" w:cs="Calibri"/>
          <w:sz w:val="22"/>
          <w:szCs w:val="22"/>
          <w:lang w:val="es" w:eastAsia="es"/>
        </w:rPr>
      </w:pPr>
    </w:p>
    <w:p w:rsidR="006753C4" w:rsidRPr="00EE6F70" w:rsidRDefault="001D1B14">
      <w:pPr>
        <w:autoSpaceDE w:val="0"/>
        <w:ind w:left="709"/>
        <w:jc w:val="both"/>
        <w:rPr>
          <w:rFonts w:asciiTheme="majorHAnsi" w:hAnsiTheme="majorHAnsi" w:cs="Calibri"/>
          <w:sz w:val="22"/>
          <w:szCs w:val="22"/>
          <w:lang w:val="es" w:eastAsia="es"/>
        </w:rPr>
      </w:pPr>
      <w:r w:rsidRPr="00EE6F70">
        <w:rPr>
          <w:rFonts w:asciiTheme="majorHAnsi" w:hAnsiTheme="majorHAnsi" w:cs="Calibri"/>
          <w:sz w:val="22"/>
          <w:szCs w:val="22"/>
          <w:lang w:val="es" w:eastAsia="es"/>
        </w:rPr>
        <w:t>Para su organización y funcionamiento</w:t>
      </w:r>
    </w:p>
    <w:p w:rsidR="006753C4" w:rsidRPr="00EE6F70" w:rsidRDefault="006753C4">
      <w:pPr>
        <w:autoSpaceDE w:val="0"/>
        <w:ind w:left="709"/>
        <w:jc w:val="both"/>
        <w:rPr>
          <w:rFonts w:asciiTheme="majorHAnsi" w:hAnsiTheme="majorHAnsi" w:cs="Calibri"/>
          <w:sz w:val="22"/>
          <w:szCs w:val="22"/>
          <w:lang w:val="es" w:eastAsia="es"/>
        </w:rPr>
      </w:pPr>
    </w:p>
    <w:p w:rsidR="006753C4" w:rsidRPr="00EE6F70" w:rsidRDefault="001D1B14">
      <w:pPr>
        <w:autoSpaceDE w:val="0"/>
        <w:ind w:left="709" w:firstLine="284"/>
        <w:jc w:val="both"/>
        <w:rPr>
          <w:rFonts w:asciiTheme="majorHAnsi" w:hAnsiTheme="majorHAnsi"/>
          <w:sz w:val="22"/>
          <w:szCs w:val="22"/>
        </w:rPr>
      </w:pPr>
      <w:r w:rsidRPr="00EE6F70">
        <w:rPr>
          <w:rFonts w:asciiTheme="majorHAnsi" w:hAnsiTheme="majorHAnsi" w:cs="Calibri"/>
          <w:b/>
          <w:bCs/>
          <w:sz w:val="22"/>
          <w:szCs w:val="22"/>
          <w:lang w:val="es" w:eastAsia="es"/>
        </w:rPr>
        <w:t xml:space="preserve">I. </w:t>
      </w:r>
      <w:r w:rsidRPr="00EE6F70">
        <w:rPr>
          <w:rFonts w:asciiTheme="majorHAnsi" w:hAnsiTheme="majorHAnsi" w:cs="Calibri"/>
          <w:sz w:val="22"/>
          <w:szCs w:val="22"/>
          <w:lang w:val="es" w:eastAsia="es"/>
        </w:rPr>
        <w:t>Junta de Gobierno;</w:t>
      </w:r>
    </w:p>
    <w:p w:rsidR="006753C4" w:rsidRPr="00EE6F70" w:rsidRDefault="001D1B14">
      <w:pPr>
        <w:autoSpaceDE w:val="0"/>
        <w:ind w:left="709" w:firstLine="284"/>
        <w:jc w:val="both"/>
        <w:rPr>
          <w:rFonts w:asciiTheme="majorHAnsi" w:hAnsiTheme="majorHAnsi"/>
          <w:sz w:val="22"/>
          <w:szCs w:val="22"/>
        </w:rPr>
      </w:pPr>
      <w:r w:rsidRPr="00EE6F70">
        <w:rPr>
          <w:rFonts w:asciiTheme="majorHAnsi" w:hAnsiTheme="majorHAnsi" w:cs="Calibri"/>
          <w:b/>
          <w:bCs/>
          <w:sz w:val="22"/>
          <w:szCs w:val="22"/>
          <w:lang w:val="es" w:eastAsia="es"/>
        </w:rPr>
        <w:t xml:space="preserve">II. </w:t>
      </w:r>
      <w:r w:rsidRPr="00EE6F70">
        <w:rPr>
          <w:rFonts w:asciiTheme="majorHAnsi" w:hAnsiTheme="majorHAnsi" w:cs="Calibri"/>
          <w:sz w:val="22"/>
          <w:szCs w:val="22"/>
          <w:lang w:val="es" w:eastAsia="es"/>
        </w:rPr>
        <w:t>Dirección General; y</w:t>
      </w:r>
    </w:p>
    <w:p w:rsidR="006753C4" w:rsidRPr="00EE6F70" w:rsidRDefault="001D1B14">
      <w:pPr>
        <w:spacing w:line="240" w:lineRule="exact"/>
        <w:ind w:left="709" w:firstLine="284"/>
        <w:jc w:val="both"/>
        <w:rPr>
          <w:rFonts w:asciiTheme="majorHAnsi" w:hAnsiTheme="majorHAnsi"/>
          <w:sz w:val="22"/>
          <w:szCs w:val="22"/>
        </w:rPr>
      </w:pPr>
      <w:r w:rsidRPr="00EE6F70">
        <w:rPr>
          <w:rFonts w:asciiTheme="majorHAnsi" w:eastAsia="Times New Roman" w:hAnsiTheme="majorHAnsi" w:cs="Calibri"/>
          <w:b/>
          <w:bCs/>
          <w:sz w:val="22"/>
          <w:szCs w:val="22"/>
          <w:lang w:val="es" w:eastAsia="es"/>
        </w:rPr>
        <w:t xml:space="preserve">III. </w:t>
      </w:r>
      <w:r w:rsidRPr="00EE6F70">
        <w:rPr>
          <w:rFonts w:asciiTheme="majorHAnsi" w:eastAsia="Times New Roman" w:hAnsiTheme="majorHAnsi" w:cs="Calibri"/>
          <w:sz w:val="22"/>
          <w:szCs w:val="22"/>
          <w:lang w:val="es" w:eastAsia="es"/>
        </w:rPr>
        <w:t>Órgano de Vigilancia.</w:t>
      </w:r>
    </w:p>
    <w:p w:rsidR="006753C4" w:rsidRPr="00EE6F70" w:rsidRDefault="006753C4">
      <w:pPr>
        <w:spacing w:line="240" w:lineRule="exact"/>
        <w:ind w:left="709" w:firstLine="284"/>
        <w:jc w:val="both"/>
        <w:rPr>
          <w:rFonts w:asciiTheme="majorHAnsi" w:eastAsia="Times New Roman" w:hAnsiTheme="majorHAnsi" w:cs="Calibri"/>
          <w:sz w:val="22"/>
          <w:szCs w:val="22"/>
          <w:lang w:val="es" w:eastAsia="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Bases de Preparación de los Estados Financieros</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widowControl/>
        <w:numPr>
          <w:ilvl w:val="0"/>
          <w:numId w:val="6"/>
        </w:numPr>
        <w:suppressAutoHyphens w:val="0"/>
        <w:ind w:left="993" w:hanging="284"/>
        <w:jc w:val="both"/>
        <w:textAlignment w:val="auto"/>
        <w:rPr>
          <w:rFonts w:asciiTheme="majorHAnsi" w:hAnsiTheme="majorHAnsi"/>
          <w:sz w:val="22"/>
          <w:szCs w:val="22"/>
        </w:rPr>
      </w:pPr>
      <w:r w:rsidRPr="00EE6F70">
        <w:rPr>
          <w:rFonts w:asciiTheme="majorHAnsi" w:hAnsiTheme="majorHAnsi" w:cs="Calibri"/>
          <w:sz w:val="22"/>
          <w:szCs w:val="22"/>
        </w:rPr>
        <w:t>Para la emisión de los Estados Financieros se ha observado la normatividad emitida por el Consejo Nacional de Armonización Contable (CONAC), Consejo de Armonización Co</w:t>
      </w:r>
      <w:r w:rsidRPr="00EE6F70">
        <w:rPr>
          <w:rFonts w:asciiTheme="majorHAnsi" w:hAnsiTheme="majorHAnsi" w:cs="Calibri"/>
          <w:sz w:val="22"/>
          <w:szCs w:val="22"/>
        </w:rPr>
        <w:t>n</w:t>
      </w:r>
      <w:r w:rsidRPr="00EE6F70">
        <w:rPr>
          <w:rFonts w:asciiTheme="majorHAnsi" w:hAnsiTheme="majorHAnsi" w:cs="Calibri"/>
          <w:sz w:val="22"/>
          <w:szCs w:val="22"/>
        </w:rPr>
        <w:t xml:space="preserve">table del Estado de Tamaulipas (CACET) y las disposiciones legales aplicables. </w:t>
      </w:r>
    </w:p>
    <w:p w:rsidR="006753C4" w:rsidRPr="00EE6F70" w:rsidRDefault="006753C4">
      <w:pPr>
        <w:jc w:val="both"/>
        <w:rPr>
          <w:rFonts w:asciiTheme="majorHAnsi" w:hAnsiTheme="majorHAnsi" w:cs="Calibri"/>
          <w:sz w:val="22"/>
          <w:szCs w:val="22"/>
        </w:rPr>
      </w:pPr>
    </w:p>
    <w:p w:rsidR="006753C4" w:rsidRPr="00EE6F70" w:rsidRDefault="001D1B14">
      <w:pPr>
        <w:ind w:left="993"/>
        <w:jc w:val="both"/>
        <w:rPr>
          <w:rFonts w:asciiTheme="majorHAnsi" w:hAnsiTheme="majorHAnsi"/>
          <w:sz w:val="22"/>
          <w:szCs w:val="22"/>
        </w:rPr>
      </w:pPr>
      <w:r w:rsidRPr="00EE6F70">
        <w:rPr>
          <w:rFonts w:asciiTheme="majorHAnsi" w:hAnsiTheme="majorHAnsi" w:cs="Calibri"/>
          <w:sz w:val="22"/>
          <w:szCs w:val="22"/>
        </w:rPr>
        <w:t>Los Estados Financieros han sido preparados de conformidad con lo establecido en la Ley General de Contabilidad Gubernamental, sus postulados básicos, el Marco Conceptual de Contabilidad, y los lineamientos emitidos por el Consejo Nacional de Armonización Contable</w:t>
      </w:r>
      <w:r w:rsidRPr="00EE6F70">
        <w:rPr>
          <w:rFonts w:asciiTheme="majorHAnsi" w:hAnsiTheme="majorHAnsi" w:cs="Calibri"/>
          <w:i/>
          <w:iCs/>
          <w:sz w:val="22"/>
          <w:szCs w:val="22"/>
        </w:rPr>
        <w:t xml:space="preserve">. </w:t>
      </w:r>
    </w:p>
    <w:p w:rsidR="006753C4" w:rsidRPr="00EE6F70" w:rsidRDefault="001D1B14">
      <w:pPr>
        <w:ind w:left="993"/>
        <w:jc w:val="both"/>
        <w:rPr>
          <w:rFonts w:asciiTheme="majorHAnsi" w:hAnsiTheme="majorHAnsi" w:cs="Calibri"/>
          <w:sz w:val="22"/>
          <w:szCs w:val="22"/>
        </w:rPr>
      </w:pPr>
      <w:r w:rsidRPr="00EE6F70">
        <w:rPr>
          <w:rFonts w:asciiTheme="majorHAnsi" w:hAnsiTheme="majorHAnsi" w:cs="Calibri"/>
          <w:sz w:val="22"/>
          <w:szCs w:val="22"/>
        </w:rPr>
        <w:t xml:space="preserve">Los Estados Financieros están integrados por: </w:t>
      </w:r>
    </w:p>
    <w:p w:rsidR="006753C4" w:rsidRPr="00EE6F70" w:rsidRDefault="006753C4">
      <w:pPr>
        <w:ind w:left="993"/>
        <w:jc w:val="both"/>
        <w:rPr>
          <w:rFonts w:asciiTheme="majorHAnsi" w:hAnsiTheme="majorHAnsi" w:cs="Calibri"/>
          <w:sz w:val="22"/>
          <w:szCs w:val="22"/>
        </w:rPr>
      </w:pPr>
    </w:p>
    <w:p w:rsidR="006753C4" w:rsidRPr="00EE6F70" w:rsidRDefault="001D1B14">
      <w:pPr>
        <w:widowControl/>
        <w:numPr>
          <w:ilvl w:val="0"/>
          <w:numId w:val="7"/>
        </w:numPr>
        <w:suppressAutoHyphens w:val="0"/>
        <w:textAlignment w:val="auto"/>
        <w:rPr>
          <w:rFonts w:asciiTheme="majorHAnsi" w:hAnsiTheme="majorHAnsi" w:cs="Calibri"/>
          <w:sz w:val="22"/>
          <w:szCs w:val="22"/>
        </w:rPr>
      </w:pPr>
      <w:r w:rsidRPr="00EE6F70">
        <w:rPr>
          <w:rFonts w:asciiTheme="majorHAnsi" w:hAnsiTheme="majorHAnsi" w:cs="Calibri"/>
          <w:sz w:val="22"/>
          <w:szCs w:val="22"/>
        </w:rPr>
        <w:t xml:space="preserve">Información Contable </w:t>
      </w:r>
    </w:p>
    <w:p w:rsidR="006753C4" w:rsidRPr="00EE6F70" w:rsidRDefault="001D1B14">
      <w:pPr>
        <w:widowControl/>
        <w:numPr>
          <w:ilvl w:val="0"/>
          <w:numId w:val="7"/>
        </w:numPr>
        <w:suppressAutoHyphens w:val="0"/>
        <w:textAlignment w:val="auto"/>
        <w:rPr>
          <w:rFonts w:asciiTheme="majorHAnsi" w:hAnsiTheme="majorHAnsi" w:cs="Calibri"/>
          <w:sz w:val="22"/>
          <w:szCs w:val="22"/>
        </w:rPr>
      </w:pPr>
      <w:r w:rsidRPr="00EE6F70">
        <w:rPr>
          <w:rFonts w:asciiTheme="majorHAnsi" w:hAnsiTheme="majorHAnsi" w:cs="Calibri"/>
          <w:sz w:val="22"/>
          <w:szCs w:val="22"/>
        </w:rPr>
        <w:t xml:space="preserve">Información Presupuestal </w:t>
      </w:r>
    </w:p>
    <w:p w:rsidR="006753C4" w:rsidRPr="00EE6F70" w:rsidRDefault="001D1B14">
      <w:pPr>
        <w:widowControl/>
        <w:numPr>
          <w:ilvl w:val="0"/>
          <w:numId w:val="7"/>
        </w:numPr>
        <w:suppressAutoHyphens w:val="0"/>
        <w:textAlignment w:val="auto"/>
        <w:rPr>
          <w:rFonts w:asciiTheme="majorHAnsi" w:hAnsiTheme="majorHAnsi" w:cs="Calibri"/>
          <w:sz w:val="22"/>
          <w:szCs w:val="22"/>
        </w:rPr>
      </w:pPr>
      <w:r w:rsidRPr="00EE6F70">
        <w:rPr>
          <w:rFonts w:asciiTheme="majorHAnsi" w:hAnsiTheme="majorHAnsi" w:cs="Calibri"/>
          <w:sz w:val="22"/>
          <w:szCs w:val="22"/>
        </w:rPr>
        <w:t xml:space="preserve">Información Programática </w:t>
      </w:r>
    </w:p>
    <w:p w:rsidR="006753C4" w:rsidRPr="00EE6F70" w:rsidRDefault="001D1B14">
      <w:pPr>
        <w:widowControl/>
        <w:numPr>
          <w:ilvl w:val="0"/>
          <w:numId w:val="7"/>
        </w:numPr>
        <w:suppressAutoHyphens w:val="0"/>
        <w:textAlignment w:val="auto"/>
        <w:rPr>
          <w:rFonts w:asciiTheme="majorHAnsi" w:hAnsiTheme="majorHAnsi" w:cs="Calibri"/>
          <w:sz w:val="22"/>
          <w:szCs w:val="22"/>
        </w:rPr>
      </w:pPr>
      <w:r w:rsidRPr="00EE6F70">
        <w:rPr>
          <w:rFonts w:asciiTheme="majorHAnsi" w:hAnsiTheme="majorHAnsi" w:cs="Calibri"/>
          <w:sz w:val="22"/>
          <w:szCs w:val="22"/>
        </w:rPr>
        <w:t xml:space="preserve">Anexos </w:t>
      </w:r>
    </w:p>
    <w:p w:rsidR="006753C4" w:rsidRPr="00EE6F70" w:rsidRDefault="001D1B14">
      <w:pPr>
        <w:widowControl/>
        <w:numPr>
          <w:ilvl w:val="0"/>
          <w:numId w:val="7"/>
        </w:numPr>
        <w:suppressAutoHyphens w:val="0"/>
        <w:textAlignment w:val="auto"/>
        <w:rPr>
          <w:rFonts w:asciiTheme="majorHAnsi" w:hAnsiTheme="majorHAnsi" w:cs="Calibri"/>
          <w:sz w:val="22"/>
          <w:szCs w:val="22"/>
        </w:rPr>
      </w:pPr>
      <w:r w:rsidRPr="00EE6F70">
        <w:rPr>
          <w:rFonts w:asciiTheme="majorHAnsi" w:hAnsiTheme="majorHAnsi" w:cs="Calibri"/>
          <w:sz w:val="22"/>
          <w:szCs w:val="22"/>
        </w:rPr>
        <w:t>Información de Disciplina Financiera</w:t>
      </w:r>
    </w:p>
    <w:p w:rsidR="006753C4" w:rsidRPr="00EE6F70" w:rsidRDefault="006753C4">
      <w:pPr>
        <w:ind w:left="1429"/>
        <w:rPr>
          <w:rFonts w:asciiTheme="majorHAnsi" w:hAnsiTheme="majorHAnsi" w:cs="Calibri"/>
          <w:sz w:val="22"/>
          <w:szCs w:val="22"/>
        </w:rPr>
      </w:pPr>
    </w:p>
    <w:p w:rsidR="006753C4" w:rsidRPr="00EE6F70" w:rsidRDefault="001D1B14">
      <w:pPr>
        <w:widowControl/>
        <w:numPr>
          <w:ilvl w:val="0"/>
          <w:numId w:val="8"/>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La normatividad aplicada para el reconocimiento, valuación y revelación de los difere</w:t>
      </w:r>
      <w:r w:rsidRPr="00EE6F70">
        <w:rPr>
          <w:rFonts w:asciiTheme="majorHAnsi" w:hAnsiTheme="majorHAnsi" w:cs="Calibri"/>
          <w:sz w:val="22"/>
          <w:szCs w:val="22"/>
        </w:rPr>
        <w:t>n</w:t>
      </w:r>
      <w:r w:rsidRPr="00EE6F70">
        <w:rPr>
          <w:rFonts w:asciiTheme="majorHAnsi" w:hAnsiTheme="majorHAnsi" w:cs="Calibri"/>
          <w:sz w:val="22"/>
          <w:szCs w:val="22"/>
        </w:rPr>
        <w:t xml:space="preserve">tes rubros de la información financiera van de acuerdo a los documentos normativos </w:t>
      </w:r>
      <w:r w:rsidRPr="00EE6F70">
        <w:rPr>
          <w:rFonts w:asciiTheme="majorHAnsi" w:hAnsiTheme="majorHAnsi" w:cs="Calibri"/>
          <w:sz w:val="22"/>
          <w:szCs w:val="22"/>
        </w:rPr>
        <w:lastRenderedPageBreak/>
        <w:t>emitidos por el CONAC las bases de medición utilizadas para la elaboración de los Est</w:t>
      </w:r>
      <w:r w:rsidRPr="00EE6F70">
        <w:rPr>
          <w:rFonts w:asciiTheme="majorHAnsi" w:hAnsiTheme="majorHAnsi" w:cs="Calibri"/>
          <w:sz w:val="22"/>
          <w:szCs w:val="22"/>
        </w:rPr>
        <w:t>a</w:t>
      </w:r>
      <w:r w:rsidRPr="00EE6F70">
        <w:rPr>
          <w:rFonts w:asciiTheme="majorHAnsi" w:hAnsiTheme="majorHAnsi" w:cs="Calibri"/>
          <w:sz w:val="22"/>
          <w:szCs w:val="22"/>
        </w:rPr>
        <w:t xml:space="preserve">dos Financieros se apegan al costo histórico y a los criterios de valuación de los mismos. </w:t>
      </w:r>
    </w:p>
    <w:p w:rsidR="006753C4" w:rsidRPr="00EE6F70" w:rsidRDefault="006753C4">
      <w:pPr>
        <w:ind w:left="993"/>
        <w:jc w:val="both"/>
        <w:rPr>
          <w:rFonts w:asciiTheme="majorHAnsi" w:hAnsiTheme="majorHAnsi" w:cs="Calibri"/>
          <w:sz w:val="22"/>
          <w:szCs w:val="22"/>
        </w:rPr>
      </w:pPr>
    </w:p>
    <w:p w:rsidR="006753C4" w:rsidRPr="00EE6F70" w:rsidRDefault="001D1B14">
      <w:pPr>
        <w:widowControl/>
        <w:numPr>
          <w:ilvl w:val="0"/>
          <w:numId w:val="8"/>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 xml:space="preserve">Los Postulados básicos se aplican conforme a conceptos establecidos en la Ley General de Contabilidad Gubernamental y la Normatividad emitida al respecto por el CONAC. </w:t>
      </w:r>
    </w:p>
    <w:p w:rsidR="006753C4" w:rsidRPr="00EE6F70" w:rsidRDefault="006753C4">
      <w:pPr>
        <w:jc w:val="both"/>
        <w:rPr>
          <w:rFonts w:asciiTheme="majorHAnsi" w:hAnsiTheme="majorHAnsi" w:cs="Calibri"/>
          <w:sz w:val="22"/>
          <w:szCs w:val="22"/>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Políticas de Contabilidad Significativas</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widowControl/>
        <w:numPr>
          <w:ilvl w:val="2"/>
          <w:numId w:val="9"/>
        </w:numPr>
        <w:suppressAutoHyphens w:val="0"/>
        <w:ind w:left="993" w:hanging="284"/>
        <w:jc w:val="both"/>
        <w:textAlignment w:val="auto"/>
        <w:rPr>
          <w:rFonts w:asciiTheme="majorHAnsi" w:hAnsiTheme="majorHAnsi"/>
          <w:sz w:val="22"/>
          <w:szCs w:val="22"/>
        </w:rPr>
      </w:pPr>
      <w:r w:rsidRPr="00EE6F70">
        <w:rPr>
          <w:rFonts w:asciiTheme="majorHAnsi" w:hAnsiTheme="majorHAnsi" w:cs="Calibri"/>
          <w:sz w:val="22"/>
          <w:szCs w:val="22"/>
        </w:rPr>
        <w:t>La Información Financiera del Organismo no requirió de aplicar la metodología vigente para actualizarla.</w:t>
      </w:r>
    </w:p>
    <w:p w:rsidR="006753C4" w:rsidRPr="00EE6F70" w:rsidRDefault="001D1B14">
      <w:pPr>
        <w:widowControl/>
        <w:numPr>
          <w:ilvl w:val="2"/>
          <w:numId w:val="9"/>
        </w:numPr>
        <w:suppressAutoHyphens w:val="0"/>
        <w:ind w:left="993" w:hanging="284"/>
        <w:jc w:val="both"/>
        <w:textAlignment w:val="auto"/>
        <w:rPr>
          <w:rFonts w:asciiTheme="majorHAnsi" w:hAnsiTheme="majorHAnsi"/>
          <w:sz w:val="22"/>
          <w:szCs w:val="22"/>
        </w:rPr>
      </w:pPr>
      <w:r w:rsidRPr="00EE6F70">
        <w:rPr>
          <w:rFonts w:asciiTheme="majorHAnsi" w:hAnsiTheme="majorHAnsi" w:cs="Calibri"/>
          <w:sz w:val="22"/>
          <w:szCs w:val="22"/>
        </w:rPr>
        <w:t xml:space="preserve">Durante el ejercicio 2024 no se realizaron operaciones en el extranjero que hubieren afectado la valuación y presentación de la Información Financiera del Organismo. </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 xml:space="preserve">Método de valuación de la inversión en acciones en el Sector Paraestatal – No Aplica </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 xml:space="preserve">Sistema y método de valuación de inventarios – No Aplica </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Provisiones – No Aplica</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 xml:space="preserve">Reservas – No Aplica </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 xml:space="preserve">Durante el ejercicio 2024, no se realizaron cambios en las Políticas Contables </w:t>
      </w:r>
    </w:p>
    <w:p w:rsidR="006753C4" w:rsidRPr="00EE6F70" w:rsidRDefault="001D1B14">
      <w:pPr>
        <w:widowControl/>
        <w:numPr>
          <w:ilvl w:val="2"/>
          <w:numId w:val="9"/>
        </w:numPr>
        <w:suppressAutoHyphens w:val="0"/>
        <w:ind w:left="993" w:hanging="284"/>
        <w:jc w:val="both"/>
        <w:textAlignment w:val="auto"/>
        <w:rPr>
          <w:rFonts w:asciiTheme="majorHAnsi" w:hAnsiTheme="majorHAnsi" w:cs="Calibri"/>
          <w:sz w:val="22"/>
          <w:szCs w:val="22"/>
        </w:rPr>
      </w:pPr>
      <w:r w:rsidRPr="00EE6F70">
        <w:rPr>
          <w:rFonts w:asciiTheme="majorHAnsi" w:hAnsiTheme="majorHAnsi" w:cs="Calibri"/>
          <w:sz w:val="22"/>
          <w:szCs w:val="22"/>
        </w:rPr>
        <w:t>Reclasificaciones – no se realizaron operaciones de este tipo.</w:t>
      </w:r>
    </w:p>
    <w:p w:rsidR="006753C4" w:rsidRPr="00EE6F70" w:rsidRDefault="001D1B14">
      <w:pPr>
        <w:widowControl/>
        <w:numPr>
          <w:ilvl w:val="2"/>
          <w:numId w:val="9"/>
        </w:numPr>
        <w:suppressAutoHyphens w:val="0"/>
        <w:spacing w:line="240" w:lineRule="exact"/>
        <w:ind w:left="993" w:hanging="284"/>
        <w:jc w:val="both"/>
        <w:textAlignment w:val="auto"/>
        <w:rPr>
          <w:rFonts w:asciiTheme="majorHAnsi" w:hAnsiTheme="majorHAnsi"/>
          <w:sz w:val="22"/>
          <w:szCs w:val="22"/>
        </w:rPr>
      </w:pPr>
      <w:r w:rsidRPr="00EE6F70">
        <w:rPr>
          <w:rFonts w:asciiTheme="majorHAnsi" w:hAnsiTheme="majorHAnsi" w:cs="Calibri"/>
          <w:sz w:val="22"/>
          <w:szCs w:val="22"/>
        </w:rPr>
        <w:t>Depuración y Cancelación de Saldos – Durante el ejercicio 2024 no se registraron oper</w:t>
      </w:r>
      <w:r w:rsidRPr="00EE6F70">
        <w:rPr>
          <w:rFonts w:asciiTheme="majorHAnsi" w:hAnsiTheme="majorHAnsi" w:cs="Calibri"/>
          <w:sz w:val="22"/>
          <w:szCs w:val="22"/>
        </w:rPr>
        <w:t>a</w:t>
      </w:r>
      <w:r w:rsidRPr="00EE6F70">
        <w:rPr>
          <w:rFonts w:asciiTheme="majorHAnsi" w:hAnsiTheme="majorHAnsi" w:cs="Calibri"/>
          <w:sz w:val="22"/>
          <w:szCs w:val="22"/>
        </w:rPr>
        <w:t xml:space="preserve">ciones de este tipo.  </w:t>
      </w:r>
    </w:p>
    <w:p w:rsidR="006753C4" w:rsidRPr="00EE6F70" w:rsidRDefault="006753C4">
      <w:pPr>
        <w:spacing w:line="240" w:lineRule="exact"/>
        <w:ind w:left="993"/>
        <w:jc w:val="both"/>
        <w:rPr>
          <w:rFonts w:asciiTheme="majorHAnsi" w:eastAsia="Times New Roman" w:hAnsiTheme="majorHAnsi" w:cs="Calibri"/>
          <w:b/>
          <w:sz w:val="22"/>
          <w:szCs w:val="22"/>
          <w:lang w:val="es"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Posición en Moneda Extranjera y Protección por Riesgo Cambiario</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ind w:left="709"/>
        <w:jc w:val="both"/>
        <w:rPr>
          <w:rFonts w:asciiTheme="majorHAnsi" w:hAnsiTheme="majorHAnsi" w:cs="Calibri"/>
          <w:sz w:val="22"/>
          <w:szCs w:val="22"/>
        </w:rPr>
      </w:pPr>
      <w:r w:rsidRPr="00EE6F70">
        <w:rPr>
          <w:rFonts w:asciiTheme="majorHAnsi" w:hAnsiTheme="majorHAnsi" w:cs="Calibri"/>
          <w:sz w:val="22"/>
          <w:szCs w:val="22"/>
        </w:rPr>
        <w:t xml:space="preserve">Activos en moneda extranjera – No Aplica </w:t>
      </w:r>
    </w:p>
    <w:p w:rsidR="006753C4" w:rsidRPr="00EE6F70" w:rsidRDefault="001D1B14">
      <w:pPr>
        <w:ind w:left="709"/>
        <w:jc w:val="both"/>
        <w:rPr>
          <w:rFonts w:asciiTheme="majorHAnsi" w:hAnsiTheme="majorHAnsi" w:cs="Calibri"/>
          <w:sz w:val="22"/>
          <w:szCs w:val="22"/>
        </w:rPr>
      </w:pPr>
      <w:r w:rsidRPr="00EE6F70">
        <w:rPr>
          <w:rFonts w:asciiTheme="majorHAnsi" w:hAnsiTheme="majorHAnsi" w:cs="Calibri"/>
          <w:sz w:val="22"/>
          <w:szCs w:val="22"/>
        </w:rPr>
        <w:t xml:space="preserve">Pasivos en moneda extranjera – No Aplica </w:t>
      </w:r>
    </w:p>
    <w:p w:rsidR="006753C4" w:rsidRPr="00EE6F70" w:rsidRDefault="001D1B14">
      <w:pPr>
        <w:ind w:left="709"/>
        <w:jc w:val="both"/>
        <w:rPr>
          <w:rFonts w:asciiTheme="majorHAnsi" w:hAnsiTheme="majorHAnsi" w:cs="Calibri"/>
          <w:sz w:val="22"/>
          <w:szCs w:val="22"/>
        </w:rPr>
      </w:pPr>
      <w:r w:rsidRPr="00EE6F70">
        <w:rPr>
          <w:rFonts w:asciiTheme="majorHAnsi" w:hAnsiTheme="majorHAnsi" w:cs="Calibri"/>
          <w:sz w:val="22"/>
          <w:szCs w:val="22"/>
        </w:rPr>
        <w:t>Tipo de cambio – No Aplica</w:t>
      </w:r>
    </w:p>
    <w:p w:rsidR="006753C4" w:rsidRPr="00EE6F70" w:rsidRDefault="001D1B14">
      <w:pPr>
        <w:ind w:left="709"/>
        <w:jc w:val="both"/>
        <w:rPr>
          <w:rFonts w:asciiTheme="majorHAnsi" w:hAnsiTheme="majorHAnsi" w:cs="Calibri"/>
          <w:sz w:val="22"/>
          <w:szCs w:val="22"/>
        </w:rPr>
      </w:pPr>
      <w:r w:rsidRPr="00EE6F70">
        <w:rPr>
          <w:rFonts w:asciiTheme="majorHAnsi" w:hAnsiTheme="majorHAnsi" w:cs="Calibri"/>
          <w:sz w:val="22"/>
          <w:szCs w:val="22"/>
        </w:rPr>
        <w:t>Equivalente en moneda nacional – No Aplica</w:t>
      </w: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Actualmente el Organismo no tiene activos, ni pasivos registrados en moneda extranjera.</w:t>
      </w: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Existe la política de registrar las operaciones en moneda extranjera al tipo de cambio del día anterior a la fecha de factura.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Reporte Analítico del Activo</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Vida útil o porcentajes de depreciación, deterioro o amortización utilizados en los diferentes tipos de activos.</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tbl>
      <w:tblPr>
        <w:tblW w:w="6062" w:type="dxa"/>
        <w:jc w:val="center"/>
        <w:tblLayout w:type="fixed"/>
        <w:tblCellMar>
          <w:left w:w="10" w:type="dxa"/>
          <w:right w:w="10" w:type="dxa"/>
        </w:tblCellMar>
        <w:tblLook w:val="04A0" w:firstRow="1" w:lastRow="0" w:firstColumn="1" w:lastColumn="0" w:noHBand="0" w:noVBand="1"/>
      </w:tblPr>
      <w:tblGrid>
        <w:gridCol w:w="4376"/>
        <w:gridCol w:w="1686"/>
      </w:tblGrid>
      <w:tr w:rsidR="006753C4" w:rsidRPr="00EE6F70">
        <w:trPr>
          <w:cantSplit/>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b/>
                <w:color w:val="FFFFFF"/>
                <w:sz w:val="22"/>
                <w:szCs w:val="22"/>
                <w:lang w:eastAsia="en-US"/>
              </w:rPr>
            </w:pPr>
            <w:r w:rsidRPr="00EE6F70">
              <w:rPr>
                <w:rFonts w:asciiTheme="majorHAnsi" w:hAnsiTheme="majorHAnsi" w:cs="Calibri"/>
                <w:b/>
                <w:color w:val="FFFFFF"/>
                <w:sz w:val="22"/>
                <w:szCs w:val="22"/>
                <w:lang w:eastAsia="en-US"/>
              </w:rPr>
              <w:t>Tipo de Bien</w:t>
            </w:r>
          </w:p>
        </w:tc>
        <w:tc>
          <w:tcPr>
            <w:tcW w:w="168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b/>
                <w:color w:val="FFFFFF"/>
                <w:sz w:val="22"/>
                <w:szCs w:val="22"/>
                <w:lang w:eastAsia="en-US"/>
              </w:rPr>
            </w:pPr>
            <w:r w:rsidRPr="00EE6F70">
              <w:rPr>
                <w:rFonts w:asciiTheme="majorHAnsi" w:hAnsiTheme="majorHAnsi" w:cs="Calibri"/>
                <w:b/>
                <w:color w:val="FFFFFF"/>
                <w:sz w:val="22"/>
                <w:szCs w:val="22"/>
                <w:lang w:eastAsia="en-US"/>
              </w:rPr>
              <w:t>Porcentaje de Depreciación</w:t>
            </w:r>
          </w:p>
        </w:tc>
      </w:tr>
      <w:tr w:rsidR="006753C4" w:rsidRPr="00EE6F70">
        <w:trPr>
          <w:cantSplit/>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Muebles de Oficina y Estantería</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10%</w:t>
            </w:r>
          </w:p>
        </w:tc>
      </w:tr>
      <w:tr w:rsidR="006753C4" w:rsidRPr="00EE6F70">
        <w:trPr>
          <w:cantSplit/>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Muebles excepto de Oficina y Estantería</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10%</w:t>
            </w:r>
          </w:p>
        </w:tc>
      </w:tr>
      <w:tr w:rsidR="006753C4" w:rsidRPr="00EE6F70">
        <w:trPr>
          <w:cantSplit/>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sz w:val="22"/>
                <w:szCs w:val="22"/>
              </w:rPr>
            </w:pPr>
            <w:r w:rsidRPr="00EE6F70">
              <w:rPr>
                <w:rFonts w:asciiTheme="majorHAnsi" w:hAnsiTheme="majorHAnsi" w:cs="Calibri"/>
                <w:sz w:val="22"/>
                <w:szCs w:val="22"/>
                <w:lang w:eastAsia="en-US"/>
              </w:rPr>
              <w:t>Equipo de Cómputo y Tecnologías de la I</w:t>
            </w:r>
            <w:r w:rsidRPr="00EE6F70">
              <w:rPr>
                <w:rFonts w:asciiTheme="majorHAnsi" w:hAnsiTheme="majorHAnsi" w:cs="Calibri"/>
                <w:sz w:val="22"/>
                <w:szCs w:val="22"/>
                <w:lang w:eastAsia="en-US"/>
              </w:rPr>
              <w:t>n</w:t>
            </w:r>
            <w:r w:rsidRPr="00EE6F70">
              <w:rPr>
                <w:rFonts w:asciiTheme="majorHAnsi" w:hAnsiTheme="majorHAnsi" w:cs="Calibri"/>
                <w:sz w:val="22"/>
                <w:szCs w:val="22"/>
                <w:lang w:eastAsia="en-US"/>
              </w:rPr>
              <w:t>formación</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20%</w:t>
            </w:r>
          </w:p>
        </w:tc>
      </w:tr>
      <w:tr w:rsidR="006753C4" w:rsidRPr="00EE6F70">
        <w:trPr>
          <w:cantSplit/>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Mobiliarios y Equipos de Administración</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10%</w:t>
            </w:r>
          </w:p>
        </w:tc>
      </w:tr>
      <w:tr w:rsidR="006753C4" w:rsidRPr="00EE6F70">
        <w:trPr>
          <w:cantSplit/>
          <w:trHeight w:val="212"/>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Equipos y Aparatos Audiovisuales</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10%</w:t>
            </w:r>
          </w:p>
        </w:tc>
      </w:tr>
      <w:tr w:rsidR="006753C4" w:rsidRPr="00EE6F70">
        <w:trPr>
          <w:cantSplit/>
          <w:trHeight w:val="163"/>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Cámaras Fotográficas y de Video</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20%</w:t>
            </w:r>
          </w:p>
        </w:tc>
      </w:tr>
      <w:tr w:rsidR="006753C4" w:rsidRPr="00EE6F70">
        <w:trPr>
          <w:cantSplit/>
          <w:trHeight w:val="163"/>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Vehículos y Equipo Terrestre</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12%</w:t>
            </w:r>
          </w:p>
        </w:tc>
      </w:tr>
      <w:tr w:rsidR="006753C4" w:rsidRPr="00EE6F70">
        <w:trPr>
          <w:cantSplit/>
          <w:trHeight w:val="163"/>
          <w:jc w:val="center"/>
        </w:trPr>
        <w:tc>
          <w:tcPr>
            <w:tcW w:w="4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both"/>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Software</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53C4" w:rsidRPr="00EE6F70" w:rsidRDefault="001D1B14">
            <w:pPr>
              <w:widowControl/>
              <w:suppressAutoHyphens w:val="0"/>
              <w:jc w:val="center"/>
              <w:textAlignment w:val="auto"/>
              <w:rPr>
                <w:rFonts w:asciiTheme="majorHAnsi" w:hAnsiTheme="majorHAnsi" w:cs="Calibri"/>
                <w:sz w:val="22"/>
                <w:szCs w:val="22"/>
                <w:lang w:eastAsia="en-US"/>
              </w:rPr>
            </w:pPr>
            <w:r w:rsidRPr="00EE6F70">
              <w:rPr>
                <w:rFonts w:asciiTheme="majorHAnsi" w:hAnsiTheme="majorHAnsi" w:cs="Calibri"/>
                <w:sz w:val="22"/>
                <w:szCs w:val="22"/>
                <w:lang w:eastAsia="en-US"/>
              </w:rPr>
              <w:t>30%</w:t>
            </w:r>
          </w:p>
        </w:tc>
      </w:tr>
    </w:tbl>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Fideicomisos, Mandatos y Análogos</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 xml:space="preserve">El Régimen Estatal de Protección Social en Salud de Tamaulipas no realizó actividades u </w:t>
      </w:r>
      <w:r w:rsidRPr="00EE6F70">
        <w:rPr>
          <w:rFonts w:asciiTheme="majorHAnsi" w:eastAsia="Times New Roman" w:hAnsiTheme="majorHAnsi" w:cs="Calibri"/>
          <w:sz w:val="22"/>
          <w:szCs w:val="22"/>
          <w:lang w:eastAsia="es-ES"/>
        </w:rPr>
        <w:lastRenderedPageBreak/>
        <w:t>operaciones de este tipo.</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Reporte de la Recaudación</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Durante el ejercicio 2024 no se tuvo ingresos recaudados.</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Información sobre la Deuda y el Reporte Analítico de la Deuda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Durante el ejercicio 2024 el Régimen Estatal de Protección Social en Salud de Tamaulipas no contrató Deuda Pública, motivo por el cual no se cuenta con un reporte analítico de la deuda.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Calificaciones otorgadas</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El Régimen Estatal de Protección Social en Salud de Tamaulipas no realizó transacciones que hayan sido sujetas a una calificación crediticia.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Proceso de Mejora</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ind w:left="709"/>
        <w:jc w:val="both"/>
        <w:rPr>
          <w:rFonts w:asciiTheme="majorHAnsi" w:hAnsiTheme="majorHAnsi" w:cs="Calibri"/>
          <w:sz w:val="22"/>
          <w:szCs w:val="22"/>
        </w:rPr>
      </w:pPr>
      <w:r w:rsidRPr="00EE6F70">
        <w:rPr>
          <w:rFonts w:asciiTheme="majorHAnsi" w:hAnsiTheme="majorHAnsi" w:cs="Calibri"/>
          <w:sz w:val="22"/>
          <w:szCs w:val="22"/>
        </w:rPr>
        <w:t>Durante el ejercicio 2024 el Régimen Estatal de Protección Social en Salud se ha desempeñado en estricto apego al cumplimiento de la normatividad, transparencia y rendición de cuentas.</w:t>
      </w:r>
    </w:p>
    <w:p w:rsidR="006753C4" w:rsidRPr="00EE6F70" w:rsidRDefault="006753C4">
      <w:pPr>
        <w:ind w:left="709"/>
        <w:jc w:val="both"/>
        <w:rPr>
          <w:rFonts w:asciiTheme="majorHAnsi" w:hAnsiTheme="majorHAnsi" w:cs="Calibri"/>
          <w:b/>
          <w:sz w:val="22"/>
          <w:szCs w:val="22"/>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Información por Segmentos</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No Aplica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Eventos Posteriores al Cierre</w:t>
      </w:r>
    </w:p>
    <w:p w:rsidR="006753C4" w:rsidRPr="00EE6F70" w:rsidRDefault="006753C4">
      <w:pPr>
        <w:spacing w:line="240" w:lineRule="exact"/>
        <w:ind w:left="708"/>
        <w:jc w:val="both"/>
        <w:rPr>
          <w:rFonts w:asciiTheme="majorHAnsi" w:eastAsia="Times New Roman" w:hAnsiTheme="majorHAnsi" w:cs="Calibri"/>
          <w:b/>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No Aplica</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Partes Relacionadas</w:t>
      </w:r>
    </w:p>
    <w:p w:rsidR="006753C4" w:rsidRPr="00EE6F70" w:rsidRDefault="006753C4">
      <w:pPr>
        <w:spacing w:line="240" w:lineRule="exact"/>
        <w:ind w:left="708"/>
        <w:jc w:val="both"/>
        <w:rPr>
          <w:rFonts w:asciiTheme="majorHAnsi" w:eastAsia="Times New Roman" w:hAnsiTheme="majorHAnsi" w:cs="Calibri"/>
          <w:sz w:val="22"/>
          <w:szCs w:val="22"/>
          <w:lang w:eastAsia="es-ES"/>
        </w:rPr>
      </w:pPr>
    </w:p>
    <w:p w:rsidR="006753C4" w:rsidRPr="00EE6F70" w:rsidRDefault="001D1B14">
      <w:pPr>
        <w:spacing w:line="240" w:lineRule="exact"/>
        <w:ind w:left="708"/>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El Régimen Estatal de Protección Social en Salud de Tamaulipas manifiesta que no existen partes relacionadas que pudieran ejercer influencia significativa sobre la toma de decisiones financieras y operativas.</w:t>
      </w:r>
    </w:p>
    <w:p w:rsidR="006753C4" w:rsidRPr="00EE6F70" w:rsidRDefault="006753C4">
      <w:pPr>
        <w:pStyle w:val="Texto"/>
        <w:spacing w:after="0" w:line="240" w:lineRule="exact"/>
        <w:ind w:firstLine="0"/>
        <w:rPr>
          <w:rFonts w:asciiTheme="majorHAnsi" w:hAnsiTheme="majorHAnsi" w:cs="Calibri"/>
          <w:sz w:val="22"/>
          <w:szCs w:val="22"/>
        </w:rPr>
      </w:pPr>
    </w:p>
    <w:p w:rsidR="006753C4" w:rsidRPr="00EE6F70" w:rsidRDefault="001D1B14">
      <w:pPr>
        <w:widowControl/>
        <w:numPr>
          <w:ilvl w:val="0"/>
          <w:numId w:val="5"/>
        </w:numPr>
        <w:suppressAutoHyphens w:val="0"/>
        <w:spacing w:line="240" w:lineRule="exact"/>
        <w:jc w:val="both"/>
        <w:textAlignment w:val="auto"/>
        <w:rPr>
          <w:rFonts w:asciiTheme="majorHAnsi" w:eastAsia="Times New Roman" w:hAnsiTheme="majorHAnsi" w:cs="Calibri"/>
          <w:b/>
          <w:sz w:val="22"/>
          <w:szCs w:val="22"/>
          <w:lang w:eastAsia="es-ES"/>
        </w:rPr>
      </w:pPr>
      <w:r w:rsidRPr="00EE6F70">
        <w:rPr>
          <w:rFonts w:asciiTheme="majorHAnsi" w:eastAsia="Times New Roman" w:hAnsiTheme="majorHAnsi" w:cs="Calibri"/>
          <w:b/>
          <w:sz w:val="22"/>
          <w:szCs w:val="22"/>
          <w:lang w:eastAsia="es-ES"/>
        </w:rPr>
        <w:t>Responsabilidad Sobre la Presentación Razonable de la Información Contable</w:t>
      </w: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1D1B14">
      <w:pPr>
        <w:pStyle w:val="Text"/>
        <w:spacing w:after="0" w:line="240" w:lineRule="exact"/>
        <w:ind w:firstLine="0"/>
        <w:rPr>
          <w:rFonts w:asciiTheme="majorHAnsi" w:hAnsiTheme="majorHAnsi"/>
          <w:sz w:val="22"/>
          <w:szCs w:val="22"/>
        </w:rPr>
      </w:pPr>
      <w:r w:rsidRPr="00EE6F70">
        <w:rPr>
          <w:rFonts w:asciiTheme="majorHAnsi" w:hAnsiTheme="majorHAnsi" w:cs="DIN Pro Regular"/>
          <w:sz w:val="22"/>
          <w:szCs w:val="22"/>
        </w:rPr>
        <w:t>Bajo protesta de decir verdad declaramos que los Estados Financieros y sus Notas, son razonablemente correctos y son responsabilidad del emisor</w:t>
      </w: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sz w:val="22"/>
          <w:szCs w:val="22"/>
        </w:rPr>
      </w:pP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6753C4">
      <w:pPr>
        <w:pStyle w:val="Text"/>
        <w:spacing w:after="0" w:line="240" w:lineRule="exact"/>
        <w:ind w:firstLine="0"/>
        <w:rPr>
          <w:rFonts w:asciiTheme="majorHAnsi" w:hAnsiTheme="majorHAnsi" w:cs="DIN Pro Regular"/>
          <w:b/>
          <w:sz w:val="22"/>
          <w:szCs w:val="22"/>
        </w:rPr>
      </w:pPr>
    </w:p>
    <w:p w:rsidR="006753C4" w:rsidRPr="00EE6F70" w:rsidRDefault="006753C4">
      <w:pPr>
        <w:pStyle w:val="Text"/>
        <w:spacing w:after="0" w:line="240" w:lineRule="exact"/>
        <w:ind w:firstLine="0"/>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lastRenderedPageBreak/>
        <w:t>Cuenta Pública 2024</w:t>
      </w:r>
    </w:p>
    <w:p w:rsidR="006753C4" w:rsidRPr="00EE6F70" w:rsidRDefault="006753C4">
      <w:pPr>
        <w:pStyle w:val="Text"/>
        <w:spacing w:after="0" w:line="240" w:lineRule="exact"/>
        <w:jc w:val="center"/>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t>Notas a los Estados Financieros</w:t>
      </w:r>
    </w:p>
    <w:p w:rsidR="006753C4" w:rsidRPr="00EE6F70" w:rsidRDefault="006753C4">
      <w:pPr>
        <w:pStyle w:val="Text"/>
        <w:spacing w:after="0" w:line="240" w:lineRule="exact"/>
        <w:ind w:firstLine="0"/>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cs="DIN Pro Regular"/>
          <w:b/>
          <w:sz w:val="22"/>
          <w:szCs w:val="22"/>
        </w:rPr>
      </w:pPr>
      <w:r w:rsidRPr="00EE6F70">
        <w:rPr>
          <w:rFonts w:asciiTheme="majorHAnsi" w:hAnsiTheme="majorHAnsi" w:cs="DIN Pro Regular"/>
          <w:b/>
          <w:sz w:val="22"/>
          <w:szCs w:val="22"/>
        </w:rPr>
        <w:t>b) NOTAS DE DESGLOSE</w:t>
      </w:r>
    </w:p>
    <w:p w:rsidR="006753C4" w:rsidRPr="00EE6F70" w:rsidRDefault="006753C4">
      <w:pPr>
        <w:pStyle w:val="Text"/>
        <w:spacing w:after="0" w:line="240" w:lineRule="exact"/>
        <w:jc w:val="center"/>
        <w:rPr>
          <w:rFonts w:asciiTheme="majorHAnsi" w:hAnsiTheme="majorHAnsi"/>
          <w:sz w:val="22"/>
          <w:szCs w:val="22"/>
        </w:rPr>
      </w:pPr>
    </w:p>
    <w:p w:rsidR="006753C4" w:rsidRPr="00EE6F70" w:rsidRDefault="001D1B14">
      <w:pPr>
        <w:spacing w:line="240" w:lineRule="exact"/>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En cumplimiento al Decreto Gubernamental mediante el cual se extingue el Organismo Público Descentralizado Régimen Estatal de Protección Social de Salud de Tamaulipas y el Acuerdo mediante el cual se establece las Bases para el Desarrollo del Proceso de Extinción del O.P.D. REPSS, se informa que el O.P.D. Régimen Estatal de Protección Social en Salud de Tamaulipas desde el 31 de diciembre de 2019 no realiza operaciones, recibe ni ejerce recursos, por lo cual actualmente las cuentas de activo, pasivo y hacienda pública y patrimonio se encuentran en ceros, a consecuencia de las acciones realizadas al 31 de diciembre de 2021, en estricto apego al plan de trabajo para la extinción del REPSS Tamaulipas y las normas aplicables.</w:t>
      </w:r>
    </w:p>
    <w:p w:rsidR="006753C4" w:rsidRPr="00EE6F70" w:rsidRDefault="006753C4">
      <w:pPr>
        <w:spacing w:line="240" w:lineRule="exact"/>
        <w:jc w:val="both"/>
        <w:rPr>
          <w:rFonts w:asciiTheme="majorHAnsi" w:eastAsia="Times New Roman" w:hAnsiTheme="majorHAnsi" w:cs="Calibri"/>
          <w:sz w:val="22"/>
          <w:szCs w:val="22"/>
          <w:lang w:eastAsia="es-ES"/>
        </w:rPr>
      </w:pPr>
    </w:p>
    <w:p w:rsidR="006753C4" w:rsidRPr="00EE6F70" w:rsidRDefault="001D1B14">
      <w:pPr>
        <w:spacing w:after="80" w:line="203" w:lineRule="exact"/>
        <w:jc w:val="both"/>
        <w:rPr>
          <w:rFonts w:asciiTheme="majorHAnsi" w:eastAsia="Times New Roman" w:hAnsiTheme="majorHAnsi" w:cs="Calibri"/>
          <w:sz w:val="22"/>
          <w:szCs w:val="22"/>
          <w:lang w:eastAsia="es-ES"/>
        </w:rPr>
      </w:pPr>
      <w:r w:rsidRPr="00EE6F70">
        <w:rPr>
          <w:rFonts w:asciiTheme="majorHAnsi" w:eastAsia="Times New Roman" w:hAnsiTheme="majorHAnsi" w:cs="Calibri"/>
          <w:sz w:val="22"/>
          <w:szCs w:val="22"/>
          <w:lang w:eastAsia="es-ES"/>
        </w:rPr>
        <w:t>Así mismo, los cuatrocientos cuarenta y tres bienes propiedad del REPSS Tamaulipas fueron donados al O.P.D. Servicios de Salud de Tamaulipas, para que disponga de ellos en el cumplimiento de sus objetivos.</w:t>
      </w:r>
    </w:p>
    <w:p w:rsidR="006753C4" w:rsidRPr="00EE6F70" w:rsidRDefault="006753C4">
      <w:pPr>
        <w:rPr>
          <w:rFonts w:asciiTheme="majorHAnsi" w:hAnsiTheme="majorHAnsi" w:cs="Calibri"/>
          <w:b/>
          <w:smallCaps/>
          <w:sz w:val="22"/>
          <w:szCs w:val="22"/>
        </w:rPr>
      </w:pPr>
    </w:p>
    <w:p w:rsidR="006753C4" w:rsidRPr="00EE6F70" w:rsidRDefault="001D1B14">
      <w:pPr>
        <w:pStyle w:val="Texto"/>
        <w:spacing w:after="0" w:line="240" w:lineRule="exact"/>
        <w:ind w:firstLine="0"/>
        <w:rPr>
          <w:rFonts w:asciiTheme="majorHAnsi" w:hAnsiTheme="majorHAnsi" w:cs="Calibri"/>
          <w:sz w:val="22"/>
          <w:szCs w:val="22"/>
        </w:rPr>
      </w:pPr>
      <w:r w:rsidRPr="00EE6F70">
        <w:rPr>
          <w:rFonts w:asciiTheme="majorHAnsi" w:hAnsiTheme="majorHAnsi" w:cs="Calibri"/>
          <w:sz w:val="22"/>
          <w:szCs w:val="22"/>
        </w:rPr>
        <w:t>Bajo protesta de decir verdad declaramos que los Estados Financieros y sus Notas, son razonabl</w:t>
      </w:r>
      <w:r w:rsidRPr="00EE6F70">
        <w:rPr>
          <w:rFonts w:asciiTheme="majorHAnsi" w:hAnsiTheme="majorHAnsi" w:cs="Calibri"/>
          <w:sz w:val="22"/>
          <w:szCs w:val="22"/>
        </w:rPr>
        <w:t>e</w:t>
      </w:r>
      <w:r w:rsidRPr="00EE6F70">
        <w:rPr>
          <w:rFonts w:asciiTheme="majorHAnsi" w:hAnsiTheme="majorHAnsi" w:cs="Calibri"/>
          <w:sz w:val="22"/>
          <w:szCs w:val="22"/>
        </w:rPr>
        <w:t>mente correctos y son responsabilidad del emisor</w:t>
      </w: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sz w:val="22"/>
          <w:szCs w:val="22"/>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ind w:firstLine="0"/>
        <w:rPr>
          <w:rFonts w:asciiTheme="majorHAnsi" w:hAnsiTheme="majorHAnsi" w:cs="DIN Pro Regular"/>
          <w:b/>
          <w:smallCaps/>
          <w:sz w:val="22"/>
          <w:szCs w:val="22"/>
          <w:lang w:val="es-MX"/>
        </w:rPr>
      </w:pPr>
    </w:p>
    <w:p w:rsidR="006753C4" w:rsidRPr="00EE6F70" w:rsidRDefault="006753C4">
      <w:pPr>
        <w:pStyle w:val="Text"/>
        <w:spacing w:after="0" w:line="240" w:lineRule="exact"/>
        <w:jc w:val="center"/>
        <w:rPr>
          <w:rFonts w:asciiTheme="majorHAnsi" w:hAnsiTheme="majorHAnsi" w:cs="DIN Pro Regular"/>
          <w:b/>
          <w:sz w:val="22"/>
          <w:szCs w:val="22"/>
        </w:rPr>
      </w:pPr>
    </w:p>
    <w:p w:rsidR="006753C4" w:rsidRPr="00EE6F70" w:rsidRDefault="006753C4">
      <w:pPr>
        <w:pStyle w:val="Text"/>
        <w:spacing w:after="0" w:line="240" w:lineRule="exact"/>
        <w:jc w:val="center"/>
        <w:rPr>
          <w:rFonts w:asciiTheme="majorHAnsi" w:hAnsiTheme="majorHAnsi" w:cs="DIN Pro Regular"/>
          <w:b/>
          <w:sz w:val="22"/>
          <w:szCs w:val="22"/>
        </w:rPr>
      </w:pPr>
    </w:p>
    <w:p w:rsidR="006753C4" w:rsidRPr="00EE6F70" w:rsidRDefault="006753C4">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1150C3" w:rsidRDefault="001150C3">
      <w:pPr>
        <w:pStyle w:val="Text"/>
        <w:spacing w:after="0" w:line="240" w:lineRule="exact"/>
        <w:jc w:val="center"/>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lastRenderedPageBreak/>
        <w:t>Cuenta Pública 2024</w:t>
      </w:r>
    </w:p>
    <w:p w:rsidR="006753C4" w:rsidRPr="00EE6F70" w:rsidRDefault="006753C4">
      <w:pPr>
        <w:pStyle w:val="Text"/>
        <w:spacing w:after="0" w:line="240" w:lineRule="exact"/>
        <w:jc w:val="center"/>
        <w:rPr>
          <w:rFonts w:asciiTheme="majorHAnsi" w:hAnsiTheme="majorHAnsi" w:cs="DIN Pro Regular"/>
          <w:b/>
          <w:sz w:val="22"/>
          <w:szCs w:val="22"/>
        </w:rPr>
      </w:pPr>
    </w:p>
    <w:p w:rsidR="006753C4" w:rsidRPr="00EE6F70" w:rsidRDefault="001D1B14">
      <w:pPr>
        <w:pStyle w:val="Text"/>
        <w:spacing w:after="0" w:line="240" w:lineRule="exact"/>
        <w:jc w:val="center"/>
        <w:rPr>
          <w:rFonts w:asciiTheme="majorHAnsi" w:hAnsiTheme="majorHAnsi"/>
          <w:sz w:val="22"/>
          <w:szCs w:val="22"/>
        </w:rPr>
      </w:pPr>
      <w:r w:rsidRPr="00EE6F70">
        <w:rPr>
          <w:rFonts w:asciiTheme="majorHAnsi" w:hAnsiTheme="majorHAnsi" w:cs="DIN Pro Regular"/>
          <w:b/>
          <w:sz w:val="22"/>
          <w:szCs w:val="22"/>
        </w:rPr>
        <w:t>Notas a los Estados Financieros</w:t>
      </w:r>
    </w:p>
    <w:p w:rsidR="006753C4" w:rsidRPr="00EE6F70" w:rsidRDefault="006753C4">
      <w:pPr>
        <w:pStyle w:val="Text"/>
        <w:spacing w:after="0" w:line="240" w:lineRule="exact"/>
        <w:ind w:firstLine="0"/>
        <w:rPr>
          <w:rFonts w:asciiTheme="majorHAnsi" w:hAnsiTheme="majorHAnsi" w:cs="DIN Pro Regular"/>
          <w:b/>
          <w:smallCaps/>
          <w:sz w:val="22"/>
          <w:szCs w:val="22"/>
        </w:rPr>
      </w:pPr>
    </w:p>
    <w:p w:rsidR="006753C4" w:rsidRPr="00EE6F70" w:rsidRDefault="001D1B14">
      <w:pPr>
        <w:pStyle w:val="Text"/>
        <w:spacing w:after="0" w:line="240" w:lineRule="exact"/>
        <w:ind w:firstLine="0"/>
        <w:jc w:val="center"/>
        <w:rPr>
          <w:rFonts w:asciiTheme="majorHAnsi" w:hAnsiTheme="majorHAnsi"/>
          <w:sz w:val="22"/>
          <w:szCs w:val="22"/>
        </w:rPr>
      </w:pPr>
      <w:r w:rsidRPr="00EE6F70">
        <w:rPr>
          <w:rFonts w:asciiTheme="majorHAnsi" w:hAnsiTheme="majorHAnsi" w:cs="DIN Pro Regular"/>
          <w:b/>
          <w:sz w:val="22"/>
          <w:szCs w:val="22"/>
        </w:rPr>
        <w:t>c)</w:t>
      </w:r>
      <w:r w:rsidRPr="00EE6F70">
        <w:rPr>
          <w:rFonts w:asciiTheme="majorHAnsi" w:hAnsiTheme="majorHAnsi" w:cs="DIN Pro Regular"/>
          <w:sz w:val="22"/>
          <w:szCs w:val="22"/>
        </w:rPr>
        <w:t xml:space="preserve"> </w:t>
      </w:r>
      <w:r w:rsidRPr="00EE6F70">
        <w:rPr>
          <w:rFonts w:asciiTheme="majorHAnsi" w:hAnsiTheme="majorHAnsi" w:cs="DIN Pro Regular"/>
          <w:b/>
          <w:sz w:val="22"/>
          <w:szCs w:val="22"/>
          <w:lang w:val="es-MX"/>
        </w:rPr>
        <w:t>NOTAS DE MEMORIA (Cuentas de Orden)</w:t>
      </w:r>
    </w:p>
    <w:p w:rsidR="006753C4" w:rsidRPr="00EE6F70" w:rsidRDefault="006753C4">
      <w:pPr>
        <w:pStyle w:val="Text"/>
        <w:spacing w:after="0" w:line="240" w:lineRule="exact"/>
        <w:rPr>
          <w:rFonts w:asciiTheme="majorHAnsi" w:hAnsiTheme="majorHAnsi" w:cs="DIN Pro Regular"/>
          <w:sz w:val="22"/>
          <w:szCs w:val="22"/>
          <w:lang w:val="es-MX"/>
        </w:rPr>
      </w:pPr>
    </w:p>
    <w:p w:rsidR="006753C4" w:rsidRPr="00EE6F70" w:rsidRDefault="006753C4">
      <w:pPr>
        <w:pStyle w:val="Text"/>
        <w:spacing w:after="0" w:line="240" w:lineRule="exact"/>
        <w:rPr>
          <w:rFonts w:asciiTheme="majorHAnsi" w:hAnsiTheme="majorHAnsi" w:cs="DIN Pro Regular"/>
          <w:sz w:val="22"/>
          <w:szCs w:val="22"/>
          <w:lang w:val="es-MX"/>
        </w:rPr>
      </w:pPr>
    </w:p>
    <w:p w:rsidR="006753C4" w:rsidRPr="00EE6F70" w:rsidRDefault="001D1B14">
      <w:pPr>
        <w:spacing w:line="240" w:lineRule="exact"/>
        <w:jc w:val="both"/>
        <w:rPr>
          <w:rFonts w:asciiTheme="majorHAnsi" w:eastAsia="Times New Roman" w:hAnsiTheme="majorHAnsi" w:cs="Calibri"/>
          <w:sz w:val="22"/>
          <w:szCs w:val="22"/>
          <w:lang w:val="es-ES" w:eastAsia="es-ES"/>
        </w:rPr>
      </w:pPr>
      <w:r w:rsidRPr="00EE6F70">
        <w:rPr>
          <w:rFonts w:asciiTheme="majorHAnsi" w:eastAsia="Times New Roman" w:hAnsiTheme="majorHAnsi" w:cs="Calibri"/>
          <w:sz w:val="22"/>
          <w:szCs w:val="22"/>
          <w:lang w:val="es-ES" w:eastAsia="es-ES"/>
        </w:rPr>
        <w:t>Las cuentas de orden se utilizan para registrar movimientos de valores que no afecten o modifiquen el Balance del Organismo, sin embargo, su incorporación en libros es necesaria con fines de recordatorio contable, de control y en general sobre los aspectos administrativos, o bien, para consignar sus derechos o responsabilidades contingentes que puedan, o no, presentarse en el futuro.</w:t>
      </w:r>
    </w:p>
    <w:p w:rsidR="006753C4" w:rsidRPr="00EE6F70" w:rsidRDefault="006753C4">
      <w:pPr>
        <w:spacing w:line="240" w:lineRule="exact"/>
        <w:jc w:val="both"/>
        <w:rPr>
          <w:rFonts w:asciiTheme="majorHAnsi" w:eastAsia="Times New Roman" w:hAnsiTheme="majorHAnsi" w:cs="Calibri"/>
          <w:b/>
          <w:sz w:val="22"/>
          <w:szCs w:val="22"/>
          <w:lang w:val="es-ES" w:eastAsia="es-ES"/>
        </w:rPr>
      </w:pPr>
    </w:p>
    <w:p w:rsidR="006753C4" w:rsidRPr="00EE6F70" w:rsidRDefault="001D1B14">
      <w:pPr>
        <w:spacing w:line="240" w:lineRule="exact"/>
        <w:jc w:val="both"/>
        <w:rPr>
          <w:rFonts w:asciiTheme="majorHAnsi" w:hAnsiTheme="majorHAnsi"/>
          <w:sz w:val="22"/>
          <w:szCs w:val="22"/>
        </w:rPr>
      </w:pPr>
      <w:r w:rsidRPr="00EE6F70">
        <w:rPr>
          <w:rFonts w:asciiTheme="majorHAnsi" w:eastAsia="Times New Roman" w:hAnsiTheme="majorHAnsi" w:cs="Calibri"/>
          <w:sz w:val="22"/>
          <w:szCs w:val="22"/>
          <w:lang w:val="es-ES" w:eastAsia="es-ES"/>
        </w:rPr>
        <w:t>En lo que respecta a las cuentas presupuestales, es transcendental informar que el Régimen Estatal de Protección Social en Salud de Tamaulipas, a partir del 01 de enero de 2020 no cuenta con un presupuesto de ingresos y egresos,</w:t>
      </w:r>
      <w:r w:rsidRPr="00EE6F70">
        <w:rPr>
          <w:rFonts w:asciiTheme="majorHAnsi" w:eastAsia="Times New Roman" w:hAnsiTheme="majorHAnsi" w:cs="Calibri"/>
          <w:sz w:val="22"/>
          <w:szCs w:val="22"/>
          <w:lang w:eastAsia="es-ES"/>
        </w:rPr>
        <w:t xml:space="preserve"> debido al cierre definitivo de sus operaciones y actividades, a consecuencia de la culminación del programa Seguro Popular a nivel nacional.</w:t>
      </w:r>
    </w:p>
    <w:p w:rsidR="006753C4" w:rsidRPr="00EE6F70" w:rsidRDefault="006753C4">
      <w:pPr>
        <w:pStyle w:val="Text"/>
        <w:spacing w:after="0" w:line="240" w:lineRule="exact"/>
        <w:ind w:firstLine="0"/>
        <w:rPr>
          <w:rFonts w:asciiTheme="majorHAnsi" w:hAnsiTheme="majorHAnsi" w:cs="DIN Pro Regular"/>
          <w:sz w:val="22"/>
          <w:szCs w:val="22"/>
        </w:rPr>
      </w:pPr>
    </w:p>
    <w:p w:rsidR="006753C4" w:rsidRPr="00EE6F70" w:rsidRDefault="001D1B14">
      <w:pPr>
        <w:pStyle w:val="Text"/>
        <w:spacing w:after="0" w:line="240" w:lineRule="exact"/>
        <w:ind w:firstLine="0"/>
        <w:rPr>
          <w:rFonts w:asciiTheme="majorHAnsi" w:hAnsiTheme="majorHAnsi"/>
          <w:sz w:val="22"/>
          <w:szCs w:val="22"/>
        </w:rPr>
      </w:pPr>
      <w:r w:rsidRPr="00EE6F70">
        <w:rPr>
          <w:rFonts w:asciiTheme="majorHAnsi" w:hAnsiTheme="majorHAnsi" w:cs="DIN Pro Regular"/>
          <w:sz w:val="22"/>
          <w:szCs w:val="22"/>
        </w:rPr>
        <w:t>Bajo protesta de decir verdad declaramos que los Estados Financieros y sus Notas, son razonablemente correctos y son responsabilidad del emisor</w:t>
      </w:r>
    </w:p>
    <w:p w:rsidR="006753C4" w:rsidRPr="00EE6F70" w:rsidRDefault="006753C4">
      <w:pPr>
        <w:pStyle w:val="Text"/>
        <w:spacing w:after="0" w:line="240" w:lineRule="exact"/>
        <w:rPr>
          <w:rFonts w:asciiTheme="majorHAnsi" w:hAnsiTheme="majorHAnsi" w:cs="DIN Pro Regular"/>
          <w:sz w:val="22"/>
          <w:szCs w:val="22"/>
        </w:rPr>
      </w:pPr>
    </w:p>
    <w:p w:rsidR="006753C4" w:rsidRPr="00EE6F70" w:rsidRDefault="006753C4">
      <w:pPr>
        <w:pStyle w:val="Text"/>
        <w:spacing w:after="0" w:line="240" w:lineRule="exact"/>
        <w:rPr>
          <w:rFonts w:asciiTheme="majorHAnsi" w:hAnsiTheme="majorHAnsi" w:cs="DIN Pro Regular"/>
          <w:sz w:val="22"/>
          <w:szCs w:val="22"/>
        </w:rPr>
      </w:pPr>
    </w:p>
    <w:p w:rsidR="006753C4" w:rsidRPr="00EE6F70" w:rsidRDefault="006753C4">
      <w:pPr>
        <w:pStyle w:val="Text"/>
        <w:spacing w:after="0" w:line="240" w:lineRule="exact"/>
        <w:rPr>
          <w:rFonts w:asciiTheme="majorHAnsi" w:hAnsiTheme="majorHAnsi"/>
          <w:sz w:val="22"/>
          <w:szCs w:val="22"/>
        </w:rPr>
      </w:pPr>
    </w:p>
    <w:sectPr w:rsidR="006753C4" w:rsidRPr="00EE6F70">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F7" w:rsidRDefault="00C240F7">
      <w:r>
        <w:separator/>
      </w:r>
    </w:p>
  </w:endnote>
  <w:endnote w:type="continuationSeparator" w:id="0">
    <w:p w:rsidR="00C240F7" w:rsidRDefault="00C2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Pro Regular">
    <w:charset w:val="00"/>
    <w:family w:val="roman"/>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7" w:rsidRDefault="001D1B14">
    <w:pPr>
      <w:pStyle w:val="Piedepgina"/>
      <w:jc w:val="center"/>
    </w:pPr>
    <w:r>
      <w:rPr>
        <w:noProof/>
        <w:lang w:eastAsia="es-MX"/>
      </w:rPr>
      <mc:AlternateContent>
        <mc:Choice Requires="wps">
          <w:drawing>
            <wp:anchor distT="0" distB="0" distL="114300" distR="114300" simplePos="0" relativeHeight="251663360" behindDoc="1" locked="0" layoutInCell="1" allowOverlap="1">
              <wp:simplePos x="0" y="0"/>
              <wp:positionH relativeFrom="column">
                <wp:posOffset>4315</wp:posOffset>
              </wp:positionH>
              <wp:positionV relativeFrom="paragraph">
                <wp:posOffset>-55796</wp:posOffset>
              </wp:positionV>
              <wp:extent cx="6191888" cy="0"/>
              <wp:effectExtent l="0" t="0" r="18412" b="19050"/>
              <wp:wrapNone/>
              <wp:docPr id="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a:solidFill>
                          <a:srgbClr val="BC955C"/>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sidR="001C7F4B">
      <w:rPr>
        <w:rFonts w:ascii="Helvetica" w:hAnsi="Helvetica" w:cs="Arial"/>
        <w:noProof/>
      </w:rPr>
      <w:t>1</w:t>
    </w:r>
    <w:r>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F7" w:rsidRDefault="00C240F7">
      <w:r>
        <w:rPr>
          <w:color w:val="000000"/>
        </w:rPr>
        <w:separator/>
      </w:r>
    </w:p>
  </w:footnote>
  <w:footnote w:type="continuationSeparator" w:id="0">
    <w:p w:rsidR="00C240F7" w:rsidRDefault="00C2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7" w:rsidRDefault="001C7F4B">
    <w:pPr>
      <w:pStyle w:val="Encabezado"/>
      <w:tabs>
        <w:tab w:val="clear" w:pos="8838"/>
        <w:tab w:val="left" w:pos="7965"/>
      </w:tabs>
    </w:pPr>
    <w:r>
      <w:rPr>
        <w:noProof/>
        <w:lang w:eastAsia="es-MX"/>
      </w:rPr>
      <w:drawing>
        <wp:anchor distT="0" distB="0" distL="114300" distR="114300" simplePos="0" relativeHeight="251661312" behindDoc="0" locked="0" layoutInCell="1" allowOverlap="1" wp14:anchorId="279F9ACB" wp14:editId="31022E25">
          <wp:simplePos x="0" y="0"/>
          <wp:positionH relativeFrom="margin">
            <wp:posOffset>5201285</wp:posOffset>
          </wp:positionH>
          <wp:positionV relativeFrom="margin">
            <wp:posOffset>-896620</wp:posOffset>
          </wp:positionV>
          <wp:extent cx="1092200" cy="462915"/>
          <wp:effectExtent l="0" t="0" r="0" b="0"/>
          <wp:wrapSquare wrapText="bothSides"/>
          <wp:docPr id="2" name="Imagen 7" descr="Salud y SP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92200" cy="4629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D1B14">
      <w:rPr>
        <w:rFonts w:ascii="Arial" w:hAnsi="Arial" w:cs="Arial"/>
        <w:noProof/>
        <w:lang w:eastAsia="es-MX"/>
      </w:rPr>
      <w:drawing>
        <wp:anchor distT="0" distB="0" distL="114300" distR="114300" simplePos="0" relativeHeight="251659264" behindDoc="0" locked="0" layoutInCell="1" allowOverlap="1" wp14:anchorId="33F33E78" wp14:editId="15B04DA6">
          <wp:simplePos x="0" y="0"/>
          <wp:positionH relativeFrom="column">
            <wp:posOffset>-353695</wp:posOffset>
          </wp:positionH>
          <wp:positionV relativeFrom="paragraph">
            <wp:posOffset>-141605</wp:posOffset>
          </wp:positionV>
          <wp:extent cx="1215390" cy="567055"/>
          <wp:effectExtent l="0" t="0" r="3810" b="4445"/>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15390" cy="567055"/>
                  </a:xfrm>
                  <a:prstGeom prst="rect">
                    <a:avLst/>
                  </a:prstGeom>
                  <a:noFill/>
                  <a:ln>
                    <a:noFill/>
                    <a:prstDash/>
                  </a:ln>
                </pic:spPr>
              </pic:pic>
            </a:graphicData>
          </a:graphic>
        </wp:anchor>
      </w:drawing>
    </w:r>
  </w:p>
  <w:p w:rsidR="00151E97" w:rsidRDefault="001D1B14">
    <w:pPr>
      <w:pStyle w:val="Encabezado"/>
      <w:tabs>
        <w:tab w:val="clear" w:pos="8838"/>
        <w:tab w:val="left" w:pos="7965"/>
      </w:tabs>
      <w:jc w:val="center"/>
    </w:pPr>
    <w:r>
      <w:rPr>
        <w:b/>
        <w:noProof/>
        <w:sz w:val="24"/>
        <w:szCs w:val="24"/>
        <w:lang w:eastAsia="es-MX"/>
      </w:rPr>
      <mc:AlternateContent>
        <mc:Choice Requires="wps">
          <w:drawing>
            <wp:anchor distT="0" distB="0" distL="114300" distR="114300" simplePos="0" relativeHeight="251660288" behindDoc="1" locked="0" layoutInCell="1" allowOverlap="1" wp14:anchorId="16EBC26F" wp14:editId="6D8EEA66">
              <wp:simplePos x="0" y="0"/>
              <wp:positionH relativeFrom="column">
                <wp:posOffset>33174</wp:posOffset>
              </wp:positionH>
              <wp:positionV relativeFrom="paragraph">
                <wp:posOffset>293586</wp:posOffset>
              </wp:positionV>
              <wp:extent cx="6191887" cy="0"/>
              <wp:effectExtent l="0" t="0" r="18413" b="19050"/>
              <wp:wrapNone/>
              <wp:docPr id="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a:solidFill>
                          <a:srgbClr val="BC955C"/>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" strokecolor="#bc955c" strokeweight=".70992mm">
              <v:stroke joinstyle="miter"/>
            </v:shape>
          </w:pict>
        </mc:Fallback>
      </mc:AlternateContent>
    </w:r>
    <w:r>
      <w:rPr>
        <w:b/>
        <w:sz w:val="24"/>
        <w:szCs w:val="24"/>
        <w:lang w:eastAsia="es-MX"/>
      </w:rPr>
      <w:t>Régimen Estatal de Protección Social en Salud de Tamaulipas</w:t>
    </w:r>
    <w:r>
      <w:rPr>
        <w:rFonts w:ascii="Encode Sans" w:hAnsi="Encode Sans"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AA4"/>
    <w:multiLevelType w:val="multilevel"/>
    <w:tmpl w:val="CAEEC098"/>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42515161"/>
    <w:multiLevelType w:val="multilevel"/>
    <w:tmpl w:val="588C5D0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nsid w:val="50D241DE"/>
    <w:multiLevelType w:val="multilevel"/>
    <w:tmpl w:val="293AF32C"/>
    <w:lvl w:ilvl="0">
      <w:numFmt w:val="bullet"/>
      <w:lvlText w:val=""/>
      <w:lvlJc w:val="left"/>
      <w:pPr>
        <w:ind w:left="1429"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5F02B81"/>
    <w:multiLevelType w:val="multilevel"/>
    <w:tmpl w:val="65944F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4460D07"/>
    <w:multiLevelType w:val="multilevel"/>
    <w:tmpl w:val="E2F6BC2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6C0B361E"/>
    <w:multiLevelType w:val="multilevel"/>
    <w:tmpl w:val="B540E58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6C6F2CE7"/>
    <w:multiLevelType w:val="multilevel"/>
    <w:tmpl w:val="C4C2BD0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3BA70C9"/>
    <w:multiLevelType w:val="multilevel"/>
    <w:tmpl w:val="325EA270"/>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C121DFD"/>
    <w:multiLevelType w:val="multilevel"/>
    <w:tmpl w:val="39FA9C26"/>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0"/>
  </w:num>
  <w:num w:numId="3">
    <w:abstractNumId w:val="8"/>
  </w:num>
  <w:num w:numId="4">
    <w:abstractNumId w:val="6"/>
  </w:num>
  <w:num w:numId="5">
    <w:abstractNumId w:val="5"/>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53C4"/>
    <w:rsid w:val="001150C3"/>
    <w:rsid w:val="001C7F4B"/>
    <w:rsid w:val="001D1B14"/>
    <w:rsid w:val="00395F77"/>
    <w:rsid w:val="005744BD"/>
    <w:rsid w:val="0058780C"/>
    <w:rsid w:val="006753C4"/>
    <w:rsid w:val="0091128B"/>
    <w:rsid w:val="00966C7D"/>
    <w:rsid w:val="00A408B9"/>
    <w:rsid w:val="00A550D6"/>
    <w:rsid w:val="00C240F7"/>
    <w:rsid w:val="00C44ADF"/>
    <w:rsid w:val="00EE6F70"/>
    <w:rsid w:val="00F14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Epgraf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Epgraf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8834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Carlos Arriaga</cp:lastModifiedBy>
  <cp:revision>10</cp:revision>
  <cp:lastPrinted>2024-09-11T18:36:00Z</cp:lastPrinted>
  <dcterms:created xsi:type="dcterms:W3CDTF">2025-01-31T15:23:00Z</dcterms:created>
  <dcterms:modified xsi:type="dcterms:W3CDTF">2025-02-05T18:45:00Z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