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03" w:rsidRDefault="003F3903">
      <w:pPr>
        <w:jc w:val="center"/>
        <w:rPr>
          <w:rFonts w:ascii="Encode Sans" w:hAnsi="Encode Sans" w:cs="Arial"/>
          <w:b/>
        </w:rPr>
      </w:pPr>
    </w:p>
    <w:p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tbl>
      <w:tblPr>
        <w:tblW w:w="1232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127"/>
        <w:gridCol w:w="2409"/>
        <w:gridCol w:w="1100"/>
        <w:gridCol w:w="791"/>
        <w:gridCol w:w="993"/>
        <w:gridCol w:w="990"/>
        <w:gridCol w:w="864"/>
        <w:gridCol w:w="1925"/>
      </w:tblGrid>
      <w:tr w:rsidR="00CB77AE" w:rsidRPr="00CB77AE" w:rsidTr="00C51CD1">
        <w:trPr>
          <w:trHeight w:val="8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Nombre del Programa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Nombre del Indicador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Método de cálculo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Unidad de medida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Meta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Tipo-dimensión-frecuencia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Realizado en el periodo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Avance respecto a la meta anual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Justificaciones</w:t>
            </w:r>
          </w:p>
        </w:tc>
      </w:tr>
      <w:tr w:rsidR="00CB77AE" w:rsidRPr="00CB77AE" w:rsidTr="00C51CD1">
        <w:trPr>
          <w:trHeight w:val="165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D1" w:rsidRPr="00E90442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E090 </w:t>
            </w:r>
          </w:p>
          <w:p w:rsidR="00CB77AE" w:rsidRPr="00CB77AE" w:rsidRDefault="00C51CD1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E90442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Desarrollo</w:t>
            </w:r>
            <w:r w:rsidR="00CB77AE"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Artístico y Cultural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Tasa de variación de las actividades artísticas, culturales y de patrimonio cultural realizadas.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((Número de actividades artísticas, culturales y de patrimonio cultural en el periodo t / Número de actividades artísticas, culturales y de patrimonio cultural en el periodo t -1)-1) *100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Actividades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sz w:val="18"/>
                <w:szCs w:val="18"/>
                <w:lang w:eastAsia="es-MX"/>
              </w:rPr>
              <w:t>1982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4to Trimestre 2024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126%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 de cumplimiento reportado ante la Dirección de Planeación  Estratégica del Gobierno del Estado</w:t>
            </w:r>
          </w:p>
        </w:tc>
      </w:tr>
      <w:tr w:rsidR="00CB77AE" w:rsidRPr="00CB77AE" w:rsidTr="00C51CD1">
        <w:trPr>
          <w:trHeight w:val="14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Tasa de variación de los participantes en las actividades artísticas , culturales y de patrimonio cultural realizadas en el año actual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((Número de participantes en las actividades artísticas y culturales en el periodo t/número de participantes en las actividades artísticas y culturales en el periodo t-1)-1) *100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Población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sz w:val="18"/>
                <w:szCs w:val="18"/>
                <w:lang w:eastAsia="es-MX"/>
              </w:rPr>
              <w:t>340,427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4to Trimestre 2024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400%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 de cumplimiento reportado ante la Dirección de Planeación  Estratégica del Gobierno del Estado</w:t>
            </w:r>
          </w:p>
        </w:tc>
      </w:tr>
      <w:tr w:rsidR="00CB77AE" w:rsidRPr="00CB77AE" w:rsidTr="00C51CD1">
        <w:trPr>
          <w:trHeight w:val="12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Actividades de promoción y fomento a la lectura que propicien el hábito de leer y el conocimiento literario en el Estado realizadas.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(Actividades de promoción y fomento a la lectura realizados/ Actividades de promoción y fomento a la lectura programados) * 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Actividades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Trimestral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4to. Trimestre 2024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180%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 de cumplimiento reportado ante la Dirección de Planeación  Estratégica del Gobierno del Estado</w:t>
            </w:r>
          </w:p>
        </w:tc>
      </w:tr>
      <w:tr w:rsidR="00CB77AE" w:rsidRPr="00CB77AE" w:rsidTr="00C51CD1">
        <w:trPr>
          <w:trHeight w:val="19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 de las actividades artísticas, culturales, de preservación y conservación del patrimonio histórico en el Estado realizadas.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(Actividades artísticas, culturales, de preservación y conservación del patrimonio histórico del Estado realizadas / Actividades artísticas, culturales, de preservación y conservación del patrimonio histórico del Estado programadas) *100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Actividades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sz w:val="18"/>
                <w:szCs w:val="18"/>
                <w:lang w:eastAsia="es-MX"/>
              </w:rPr>
              <w:t>843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4to Trimestre 2024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113%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AE" w:rsidRPr="00CB77AE" w:rsidRDefault="00CB77AE" w:rsidP="00CB77AE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B77A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 de cumplimiento reportado ante la Dirección de Planeación  Estratégica del Gobierno del Estado</w:t>
            </w:r>
          </w:p>
        </w:tc>
      </w:tr>
    </w:tbl>
    <w:p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tbl>
      <w:tblPr>
        <w:tblW w:w="12328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1948"/>
        <w:gridCol w:w="2906"/>
        <w:gridCol w:w="992"/>
        <w:gridCol w:w="567"/>
        <w:gridCol w:w="992"/>
        <w:gridCol w:w="868"/>
        <w:gridCol w:w="833"/>
        <w:gridCol w:w="2127"/>
      </w:tblGrid>
      <w:tr w:rsidR="00C51CD1" w:rsidRPr="00C51CD1" w:rsidTr="00C51CD1">
        <w:trPr>
          <w:trHeight w:val="71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Nombre del Programa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Nombre del Indicador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Método de cálculo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Unidad de medida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Meta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Tipo-dimensión-frecuencia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Realizado en el periodo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Avance respecto a la meta anual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Justificaciones</w:t>
            </w:r>
          </w:p>
        </w:tc>
      </w:tr>
      <w:tr w:rsidR="00C51CD1" w:rsidRPr="00C51CD1" w:rsidTr="00C51CD1">
        <w:trPr>
          <w:trHeight w:val="2334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42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E090 </w:t>
            </w:r>
          </w:p>
          <w:p w:rsidR="00C51CD1" w:rsidRPr="00C51CD1" w:rsidRDefault="00E90442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Desarrollo</w:t>
            </w:r>
            <w:r w:rsidR="00C51CD1"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Artístico y Cultural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 de las actividades, cursos, seminarios, talleres y conferencias de formación, capacitación artística, cultural e históricas realizadas.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Actividades de formación, capacitación, artística, cultural, históricas, que impulsen la educación cultural y el desarrollo artístico de las y los tamaulipecos realizadas / Actividades de formación, capacitación, artística, cultural, históricas, que impulsen la educación cultural y el desarrollo artístico de las y los tamaulipecos programadas.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Actividades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4to Trimestre 2024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59%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 de cumplimiento reportado ante la Dirección de Planeación  Estratégica del Gobierno del Estado</w:t>
            </w:r>
          </w:p>
        </w:tc>
      </w:tr>
      <w:tr w:rsidR="00C51CD1" w:rsidRPr="00C51CD1" w:rsidTr="00C51CD1">
        <w:trPr>
          <w:trHeight w:val="829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Porcentajes de apoyos a la población artística y cultura tamaulipeco.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Solicitudes de la población artística y cultural atendidas/ Total de solicitudes de la población artística y cultural recibidas.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Solicitudes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4to. Trimestre 2024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36%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 de cumplimiento reportado ante la Dirección de Planeación  Estratégica del Gobierno del Estado</w:t>
            </w:r>
          </w:p>
        </w:tc>
      </w:tr>
      <w:tr w:rsidR="00C51CD1" w:rsidRPr="00C51CD1" w:rsidTr="00C51CD1">
        <w:trPr>
          <w:trHeight w:val="1037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 de la población que participó en las actividades de fomento a la lectura en espacios físicos y a través de medios digitales.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Población que participó en las actividades de fomento a la lectura realizadas / Población que participó en las actividades de fomento a la lectura programadas.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Población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sz w:val="18"/>
                <w:szCs w:val="18"/>
                <w:lang w:eastAsia="es-MX"/>
              </w:rPr>
              <w:t>10,506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4to. Trimestre 2024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67%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 de cumplimiento reportado ante la Dirección de Planeación  Estratégica del Gobierno del Estado</w:t>
            </w:r>
          </w:p>
        </w:tc>
      </w:tr>
      <w:tr w:rsidR="00C51CD1" w:rsidRPr="00C51CD1" w:rsidTr="00C51CD1">
        <w:trPr>
          <w:trHeight w:val="1724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 de población tamaulipeca que participa en las actividades artísticas y culturales en Tamaulipas.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(Total de población tamaulipeca que asiste a actividades artísticas y culturales / Total de población tamaulipeca programada que asiste a actividades artísticas) y culturales *100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Población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197313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4to. Trimestre 2024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142%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 de cumplimiento al 100 % trimestralmente reportado ante la Dirección de Planeación  Estratégica del Gobierno del Estado</w:t>
            </w:r>
          </w:p>
        </w:tc>
      </w:tr>
      <w:tr w:rsidR="00C51CD1" w:rsidRPr="00C51CD1" w:rsidTr="00C51CD1">
        <w:trPr>
          <w:trHeight w:val="1659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 del aumento de la población tamaulipeca que participa en actividades de formación y capacitación artística t cultural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(Población tamaulipeca que participa en actividades de formación y capacitación artística realizadas / Total de población tamaulipeca que participa en actividades de formación y capacitación programadas) *100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Población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1739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3er. Trimestre 2024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44%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 de cumplimiento reportado ante la Dirección de Planeación  Estratégica del Gobierno del Estado</w:t>
            </w:r>
          </w:p>
        </w:tc>
      </w:tr>
    </w:tbl>
    <w:p w:rsidR="003F3903" w:rsidRDefault="003F3903">
      <w:pPr>
        <w:jc w:val="center"/>
        <w:rPr>
          <w:rFonts w:cs="DIN Pro Regular"/>
          <w:b/>
        </w:rPr>
      </w:pPr>
    </w:p>
    <w:tbl>
      <w:tblPr>
        <w:tblW w:w="124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2977"/>
        <w:gridCol w:w="765"/>
        <w:gridCol w:w="644"/>
        <w:gridCol w:w="979"/>
        <w:gridCol w:w="872"/>
        <w:gridCol w:w="851"/>
        <w:gridCol w:w="2412"/>
      </w:tblGrid>
      <w:tr w:rsidR="00C51CD1" w:rsidRPr="00C51CD1" w:rsidTr="00E90442">
        <w:trPr>
          <w:trHeight w:val="7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Nombre del Programa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Nombre del Indicador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Método de cálculo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Unidad de medida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Meta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Tipo-dimensión-frecuencia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Realizado en el periodo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Avance respecto a la meta anual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Justificaciones</w:t>
            </w:r>
          </w:p>
        </w:tc>
      </w:tr>
      <w:tr w:rsidR="00C51CD1" w:rsidRPr="00C51CD1" w:rsidTr="00E90442">
        <w:trPr>
          <w:trHeight w:val="2767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42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E090 </w:t>
            </w:r>
          </w:p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E90442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Desarrollo</w:t>
            </w: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Artístico y Cultural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 de las y los artistas, creadores y docentes tamaulipecos que participan en las actividades de formación, capacitación y educativas culturales y artísticas.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(Porcentaje de las y los artistas, creadores y docentes tamaulipecos que participan en las actividades de formación, capacitación y educativas culturales y artísticas realizadas/ Total de las y los artistas, creadores y docentes tamaulipecos que participan en las actividades de formación, capacitación y educativas culturales y artísticas programadas) *100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Artistas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4to Trimestre 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108%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 de cumplimiento reportado ante la Dirección de Planeación  Estratégica del Gobierno del Estado</w:t>
            </w:r>
          </w:p>
        </w:tc>
      </w:tr>
      <w:tr w:rsidR="00C51CD1" w:rsidRPr="00C51CD1" w:rsidTr="00E90442">
        <w:trPr>
          <w:trHeight w:val="106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 de artistas vinculados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Número de artistas del padrón beneficiados / Número total del padrón de artistas registrados) *100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Artistas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4to Trimestre 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89%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CD1" w:rsidRPr="00C51CD1" w:rsidRDefault="00C51CD1" w:rsidP="00C51CD1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C51CD1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 de cumplimiento reportado ante la Dirección de Planeación  Estratégica del Gobierno del Estado</w:t>
            </w:r>
          </w:p>
        </w:tc>
      </w:tr>
    </w:tbl>
    <w:p w:rsidR="003F3903" w:rsidRDefault="003F3903">
      <w:pPr>
        <w:jc w:val="center"/>
        <w:rPr>
          <w:rFonts w:cs="DIN Pro Regular"/>
          <w:b/>
        </w:rPr>
      </w:pPr>
    </w:p>
    <w:p w:rsidR="00C51CD1" w:rsidRDefault="00C51CD1" w:rsidP="00C51CD1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:rsidR="003F3903" w:rsidRDefault="003F3903">
      <w:pPr>
        <w:jc w:val="center"/>
        <w:rPr>
          <w:rFonts w:cs="DIN Pro Regular"/>
        </w:rPr>
      </w:pPr>
    </w:p>
    <w:p w:rsidR="003F3903" w:rsidRDefault="003F3903">
      <w:pPr>
        <w:jc w:val="center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  <w:bookmarkStart w:id="0" w:name="_GoBack"/>
      <w:bookmarkEnd w:id="0"/>
    </w:p>
    <w:sectPr w:rsidR="003F3903" w:rsidSect="00CB77AE">
      <w:headerReference w:type="default" r:id="rId7"/>
      <w:footerReference w:type="default" r:id="rId8"/>
      <w:pgSz w:w="15840" w:h="12240" w:orient="landscape"/>
      <w:pgMar w:top="1418" w:right="1665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64" w:rsidRDefault="000F6264">
      <w:pPr>
        <w:spacing w:after="0" w:line="240" w:lineRule="auto"/>
      </w:pPr>
      <w:r>
        <w:separator/>
      </w:r>
    </w:p>
  </w:endnote>
  <w:endnote w:type="continuationSeparator" w:id="0">
    <w:p w:rsidR="000F6264" w:rsidRDefault="000F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AFF" w:usb1="4000ACFF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C4731C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64" w:rsidRDefault="000F6264">
      <w:pPr>
        <w:spacing w:after="0" w:line="240" w:lineRule="auto"/>
      </w:pPr>
      <w:r>
        <w:separator/>
      </w:r>
    </w:p>
  </w:footnote>
  <w:footnote w:type="continuationSeparator" w:id="0">
    <w:p w:rsidR="000F6264" w:rsidRDefault="000F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903" w:rsidRDefault="00CB77AE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7047230</wp:posOffset>
          </wp:positionH>
          <wp:positionV relativeFrom="paragraph">
            <wp:posOffset>-421640</wp:posOffset>
          </wp:positionV>
          <wp:extent cx="1016635" cy="990600"/>
          <wp:effectExtent l="0" t="0" r="0" b="0"/>
          <wp:wrapSquare wrapText="bothSides"/>
          <wp:docPr id="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63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3903" w:rsidRDefault="00CB77AE" w:rsidP="00CB77AE">
    <w:pPr>
      <w:pStyle w:val="Encabezado"/>
      <w:jc w:val="center"/>
      <w:rPr>
        <w:rFonts w:ascii="Arial" w:hAnsi="Arial" w:cs="Arial"/>
      </w:rPr>
    </w:pPr>
    <w:r w:rsidRPr="00CB77AE">
      <w:rPr>
        <w:rFonts w:ascii="Encode Sans" w:hAnsi="Encode Sans" w:cs="Arial"/>
        <w:b/>
        <w:bCs/>
        <w:sz w:val="24"/>
        <w:szCs w:val="24"/>
      </w:rPr>
      <w:t>Instituto Tamaulipeco para la Cultura y las Artes</w:t>
    </w:r>
  </w:p>
  <w:p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9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03"/>
    <w:rsid w:val="000F6264"/>
    <w:rsid w:val="00190440"/>
    <w:rsid w:val="003F3903"/>
    <w:rsid w:val="008A0BB0"/>
    <w:rsid w:val="00A800BB"/>
    <w:rsid w:val="00C4731C"/>
    <w:rsid w:val="00C51CD1"/>
    <w:rsid w:val="00CB77AE"/>
    <w:rsid w:val="00E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51047B-F87F-424D-9FAB-90782E43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  <w:style w:type="paragraph" w:customStyle="1" w:styleId="Text">
    <w:name w:val="Text"/>
    <w:basedOn w:val="Normal"/>
    <w:rsid w:val="00CB77AE"/>
    <w:pPr>
      <w:autoSpaceDN w:val="0"/>
      <w:spacing w:after="101" w:line="216" w:lineRule="exact"/>
      <w:ind w:firstLine="288"/>
      <w:jc w:val="both"/>
      <w:textAlignment w:val="baseline"/>
    </w:pPr>
    <w:rPr>
      <w:rFonts w:ascii="Arial" w:eastAsia="Times New Roman" w:hAnsi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613F-8066-4C98-AE49-476E8F0D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940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DELL</cp:lastModifiedBy>
  <cp:revision>24</cp:revision>
  <cp:lastPrinted>2022-12-20T20:35:00Z</cp:lastPrinted>
  <dcterms:created xsi:type="dcterms:W3CDTF">2021-01-09T00:44:00Z</dcterms:created>
  <dcterms:modified xsi:type="dcterms:W3CDTF">2025-02-12T18:49:00Z</dcterms:modified>
  <dc:language>es-MX</dc:language>
</cp:coreProperties>
</file>