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2F6E" w14:textId="77777777" w:rsidR="00A6603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0"/>
        </w:rPr>
        <w:t>Cuenta Pública 2024</w:t>
      </w:r>
    </w:p>
    <w:p w14:paraId="2E9E63A2" w14:textId="77777777" w:rsidR="00A66033" w:rsidRDefault="00A6603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0D60FB12" w14:textId="77777777" w:rsidR="00A6603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0"/>
        </w:rPr>
        <w:t>Notas a los Estados Financieros</w:t>
      </w:r>
    </w:p>
    <w:p w14:paraId="5C8CA460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A8AD19E" w14:textId="77777777" w:rsidR="00A66033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0"/>
          <w:lang w:val="es-MX"/>
        </w:rPr>
        <w:t>a) NOTAS DE GESTIÓN ADMINISTRATIVA</w:t>
      </w:r>
    </w:p>
    <w:p w14:paraId="5A984C99" w14:textId="77777777" w:rsidR="00A66033" w:rsidRDefault="00A66033">
      <w:pPr>
        <w:pStyle w:val="Text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1FBF7E3F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Autorización e Historia</w:t>
      </w:r>
    </w:p>
    <w:p w14:paraId="105B099C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El  Instituto  Tamaulipeco de  Becas  Estímulos  y Créditos Educativos (ITABEC), es  un Organismo  Público  Descentralizado  creado mediante   decreto gubernamental publicado  en el periódico oficial del Estado  </w:t>
      </w:r>
      <w:proofErr w:type="spellStart"/>
      <w:r>
        <w:rPr>
          <w:rFonts w:ascii="Calibri" w:hAnsi="Calibri" w:cs="DIN Pro Regular"/>
          <w:sz w:val="20"/>
          <w:lang w:val="es-MX"/>
        </w:rPr>
        <w:t>n°</w:t>
      </w:r>
      <w:proofErr w:type="spellEnd"/>
      <w:r>
        <w:rPr>
          <w:rFonts w:ascii="Calibri" w:hAnsi="Calibri" w:cs="DIN Pro Regular"/>
          <w:sz w:val="20"/>
          <w:lang w:val="es-MX"/>
        </w:rPr>
        <w:t xml:space="preserve"> 147 de fecha 8 de diciembre del  año  2011 con vigencia  a  partir  del   día  02  de Enero  del 2012;   así  mismo   se  abroga  el  decreto    Gubernamental   </w:t>
      </w:r>
      <w:proofErr w:type="spellStart"/>
      <w:r>
        <w:rPr>
          <w:rFonts w:ascii="Calibri" w:hAnsi="Calibri" w:cs="DIN Pro Regular"/>
          <w:sz w:val="20"/>
          <w:lang w:val="es-MX"/>
        </w:rPr>
        <w:t>n°</w:t>
      </w:r>
      <w:proofErr w:type="spellEnd"/>
      <w:r>
        <w:rPr>
          <w:rFonts w:ascii="Calibri" w:hAnsi="Calibri" w:cs="DIN Pro Regular"/>
          <w:sz w:val="20"/>
          <w:lang w:val="es-MX"/>
        </w:rPr>
        <w:t xml:space="preserve"> 140  de  fecha  08  de Diciembre  en  el  Periódico  Oficial   del   Estado   </w:t>
      </w:r>
      <w:proofErr w:type="spellStart"/>
      <w:r>
        <w:rPr>
          <w:rFonts w:ascii="Calibri" w:hAnsi="Calibri" w:cs="DIN Pro Regular"/>
          <w:sz w:val="20"/>
          <w:lang w:val="es-MX"/>
        </w:rPr>
        <w:t>n°</w:t>
      </w:r>
      <w:proofErr w:type="spellEnd"/>
      <w:r>
        <w:rPr>
          <w:rFonts w:ascii="Calibri" w:hAnsi="Calibri" w:cs="DIN Pro Regular"/>
          <w:sz w:val="20"/>
          <w:lang w:val="es-MX"/>
        </w:rPr>
        <w:t xml:space="preserve"> 147  de  fecha  8  de  diciembre del   año  2011 con vigencia a partir del día 02 de Enero   del 2012; así mismo se abroga el  decreto   Gubernamental   </w:t>
      </w:r>
      <w:proofErr w:type="spellStart"/>
      <w:r>
        <w:rPr>
          <w:rFonts w:ascii="Calibri" w:hAnsi="Calibri" w:cs="DIN Pro Regular"/>
          <w:sz w:val="20"/>
          <w:lang w:val="es-MX"/>
        </w:rPr>
        <w:t>n°</w:t>
      </w:r>
      <w:proofErr w:type="spellEnd"/>
      <w:r>
        <w:rPr>
          <w:rFonts w:ascii="Calibri" w:hAnsi="Calibri" w:cs="DIN Pro Regular"/>
          <w:sz w:val="20"/>
          <w:lang w:val="es-MX"/>
        </w:rPr>
        <w:t xml:space="preserve"> 140  de fecha   08 de Diciembre del 2000 y publicado en fecha 28  de  Diciembre  de  2000  mediante  el  cual fue creado   el Organismo Público  Descentralizado  Denominado Instituto de Crédito  Educativo  del  Estado  de Tamaulipas   y  sus  posteriores   reformas  y  adiciones.   Los recursos humanos Financieros y Materiales, así como los bienes inmuebles   adscritos al servicio del Organismo Público denominado ICEET   se trasfieren al ITABEC.  La Estructura   Orgánica del ICEET   pasa a formar parte sin modificación alguna   del ITABEC.   Relativo al personal del ITABEC, se informa </w:t>
      </w:r>
      <w:proofErr w:type="gramStart"/>
      <w:r>
        <w:rPr>
          <w:rFonts w:ascii="Calibri" w:hAnsi="Calibri" w:cs="DIN Pro Regular"/>
          <w:sz w:val="20"/>
          <w:lang w:val="es-MX"/>
        </w:rPr>
        <w:t>que</w:t>
      </w:r>
      <w:proofErr w:type="gramEnd"/>
      <w:r>
        <w:rPr>
          <w:rFonts w:ascii="Calibri" w:hAnsi="Calibri" w:cs="DIN Pro Regular"/>
          <w:sz w:val="20"/>
          <w:lang w:val="es-MX"/>
        </w:rPr>
        <w:t xml:space="preserve"> durante el   mes de agosto del año 2016 a la fecha, se efectuó: la adscripción de   personal al Organismo de 16 plazas sindicalizadas de nivel operativo.   Es importante mencionar que este personal ya laboraba como personal comisionado al ITABEC; Durante el mes de abril del ejercicio 2023, se hizo la nivelación de plazas de confianza y extraordinarias al nivel 149. Así mismo en este ejercicio se llevó a cabo mediante la modalidad de contratos de trabajo el empleo a 7 personas integrándose a la plantilla del ITABEC.</w:t>
      </w:r>
    </w:p>
    <w:p w14:paraId="0F8C6D88" w14:textId="77777777" w:rsidR="00A66033" w:rsidRDefault="00A66033">
      <w:pPr>
        <w:pStyle w:val="Text"/>
        <w:spacing w:after="0" w:line="240" w:lineRule="exact"/>
        <w:ind w:left="708" w:firstLine="0"/>
        <w:rPr>
          <w:sz w:val="20"/>
        </w:rPr>
      </w:pPr>
    </w:p>
    <w:p w14:paraId="1952B54D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Panorama Económico y Financiero</w:t>
      </w:r>
    </w:p>
    <w:p w14:paraId="15021BF9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La principal fuente de financiamiento se recibe a través de Subsidio solicitado mediante recibos de caja a través de la </w:t>
      </w:r>
      <w:proofErr w:type="gramStart"/>
      <w:r>
        <w:rPr>
          <w:rFonts w:ascii="Calibri" w:hAnsi="Calibri" w:cs="DIN Pro Regular"/>
          <w:sz w:val="20"/>
          <w:lang w:val="es-MX"/>
        </w:rPr>
        <w:t>Secretaria</w:t>
      </w:r>
      <w:proofErr w:type="gramEnd"/>
      <w:r>
        <w:rPr>
          <w:rFonts w:ascii="Calibri" w:hAnsi="Calibri" w:cs="DIN Pro Regular"/>
          <w:sz w:val="20"/>
          <w:lang w:val="es-MX"/>
        </w:rPr>
        <w:t xml:space="preserve"> de Finanzas. Es importante mencionar que actualmente el organismo cuenta con 4 demandas laborales en proceso, de las cuales, 2 se encuentran en juicio de amparo. Así mismo, no se tiene en este momento el monto, ni fecha estimada para su resolución. </w:t>
      </w:r>
    </w:p>
    <w:p w14:paraId="0CF7E080" w14:textId="77777777" w:rsidR="00A66033" w:rsidRDefault="00A66033">
      <w:pPr>
        <w:pStyle w:val="Text"/>
        <w:spacing w:after="0" w:line="240" w:lineRule="exact"/>
        <w:ind w:left="708" w:firstLine="0"/>
        <w:rPr>
          <w:sz w:val="20"/>
        </w:rPr>
      </w:pPr>
    </w:p>
    <w:p w14:paraId="1C6C3517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Organización y Objeto Social</w:t>
      </w:r>
    </w:p>
    <w:p w14:paraId="7E3D7BBC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Sistematizar, Integrar y Coordinar como única Instancia en el Estado, los procesos de asignación de Becas, Estímulos, Apoyos y Créditos Educativos, de las diferentes Instituciones Educativas ya sean Públicas o Privadas en todos los niveles Educativos.</w:t>
      </w:r>
    </w:p>
    <w:p w14:paraId="17C0C6F9" w14:textId="77777777" w:rsidR="00A66033" w:rsidRDefault="00A66033">
      <w:pPr>
        <w:pStyle w:val="Text"/>
        <w:spacing w:after="0" w:line="240" w:lineRule="exact"/>
        <w:ind w:left="708" w:firstLine="0"/>
        <w:rPr>
          <w:b/>
          <w:sz w:val="20"/>
        </w:rPr>
      </w:pPr>
    </w:p>
    <w:p w14:paraId="599DF2AE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Bases de Preparación de los Estados Financieros</w:t>
      </w:r>
    </w:p>
    <w:p w14:paraId="1B73EE35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Para la preparación de los Estados Financieros presentados en este Informe se ha observado la Normatividad emitida por el CONAC y a la Ley General de Contabilidad Gubernamental.</w:t>
      </w:r>
    </w:p>
    <w:p w14:paraId="4986176F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ITABEC es una persona Moral no Contribuyente para el impuesto sobre la renta, con obligaciones solo como retenedor de impuestos.</w:t>
      </w:r>
    </w:p>
    <w:p w14:paraId="383DCF4C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Retener y enterar el ISR   por los pagos que realiza   de Sueldos y Salarios, Arrendamientos de Inmuebles y de honorarios a personas Físicas.  Presentar las Declaraciones informativas de Operaciones con terceros   en forma mensual. </w:t>
      </w:r>
    </w:p>
    <w:p w14:paraId="36466583" w14:textId="77777777" w:rsidR="00A66033" w:rsidRDefault="00A66033">
      <w:pPr>
        <w:pStyle w:val="Text"/>
        <w:spacing w:after="0" w:line="240" w:lineRule="exact"/>
        <w:rPr>
          <w:b/>
          <w:sz w:val="20"/>
        </w:rPr>
      </w:pPr>
    </w:p>
    <w:p w14:paraId="45B11055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Políticas de Contabilidad Significativas</w:t>
      </w:r>
    </w:p>
    <w:p w14:paraId="34CC5A22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Con la Normatividad Vigente, las inversiones en </w:t>
      </w:r>
      <w:proofErr w:type="gramStart"/>
      <w:r>
        <w:rPr>
          <w:rFonts w:ascii="Calibri" w:hAnsi="Calibri" w:cs="DIN Pro Regular"/>
          <w:sz w:val="20"/>
          <w:lang w:val="es-MX"/>
        </w:rPr>
        <w:t>Activo,</w:t>
      </w:r>
      <w:proofErr w:type="gramEnd"/>
      <w:r>
        <w:rPr>
          <w:rFonts w:ascii="Calibri" w:hAnsi="Calibri" w:cs="DIN Pro Regular"/>
          <w:sz w:val="20"/>
          <w:lang w:val="es-MX"/>
        </w:rPr>
        <w:t xml:space="preserve"> no son consideradas en la contabilidad dentro del gasto de gestión, por lo que se registran directamente en el Activo No Circulante correspondiente; y a partir del ejercicio 2012, se registró como gasto la depreciación correspondiente a cada activo.</w:t>
      </w:r>
    </w:p>
    <w:p w14:paraId="1EAA883F" w14:textId="77777777" w:rsidR="00A66033" w:rsidRDefault="00A66033">
      <w:pPr>
        <w:pStyle w:val="Text"/>
        <w:spacing w:after="0" w:line="240" w:lineRule="exact"/>
        <w:ind w:left="708" w:firstLine="0"/>
        <w:rPr>
          <w:b/>
          <w:sz w:val="20"/>
        </w:rPr>
      </w:pPr>
    </w:p>
    <w:p w14:paraId="0F398DB7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Posición en Moneda Extranjera y Protección por Riesgo Cambiario</w:t>
      </w:r>
    </w:p>
    <w:p w14:paraId="2DFE5B21" w14:textId="77777777" w:rsidR="00A66033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Este Instituto no maneja posiciones en moneda Extranjera.</w:t>
      </w:r>
    </w:p>
    <w:p w14:paraId="11FADCEE" w14:textId="77777777" w:rsidR="00A66033" w:rsidRDefault="00000000">
      <w:pPr>
        <w:pStyle w:val="Text"/>
        <w:spacing w:after="0" w:line="240" w:lineRule="exact"/>
        <w:ind w:left="708" w:firstLine="0"/>
      </w:pPr>
      <w:r>
        <w:rPr>
          <w:rFonts w:ascii="Calibri" w:hAnsi="Calibri" w:cs="DIN Pro Regular"/>
          <w:sz w:val="20"/>
          <w:lang w:val="es-MX"/>
        </w:rPr>
        <w:tab/>
      </w:r>
    </w:p>
    <w:p w14:paraId="5FFA4511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lastRenderedPageBreak/>
        <w:t>Reporte Analítico del Activo</w:t>
      </w:r>
    </w:p>
    <w:p w14:paraId="1F387645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Este Organismo, concluyó con la valuación, el cálculo y afectación contable de su depreciación acumulada en el </w:t>
      </w:r>
    </w:p>
    <w:p w14:paraId="541DE76B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Patrimonio.</w:t>
      </w:r>
    </w:p>
    <w:p w14:paraId="1A43D01C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Fideicomisos, Mandatos y Análogos</w:t>
      </w:r>
    </w:p>
    <w:p w14:paraId="36938CA7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Existe el fideicomiso   de administración e inversión denominado FIDEICOMISO DEL INSTITUTO TAMAULIPECO DE BECAS, ESTIMULOS Y CREDITOS EDUCATIVOS, en el cual participa como Fiduciario la Institución BBVA BANCOMER S.A, el cual tiene su propia personalidad jurídica y la información financiera que se emite se integra a la contabilidad del Gobierno del Estado.</w:t>
      </w:r>
    </w:p>
    <w:p w14:paraId="5587AB46" w14:textId="77777777" w:rsidR="00A66033" w:rsidRDefault="00A66033">
      <w:pPr>
        <w:pStyle w:val="Text"/>
        <w:spacing w:after="0" w:line="240" w:lineRule="exact"/>
        <w:ind w:left="708" w:firstLine="0"/>
        <w:rPr>
          <w:b/>
          <w:sz w:val="20"/>
        </w:rPr>
      </w:pPr>
    </w:p>
    <w:p w14:paraId="50C276A5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Reporte de la Recaudación</w:t>
      </w:r>
    </w:p>
    <w:p w14:paraId="4F4E6617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Este Instituto no recibe Ingresos Propios.</w:t>
      </w:r>
    </w:p>
    <w:p w14:paraId="0DAF6B82" w14:textId="77777777" w:rsidR="00A66033" w:rsidRDefault="00A66033">
      <w:pPr>
        <w:pStyle w:val="Text"/>
        <w:spacing w:after="0" w:line="240" w:lineRule="exact"/>
        <w:ind w:left="708" w:firstLine="0"/>
        <w:rPr>
          <w:b/>
          <w:sz w:val="20"/>
        </w:rPr>
      </w:pPr>
    </w:p>
    <w:p w14:paraId="1DBC03F7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Información sobre la Deuda y el Reporte Analítico de la Deuda</w:t>
      </w:r>
    </w:p>
    <w:p w14:paraId="50F0D4E0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Este Instituto no tiene Deuda </w:t>
      </w:r>
      <w:proofErr w:type="spellStart"/>
      <w:r>
        <w:rPr>
          <w:rFonts w:ascii="Calibri" w:hAnsi="Calibri" w:cs="DIN Pro Regular"/>
          <w:sz w:val="20"/>
          <w:lang w:val="es-MX"/>
        </w:rPr>
        <w:t>Publica</w:t>
      </w:r>
      <w:proofErr w:type="spellEnd"/>
      <w:r>
        <w:rPr>
          <w:rFonts w:ascii="Calibri" w:hAnsi="Calibri" w:cs="DIN Pro Regular"/>
          <w:sz w:val="20"/>
          <w:lang w:val="es-MX"/>
        </w:rPr>
        <w:t>.</w:t>
      </w:r>
    </w:p>
    <w:p w14:paraId="42236D6A" w14:textId="77777777" w:rsidR="00A66033" w:rsidRDefault="00A66033">
      <w:pPr>
        <w:pStyle w:val="Text"/>
        <w:spacing w:after="0" w:line="240" w:lineRule="exact"/>
        <w:ind w:left="708" w:firstLine="0"/>
        <w:rPr>
          <w:b/>
          <w:sz w:val="20"/>
        </w:rPr>
      </w:pPr>
    </w:p>
    <w:p w14:paraId="642965C1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Calificaciones otorgadas</w:t>
      </w:r>
    </w:p>
    <w:p w14:paraId="23318CAF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3EEEDACF" w14:textId="77777777" w:rsidR="00A66033" w:rsidRDefault="00A66033">
      <w:pPr>
        <w:pStyle w:val="Text"/>
        <w:spacing w:after="0" w:line="240" w:lineRule="exact"/>
        <w:ind w:left="708" w:firstLine="0"/>
        <w:rPr>
          <w:b/>
          <w:sz w:val="20"/>
        </w:rPr>
      </w:pPr>
    </w:p>
    <w:p w14:paraId="6C4D0ABE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Proceso de Mejora</w:t>
      </w:r>
    </w:p>
    <w:p w14:paraId="62A2092B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El Organismo se encuentra en proceso de fortalecimiento de la plantilla laboral, con la finalidad de que la misma sea </w:t>
      </w:r>
      <w:proofErr w:type="gramStart"/>
      <w:r>
        <w:rPr>
          <w:rFonts w:ascii="Calibri" w:hAnsi="Calibri" w:cs="DIN Pro Regular"/>
          <w:sz w:val="20"/>
          <w:lang w:val="es-MX"/>
        </w:rPr>
        <w:t>de acuerdo a</w:t>
      </w:r>
      <w:proofErr w:type="gramEnd"/>
      <w:r>
        <w:rPr>
          <w:rFonts w:ascii="Calibri" w:hAnsi="Calibri" w:cs="DIN Pro Regular"/>
          <w:sz w:val="20"/>
          <w:lang w:val="es-MX"/>
        </w:rPr>
        <w:t xml:space="preserve"> las necesidades y a sus objetivos. Así mismo, inició actividades encaminadas a desarrollar manuales requeridos, los cuales están en la etapa para finalizar los procesos; para posteriormente su publicación en el periódico oficial.</w:t>
      </w:r>
    </w:p>
    <w:p w14:paraId="7D46910E" w14:textId="77777777" w:rsidR="00A66033" w:rsidRDefault="00A66033">
      <w:pPr>
        <w:pStyle w:val="Text"/>
        <w:spacing w:after="0" w:line="240" w:lineRule="exact"/>
        <w:ind w:left="708" w:firstLine="0"/>
        <w:rPr>
          <w:b/>
          <w:sz w:val="20"/>
        </w:rPr>
      </w:pPr>
    </w:p>
    <w:p w14:paraId="1737CF82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Información por Segmentos</w:t>
      </w:r>
    </w:p>
    <w:p w14:paraId="532066CC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Sin información.</w:t>
      </w:r>
    </w:p>
    <w:p w14:paraId="1D147F45" w14:textId="77777777" w:rsidR="00A66033" w:rsidRDefault="00A66033">
      <w:pPr>
        <w:pStyle w:val="Text"/>
        <w:spacing w:after="0" w:line="240" w:lineRule="exact"/>
        <w:ind w:left="708" w:firstLine="0"/>
        <w:rPr>
          <w:b/>
          <w:sz w:val="20"/>
        </w:rPr>
      </w:pPr>
    </w:p>
    <w:p w14:paraId="366347C5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Eventos Posteriores al Cierre</w:t>
      </w:r>
    </w:p>
    <w:p w14:paraId="19C511E8" w14:textId="77777777" w:rsidR="00A66033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Sin información.</w:t>
      </w:r>
    </w:p>
    <w:p w14:paraId="384CB3BE" w14:textId="77777777" w:rsidR="00A66033" w:rsidRDefault="00A66033">
      <w:pPr>
        <w:pStyle w:val="Text"/>
        <w:spacing w:after="0" w:line="240" w:lineRule="exact"/>
        <w:ind w:left="708" w:firstLine="0"/>
        <w:rPr>
          <w:b/>
          <w:sz w:val="20"/>
        </w:rPr>
      </w:pPr>
    </w:p>
    <w:p w14:paraId="71985E48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Partes Relacionadas</w:t>
      </w:r>
    </w:p>
    <w:p w14:paraId="7D65DD53" w14:textId="77777777" w:rsidR="00A66033" w:rsidRDefault="00000000">
      <w:pPr>
        <w:pStyle w:val="Texto"/>
        <w:spacing w:after="0" w:line="240" w:lineRule="exact"/>
        <w:ind w:left="708" w:firstLine="0"/>
      </w:pPr>
      <w:r>
        <w:rPr>
          <w:rFonts w:ascii="Calibri" w:hAnsi="Calibri" w:cs="DIN Pro Regular"/>
          <w:sz w:val="20"/>
          <w:lang w:val="es-MX"/>
        </w:rPr>
        <w:t>No existen partes relacionadas con las actividades del Organismo.</w:t>
      </w:r>
    </w:p>
    <w:p w14:paraId="47E8AC04" w14:textId="77777777" w:rsidR="00A66033" w:rsidRDefault="00A66033">
      <w:pPr>
        <w:pStyle w:val="Text"/>
        <w:spacing w:after="0" w:line="240" w:lineRule="exact"/>
        <w:ind w:left="708" w:firstLine="0"/>
        <w:rPr>
          <w:b/>
          <w:sz w:val="20"/>
        </w:rPr>
      </w:pPr>
    </w:p>
    <w:p w14:paraId="441C00D3" w14:textId="77777777" w:rsidR="00A66033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Responsabilidad Sobre la Presentación Razonable de la Información Contable</w:t>
      </w:r>
    </w:p>
    <w:p w14:paraId="015883A9" w14:textId="77777777" w:rsidR="00A66033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El Organismo presenta la información razonablemente correcta y son responsabilidad del emisor.</w:t>
      </w:r>
    </w:p>
    <w:p w14:paraId="3BBF982D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03DCF84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E4EBFBD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E1E85C2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3FE43FD" w14:textId="77777777" w:rsidR="00A66033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4C82F296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6A14EBD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556983B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61AD4AA" w14:textId="77777777" w:rsidR="00A66033" w:rsidRDefault="00A6603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2E5D77AB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2C4A2E7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CAA5235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0D209060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54F738A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4410459B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F4B284C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4155AF0C" w14:textId="77777777" w:rsidR="00A6603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0"/>
        </w:rPr>
        <w:lastRenderedPageBreak/>
        <w:t>Cuenta Pública 2024</w:t>
      </w:r>
    </w:p>
    <w:p w14:paraId="0F29251F" w14:textId="77777777" w:rsidR="00A66033" w:rsidRDefault="00A6603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3881CDDC" w14:textId="77777777" w:rsidR="00A6603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0"/>
        </w:rPr>
        <w:t>Notas a los Estados Financieros</w:t>
      </w:r>
    </w:p>
    <w:p w14:paraId="66C34238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6BD03B41" w14:textId="77777777" w:rsidR="00A6603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0"/>
        </w:rPr>
        <w:t>b) NOTAS DE DESGLOSE</w:t>
      </w:r>
    </w:p>
    <w:p w14:paraId="2E7E0F72" w14:textId="77777777" w:rsidR="00A66033" w:rsidRDefault="00A6603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3523525F" w14:textId="77777777" w:rsidR="00A66033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Estado de Actividades</w:t>
      </w:r>
    </w:p>
    <w:p w14:paraId="271BC4B4" w14:textId="77777777" w:rsidR="00A66033" w:rsidRDefault="00A6603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F55FE16" w14:textId="77777777" w:rsidR="00A66033" w:rsidRDefault="00000000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Ingresos y Otros Beneficios: </w:t>
      </w:r>
    </w:p>
    <w:p w14:paraId="510183E2" w14:textId="77777777" w:rsidR="00A66033" w:rsidRDefault="00000000">
      <w:pPr>
        <w:pStyle w:val="ROMANOS"/>
        <w:spacing w:after="0" w:line="240" w:lineRule="exact"/>
        <w:ind w:left="1080" w:firstLine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>El monto total de Ingresos y Otros Beneficios según Estado de Actividades es por: $285,502,978 pesos, estos incluyen:</w:t>
      </w:r>
    </w:p>
    <w:p w14:paraId="422D528A" w14:textId="77777777" w:rsidR="00A66033" w:rsidRDefault="00A66033">
      <w:pPr>
        <w:pStyle w:val="ROMANOS"/>
        <w:spacing w:after="0" w:line="240" w:lineRule="exact"/>
        <w:ind w:left="1080" w:firstLine="0"/>
        <w:rPr>
          <w:rFonts w:ascii="Calibri" w:hAnsi="Calibri"/>
          <w:sz w:val="20"/>
          <w:szCs w:val="20"/>
          <w:lang w:val="es-MX"/>
        </w:rPr>
      </w:pPr>
    </w:p>
    <w:tbl>
      <w:tblPr>
        <w:tblW w:w="92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3832"/>
      </w:tblGrid>
      <w:tr w:rsidR="00A66033" w14:paraId="0EDD1A2B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43F03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INGRESOS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24FDA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IMPORTE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E180B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OBSERVACIONES</w:t>
            </w:r>
          </w:p>
        </w:tc>
      </w:tr>
      <w:tr w:rsidR="00A66033" w14:paraId="37C9D4B9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191A1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SUBSIDIOS DE SECRETARIA DE FINANZAS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CAC33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282,927,242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6EAC7" w14:textId="77777777" w:rsidR="00A66033" w:rsidRDefault="00A66033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66033" w14:paraId="327509F8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27D92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SUBSIDIO DE GASTOS DE COBRANZA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82500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2,540,687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05E79" w14:textId="77777777" w:rsidR="00A66033" w:rsidRDefault="00000000">
            <w:r>
              <w:t>Derivado del 20 % del monto total recuperado de Cartera del FITABEC.</w:t>
            </w:r>
          </w:p>
        </w:tc>
      </w:tr>
      <w:tr w:rsidR="00A66033" w14:paraId="764272E7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C49E8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OTROS INGRESOS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C28D1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2,049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6A41B" w14:textId="77777777" w:rsidR="00A66033" w:rsidRDefault="00A66033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66033" w14:paraId="2EC291F5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EF29D" w14:textId="77777777" w:rsidR="00A66033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E640C" w14:textId="77777777" w:rsidR="00A66033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285,469,978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119AA" w14:textId="77777777" w:rsidR="00A66033" w:rsidRDefault="00A66033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A66033" w14:paraId="0AE3B63E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63FF0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SUBSIDIO 3% DE NOMINA 2023 DEPOSITADO EN 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FD585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33,000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F288F" w14:textId="77777777" w:rsidR="00A66033" w:rsidRDefault="00000000">
            <w:r>
              <w:t>Proviene del ejercicio 2023 y recaudado en 2024 y que en el gasto se ejerció en el Ejercicio 2023, por lo que, en el Ejercicio actual solo se realizó el momento pagado.</w:t>
            </w:r>
          </w:p>
        </w:tc>
      </w:tr>
      <w:tr w:rsidR="00A66033" w14:paraId="26EC57C9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D31627" w14:textId="77777777" w:rsidR="00A66033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5C7C3" w14:textId="77777777" w:rsidR="00A66033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285,502,978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D4567" w14:textId="77777777" w:rsidR="00A66033" w:rsidRDefault="00A6603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53F08BEA" w14:textId="77777777" w:rsidR="00A66033" w:rsidRDefault="00A66033">
      <w:pPr>
        <w:pStyle w:val="ROMANOS"/>
        <w:spacing w:after="0" w:line="240" w:lineRule="exact"/>
        <w:ind w:left="1080" w:firstLine="0"/>
        <w:rPr>
          <w:rFonts w:ascii="Calibri" w:hAnsi="Calibri"/>
          <w:sz w:val="20"/>
          <w:szCs w:val="20"/>
          <w:lang w:val="es-MX"/>
        </w:rPr>
      </w:pPr>
    </w:p>
    <w:p w14:paraId="4E347E4D" w14:textId="77777777" w:rsidR="00A66033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>
        <w:rPr>
          <w:rFonts w:ascii="Calibri" w:hAnsi="Calibri" w:cs="DIN Pro Regular"/>
          <w:sz w:val="20"/>
          <w:szCs w:val="20"/>
          <w:lang w:val="es-MX"/>
        </w:rPr>
        <w:t>:</w:t>
      </w:r>
    </w:p>
    <w:p w14:paraId="4EDE3833" w14:textId="77777777" w:rsidR="00A66033" w:rsidRDefault="00000000">
      <w:pPr>
        <w:pStyle w:val="ROMANOS"/>
        <w:spacing w:after="0" w:line="240" w:lineRule="exact"/>
        <w:ind w:left="1080" w:firstLine="0"/>
      </w:pPr>
      <w:r>
        <w:rPr>
          <w:rFonts w:ascii="Calibri" w:hAnsi="Calibri"/>
          <w:sz w:val="20"/>
          <w:szCs w:val="20"/>
          <w:lang w:val="es-MX"/>
        </w:rPr>
        <w:t xml:space="preserve">No se presenta en la cuenta de estimaciones. </w:t>
      </w:r>
    </w:p>
    <w:p w14:paraId="3E1EC967" w14:textId="77777777" w:rsidR="00A66033" w:rsidRDefault="00000000">
      <w:pPr>
        <w:pStyle w:val="ROMANOS"/>
        <w:spacing w:after="0" w:line="240" w:lineRule="exact"/>
        <w:ind w:left="1080" w:firstLine="0"/>
      </w:pPr>
      <w:r>
        <w:rPr>
          <w:rFonts w:ascii="Calibri" w:hAnsi="Calibri"/>
          <w:sz w:val="20"/>
          <w:szCs w:val="20"/>
          <w:lang w:val="es-MX"/>
        </w:rPr>
        <w:t>Depreciación total en el Ejercicio $582,319</w:t>
      </w:r>
    </w:p>
    <w:p w14:paraId="3E215C32" w14:textId="77777777" w:rsidR="00A66033" w:rsidRDefault="00A66033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20DAB399" w14:textId="77777777" w:rsidR="00A66033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>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Situación Financiera</w:t>
      </w:r>
    </w:p>
    <w:p w14:paraId="0128A85D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FCF989B" w14:textId="77777777" w:rsidR="00A66033" w:rsidRDefault="00000000">
      <w:pPr>
        <w:pStyle w:val="Text"/>
        <w:spacing w:after="80" w:line="203" w:lineRule="exact"/>
      </w:pPr>
      <w:r>
        <w:rPr>
          <w:rFonts w:ascii="Calibri" w:hAnsi="Calibri" w:cs="DIN Pro Regular"/>
          <w:b/>
          <w:sz w:val="20"/>
          <w:lang w:val="es-MX"/>
        </w:rPr>
        <w:t>Activo</w:t>
      </w:r>
    </w:p>
    <w:p w14:paraId="2A1E3B37" w14:textId="77777777" w:rsidR="00A6603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Efectivo y Equivalentes</w:t>
      </w:r>
    </w:p>
    <w:p w14:paraId="64D28834" w14:textId="77777777" w:rsidR="00A66033" w:rsidRDefault="00000000">
      <w:pPr>
        <w:pStyle w:val="Texto"/>
        <w:spacing w:after="80" w:line="203" w:lineRule="exact"/>
        <w:ind w:left="1080" w:firstLine="0"/>
      </w:pPr>
      <w:r>
        <w:rPr>
          <w:rFonts w:ascii="Calibri" w:hAnsi="Calibri"/>
          <w:sz w:val="20"/>
        </w:rPr>
        <w:t>Este rubro presentó un incremento en el saldo principalmente derivado del presupuesto de becas, dicho monto se integra de la siguiente manera:</w:t>
      </w:r>
    </w:p>
    <w:tbl>
      <w:tblPr>
        <w:tblW w:w="92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9"/>
        <w:gridCol w:w="1843"/>
        <w:gridCol w:w="1632"/>
      </w:tblGrid>
      <w:tr w:rsidR="00A66033" w14:paraId="4975A36A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02591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E18C6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2024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92964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2023</w:t>
            </w:r>
          </w:p>
        </w:tc>
      </w:tr>
      <w:tr w:rsidR="00A66033" w14:paraId="4575B9D5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AFB4A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EFECTIVO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7214B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31,000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52B29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31,000</w:t>
            </w:r>
          </w:p>
        </w:tc>
      </w:tr>
      <w:tr w:rsidR="00A66033" w14:paraId="1984D4F7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6F69F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BANCOS/TESORERIA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00E3A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30,568,287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E8018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26,382,958</w:t>
            </w:r>
          </w:p>
        </w:tc>
      </w:tr>
      <w:tr w:rsidR="00A66033" w14:paraId="3AA98FB1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ABCB5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INVERSIONES TEMPORALES (HASTA 3 MESES)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62F57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2F04D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66033" w14:paraId="34B06637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A4B5A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DEPOSITOS DE FONDOS DE TERCEROS EN GARANTIA Y/O ADMINISTRACION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96B33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9,280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26382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9,280</w:t>
            </w:r>
          </w:p>
        </w:tc>
      </w:tr>
      <w:tr w:rsidR="00A66033" w14:paraId="3EC89B19" w14:textId="7777777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E2CB6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SUMA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62F10" w14:textId="77777777" w:rsidR="00A66033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30,608,567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856DA" w14:textId="77777777" w:rsidR="00A66033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26,423,238</w:t>
            </w:r>
          </w:p>
        </w:tc>
      </w:tr>
    </w:tbl>
    <w:p w14:paraId="30F2E6E0" w14:textId="77777777" w:rsidR="00A66033" w:rsidRDefault="00A66033">
      <w:pPr>
        <w:pStyle w:val="Text"/>
        <w:spacing w:after="80" w:line="203" w:lineRule="exact"/>
        <w:ind w:left="624" w:firstLine="0"/>
      </w:pPr>
    </w:p>
    <w:p w14:paraId="718FDC37" w14:textId="77777777" w:rsidR="00A6603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</w:p>
    <w:p w14:paraId="370016B4" w14:textId="77777777" w:rsidR="00A66033" w:rsidRDefault="00000000">
      <w:pPr>
        <w:pStyle w:val="Texto"/>
        <w:spacing w:after="80" w:line="203" w:lineRule="exact"/>
        <w:ind w:firstLine="708"/>
        <w:rPr>
          <w:rFonts w:ascii="Calibri" w:hAnsi="Calibri"/>
          <w:sz w:val="20"/>
          <w:lang w:val="es-MX"/>
        </w:rPr>
      </w:pPr>
      <w:r>
        <w:rPr>
          <w:rFonts w:ascii="Calibri" w:hAnsi="Calibri"/>
          <w:sz w:val="20"/>
          <w:lang w:val="es-MX"/>
        </w:rPr>
        <w:t>Este rubro al cierre del Ejercicio mantiene un saldo por $47,893 y se integra de la siguiente manera:</w:t>
      </w:r>
    </w:p>
    <w:p w14:paraId="1973C073" w14:textId="77777777" w:rsidR="00A66033" w:rsidRDefault="00A66033">
      <w:pPr>
        <w:pStyle w:val="Texto"/>
        <w:spacing w:after="80" w:line="203" w:lineRule="exact"/>
        <w:ind w:left="624"/>
      </w:pPr>
    </w:p>
    <w:tbl>
      <w:tblPr>
        <w:tblW w:w="79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0"/>
        <w:gridCol w:w="1660"/>
      </w:tblGrid>
      <w:tr w:rsidR="00A66033" w14:paraId="25C13C56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AB314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CUENTA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4BBB1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IMPORTE</w:t>
            </w:r>
          </w:p>
        </w:tc>
      </w:tr>
      <w:tr w:rsidR="00A66033" w14:paraId="47A14469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46A37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CUENTAS POR COBRAR A CORTO PLAZO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B7195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46,382</w:t>
            </w:r>
          </w:p>
        </w:tc>
      </w:tr>
      <w:tr w:rsidR="00A66033" w14:paraId="7471E543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A48F0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DEUDORES DIVERSOS POR COBRAR A CORTO PLAZO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CDC08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1,601</w:t>
            </w:r>
          </w:p>
        </w:tc>
      </w:tr>
      <w:tr w:rsidR="00A66033" w14:paraId="46AD9A5A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52AAF" w14:textId="77777777" w:rsidR="00A66033" w:rsidRDefault="00000000">
            <w:r>
              <w:rPr>
                <w:rFonts w:eastAsia="Times New Roman"/>
                <w:b/>
                <w:bCs/>
                <w:color w:val="000000"/>
              </w:rPr>
              <w:t xml:space="preserve"> SUMA 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3526B" w14:textId="77777777" w:rsidR="00A66033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47,893</w:t>
            </w:r>
          </w:p>
        </w:tc>
      </w:tr>
    </w:tbl>
    <w:p w14:paraId="0D07537A" w14:textId="77777777" w:rsidR="00A66033" w:rsidRDefault="00A66033">
      <w:pPr>
        <w:pStyle w:val="Text"/>
        <w:spacing w:after="80" w:line="203" w:lineRule="exact"/>
        <w:ind w:left="624" w:firstLine="0"/>
      </w:pPr>
    </w:p>
    <w:p w14:paraId="6D1A2E8F" w14:textId="77777777" w:rsidR="00A6603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Inventarios</w:t>
      </w:r>
    </w:p>
    <w:p w14:paraId="2079097B" w14:textId="77777777" w:rsidR="00A66033" w:rsidRDefault="00000000">
      <w:pPr>
        <w:pStyle w:val="Texto"/>
        <w:spacing w:after="80" w:line="203" w:lineRule="exact"/>
        <w:ind w:left="624" w:firstLine="0"/>
      </w:pPr>
      <w:r>
        <w:rPr>
          <w:rFonts w:ascii="Calibri" w:hAnsi="Calibri"/>
          <w:sz w:val="20"/>
          <w:lang w:val="es-MX"/>
        </w:rPr>
        <w:t>NO APLICA</w:t>
      </w:r>
    </w:p>
    <w:p w14:paraId="5E6D6BF4" w14:textId="77777777" w:rsidR="00A6603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Almacenes</w:t>
      </w:r>
    </w:p>
    <w:p w14:paraId="26D3594B" w14:textId="77777777" w:rsidR="00A66033" w:rsidRDefault="00000000">
      <w:pPr>
        <w:pStyle w:val="Texto"/>
        <w:spacing w:after="80" w:line="203" w:lineRule="exact"/>
        <w:ind w:left="624" w:firstLine="0"/>
        <w:rPr>
          <w:rFonts w:ascii="Calibri" w:hAnsi="Calibri"/>
          <w:sz w:val="20"/>
          <w:lang w:val="es-MX"/>
        </w:rPr>
      </w:pPr>
      <w:r>
        <w:rPr>
          <w:rFonts w:ascii="Calibri" w:hAnsi="Calibri"/>
          <w:sz w:val="20"/>
          <w:lang w:val="es-MX"/>
        </w:rPr>
        <w:t xml:space="preserve">NO APLICA </w:t>
      </w:r>
    </w:p>
    <w:p w14:paraId="15154A12" w14:textId="77777777" w:rsidR="00A66033" w:rsidRDefault="00A66033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6CC75460" w14:textId="77777777" w:rsidR="00A6603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Inversiones Financieras</w:t>
      </w:r>
    </w:p>
    <w:p w14:paraId="35FCDDCA" w14:textId="77777777" w:rsidR="00A66033" w:rsidRDefault="00000000">
      <w:pPr>
        <w:pStyle w:val="Texto"/>
        <w:spacing w:after="80" w:line="203" w:lineRule="exact"/>
        <w:ind w:left="624" w:firstLine="0"/>
      </w:pPr>
      <w:r>
        <w:rPr>
          <w:rFonts w:ascii="Calibri" w:hAnsi="Calibri"/>
          <w:sz w:val="20"/>
        </w:rPr>
        <w:t>Representa el monto de recursos invertidos propiedad del Organismo, dicho monto se integra por Institución bancaria de la siguiente manera (Sin Movimientos)</w:t>
      </w:r>
    </w:p>
    <w:tbl>
      <w:tblPr>
        <w:tblW w:w="79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0"/>
        <w:gridCol w:w="1660"/>
      </w:tblGrid>
      <w:tr w:rsidR="00A66033" w14:paraId="3370EFBD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54C0D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INSTITUCION BANCARIA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35501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IMPORTE</w:t>
            </w:r>
          </w:p>
        </w:tc>
      </w:tr>
      <w:tr w:rsidR="00A66033" w14:paraId="150308F5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A007A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SIN MOVIMIENTOS 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1017E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66033" w14:paraId="1E90E44A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B4BBD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SUMA 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55600" w14:textId="77777777" w:rsidR="00A66033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</w:tbl>
    <w:p w14:paraId="3792BDC1" w14:textId="77777777" w:rsidR="00A66033" w:rsidRDefault="00A66033">
      <w:pPr>
        <w:pStyle w:val="Text"/>
        <w:spacing w:after="80" w:line="203" w:lineRule="exact"/>
        <w:ind w:left="624" w:firstLine="0"/>
      </w:pPr>
    </w:p>
    <w:p w14:paraId="13866AE9" w14:textId="77777777" w:rsidR="00A6603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Bienes Muebles, Inmuebles e Intangibles</w:t>
      </w:r>
    </w:p>
    <w:p w14:paraId="26C01F4C" w14:textId="77777777" w:rsidR="00A66033" w:rsidRDefault="00000000">
      <w:pPr>
        <w:pStyle w:val="Texto"/>
        <w:spacing w:after="80" w:line="203" w:lineRule="exact"/>
        <w:ind w:left="62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Este rubro al cierre del Ejercicio mantiene un saldo por $5, 877,079 y se integra de la siguiente manera:</w:t>
      </w:r>
    </w:p>
    <w:tbl>
      <w:tblPr>
        <w:tblW w:w="89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1790"/>
        <w:gridCol w:w="1612"/>
        <w:gridCol w:w="1134"/>
      </w:tblGrid>
      <w:tr w:rsidR="00A66033" w14:paraId="6C8075AD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D785B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CUENTA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F1B6A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IMPORTE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BA1F9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DEPRECIACIONES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1C006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SALDO NETO</w:t>
            </w:r>
          </w:p>
        </w:tc>
      </w:tr>
      <w:tr w:rsidR="00A66033" w14:paraId="6F9C148B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F6357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MOBILIARIO Y EQUIPO DE ADMINISTRACIÓN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2ACE4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1,443,313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F67B7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966,351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ABCDC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476,962</w:t>
            </w:r>
          </w:p>
        </w:tc>
      </w:tr>
      <w:tr w:rsidR="00A66033" w14:paraId="4E72E13E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D036B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MOBILIARIO Y EQUIPO EDUCACIONAL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90181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13,545 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B7F58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13,545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0FF67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66033" w14:paraId="2764D1DD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7E4A9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VEHICULOS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BF8C5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3,671,524 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35B16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2,064,168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A1356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1,607,356</w:t>
            </w:r>
          </w:p>
        </w:tc>
      </w:tr>
      <w:tr w:rsidR="00A66033" w14:paraId="72A0A704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3DC6E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MAQUINARIA, OTROS EQUIPOS Y HERRAMIENTAS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BC5D4D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736,667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417AF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617,300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D5DB5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119,367</w:t>
            </w:r>
          </w:p>
        </w:tc>
      </w:tr>
      <w:tr w:rsidR="00A66033" w14:paraId="5A002EA2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4427C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SOFTWARE (AMORTIZACION)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7569B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12,030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23DB1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9,030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590C9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3,000</w:t>
            </w:r>
          </w:p>
        </w:tc>
      </w:tr>
      <w:tr w:rsidR="00A66033" w14:paraId="4AD97F6C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9DEDB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SUMA 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767E1" w14:textId="77777777" w:rsidR="00A66033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5,877,079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8E0EE" w14:textId="77777777" w:rsidR="00A66033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3,670,395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9DB28" w14:textId="77777777" w:rsidR="00A66033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2,206,684</w:t>
            </w:r>
          </w:p>
        </w:tc>
      </w:tr>
    </w:tbl>
    <w:p w14:paraId="14FA2FAC" w14:textId="77777777" w:rsidR="00A66033" w:rsidRDefault="00A66033">
      <w:pPr>
        <w:pStyle w:val="Text"/>
        <w:spacing w:after="80" w:line="203" w:lineRule="exact"/>
        <w:ind w:left="624" w:firstLine="0"/>
        <w:rPr>
          <w:sz w:val="20"/>
        </w:rPr>
      </w:pPr>
    </w:p>
    <w:p w14:paraId="5D03A05D" w14:textId="77777777" w:rsidR="00A6603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Estimaciones y Deterioros</w:t>
      </w:r>
    </w:p>
    <w:p w14:paraId="6F2C098B" w14:textId="77777777" w:rsidR="00A66033" w:rsidRDefault="00000000">
      <w:pPr>
        <w:pStyle w:val="Texto"/>
        <w:spacing w:after="80" w:line="203" w:lineRule="exact"/>
        <w:ind w:left="624" w:firstLine="0"/>
      </w:pPr>
      <w:r>
        <w:rPr>
          <w:rFonts w:ascii="Calibri" w:hAnsi="Calibri"/>
          <w:sz w:val="20"/>
          <w:lang w:val="es-MX"/>
        </w:rPr>
        <w:t>NO APLICA</w:t>
      </w:r>
    </w:p>
    <w:p w14:paraId="0776F9B5" w14:textId="77777777" w:rsidR="00A66033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Otros Activos</w:t>
      </w:r>
    </w:p>
    <w:p w14:paraId="7A5650EB" w14:textId="77777777" w:rsidR="00A66033" w:rsidRDefault="00000000">
      <w:pPr>
        <w:pStyle w:val="Texto"/>
        <w:spacing w:after="80" w:line="203" w:lineRule="exact"/>
        <w:ind w:left="624" w:firstLine="0"/>
      </w:pPr>
      <w:r>
        <w:rPr>
          <w:rFonts w:ascii="Calibri" w:hAnsi="Calibri"/>
          <w:sz w:val="20"/>
          <w:lang w:val="es-MX"/>
        </w:rPr>
        <w:t>NO APLICA</w:t>
      </w:r>
    </w:p>
    <w:p w14:paraId="5C6B421A" w14:textId="77777777" w:rsidR="00A66033" w:rsidRDefault="00A66033">
      <w:pPr>
        <w:pStyle w:val="Text"/>
        <w:spacing w:after="80" w:line="203" w:lineRule="exact"/>
        <w:ind w:left="624" w:firstLine="0"/>
        <w:rPr>
          <w:sz w:val="20"/>
        </w:rPr>
      </w:pPr>
    </w:p>
    <w:p w14:paraId="19D3CDAB" w14:textId="77777777" w:rsidR="00A66033" w:rsidRDefault="00000000">
      <w:pPr>
        <w:pStyle w:val="ROMANOS"/>
        <w:spacing w:after="0" w:line="240" w:lineRule="exact"/>
        <w:ind w:left="432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      Pasivo</w:t>
      </w:r>
    </w:p>
    <w:p w14:paraId="6D85D403" w14:textId="77777777" w:rsidR="00A66033" w:rsidRDefault="00000000">
      <w:pPr>
        <w:pStyle w:val="ROMANOS"/>
        <w:spacing w:after="0" w:line="240" w:lineRule="exact"/>
        <w:ind w:left="0" w:firstLine="0"/>
      </w:pPr>
      <w:r>
        <w:rPr>
          <w:rFonts w:ascii="Calibri" w:hAnsi="Calibri" w:cs="DIN Pro Regular"/>
          <w:sz w:val="20"/>
          <w:szCs w:val="20"/>
          <w:lang w:val="es-MX"/>
        </w:rPr>
        <w:t xml:space="preserve">  </w:t>
      </w:r>
      <w:r>
        <w:rPr>
          <w:rFonts w:ascii="Calibri" w:hAnsi="Calibri" w:cs="DIN Pro Regular"/>
          <w:sz w:val="20"/>
          <w:szCs w:val="20"/>
          <w:lang w:val="es-MX"/>
        </w:rPr>
        <w:tab/>
      </w:r>
    </w:p>
    <w:p w14:paraId="42236E73" w14:textId="77777777" w:rsidR="00A66033" w:rsidRDefault="00000000">
      <w:pPr>
        <w:pStyle w:val="ROMANOS"/>
        <w:numPr>
          <w:ilvl w:val="0"/>
          <w:numId w:val="6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Cuentas y Documentos por pagar, por fecha de vencimiento (a corto y a largo plazo y factibilidad de pago).</w:t>
      </w:r>
    </w:p>
    <w:p w14:paraId="64511940" w14:textId="77777777" w:rsidR="00A66033" w:rsidRDefault="00000000">
      <w:pPr>
        <w:pStyle w:val="ROMANOS"/>
        <w:spacing w:after="0" w:line="240" w:lineRule="exact"/>
        <w:ind w:left="1083" w:firstLine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>Este rubro al cierre del Ejercicio mantiene un saldo por $ 28, 313,166 y se integra de la siguiente manera:</w:t>
      </w:r>
    </w:p>
    <w:p w14:paraId="1642A689" w14:textId="77777777" w:rsidR="00A66033" w:rsidRDefault="00A66033">
      <w:pPr>
        <w:pStyle w:val="ROMANOS"/>
        <w:spacing w:after="0" w:line="240" w:lineRule="exact"/>
        <w:rPr>
          <w:rFonts w:ascii="Calibri" w:hAnsi="Calibri"/>
          <w:sz w:val="20"/>
          <w:szCs w:val="20"/>
          <w:lang w:val="es-MX"/>
        </w:rPr>
      </w:pPr>
    </w:p>
    <w:tbl>
      <w:tblPr>
        <w:tblW w:w="5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0"/>
        <w:gridCol w:w="1888"/>
      </w:tblGrid>
      <w:tr w:rsidR="00A66033" w14:paraId="6B4479D8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B9A08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CUENTA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0EA96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IMPORTE</w:t>
            </w:r>
          </w:p>
        </w:tc>
      </w:tr>
      <w:tr w:rsidR="00A66033" w14:paraId="7F9A1D21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34F53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SERVICIOS PERSONALES POR PAGAR A CTO PLAZO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706BB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66033" w14:paraId="754349E7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C7C17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PROVEEDORES POR PAGAR A CTO PLAZO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156FF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126,440</w:t>
            </w:r>
          </w:p>
        </w:tc>
      </w:tr>
      <w:tr w:rsidR="00A66033" w14:paraId="532ED77C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7717E2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TRANSFERENCIAS OTORGADAS A CORTO PLAZO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C0168" w14:textId="77777777" w:rsidR="00A66033" w:rsidRDefault="0000000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27,026,380</w:t>
            </w:r>
          </w:p>
        </w:tc>
      </w:tr>
      <w:tr w:rsidR="00A66033" w14:paraId="7F39E01A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D8EAE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RETENCIONES Y CONTRIBUCIONES POR PAGAR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792DB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665,343</w:t>
            </w:r>
          </w:p>
        </w:tc>
      </w:tr>
      <w:tr w:rsidR="00A66033" w14:paraId="794B53ED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75215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OTRAS CUENTAS POR PAGAR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4ED96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495,003</w:t>
            </w:r>
          </w:p>
        </w:tc>
      </w:tr>
      <w:tr w:rsidR="00A66033" w14:paraId="5D147164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FB364" w14:textId="77777777" w:rsidR="00A66033" w:rsidRDefault="0000000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OTROS PASIVOS A CORTO PLAZO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1ECC0" w14:textId="77777777" w:rsidR="00A66033" w:rsidRDefault="0000000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66033" w14:paraId="3CE1FC7C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EFC0A" w14:textId="77777777" w:rsidR="00A66033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SUMA 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80F5C" w14:textId="77777777" w:rsidR="00A66033" w:rsidRDefault="0000000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28,313,166</w:t>
            </w:r>
          </w:p>
        </w:tc>
      </w:tr>
    </w:tbl>
    <w:p w14:paraId="44A00680" w14:textId="77777777" w:rsidR="00A66033" w:rsidRDefault="00A66033">
      <w:pPr>
        <w:pStyle w:val="ROMANOS"/>
        <w:spacing w:after="0" w:line="240" w:lineRule="exact"/>
        <w:ind w:firstLine="0"/>
        <w:rPr>
          <w:sz w:val="20"/>
          <w:szCs w:val="20"/>
        </w:rPr>
      </w:pPr>
    </w:p>
    <w:p w14:paraId="4A263417" w14:textId="77777777" w:rsidR="00A6603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Fondos y Bienes de Terceros en Garantía y/o Administración a Corto y Largo Plazo.</w:t>
      </w:r>
    </w:p>
    <w:p w14:paraId="36A93D28" w14:textId="77777777" w:rsidR="00A66033" w:rsidRDefault="00000000">
      <w:pPr>
        <w:pStyle w:val="ROMANOS"/>
        <w:spacing w:after="0" w:line="240" w:lineRule="exact"/>
        <w:ind w:firstLine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>NO APLICA</w:t>
      </w:r>
    </w:p>
    <w:p w14:paraId="159C0977" w14:textId="77777777" w:rsidR="00A6603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Pasivos Diferidos.</w:t>
      </w:r>
    </w:p>
    <w:p w14:paraId="1E23DD38" w14:textId="77777777" w:rsidR="00A66033" w:rsidRDefault="00000000">
      <w:pPr>
        <w:pStyle w:val="ROMANOS"/>
        <w:spacing w:after="0" w:line="240" w:lineRule="exact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  <w:t>Sin Movimientos.</w:t>
      </w:r>
    </w:p>
    <w:p w14:paraId="60EA6FA7" w14:textId="77777777" w:rsidR="00A6603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Provisiones.</w:t>
      </w:r>
    </w:p>
    <w:p w14:paraId="1CCA505B" w14:textId="77777777" w:rsidR="00A66033" w:rsidRDefault="00000000">
      <w:pPr>
        <w:pStyle w:val="ROMANOS"/>
        <w:spacing w:after="0" w:line="240" w:lineRule="exact"/>
        <w:ind w:firstLine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>NO APLICA</w:t>
      </w:r>
    </w:p>
    <w:p w14:paraId="1879821C" w14:textId="77777777" w:rsidR="00A66033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Otros Pasivos a corto y largo plazo que impacten en la información financiera.</w:t>
      </w:r>
    </w:p>
    <w:p w14:paraId="088137DA" w14:textId="77777777" w:rsidR="00A66033" w:rsidRDefault="00000000">
      <w:pPr>
        <w:pStyle w:val="ROMANOS"/>
        <w:spacing w:after="0" w:line="240" w:lineRule="exact"/>
        <w:ind w:firstLine="0"/>
      </w:pPr>
      <w:r>
        <w:rPr>
          <w:rFonts w:ascii="Calibri" w:hAnsi="Calibri"/>
          <w:sz w:val="20"/>
          <w:szCs w:val="20"/>
          <w:lang w:val="es-MX"/>
        </w:rPr>
        <w:t>Sin Movimientos</w:t>
      </w:r>
      <w:r>
        <w:rPr>
          <w:sz w:val="20"/>
          <w:szCs w:val="20"/>
        </w:rPr>
        <w:t>.</w:t>
      </w:r>
    </w:p>
    <w:p w14:paraId="60486B34" w14:textId="77777777" w:rsidR="00A66033" w:rsidRDefault="00A66033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55458EE5" w14:textId="77777777" w:rsidR="00A66033" w:rsidRDefault="00000000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6887BB55" w14:textId="77777777" w:rsidR="00A66033" w:rsidRDefault="00000000">
      <w:pPr>
        <w:pStyle w:val="NormalWeb"/>
        <w:spacing w:before="0" w:after="0"/>
        <w:ind w:left="285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La variación en el rubro Hacienda Pública/Patrimonio Generado se deriva principalmente del resultado de Ejercicios anteriores, así mismo los movimientos en el Patrimonio Generado del Ejercicio 2024.</w:t>
      </w:r>
    </w:p>
    <w:p w14:paraId="3A2AAB68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1FE9478" w14:textId="77777777" w:rsidR="00A66033" w:rsidRDefault="00000000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Flujos de Efectivo</w:t>
      </w:r>
    </w:p>
    <w:p w14:paraId="6E927158" w14:textId="77777777" w:rsidR="00A66033" w:rsidRDefault="00000000">
      <w:pPr>
        <w:pStyle w:val="INCISO"/>
        <w:spacing w:after="0" w:line="240" w:lineRule="exact"/>
        <w:ind w:left="360" w:firstLine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La variación se debe principalmente al movimiento de los Subsidios recibidos en el Organismo durante el Ejercicio 2024 de los Programas de Becas Escolares S151 (Capitulo 4000).</w:t>
      </w:r>
    </w:p>
    <w:p w14:paraId="03132E30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11DFAC99" w14:textId="77777777" w:rsidR="00A66033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4CED3629" w14:textId="77777777" w:rsidR="00A66033" w:rsidRDefault="00000000">
      <w:pPr>
        <w:pStyle w:val="ROMANOS"/>
        <w:numPr>
          <w:ilvl w:val="0"/>
          <w:numId w:val="7"/>
        </w:numPr>
        <w:spacing w:after="0" w:line="240" w:lineRule="exact"/>
      </w:pPr>
      <w:r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14:paraId="4343A5CD" w14:textId="77777777" w:rsidR="00A66033" w:rsidRDefault="00A6603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662" w:type="dxa"/>
        <w:tblInd w:w="18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1"/>
        <w:gridCol w:w="1276"/>
        <w:gridCol w:w="1275"/>
      </w:tblGrid>
      <w:tr w:rsidR="00A66033" w14:paraId="761CB3D4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7A53" w14:textId="77777777" w:rsidR="00A66033" w:rsidRDefault="00A66033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7541" w14:textId="77777777" w:rsidR="00A66033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13D0" w14:textId="77777777" w:rsidR="00A66033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2023</w:t>
            </w:r>
          </w:p>
        </w:tc>
      </w:tr>
      <w:tr w:rsidR="00A66033" w14:paraId="7B59FE15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BEBB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Efectivo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E95F" w14:textId="77777777" w:rsidR="00A66033" w:rsidRDefault="00000000">
            <w:pPr>
              <w:spacing w:after="101" w:line="224" w:lineRule="exact"/>
              <w:jc w:val="right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A865" w14:textId="77777777" w:rsidR="00A66033" w:rsidRDefault="00000000">
            <w:pPr>
              <w:spacing w:after="101" w:line="224" w:lineRule="exact"/>
              <w:jc w:val="right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0</w:t>
            </w:r>
          </w:p>
        </w:tc>
      </w:tr>
      <w:tr w:rsidR="00A66033" w14:paraId="679C5FFE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7233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Bancos/Tesorería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F10F" w14:textId="77777777" w:rsidR="00A66033" w:rsidRDefault="00000000">
            <w:pPr>
              <w:spacing w:after="101" w:line="224" w:lineRule="exact"/>
              <w:jc w:val="right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30,568,287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A0D2" w14:textId="77777777" w:rsidR="00A66033" w:rsidRDefault="00000000">
            <w:pPr>
              <w:spacing w:after="101" w:line="224" w:lineRule="exact"/>
              <w:jc w:val="right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26 382,958</w:t>
            </w:r>
          </w:p>
        </w:tc>
      </w:tr>
      <w:tr w:rsidR="00A66033" w14:paraId="51900B36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8CF4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6C3E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6D41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04C86B04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0417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A84B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1918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7A94FBEE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1BE6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Fondos con Afectación Específica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F6CE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31,000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3C24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31,000</w:t>
            </w:r>
          </w:p>
        </w:tc>
      </w:tr>
      <w:tr w:rsidR="00A66033" w14:paraId="352B5789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C4E9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Depósitos de Fondos de Terceros en Garantía y/o Administración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E467" w14:textId="77777777" w:rsidR="00A66033" w:rsidRDefault="00000000">
            <w:pPr>
              <w:spacing w:after="101" w:line="224" w:lineRule="exact"/>
              <w:jc w:val="right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9,280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2161" w14:textId="77777777" w:rsidR="00A66033" w:rsidRDefault="00000000">
            <w:pPr>
              <w:spacing w:after="101" w:line="224" w:lineRule="exact"/>
              <w:jc w:val="right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9,280</w:t>
            </w:r>
          </w:p>
        </w:tc>
      </w:tr>
      <w:tr w:rsidR="00A66033" w14:paraId="7545E2F5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FFAE" w14:textId="77777777" w:rsidR="00A66033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Otros Efectivos y Equivalentes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990B" w14:textId="77777777" w:rsidR="00A66033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04E0" w14:textId="77777777" w:rsidR="00A66033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A66033" w14:paraId="628B7624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CC44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proofErr w:type="gramStart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  <w:proofErr w:type="gramEnd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 xml:space="preserve"> de Efectivo y Equivalentes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F88A" w14:textId="77777777" w:rsidR="00A66033" w:rsidRDefault="00000000">
            <w:pPr>
              <w:spacing w:after="101" w:line="224" w:lineRule="exact"/>
              <w:jc w:val="right"/>
              <w:rPr>
                <w:rFonts w:eastAsia="Times New Roman" w:cs="Arial"/>
                <w:b/>
                <w:lang w:eastAsia="es-ES"/>
              </w:rPr>
            </w:pPr>
            <w:r>
              <w:rPr>
                <w:rFonts w:eastAsia="Times New Roman" w:cs="Arial"/>
                <w:b/>
                <w:lang w:eastAsia="es-ES"/>
              </w:rPr>
              <w:t>30,608,567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8393" w14:textId="77777777" w:rsidR="00A66033" w:rsidRDefault="00000000">
            <w:pPr>
              <w:spacing w:after="101" w:line="224" w:lineRule="exact"/>
              <w:jc w:val="right"/>
              <w:rPr>
                <w:rFonts w:eastAsia="Times New Roman" w:cs="Arial"/>
                <w:b/>
                <w:lang w:eastAsia="es-ES"/>
              </w:rPr>
            </w:pPr>
            <w:r>
              <w:rPr>
                <w:rFonts w:eastAsia="Times New Roman" w:cs="Arial"/>
                <w:b/>
                <w:lang w:eastAsia="es-ES"/>
              </w:rPr>
              <w:t>26,423,238</w:t>
            </w:r>
          </w:p>
        </w:tc>
      </w:tr>
    </w:tbl>
    <w:p w14:paraId="1B4037D2" w14:textId="77777777" w:rsidR="00A66033" w:rsidRDefault="00A6603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9AA269E" w14:textId="77777777" w:rsidR="00A66033" w:rsidRDefault="00A6603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F983F22" w14:textId="77777777" w:rsidR="00A66033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2.</w:t>
      </w:r>
      <w:r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 Presupuesto Estatal por $ 1, 271,722</w:t>
      </w:r>
    </w:p>
    <w:p w14:paraId="6EBADCFB" w14:textId="77777777" w:rsidR="00A66033" w:rsidRDefault="00A6603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5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3"/>
        <w:gridCol w:w="1134"/>
        <w:gridCol w:w="1134"/>
      </w:tblGrid>
      <w:tr w:rsidR="00A66033" w14:paraId="07152221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5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7D07" w14:textId="77777777" w:rsidR="00A66033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</w:tr>
      <w:tr w:rsidR="00A66033" w14:paraId="256E68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0263" w14:textId="77777777" w:rsidR="00A66033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64DD" w14:textId="77777777" w:rsidR="00A66033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1E0B" w14:textId="77777777" w:rsidR="00A66033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</w:tr>
      <w:tr w:rsidR="00A66033" w14:paraId="595033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8F3E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0B87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F0E4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A66033" w14:paraId="3E5227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D860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E053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96F5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2B893A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7B13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6A10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997D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6EE7CA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2E99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8F2D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AB41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478BF6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4EEA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4A24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0678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0595C0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E0FB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lastRenderedPageBreak/>
              <w:t>Construcciones en Proceso de Bienes de Dominio Público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E09D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C24B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08314BE2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38BF" w14:textId="77777777" w:rsidR="00A66033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D3B2" w14:textId="77777777" w:rsidR="00A66033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4B7B" w14:textId="77777777" w:rsidR="00A66033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A66033" w14:paraId="16944E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D84C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B91D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4C19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4C37A7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0732" w14:textId="77777777" w:rsidR="00A66033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F669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1,271,722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ED8B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1,182,921</w:t>
            </w:r>
          </w:p>
        </w:tc>
      </w:tr>
      <w:tr w:rsidR="00A66033" w14:paraId="628A6B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9724" w14:textId="77777777" w:rsidR="00A66033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EE15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471,205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89B3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134,054</w:t>
            </w:r>
          </w:p>
        </w:tc>
      </w:tr>
      <w:tr w:rsidR="00A66033" w14:paraId="014825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0E92" w14:textId="77777777" w:rsidR="00A66033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DDB1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A373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7A4FEA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7E73" w14:textId="77777777" w:rsidR="00A66033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e Instrumental Médico y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D9E6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FC83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0EB167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0A4B" w14:textId="77777777" w:rsidR="00A66033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C260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705,800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C2A1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1,016,790</w:t>
            </w:r>
          </w:p>
        </w:tc>
      </w:tr>
      <w:tr w:rsidR="00A66033" w14:paraId="32B30E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E22C" w14:textId="77777777" w:rsidR="00A66033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956B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DEC5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554F33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E8AE" w14:textId="77777777" w:rsidR="00A66033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0A30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94,717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CF5F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32,077</w:t>
            </w:r>
          </w:p>
        </w:tc>
      </w:tr>
      <w:tr w:rsidR="00A66033" w14:paraId="7FE01C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F89D" w14:textId="77777777" w:rsidR="00A66033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7607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BFF6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552024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B045" w14:textId="77777777" w:rsidR="00A66033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25B3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2DAC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5E0B19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2D2F" w14:textId="77777777" w:rsidR="00A66033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3B96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EFB1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66033" w14:paraId="3CEAA6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6AC1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5630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1,271,722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54D1" w14:textId="77777777" w:rsidR="00A66033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1,182,921</w:t>
            </w:r>
          </w:p>
        </w:tc>
      </w:tr>
    </w:tbl>
    <w:p w14:paraId="110433C9" w14:textId="77777777" w:rsidR="00A66033" w:rsidRDefault="00A6603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9436136" w14:textId="77777777" w:rsidR="00A66033" w:rsidRDefault="00A6603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8F5417D" w14:textId="77777777" w:rsidR="00A66033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53DE2F53" w14:textId="77777777" w:rsidR="00A66033" w:rsidRDefault="00A6603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3"/>
        <w:gridCol w:w="1310"/>
        <w:gridCol w:w="1136"/>
      </w:tblGrid>
      <w:tr w:rsidR="00A66033" w14:paraId="647245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77F8" w14:textId="77777777" w:rsidR="00A66033" w:rsidRDefault="00A66033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1F64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FEF0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2023</w:t>
            </w:r>
          </w:p>
        </w:tc>
      </w:tr>
      <w:tr w:rsidR="00A66033" w14:paraId="29475C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48E8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Resultados del Ejercicio Ahorro/Desahorro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AA79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1,391,386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B4A8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3,124,834</w:t>
            </w:r>
          </w:p>
        </w:tc>
      </w:tr>
      <w:tr w:rsidR="00A66033" w14:paraId="510198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B763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17D9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B33B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A66033" w14:paraId="2158AF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BE53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4A86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581,319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BE62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200,570</w:t>
            </w:r>
          </w:p>
        </w:tc>
      </w:tr>
      <w:tr w:rsidR="00A66033" w14:paraId="3AFD6C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5CC2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6521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1,000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76FC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1,000</w:t>
            </w:r>
          </w:p>
        </w:tc>
      </w:tr>
      <w:tr w:rsidR="00A66033" w14:paraId="1F46D2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CFDB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Incrementos de cuentas por cobrar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DBED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-48,431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E4FE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-120,718</w:t>
            </w:r>
          </w:p>
        </w:tc>
      </w:tr>
      <w:tr w:rsidR="00A66033" w14:paraId="3B3E9ADA" w14:textId="77777777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ECE6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de cuentas por pagar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26CC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3,531,777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21AC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23,345,265</w:t>
            </w:r>
          </w:p>
        </w:tc>
      </w:tr>
      <w:tr w:rsidR="00A66033" w14:paraId="70E36148" w14:textId="77777777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6F17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Ganancia/pérdida en venta de bienes muebles, inmuebles e intangibles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B3A6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CF89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A66033" w14:paraId="0E518830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EEEE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Perdidas Extraordinarias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1054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479F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-406,869</w:t>
            </w:r>
          </w:p>
        </w:tc>
      </w:tr>
      <w:tr w:rsidR="00A66033" w14:paraId="4B4CB7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2B7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Flujos de Efectivo Netos de las Actividades de Operación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F90C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5,457,051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10C9" w14:textId="77777777" w:rsidR="00A66033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26,144,082</w:t>
            </w:r>
          </w:p>
        </w:tc>
      </w:tr>
    </w:tbl>
    <w:p w14:paraId="591C101D" w14:textId="77777777" w:rsidR="00A66033" w:rsidRDefault="00A6603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4A30F6A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E93180C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C0E433A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A35CAC2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CB04148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0C5219A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5A6DE80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DB287E7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51473A0" w14:textId="77777777" w:rsidR="00A66033" w:rsidRDefault="00000000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lastRenderedPageBreak/>
        <w:t>V) Conciliación entre los ingresos presupuestarios y contables, así como entre los egresos presupuestarios y los gastos contables:</w:t>
      </w:r>
    </w:p>
    <w:p w14:paraId="7CA47845" w14:textId="77777777" w:rsidR="00A66033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26FDE5B4" wp14:editId="7561FCE2">
                <wp:simplePos x="0" y="0"/>
                <wp:positionH relativeFrom="column">
                  <wp:posOffset>281882</wp:posOffset>
                </wp:positionH>
                <wp:positionV relativeFrom="paragraph">
                  <wp:posOffset>111236</wp:posOffset>
                </wp:positionV>
                <wp:extent cx="5448937" cy="6398898"/>
                <wp:effectExtent l="0" t="0" r="18413" b="1902"/>
                <wp:wrapSquare wrapText="bothSides"/>
                <wp:docPr id="1157093734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937" cy="6398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65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3"/>
                              <w:gridCol w:w="5015"/>
                              <w:gridCol w:w="2714"/>
                              <w:gridCol w:w="160"/>
                              <w:gridCol w:w="160"/>
                            </w:tblGrid>
                            <w:tr w:rsidR="00A66033" w14:paraId="00D7680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B7DF895" w14:textId="77777777" w:rsidR="00A66033" w:rsidRDefault="00000000">
                                  <w:pPr>
                                    <w:pStyle w:val="Standard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Instituto Tamaulipeco de Becas, Estimulos y Creditos Educativos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AB65B40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3AB92E6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2BF0D8A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Conciliación entre los Ingresos Presupuestarios y Contables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6775308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5C7B381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D36E13D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Correspondiente del 1 de Enero al 31 de Diciembre del 2024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D6BD299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4A4D056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E236B3F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(Cifras en pesos)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FD64620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1AC081D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7D42638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70CAECDC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33EDAECE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057EA7B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7CB3BC4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63E610A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641819F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1.- Ingresos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A16A845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$ 285,500,929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2425467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5ACDEA4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6DA9180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C196655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45777CEE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4009D31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69B1566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690D787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20BC335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B0CABE7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2.- Más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02B7618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$ 2,049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E5E1A89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B2CCCDE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2690A03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F0B8B5E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8EE7668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Financieros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F4144ED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$ 134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5FE2D6F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321E665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22C99CE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55E0FB5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48D440E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Incremento por Variación de Inventarios.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A78BADB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4A5415F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66033" w14:paraId="1B22AF6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B93FC2B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73DB956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Estimaciones por Pérdidas o Deterioro u Obsolescencia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5FC0F87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71EC8E79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66033" w14:paraId="0721A9A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CAF7DDA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37BC49A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Provisiones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E320876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307B5968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66033" w14:paraId="7747A9E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17607FE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81D6814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y Beneficios Varios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B2E81B6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1,915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0232F0AC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66033" w14:paraId="58C82F9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34D342C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 2.6      Otros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3D74A23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4543E580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66033" w14:paraId="23A0BDA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2D6E118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8860765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8D697F1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B8FC1C1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508F4B5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0D1156A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898EA89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3.- Menos ingresos presupuestarios no contables.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D6A8A6C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B4D265B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9C531B9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5BEFC00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D372E32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8F41DF6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Aprovechamientos Patrimoniales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82E527D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41F6372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336E4AE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1A55916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7A5A335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872EE9D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Derivados de Financiamientos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C38C603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29115E26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66033" w14:paraId="348834F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FB8D039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018FB70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972E4A2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77B9F8BC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66033" w14:paraId="162145E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865AEF1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FF53602" w14:textId="77777777" w:rsidR="00A66033" w:rsidRDefault="00A6603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D25B821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B1595D1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A66033" w14:paraId="3B07EB1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58258C7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4.- Total de Ingresos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49478D3" w14:textId="77777777" w:rsidR="00A66033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285, 502,978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EEC08C7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01970C5" w14:textId="77777777" w:rsidR="00A66033" w:rsidRDefault="00A66033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</w:tbl>
                          <w:p w14:paraId="39D1B92D" w14:textId="77777777" w:rsidR="00A66033" w:rsidRDefault="00A66033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FDE5B4" id="_x0000_t202" coordsize="21600,21600" o:spt="202" path="m,l,21600r21600,l21600,xe">
                <v:stroke joinstyle="miter"/>
                <v:path gradientshapeok="t" o:connecttype="rect"/>
              </v:shapetype>
              <v:shape id="Marco3" o:spid="_x0000_s1026" type="#_x0000_t202" style="position:absolute;left:0;text-align:left;margin-left:22.2pt;margin-top:8.75pt;width:429.05pt;height:503.85pt;z-index: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" filled="f" stroked="f">
                <v:textbox style="mso-fit-shape-to-text:t" inset="0,0,0,0">
                  <w:txbxContent>
                    <w:tbl>
                      <w:tblPr>
                        <w:tblW w:w="865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3"/>
                        <w:gridCol w:w="5015"/>
                        <w:gridCol w:w="2714"/>
                        <w:gridCol w:w="160"/>
                        <w:gridCol w:w="160"/>
                      </w:tblGrid>
                      <w:tr w:rsidR="00A66033" w14:paraId="00D7680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5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B7DF895" w14:textId="77777777" w:rsidR="00A66033" w:rsidRDefault="00000000">
                            <w:pPr>
                              <w:pStyle w:val="Standard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Instituto Tamaulipeco de Becas, Estimulos y Creditos Educativos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AB65B40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3AB92E6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2BF0D8A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Conciliación entre los Ingresos Presupuestarios y Contables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6775308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5C7B381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D36E13D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Correspondiente del 1 de Enero al 31 de Diciembre del 2024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D6BD299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4A4D056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2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E236B3F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(Cifras en pesos)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FD64620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1AC081D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7D42638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70CAECDC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33EDAECE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057EA7B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7CB3BC4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63E610A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641819F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1.- Ingresos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A16A845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$ 285,500,929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2425467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5ACDEA4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6DA9180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C196655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45777CEE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4009D31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69B1566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690D787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20BC335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B0CABE7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2.- Más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02B7618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$ 2,049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E5E1A89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B2CCCDE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2690A03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F0B8B5E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</w:t>
                            </w: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8EE7668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Financieros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F4144ED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$ 134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5FE2D6F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321E665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22C99CE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55E0FB5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48D440E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Incremento por Variación de Inventarios.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A78BADB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4A5415F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A66033" w14:paraId="1B22AF6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6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B93FC2B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73DB956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Estimaciones por Pérdidas o Deterioro u Obsolescencia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5FC0F87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71EC8E79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A66033" w14:paraId="0721A9A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CAF7DDA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37BC49A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Provisiones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E320876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307B5968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A66033" w14:paraId="7747A9E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17607FE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81D6814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y Beneficios Varios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B2E81B6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1,915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0232F0AC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A66033" w14:paraId="58C82F9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34D342C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 2.6      Otros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3D74A23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4543E580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A66033" w14:paraId="23A0BDA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2D6E118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8860765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8D697F1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B8FC1C1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508F4B5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0D1156A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898EA89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3.- Menos ingresos presupuestarios no contables.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D6A8A6C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B4D265B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9C531B9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5BEFC00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D372E32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8F41DF6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Aprovechamientos Patrimoniales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82E527D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41F6372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336E4AE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1A55916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7A5A335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872EE9D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Derivados de Financiamientos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C38C603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29115E26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A66033" w14:paraId="348834F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FB8D039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018FB70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Presupuestarios No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972E4A2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77B9F8BC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A66033" w14:paraId="162145E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865AEF1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FF53602" w14:textId="77777777" w:rsidR="00A66033" w:rsidRDefault="00A6603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D25B821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B1595D1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A66033" w14:paraId="3B07EB1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58258C7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4.- Total de Ingresos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49478D3" w14:textId="77777777" w:rsidR="00A66033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285, 502,978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EEC08C7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01970C5" w14:textId="77777777" w:rsidR="00A66033" w:rsidRDefault="00A66033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</w:tbl>
                    <w:p w14:paraId="39D1B92D" w14:textId="77777777" w:rsidR="00A66033" w:rsidRDefault="00A66033"/>
                  </w:txbxContent>
                </v:textbox>
                <w10:wrap type="square"/>
              </v:shape>
            </w:pict>
          </mc:Fallback>
        </mc:AlternateContent>
      </w:r>
    </w:p>
    <w:p w14:paraId="4CA6E348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96A1082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5080C6A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W w:w="7293" w:type="dxa"/>
        <w:tblInd w:w="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3866"/>
        <w:gridCol w:w="2153"/>
        <w:gridCol w:w="160"/>
        <w:gridCol w:w="160"/>
      </w:tblGrid>
      <w:tr w:rsidR="00A66033" w14:paraId="70CFA02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0D11966" w14:textId="77777777" w:rsidR="00A66033" w:rsidRDefault="00A6603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40C81E32" w14:textId="77777777" w:rsidR="00A66033" w:rsidRDefault="00A6603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</w:tc>
        <w:tc>
          <w:tcPr>
            <w:tcW w:w="160" w:type="dxa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583B2A39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</w:tr>
      <w:tr w:rsidR="00A66033" w14:paraId="01691AF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0C586" w14:textId="77777777" w:rsidR="00A66033" w:rsidRDefault="0000000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Instituto Tamaulipeco de Becas, </w:t>
            </w:r>
            <w:proofErr w:type="spellStart"/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Estimulos</w:t>
            </w:r>
            <w:proofErr w:type="spellEnd"/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Creditos</w:t>
            </w:r>
            <w:proofErr w:type="spellEnd"/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 xml:space="preserve"> Educativos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6842B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</w:tr>
      <w:tr w:rsidR="00A66033" w14:paraId="26E521A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C8286" w14:textId="77777777" w:rsidR="00A66033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80DC6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</w:tr>
      <w:tr w:rsidR="00A66033" w14:paraId="271A7E9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7AF8C" w14:textId="77777777" w:rsidR="00A66033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 al 31 de Diciembre del 2024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65F15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</w:tr>
      <w:tr w:rsidR="00A66033" w14:paraId="4D073D66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13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68DFE" w14:textId="77777777" w:rsidR="00A66033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212C7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</w:tr>
      <w:tr w:rsidR="00A66033" w14:paraId="56530A62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B5B7B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146F6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C3DEE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0C952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8445A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</w:tr>
      <w:tr w:rsidR="00A66033" w14:paraId="254ACC1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23BB3" w14:textId="77777777" w:rsidR="00A6603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1.- Total de Egresos Presupuestarios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923A9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$ 284,800,995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9D7DE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B58CE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</w:tr>
      <w:tr w:rsidR="00A66033" w14:paraId="1D3691AD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4BF30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761B1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B8131" w14:textId="77777777" w:rsidR="00A66033" w:rsidRDefault="00A6603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80FFD" w14:textId="77777777" w:rsidR="00A66033" w:rsidRDefault="00A66033">
            <w:pPr>
              <w:pStyle w:val="Standard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A38EC" w14:textId="77777777" w:rsidR="00A66033" w:rsidRDefault="00A66033">
            <w:pPr>
              <w:pStyle w:val="Standard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66033" w14:paraId="4E68257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F4874" w14:textId="77777777" w:rsidR="00A6603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B633C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$ 3,329,446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AA727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390B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</w:tr>
      <w:tr w:rsidR="00A66033" w14:paraId="4032734D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281EE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F3B50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33A37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D14C3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6479D26D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E317A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D13BA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A8A74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2,057,724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E73B6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19E5157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A7A1D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B6E32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F4ED3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471,205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FEC9C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186050A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4FBDB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EA593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2C7E6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BB80A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18CD0E5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28AE8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7AC43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87935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EAB43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5C469FA6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C1A1E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2A3B4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EE9B6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705,800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8C33D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38F1109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78EC1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C47B9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8543B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434FA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63101B76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76746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1B529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F9960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94,717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BA32E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1F0CEA9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A7287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89E20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71FD9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D82BA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5A55924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FA414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66038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60CBA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300E2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67ACC52D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88B47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3D718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F8550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A46D8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3F999D98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54116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EDEDB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846AF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6C7A38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164E351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FB59A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67F35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AD8D0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C9C1E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6E2DB6A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6A4EB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199C0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40E13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CD901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3598EE9D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43253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B9377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4F2B4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FBF40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5A476E6A" w14:textId="7777777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6DA52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25B18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DA9B9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4D761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1DFB4A0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3D1F9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ADB6D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Inversiones en Fideicomisos. Mandatos y Otros Análogos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0D79E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C8085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6D27AAB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3D4F8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E138C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0B973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75794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788E2CC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C5804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953EB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51645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41BE1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5595D15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998CF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7DE3E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5CE57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98810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7BCFC9BD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BBB82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55513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D94A5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C3026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29A4A02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B50BE" w14:textId="77777777" w:rsidR="00A66033" w:rsidRDefault="00A6603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5773F" w14:textId="77777777" w:rsidR="00A66033" w:rsidRDefault="00A6603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4E4C66DB" w14:textId="77777777" w:rsidR="00A66033" w:rsidRDefault="00A66033"/>
          <w:p w14:paraId="6412B786" w14:textId="77777777" w:rsidR="00A66033" w:rsidRDefault="00A66033"/>
          <w:p w14:paraId="3D1772F6" w14:textId="77777777" w:rsidR="00A66033" w:rsidRDefault="00A66033"/>
          <w:p w14:paraId="47A214B1" w14:textId="77777777" w:rsidR="00A66033" w:rsidRDefault="00A66033"/>
        </w:tc>
        <w:tc>
          <w:tcPr>
            <w:tcW w:w="21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0B586" w14:textId="77777777" w:rsidR="00A66033" w:rsidRDefault="00A6603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0ACC0" w14:textId="77777777" w:rsidR="00A66033" w:rsidRDefault="00A6603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1A2FF7C7" w14:textId="77777777" w:rsidR="00A66033" w:rsidRDefault="00A6603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3D413F58" w14:textId="77777777" w:rsidR="00A66033" w:rsidRDefault="00A6603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0B27F9B3" w14:textId="77777777" w:rsidR="00A66033" w:rsidRDefault="00A6603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17A2FCA1" w14:textId="77777777" w:rsidR="00A66033" w:rsidRDefault="00A6603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62C27398" w14:textId="77777777" w:rsidR="00A66033" w:rsidRDefault="00A6603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97685" w14:textId="77777777" w:rsidR="00A66033" w:rsidRDefault="00A6603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4C0A3F8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1288D" w14:textId="77777777" w:rsidR="00A6603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3. Más Gasto Contables No Presupuestales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D7306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$ 2,640,043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2AA2A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6BFD5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</w:tr>
      <w:tr w:rsidR="00A66033" w14:paraId="3A9798C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3B5CC" w14:textId="77777777" w:rsidR="00A6603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21CD7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Estimaciones, Depreciaciones y Deterioros, Obsolescencia y Amortizaciones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933C2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$ 582,319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3502D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39A1D27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BE5C0" w14:textId="77777777" w:rsidR="00A6603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9D515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07AC5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2A006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70D4B7B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3A8E6" w14:textId="77777777" w:rsidR="00A6603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34397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Disminución de Inventarios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4CEFE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5EFFF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1DBC23F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8DC85" w14:textId="77777777" w:rsidR="00A6603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3.4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0A9AB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9C650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99F96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41E825E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DB3B2" w14:textId="77777777" w:rsidR="00A6603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38722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Inversión Pública No Capitalizable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40A87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4BB75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135AB51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239A8" w14:textId="77777777" w:rsidR="00A6603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3.6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A85D9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DA8EE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$ 2,057,724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68DCC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77754ED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0D426" w14:textId="77777777" w:rsidR="00A6603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3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76528" w14:textId="77777777" w:rsidR="00A66033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0A7F1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79E6B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68CB5BD3" w14:textId="77777777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EF52F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0ECCE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987C8" w14:textId="77777777" w:rsidR="00A66033" w:rsidRDefault="00A6603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AE18A" w14:textId="77777777" w:rsidR="00A66033" w:rsidRDefault="00A6603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33" w14:paraId="044561F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E8EAF" w14:textId="77777777" w:rsidR="00A66033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4B207" w14:textId="77777777" w:rsidR="00A66033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$ 284,111,592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EAA4F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86487" w14:textId="77777777" w:rsidR="00A66033" w:rsidRDefault="00A66033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</w:tr>
    </w:tbl>
    <w:p w14:paraId="74CD03AB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812B260" w14:textId="77777777" w:rsidR="00A66033" w:rsidRDefault="00A6603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0520570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5A75734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FC9449A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759A096" w14:textId="77777777" w:rsidR="00A66033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54726FC2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45365A71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51386948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C2BCCE3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7602996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F28228D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1C26ADE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A8A9300" w14:textId="77777777" w:rsidR="00A66033" w:rsidRDefault="00A66033">
      <w:pPr>
        <w:pStyle w:val="Text"/>
        <w:spacing w:after="0" w:line="240" w:lineRule="exact"/>
        <w:jc w:val="center"/>
      </w:pPr>
    </w:p>
    <w:p w14:paraId="1136445D" w14:textId="77777777" w:rsidR="00A66033" w:rsidRDefault="00A66033">
      <w:pPr>
        <w:pStyle w:val="Text"/>
        <w:spacing w:after="0" w:line="240" w:lineRule="exact"/>
        <w:jc w:val="center"/>
      </w:pPr>
    </w:p>
    <w:p w14:paraId="69E963B2" w14:textId="77777777" w:rsidR="00A66033" w:rsidRDefault="00A66033">
      <w:pPr>
        <w:pStyle w:val="Text"/>
        <w:spacing w:after="0" w:line="240" w:lineRule="exact"/>
        <w:jc w:val="center"/>
      </w:pPr>
    </w:p>
    <w:p w14:paraId="39A2A18B" w14:textId="77777777" w:rsidR="00A66033" w:rsidRDefault="00A66033">
      <w:pPr>
        <w:pStyle w:val="Text"/>
        <w:spacing w:after="0" w:line="240" w:lineRule="exact"/>
        <w:jc w:val="center"/>
      </w:pPr>
    </w:p>
    <w:p w14:paraId="2F1C3155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79D4991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81C28A7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B505481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3C6976E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4AC2424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AF33001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E854F4F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B406556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07C73B4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16F83C0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E1E41E8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9D31D00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30C59EB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BE2932B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E34A9C4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561B98A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117CE5B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9545021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292B803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1AA2381" w14:textId="77777777" w:rsidR="00A6603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0"/>
        </w:rPr>
        <w:lastRenderedPageBreak/>
        <w:t>Cuenta Pública 2024</w:t>
      </w:r>
    </w:p>
    <w:p w14:paraId="5720F297" w14:textId="77777777" w:rsidR="00A66033" w:rsidRDefault="00A6603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260765D2" w14:textId="77777777" w:rsidR="00A66033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0"/>
        </w:rPr>
        <w:t>Notas a los Estados Financieros</w:t>
      </w:r>
    </w:p>
    <w:p w14:paraId="04D9F066" w14:textId="77777777" w:rsidR="00A66033" w:rsidRDefault="00A6603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7E83AFE" w14:textId="77777777" w:rsidR="00A66033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0"/>
        </w:rPr>
        <w:t>c)</w:t>
      </w:r>
      <w:r>
        <w:rPr>
          <w:rFonts w:ascii="Calibri" w:hAnsi="Calibri" w:cs="DIN Pro Regular"/>
          <w:sz w:val="20"/>
        </w:rPr>
        <w:t xml:space="preserve"> </w:t>
      </w:r>
      <w:r>
        <w:rPr>
          <w:rFonts w:ascii="Calibri" w:hAnsi="Calibri" w:cs="DIN Pro Regular"/>
          <w:b/>
          <w:sz w:val="20"/>
          <w:lang w:val="es-MX"/>
        </w:rPr>
        <w:t>NOTAS DE MEMORIA (Cuentas de Orden)</w:t>
      </w:r>
    </w:p>
    <w:p w14:paraId="632BF61E" w14:textId="77777777" w:rsidR="00A66033" w:rsidRDefault="00A6603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288DC08E" w14:textId="77777777" w:rsidR="00A66033" w:rsidRDefault="00A6603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120D163" w14:textId="77777777" w:rsidR="00A66033" w:rsidRDefault="00000000">
      <w:pPr>
        <w:pStyle w:val="Text"/>
        <w:spacing w:after="0" w:line="240" w:lineRule="exact"/>
      </w:pPr>
      <w:r>
        <w:rPr>
          <w:rFonts w:ascii="Calibri" w:hAnsi="Calibri" w:cs="DIN Pro Regular"/>
          <w:b/>
          <w:sz w:val="20"/>
        </w:rPr>
        <w:t>Cuentas de Orden Contables y Presupuestarias:</w:t>
      </w:r>
    </w:p>
    <w:p w14:paraId="430DBFF2" w14:textId="77777777" w:rsidR="00A66033" w:rsidRDefault="00A66033">
      <w:pPr>
        <w:pStyle w:val="Text"/>
        <w:spacing w:after="0" w:line="240" w:lineRule="exact"/>
        <w:rPr>
          <w:rFonts w:ascii="Calibri" w:hAnsi="Calibri" w:cs="DIN Pro Regular"/>
          <w:b/>
          <w:sz w:val="20"/>
        </w:rPr>
      </w:pPr>
    </w:p>
    <w:p w14:paraId="01897FDC" w14:textId="77777777" w:rsidR="00A66033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b/>
          <w:sz w:val="20"/>
        </w:rPr>
      </w:pPr>
      <w:r>
        <w:rPr>
          <w:rFonts w:ascii="Calibri" w:hAnsi="Calibri" w:cs="DIN Pro Regular"/>
          <w:b/>
          <w:sz w:val="20"/>
        </w:rPr>
        <w:t>Contables:</w:t>
      </w:r>
    </w:p>
    <w:p w14:paraId="12FABF57" w14:textId="77777777" w:rsidR="00A66033" w:rsidRDefault="00A66033">
      <w:pPr>
        <w:pStyle w:val="Text"/>
        <w:spacing w:after="0" w:line="240" w:lineRule="exact"/>
        <w:ind w:left="2160" w:hanging="540"/>
      </w:pPr>
    </w:p>
    <w:tbl>
      <w:tblPr>
        <w:tblW w:w="7230" w:type="dxa"/>
        <w:tblInd w:w="1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714"/>
      </w:tblGrid>
      <w:tr w:rsidR="00A66033" w14:paraId="4DF2D070" w14:textId="77777777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2AB9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</w:pPr>
            <w:r>
              <w:rPr>
                <w:rFonts w:ascii="Calibri" w:hAnsi="Calibri" w:cs="DIN Pro Regular"/>
                <w:b/>
                <w:sz w:val="20"/>
              </w:rPr>
              <w:t>Cuentas de Orden Contables</w:t>
            </w:r>
          </w:p>
        </w:tc>
      </w:tr>
      <w:tr w:rsidR="00A66033" w14:paraId="79484B7E" w14:textId="77777777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36F2" w14:textId="77777777" w:rsidR="00A66033" w:rsidRDefault="00000000">
            <w:pPr>
              <w:pStyle w:val="Text"/>
              <w:spacing w:after="0" w:line="240" w:lineRule="exact"/>
              <w:ind w:firstLine="0"/>
              <w:jc w:val="left"/>
            </w:pPr>
            <w:r>
              <w:rPr>
                <w:rFonts w:ascii="Calibri" w:hAnsi="Calibri" w:cs="DIN Pro Regular"/>
                <w:sz w:val="20"/>
              </w:rPr>
              <w:t>Valores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CF17" w14:textId="77777777" w:rsidR="00A66033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A66033" w14:paraId="25F1F3D6" w14:textId="77777777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0C12" w14:textId="77777777" w:rsidR="00A6603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Emisión de obligaciones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03A7" w14:textId="77777777" w:rsidR="00A66033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A66033" w14:paraId="13CF4735" w14:textId="77777777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2E3C" w14:textId="77777777" w:rsidR="00A6603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Avales y garantías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974D" w14:textId="77777777" w:rsidR="00A66033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A66033" w14:paraId="191F0C60" w14:textId="77777777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74C1" w14:textId="77777777" w:rsidR="00A6603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Juicios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C1F2" w14:textId="77777777" w:rsidR="00A66033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rPr>
                <w:rFonts w:ascii="Calibri" w:hAnsi="Calibri" w:cs="DIN Pro Regular"/>
                <w:b/>
                <w:sz w:val="20"/>
              </w:rPr>
              <w:t>4</w:t>
            </w:r>
          </w:p>
        </w:tc>
      </w:tr>
      <w:tr w:rsidR="00A66033" w14:paraId="393D3BDC" w14:textId="77777777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7FD6" w14:textId="77777777" w:rsidR="00A6603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Inversión Mediante Proyectos para Prestación de Servicios (PPS) y Similares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2117" w14:textId="77777777" w:rsidR="00A66033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A66033" w14:paraId="36B4F58F" w14:textId="77777777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2BDA" w14:textId="77777777" w:rsidR="00A6603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Bienes Concesionados o en Comodato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4E97" w14:textId="77777777" w:rsidR="00A66033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</w:tbl>
    <w:p w14:paraId="573D4EC8" w14:textId="77777777" w:rsidR="00A66033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 xml:space="preserve">          </w:t>
      </w:r>
    </w:p>
    <w:p w14:paraId="660434B5" w14:textId="77777777" w:rsidR="00A66033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b/>
          <w:sz w:val="20"/>
        </w:rPr>
      </w:pPr>
      <w:r>
        <w:rPr>
          <w:rFonts w:ascii="Calibri" w:hAnsi="Calibri" w:cs="DIN Pro Regular"/>
          <w:b/>
          <w:sz w:val="20"/>
        </w:rPr>
        <w:t>Presupuestarias:</w:t>
      </w:r>
    </w:p>
    <w:p w14:paraId="4A66ECBA" w14:textId="77777777" w:rsidR="00A66033" w:rsidRDefault="00A66033">
      <w:pPr>
        <w:pStyle w:val="Text"/>
        <w:spacing w:after="0" w:line="240" w:lineRule="exact"/>
        <w:ind w:left="2160" w:hanging="540"/>
        <w:rPr>
          <w:rFonts w:ascii="Calibri" w:hAnsi="Calibri" w:cs="DIN Pro Regular"/>
          <w:b/>
          <w:sz w:val="20"/>
        </w:rPr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4876"/>
        <w:gridCol w:w="1330"/>
      </w:tblGrid>
      <w:tr w:rsidR="00A66033" w14:paraId="02294F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87C4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Ingresos</w:t>
            </w:r>
          </w:p>
        </w:tc>
      </w:tr>
      <w:tr w:rsidR="00A66033" w14:paraId="65B3E7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9888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5055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9CD2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A66033" w14:paraId="3508D4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D096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F0B2" w14:textId="77777777" w:rsidR="00A6603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Estimada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AD37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$24,116,791</w:t>
            </w:r>
          </w:p>
        </w:tc>
      </w:tr>
      <w:tr w:rsidR="00A66033" w14:paraId="75E83E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CAB8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BAF9" w14:textId="77777777" w:rsidR="00A6603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Ejecutar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E342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$0</w:t>
            </w:r>
          </w:p>
        </w:tc>
      </w:tr>
      <w:tr w:rsidR="00A66033" w14:paraId="7D3CA9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778F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9C90" w14:textId="77777777" w:rsidR="00A6603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2490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$261,384,138</w:t>
            </w:r>
          </w:p>
        </w:tc>
      </w:tr>
      <w:tr w:rsidR="00A66033" w14:paraId="6208DD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5F60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A27F" w14:textId="77777777" w:rsidR="00A6603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9396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$285,500,929</w:t>
            </w:r>
          </w:p>
        </w:tc>
      </w:tr>
      <w:tr w:rsidR="00A66033" w14:paraId="6274E3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DA1A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27D" w14:textId="77777777" w:rsidR="00A66033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E459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$285,454,547</w:t>
            </w:r>
          </w:p>
        </w:tc>
      </w:tr>
    </w:tbl>
    <w:p w14:paraId="393A36B1" w14:textId="77777777" w:rsidR="00A66033" w:rsidRDefault="00000000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tbl>
      <w:tblPr>
        <w:tblW w:w="71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4876"/>
        <w:gridCol w:w="1330"/>
      </w:tblGrid>
      <w:tr w:rsidR="00A66033" w14:paraId="7F8687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E5A4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Egresos</w:t>
            </w:r>
          </w:p>
        </w:tc>
      </w:tr>
      <w:tr w:rsidR="00A66033" w14:paraId="3A5F09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68E4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E026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EC2C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A66033" w14:paraId="0485FC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47A8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EF3F" w14:textId="77777777" w:rsidR="00A6603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F710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$24,116,791</w:t>
            </w:r>
          </w:p>
        </w:tc>
      </w:tr>
      <w:tr w:rsidR="00A66033" w14:paraId="576936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C655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779A" w14:textId="77777777" w:rsidR="00A6603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4F25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$1,190,285</w:t>
            </w:r>
          </w:p>
        </w:tc>
      </w:tr>
      <w:tr w:rsidR="00A66033" w14:paraId="28BCDA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9F94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E13C" w14:textId="77777777" w:rsidR="00A6603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al Presupuesto de Egresos por Ejercer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8700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$263,511,091</w:t>
            </w:r>
          </w:p>
        </w:tc>
      </w:tr>
      <w:tr w:rsidR="00A66033" w14:paraId="77AE72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4FC0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75E1" w14:textId="77777777" w:rsidR="00A6603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1FC4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$286,437,597</w:t>
            </w:r>
          </w:p>
        </w:tc>
      </w:tr>
      <w:tr w:rsidR="00A66033" w14:paraId="4A5021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33D5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5C42" w14:textId="77777777" w:rsidR="00A6603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F66B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$284,800,995</w:t>
            </w:r>
          </w:p>
        </w:tc>
      </w:tr>
      <w:tr w:rsidR="00A66033" w14:paraId="3E679D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EDF9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6996" w14:textId="77777777" w:rsidR="00A6603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6A58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$284,800,995</w:t>
            </w:r>
          </w:p>
        </w:tc>
      </w:tr>
      <w:tr w:rsidR="00A66033" w14:paraId="21BC0F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D7A2" w14:textId="77777777" w:rsidR="00A66033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1972" w14:textId="77777777" w:rsidR="00A66033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2213" w14:textId="77777777" w:rsidR="00A66033" w:rsidRDefault="00000000">
            <w:pPr>
              <w:jc w:val="right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$260,863,721</w:t>
            </w:r>
          </w:p>
        </w:tc>
      </w:tr>
    </w:tbl>
    <w:p w14:paraId="46B78165" w14:textId="77777777" w:rsidR="00A66033" w:rsidRDefault="00000000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08EBC993" w14:textId="77777777" w:rsidR="00A66033" w:rsidRDefault="00A66033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58A0C3A0" w14:textId="77777777" w:rsidR="00A66033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2A7DA5F2" w14:textId="77777777" w:rsidR="00A66033" w:rsidRDefault="00A6603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31540012" w14:textId="77777777" w:rsidR="00A66033" w:rsidRDefault="00A6603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7E936D21" w14:textId="77777777" w:rsidR="00A66033" w:rsidRDefault="00A6603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78CE8CD6" w14:textId="77777777" w:rsidR="00A66033" w:rsidRDefault="00A6603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sectPr w:rsidR="00A66033">
      <w:headerReference w:type="default" r:id="rId7"/>
      <w:footerReference w:type="default" r:id="rId8"/>
      <w:pgSz w:w="12240" w:h="15840"/>
      <w:pgMar w:top="2029" w:right="1440" w:bottom="1077" w:left="1440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500D5" w14:textId="77777777" w:rsidR="008F0BB3" w:rsidRDefault="008F0BB3">
      <w:r>
        <w:separator/>
      </w:r>
    </w:p>
  </w:endnote>
  <w:endnote w:type="continuationSeparator" w:id="0">
    <w:p w14:paraId="58C7DFF5" w14:textId="77777777" w:rsidR="008F0BB3" w:rsidRDefault="008F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charset w:val="00"/>
    <w:family w:val="swiss"/>
    <w:pitch w:val="variable"/>
  </w:font>
  <w:font w:name="Encode Sans">
    <w:altName w:val="Calibri"/>
    <w:charset w:val="00"/>
    <w:family w:val="auto"/>
    <w:pitch w:val="variable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2687" w14:textId="77777777" w:rsidR="00000000" w:rsidRDefault="00000000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2785A4F" wp14:editId="1E2D50B5">
              <wp:simplePos x="0" y="0"/>
              <wp:positionH relativeFrom="column">
                <wp:posOffset>4315</wp:posOffset>
              </wp:positionH>
              <wp:positionV relativeFrom="paragraph">
                <wp:posOffset>-55796</wp:posOffset>
              </wp:positionV>
              <wp:extent cx="6191888" cy="0"/>
              <wp:effectExtent l="0" t="0" r="0" b="0"/>
              <wp:wrapNone/>
              <wp:docPr id="290897627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8958B3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.35pt;margin-top:-4.4pt;width:487.55pt;height:0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hq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" strokecolor="#bc955c" strokeweight=".70992mm">
              <v:stroke joinstyle="miter"/>
            </v:shape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 xml:space="preserve"> PAGE 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10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0094" w14:textId="77777777" w:rsidR="008F0BB3" w:rsidRDefault="008F0BB3">
      <w:r>
        <w:rPr>
          <w:color w:val="000000"/>
        </w:rPr>
        <w:separator/>
      </w:r>
    </w:p>
  </w:footnote>
  <w:footnote w:type="continuationSeparator" w:id="0">
    <w:p w14:paraId="51E2A568" w14:textId="77777777" w:rsidR="008F0BB3" w:rsidRDefault="008F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75BE" w14:textId="77777777" w:rsidR="00000000" w:rsidRDefault="00000000">
    <w:pPr>
      <w:pStyle w:val="Encabezado"/>
      <w:tabs>
        <w:tab w:val="clear" w:pos="8838"/>
        <w:tab w:val="left" w:pos="7965"/>
      </w:tabs>
    </w:pPr>
    <w:r>
      <w:rPr>
        <w:rFonts w:ascii="Encode Sans" w:hAnsi="Encode Sans" w:cs="Arial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9714B9" wp14:editId="1B02C49E">
              <wp:simplePos x="0" y="0"/>
              <wp:positionH relativeFrom="margin">
                <wp:posOffset>1314449</wp:posOffset>
              </wp:positionH>
              <wp:positionV relativeFrom="paragraph">
                <wp:posOffset>149861</wp:posOffset>
              </wp:positionV>
              <wp:extent cx="3400425" cy="552453"/>
              <wp:effectExtent l="0" t="0" r="0" b="0"/>
              <wp:wrapNone/>
              <wp:docPr id="566904810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55245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263B4A4" w14:textId="77777777" w:rsidR="00000000" w:rsidRDefault="00000000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center" w:pos="3969"/>
                              <w:tab w:val="left" w:pos="7965"/>
                            </w:tabs>
                            <w:jc w:val="center"/>
                            <w:rPr>
                              <w:rFonts w:ascii="Encode Sans" w:hAnsi="Encode Sans"/>
                              <w:b/>
                              <w:sz w:val="24"/>
                              <w:szCs w:val="24"/>
                              <w:lang w:eastAsia="es-MX"/>
                            </w:rPr>
                          </w:pPr>
                          <w:r>
                            <w:rPr>
                              <w:rFonts w:ascii="Encode Sans" w:hAnsi="Encode Sans"/>
                              <w:b/>
                              <w:sz w:val="24"/>
                              <w:szCs w:val="24"/>
                              <w:lang w:eastAsia="es-MX"/>
                            </w:rPr>
                            <w:t>Instituto Tamaulipeco de Becas, Estímulos</w:t>
                          </w:r>
                        </w:p>
                        <w:p w14:paraId="2615D6AA" w14:textId="77777777" w:rsidR="00000000" w:rsidRDefault="00000000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center" w:pos="3969"/>
                              <w:tab w:val="left" w:pos="7965"/>
                            </w:tabs>
                            <w:jc w:val="center"/>
                          </w:pPr>
                          <w:r>
                            <w:rPr>
                              <w:rFonts w:ascii="Encode Sans" w:hAnsi="Encode Sans"/>
                              <w:b/>
                              <w:sz w:val="24"/>
                              <w:szCs w:val="24"/>
                              <w:lang w:eastAsia="es-MX"/>
                            </w:rPr>
                            <w:t xml:space="preserve"> y Créditos Educativos</w:t>
                          </w:r>
                        </w:p>
                        <w:p w14:paraId="2ED8FE7E" w14:textId="77777777" w:rsidR="00000000" w:rsidRDefault="00000000"/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714B9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7" type="#_x0000_t202" style="position:absolute;margin-left:103.5pt;margin-top:11.8pt;width:267.75pt;height:43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" filled="f" stroked="f">
              <v:textbox>
                <w:txbxContent>
                  <w:p w14:paraId="6263B4A4" w14:textId="77777777" w:rsidR="00000000" w:rsidRDefault="00000000">
                    <w:pPr>
                      <w:pStyle w:val="Encabezado"/>
                      <w:tabs>
                        <w:tab w:val="clear" w:pos="4419"/>
                        <w:tab w:val="clear" w:pos="8838"/>
                        <w:tab w:val="center" w:pos="3969"/>
                        <w:tab w:val="left" w:pos="7965"/>
                      </w:tabs>
                      <w:jc w:val="center"/>
                      <w:rPr>
                        <w:rFonts w:ascii="Encode Sans" w:hAnsi="Encode Sans"/>
                        <w:b/>
                        <w:sz w:val="24"/>
                        <w:szCs w:val="24"/>
                        <w:lang w:eastAsia="es-MX"/>
                      </w:rPr>
                    </w:pPr>
                    <w:r>
                      <w:rPr>
                        <w:rFonts w:ascii="Encode Sans" w:hAnsi="Encode Sans"/>
                        <w:b/>
                        <w:sz w:val="24"/>
                        <w:szCs w:val="24"/>
                        <w:lang w:eastAsia="es-MX"/>
                      </w:rPr>
                      <w:t>Instituto Tamaulipeco de Becas, Estímulos</w:t>
                    </w:r>
                  </w:p>
                  <w:p w14:paraId="2615D6AA" w14:textId="77777777" w:rsidR="00000000" w:rsidRDefault="00000000">
                    <w:pPr>
                      <w:pStyle w:val="Encabezado"/>
                      <w:tabs>
                        <w:tab w:val="clear" w:pos="4419"/>
                        <w:tab w:val="clear" w:pos="8838"/>
                        <w:tab w:val="center" w:pos="3969"/>
                        <w:tab w:val="left" w:pos="7965"/>
                      </w:tabs>
                      <w:jc w:val="center"/>
                    </w:pPr>
                    <w:r>
                      <w:rPr>
                        <w:rFonts w:ascii="Encode Sans" w:hAnsi="Encode Sans"/>
                        <w:b/>
                        <w:sz w:val="24"/>
                        <w:szCs w:val="24"/>
                        <w:lang w:eastAsia="es-MX"/>
                      </w:rPr>
                      <w:t xml:space="preserve"> y Créditos Educativos</w:t>
                    </w:r>
                  </w:p>
                  <w:p w14:paraId="2ED8FE7E" w14:textId="77777777" w:rsidR="00000000" w:rsidRDefault="00000000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43D98D8" wp14:editId="5A1D8031">
          <wp:simplePos x="0" y="0"/>
          <wp:positionH relativeFrom="column">
            <wp:posOffset>-485775</wp:posOffset>
          </wp:positionH>
          <wp:positionV relativeFrom="paragraph">
            <wp:posOffset>-31117</wp:posOffset>
          </wp:positionV>
          <wp:extent cx="1781178" cy="657225"/>
          <wp:effectExtent l="0" t="0" r="9522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284159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>
                  <a:xfrm>
                    <a:off x="0" y="0"/>
                    <a:ext cx="1781178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905D9A2" w14:textId="77777777" w:rsidR="00000000" w:rsidRDefault="00000000">
    <w:pPr>
      <w:pStyle w:val="Encabezado"/>
      <w:tabs>
        <w:tab w:val="clear" w:pos="8838"/>
        <w:tab w:val="left" w:pos="7965"/>
      </w:tabs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8CBBCF4" wp14:editId="7B1CBEB8">
          <wp:simplePos x="0" y="0"/>
          <wp:positionH relativeFrom="column">
            <wp:posOffset>4733921</wp:posOffset>
          </wp:positionH>
          <wp:positionV relativeFrom="paragraph">
            <wp:posOffset>7616</wp:posOffset>
          </wp:positionV>
          <wp:extent cx="1799594" cy="438153"/>
          <wp:effectExtent l="0" t="0" r="0" b="0"/>
          <wp:wrapTight wrapText="bothSides">
            <wp:wrapPolygon edited="0">
              <wp:start x="2058" y="0"/>
              <wp:lineTo x="0" y="1878"/>
              <wp:lineTo x="0" y="15026"/>
              <wp:lineTo x="229" y="16904"/>
              <wp:lineTo x="1829" y="20661"/>
              <wp:lineTo x="2744" y="20661"/>
              <wp:lineTo x="18978" y="20661"/>
              <wp:lineTo x="20121" y="20661"/>
              <wp:lineTo x="21265" y="12209"/>
              <wp:lineTo x="21265" y="0"/>
              <wp:lineTo x="2058" y="0"/>
            </wp:wrapPolygon>
          </wp:wrapTight>
          <wp:docPr id="250818751" name="Imagen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9594" cy="4381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7AED01" w14:textId="77777777" w:rsidR="00000000" w:rsidRDefault="00000000">
    <w:pPr>
      <w:pStyle w:val="Encabezado"/>
      <w:tabs>
        <w:tab w:val="clear" w:pos="8838"/>
        <w:tab w:val="left" w:pos="7965"/>
      </w:tabs>
      <w:jc w:val="center"/>
    </w:pPr>
    <w:r>
      <w:rPr>
        <w:rFonts w:ascii="Encode Sans" w:hAnsi="Encode Sans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CD9022" wp14:editId="211F226C">
              <wp:simplePos x="0" y="0"/>
              <wp:positionH relativeFrom="margin">
                <wp:posOffset>-47621</wp:posOffset>
              </wp:positionH>
              <wp:positionV relativeFrom="paragraph">
                <wp:posOffset>445770</wp:posOffset>
              </wp:positionV>
              <wp:extent cx="6190615" cy="0"/>
              <wp:effectExtent l="0" t="0" r="0" b="0"/>
              <wp:wrapNone/>
              <wp:docPr id="704829858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49245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-3.75pt;margin-top:35.1pt;width:487.45pt;height:0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" strokecolor="#bc955c" strokeweight=".70992mm">
              <v:stroke joinstyle="miter"/>
              <w10:wrap anchorx="margin"/>
            </v:shape>
          </w:pict>
        </mc:Fallback>
      </mc:AlternateContent>
    </w:r>
    <w:r>
      <w:rPr>
        <w:rFonts w:ascii="Encode Sans" w:hAnsi="Encode Sans" w:cs="Arial"/>
        <w:b/>
        <w:sz w:val="24"/>
        <w:szCs w:val="24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E2D05"/>
    <w:multiLevelType w:val="multilevel"/>
    <w:tmpl w:val="C6D8C84A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54545704"/>
    <w:multiLevelType w:val="multilevel"/>
    <w:tmpl w:val="03E02334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57F3BEA"/>
    <w:multiLevelType w:val="multilevel"/>
    <w:tmpl w:val="6EB4755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652E586B"/>
    <w:multiLevelType w:val="multilevel"/>
    <w:tmpl w:val="8686487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7A5E28DB"/>
    <w:multiLevelType w:val="multilevel"/>
    <w:tmpl w:val="203E3FC0"/>
    <w:lvl w:ilvl="0">
      <w:start w:val="1"/>
      <w:numFmt w:val="decimal"/>
      <w:lvlText w:val="%1."/>
      <w:lvlJc w:val="left"/>
      <w:pPr>
        <w:ind w:left="708" w:hanging="420"/>
      </w:p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 w16cid:durableId="1256595319">
    <w:abstractNumId w:val="3"/>
  </w:num>
  <w:num w:numId="2" w16cid:durableId="1170945391">
    <w:abstractNumId w:val="2"/>
  </w:num>
  <w:num w:numId="3" w16cid:durableId="810100756">
    <w:abstractNumId w:val="0"/>
  </w:num>
  <w:num w:numId="4" w16cid:durableId="1940016654">
    <w:abstractNumId w:val="1"/>
  </w:num>
  <w:num w:numId="5" w16cid:durableId="511988413">
    <w:abstractNumId w:val="4"/>
  </w:num>
  <w:num w:numId="6" w16cid:durableId="706561579">
    <w:abstractNumId w:val="2"/>
    <w:lvlOverride w:ilvl="0">
      <w:startOverride w:val="1"/>
    </w:lvlOverride>
  </w:num>
  <w:num w:numId="7" w16cid:durableId="483829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6033"/>
    <w:rsid w:val="008F0BB3"/>
    <w:rsid w:val="00A66033"/>
    <w:rsid w:val="00AE4D67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B483"/>
  <w15:docId w15:val="{A09AC500-5E2B-41BF-85E0-D8C8A54B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Car">
    <w:name w:val="Texto Car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">
    <w:name w:val="Texto"/>
    <w:basedOn w:val="Normal"/>
    <w:pPr>
      <w:widowControl/>
      <w:suppressAutoHyphens w:val="0"/>
      <w:spacing w:after="101" w:line="216" w:lineRule="exact"/>
      <w:ind w:firstLine="288"/>
      <w:jc w:val="both"/>
      <w:textAlignment w:val="auto"/>
    </w:pPr>
    <w:rPr>
      <w:rFonts w:ascii="Arial" w:eastAsia="Times New Roman" w:hAnsi="Arial" w:cs="Arial"/>
      <w:sz w:val="18"/>
      <w:lang w:val="es-ES" w:eastAsia="es-ES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2245</Words>
  <Characters>12351</Characters>
  <Application>Microsoft Office Word</Application>
  <DocSecurity>0</DocSecurity>
  <Lines>102</Lines>
  <Paragraphs>29</Paragraphs>
  <ScaleCrop>false</ScaleCrop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 Tamaulipas</cp:lastModifiedBy>
  <cp:revision>2</cp:revision>
  <cp:lastPrinted>2025-02-05T22:52:00Z</cp:lastPrinted>
  <dcterms:created xsi:type="dcterms:W3CDTF">2025-03-11T22:20:00Z</dcterms:created>
  <dcterms:modified xsi:type="dcterms:W3CDTF">2025-03-11T22:20:00Z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Hacienda y Credito Publico</vt:lpwstr>
  </property>
</Properties>
</file>