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BAEA" w14:textId="77777777" w:rsidR="003722CF" w:rsidRDefault="003722CF">
      <w:pPr>
        <w:pStyle w:val="Text"/>
      </w:pPr>
    </w:p>
    <w:p w14:paraId="605B5A9A" w14:textId="77777777" w:rsidR="003722CF" w:rsidRDefault="00411668">
      <w:pPr>
        <w:pStyle w:val="Text"/>
        <w:spacing w:after="0" w:line="240" w:lineRule="exact"/>
        <w:jc w:val="center"/>
      </w:pPr>
      <w:r>
        <w:rPr>
          <w:rFonts w:ascii="Calibri" w:hAnsi="Calibri" w:cs="DIN Pro Regular"/>
          <w:b/>
          <w:sz w:val="24"/>
          <w:szCs w:val="24"/>
        </w:rPr>
        <w:t>Cuenta Pública 2024</w:t>
      </w:r>
    </w:p>
    <w:p w14:paraId="2BAFBD9B" w14:textId="77777777" w:rsidR="003722CF" w:rsidRDefault="003722CF">
      <w:pPr>
        <w:pStyle w:val="Text"/>
        <w:spacing w:after="0" w:line="240" w:lineRule="exact"/>
        <w:jc w:val="center"/>
        <w:rPr>
          <w:rFonts w:ascii="Calibri" w:hAnsi="Calibri" w:cs="DIN Pro Regular"/>
          <w:b/>
          <w:sz w:val="24"/>
          <w:szCs w:val="24"/>
        </w:rPr>
      </w:pPr>
    </w:p>
    <w:p w14:paraId="1009C039" w14:textId="77777777" w:rsidR="003722CF" w:rsidRDefault="00411668">
      <w:pPr>
        <w:pStyle w:val="Text"/>
        <w:spacing w:after="0" w:line="240" w:lineRule="exact"/>
        <w:jc w:val="center"/>
      </w:pPr>
      <w:r>
        <w:rPr>
          <w:rFonts w:ascii="Calibri" w:hAnsi="Calibri" w:cs="DIN Pro Regular"/>
          <w:b/>
          <w:sz w:val="24"/>
          <w:szCs w:val="24"/>
        </w:rPr>
        <w:t>Notas a los Estados Financieros</w:t>
      </w:r>
    </w:p>
    <w:p w14:paraId="6120072C" w14:textId="77777777" w:rsidR="003722CF" w:rsidRDefault="003722CF">
      <w:pPr>
        <w:pStyle w:val="Text"/>
        <w:spacing w:after="0" w:line="240" w:lineRule="exact"/>
        <w:ind w:firstLine="0"/>
        <w:rPr>
          <w:rFonts w:ascii="Calibri" w:hAnsi="Calibri" w:cs="DIN Pro Regular"/>
          <w:b/>
          <w:sz w:val="24"/>
          <w:szCs w:val="24"/>
        </w:rPr>
      </w:pPr>
    </w:p>
    <w:p w14:paraId="24C0133B" w14:textId="77777777" w:rsidR="003722CF" w:rsidRDefault="003722CF">
      <w:pPr>
        <w:pStyle w:val="Text"/>
        <w:spacing w:after="0" w:line="240" w:lineRule="exact"/>
        <w:ind w:firstLine="0"/>
        <w:rPr>
          <w:rFonts w:ascii="Calibri" w:hAnsi="Calibri" w:cs="DIN Pro Regular"/>
          <w:b/>
          <w:sz w:val="24"/>
          <w:szCs w:val="24"/>
        </w:rPr>
      </w:pPr>
    </w:p>
    <w:p w14:paraId="77AE75A7" w14:textId="77777777" w:rsidR="003722CF" w:rsidRDefault="00411668">
      <w:pPr>
        <w:pStyle w:val="Text"/>
        <w:spacing w:after="0" w:line="240" w:lineRule="exact"/>
        <w:ind w:firstLine="0"/>
        <w:jc w:val="center"/>
      </w:pPr>
      <w:r>
        <w:rPr>
          <w:rFonts w:ascii="Calibri" w:hAnsi="Calibri" w:cs="DIN Pro Regular"/>
          <w:b/>
          <w:sz w:val="22"/>
          <w:szCs w:val="22"/>
          <w:lang w:val="es-MX"/>
        </w:rPr>
        <w:t>a) NOTAS DE GESTIÓN ADMINISTRATIVA</w:t>
      </w:r>
    </w:p>
    <w:p w14:paraId="7AE482D9" w14:textId="77777777" w:rsidR="003722CF" w:rsidRDefault="003722CF">
      <w:pPr>
        <w:pStyle w:val="Text"/>
        <w:spacing w:after="0" w:line="240" w:lineRule="exact"/>
        <w:ind w:firstLine="0"/>
        <w:jc w:val="left"/>
        <w:rPr>
          <w:rFonts w:ascii="Calibri" w:hAnsi="Calibri" w:cs="DIN Pro Regular"/>
          <w:b/>
          <w:sz w:val="20"/>
          <w:lang w:val="es-MX"/>
        </w:rPr>
      </w:pPr>
    </w:p>
    <w:p w14:paraId="2B7CB05A" w14:textId="77777777" w:rsidR="003722CF" w:rsidRDefault="003722CF">
      <w:pPr>
        <w:widowControl/>
        <w:spacing w:line="240" w:lineRule="exact"/>
        <w:rPr>
          <w:rFonts w:eastAsia="Times New Roman" w:cs="DIN Pro Regular"/>
          <w:b/>
          <w:lang w:eastAsia="es-ES"/>
        </w:rPr>
      </w:pPr>
    </w:p>
    <w:p w14:paraId="6986275D"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1.</w:t>
      </w:r>
      <w:r>
        <w:rPr>
          <w:rFonts w:eastAsia="Times New Roman" w:cs="Calibri"/>
          <w:b/>
          <w:sz w:val="22"/>
          <w:szCs w:val="22"/>
          <w:lang w:eastAsia="es-ES"/>
        </w:rPr>
        <w:tab/>
        <w:t>Autorización e Historia</w:t>
      </w:r>
    </w:p>
    <w:p w14:paraId="5AA0FD3D" w14:textId="77777777" w:rsidR="003722CF" w:rsidRDefault="00411668">
      <w:pPr>
        <w:spacing w:before="100" w:after="100"/>
        <w:ind w:left="709"/>
        <w:jc w:val="both"/>
        <w:rPr>
          <w:rFonts w:eastAsia="Times New Roman" w:cs="Calibri"/>
          <w:sz w:val="22"/>
          <w:szCs w:val="22"/>
          <w:lang w:val="es-ES"/>
        </w:rPr>
      </w:pPr>
      <w:r>
        <w:rPr>
          <w:rFonts w:eastAsia="Times New Roman" w:cs="Calibri"/>
          <w:sz w:val="22"/>
          <w:szCs w:val="22"/>
          <w:lang w:val="es-ES"/>
        </w:rPr>
        <w:t xml:space="preserve">El organismo Público Descentralizado de la Administración Pública Estatal denominado Instituto </w:t>
      </w:r>
      <w:r>
        <w:rPr>
          <w:rFonts w:eastAsia="Times New Roman" w:cs="Calibri"/>
          <w:sz w:val="22"/>
          <w:szCs w:val="22"/>
          <w:lang w:val="es-ES"/>
        </w:rPr>
        <w:t>Metropolitano de Planeación del Sur de Tamaulipas (IMEPLAN) fue creado mediante el Decreto No. LIX-452 expedido por la 59 Legislatura del Congreso Constitucional del Estado Libre y Soberano de Tamaulipas, publicado en el Periódico Oficial del Gobierno del Estado de Tamaulipas el 27 de diciembre de 2005, siendo Gobernador Constitucional del Estado el Ing. Eugenio Hernández Flores.</w:t>
      </w:r>
    </w:p>
    <w:p w14:paraId="6D2000EC" w14:textId="77777777" w:rsidR="003722CF" w:rsidRDefault="003722CF">
      <w:pPr>
        <w:widowControl/>
        <w:tabs>
          <w:tab w:val="left" w:pos="2400"/>
        </w:tabs>
        <w:suppressAutoHyphens w:val="0"/>
        <w:ind w:left="360" w:hanging="360"/>
        <w:jc w:val="both"/>
        <w:textAlignment w:val="auto"/>
        <w:rPr>
          <w:rFonts w:eastAsia="Times New Roman" w:cs="Calibri"/>
          <w:sz w:val="22"/>
          <w:szCs w:val="22"/>
          <w:lang w:val="es-ES" w:eastAsia="en-US"/>
        </w:rPr>
      </w:pPr>
    </w:p>
    <w:p w14:paraId="7FD04FEC" w14:textId="77777777" w:rsidR="003722CF" w:rsidRDefault="003722CF">
      <w:pPr>
        <w:widowControl/>
        <w:tabs>
          <w:tab w:val="left" w:pos="2400"/>
        </w:tabs>
        <w:suppressAutoHyphens w:val="0"/>
        <w:ind w:left="360" w:hanging="360"/>
        <w:jc w:val="both"/>
        <w:textAlignment w:val="auto"/>
        <w:rPr>
          <w:rFonts w:eastAsia="Times New Roman" w:cs="Calibri"/>
          <w:sz w:val="22"/>
          <w:szCs w:val="22"/>
          <w:lang w:val="es-ES" w:eastAsia="en-US"/>
        </w:rPr>
      </w:pPr>
    </w:p>
    <w:p w14:paraId="75970A0A" w14:textId="77777777" w:rsidR="003722CF" w:rsidRDefault="00411668">
      <w:pPr>
        <w:widowControl/>
        <w:tabs>
          <w:tab w:val="left" w:pos="2400"/>
        </w:tabs>
        <w:suppressAutoHyphens w:val="0"/>
        <w:ind w:left="360" w:hanging="360"/>
        <w:jc w:val="both"/>
        <w:textAlignment w:val="auto"/>
        <w:rPr>
          <w:rFonts w:eastAsia="Times New Roman" w:cs="Calibri"/>
          <w:sz w:val="22"/>
          <w:szCs w:val="22"/>
          <w:lang w:val="es-ES" w:eastAsia="en-US"/>
        </w:rPr>
      </w:pPr>
      <w:r>
        <w:rPr>
          <w:rFonts w:eastAsia="Times New Roman" w:cs="Calibri"/>
          <w:sz w:val="22"/>
          <w:szCs w:val="22"/>
          <w:lang w:val="es-ES" w:eastAsia="en-US"/>
        </w:rPr>
        <w:t xml:space="preserve">       Estructura Orgánica:</w:t>
      </w:r>
    </w:p>
    <w:p w14:paraId="3E6924D5" w14:textId="77777777" w:rsidR="003722CF" w:rsidRDefault="00411668">
      <w:pPr>
        <w:widowControl/>
        <w:tabs>
          <w:tab w:val="left" w:pos="2400"/>
        </w:tabs>
        <w:suppressAutoHyphens w:val="0"/>
        <w:ind w:left="360" w:hanging="360"/>
        <w:jc w:val="both"/>
        <w:textAlignment w:val="auto"/>
      </w:pPr>
      <w:r>
        <w:rPr>
          <w:rFonts w:eastAsia="Times New Roman" w:cs="Calibri"/>
          <w:sz w:val="22"/>
          <w:szCs w:val="22"/>
          <w:lang w:val="es-ES" w:eastAsia="en-US"/>
        </w:rPr>
        <w:t xml:space="preserve">        </w:t>
      </w:r>
      <w:r>
        <w:rPr>
          <w:rFonts w:eastAsia="Times New Roman" w:cs="Calibri"/>
          <w:sz w:val="22"/>
          <w:szCs w:val="22"/>
          <w:lang w:val="es-ES" w:eastAsia="es-ES"/>
        </w:rPr>
        <w:t>Desde su creación a la fecha no se han realizado cambios en la estructura.</w:t>
      </w:r>
    </w:p>
    <w:p w14:paraId="62B6DB50" w14:textId="77777777" w:rsidR="003722CF" w:rsidRDefault="003722CF">
      <w:pPr>
        <w:spacing w:line="240" w:lineRule="exact"/>
        <w:ind w:left="708"/>
        <w:jc w:val="both"/>
        <w:rPr>
          <w:rFonts w:eastAsia="Times New Roman" w:cs="Calibri"/>
          <w:sz w:val="22"/>
          <w:szCs w:val="22"/>
          <w:lang w:val="es-ES" w:eastAsia="es-ES"/>
        </w:rPr>
      </w:pPr>
    </w:p>
    <w:p w14:paraId="1C088766" w14:textId="77777777" w:rsidR="003722CF" w:rsidRDefault="003722CF">
      <w:pPr>
        <w:spacing w:line="240" w:lineRule="exact"/>
        <w:ind w:left="708"/>
        <w:jc w:val="both"/>
        <w:rPr>
          <w:rFonts w:eastAsia="Times New Roman" w:cs="Calibri"/>
          <w:sz w:val="22"/>
          <w:szCs w:val="22"/>
          <w:lang w:val="es-ES" w:eastAsia="es-ES"/>
        </w:rPr>
      </w:pPr>
    </w:p>
    <w:p w14:paraId="0E3F06C9" w14:textId="77777777" w:rsidR="003722CF" w:rsidRDefault="003722CF">
      <w:pPr>
        <w:spacing w:line="240" w:lineRule="exact"/>
        <w:ind w:left="708"/>
        <w:jc w:val="both"/>
        <w:rPr>
          <w:rFonts w:eastAsia="Times New Roman" w:cs="Calibri"/>
          <w:sz w:val="22"/>
          <w:szCs w:val="22"/>
          <w:lang w:val="es-ES" w:eastAsia="es-ES"/>
        </w:rPr>
      </w:pPr>
    </w:p>
    <w:p w14:paraId="22F3FF60" w14:textId="77777777" w:rsidR="003722CF" w:rsidRDefault="00411668">
      <w:pPr>
        <w:spacing w:line="240" w:lineRule="exact"/>
        <w:ind w:firstLine="288"/>
        <w:jc w:val="both"/>
      </w:pPr>
      <w:r>
        <w:rPr>
          <w:rFonts w:eastAsia="Times New Roman" w:cs="Calibri"/>
          <w:b/>
          <w:sz w:val="22"/>
          <w:szCs w:val="22"/>
          <w:lang w:eastAsia="es-ES"/>
        </w:rPr>
        <w:t>2.</w:t>
      </w:r>
      <w:r>
        <w:rPr>
          <w:rFonts w:eastAsia="Times New Roman" w:cs="Calibri"/>
          <w:b/>
          <w:sz w:val="22"/>
          <w:szCs w:val="22"/>
          <w:lang w:eastAsia="es-ES"/>
        </w:rPr>
        <w:tab/>
      </w:r>
      <w:r>
        <w:rPr>
          <w:rFonts w:eastAsia="Times New Roman" w:cs="Calibri"/>
          <w:b/>
          <w:sz w:val="22"/>
          <w:szCs w:val="22"/>
          <w:lang w:eastAsia="es-ES"/>
        </w:rPr>
        <w:t>Panorama Económico y Financiero</w:t>
      </w:r>
    </w:p>
    <w:p w14:paraId="0598BBC1" w14:textId="77777777" w:rsidR="003722CF" w:rsidRDefault="00411668">
      <w:pPr>
        <w:spacing w:line="240" w:lineRule="exact"/>
        <w:ind w:firstLine="288"/>
        <w:jc w:val="both"/>
        <w:rPr>
          <w:rFonts w:eastAsia="Times New Roman" w:cs="Calibri"/>
          <w:b/>
          <w:sz w:val="22"/>
          <w:szCs w:val="22"/>
          <w:u w:val="single"/>
          <w:lang w:eastAsia="es-ES"/>
        </w:rPr>
      </w:pPr>
      <w:r>
        <w:rPr>
          <w:rFonts w:eastAsia="Times New Roman" w:cs="Calibri"/>
          <w:b/>
          <w:sz w:val="22"/>
          <w:szCs w:val="22"/>
          <w:u w:val="single"/>
          <w:lang w:eastAsia="es-ES"/>
        </w:rPr>
        <w:t xml:space="preserve">     </w:t>
      </w:r>
    </w:p>
    <w:p w14:paraId="4F677F3A" w14:textId="77777777" w:rsidR="003722CF" w:rsidRDefault="00411668">
      <w:pPr>
        <w:widowControl/>
        <w:shd w:val="clear" w:color="auto" w:fill="FFFFFF"/>
        <w:spacing w:after="300"/>
        <w:jc w:val="both"/>
      </w:pPr>
      <w:r>
        <w:rPr>
          <w:rFonts w:eastAsia="Times New Roman" w:cs="Calibri"/>
          <w:bCs/>
          <w:sz w:val="22"/>
          <w:szCs w:val="22"/>
          <w:lang w:eastAsia="es-ES"/>
        </w:rPr>
        <w:t>En el mes de noviembre del año en curso</w:t>
      </w:r>
      <w:r>
        <w:rPr>
          <w:rFonts w:eastAsia="Times New Roman" w:cs="Calibri"/>
          <w:sz w:val="22"/>
          <w:szCs w:val="22"/>
        </w:rPr>
        <w:t>, se llevó a cabo el Primer Congreso Internacional de Urbanismo, organizado por el Gobierno del Estado y la Universidad Autónoma de Tamaulipas (UAT). Con el objetivo de crear un espacio de análisis y reflexión sobre el futuro de las zonas urbanas y explorar diversas maneras de mejorar la calidad de vida, el evento fue coordinado por la Secretaría de Desarrollo Urbano y Medio Ambiente en colaboración con la Facultad de Arquitectura, Diseño y Urbanismo.</w:t>
      </w:r>
    </w:p>
    <w:p w14:paraId="5088C30A" w14:textId="77777777" w:rsidR="003722CF" w:rsidRDefault="00411668">
      <w:pPr>
        <w:widowControl/>
        <w:shd w:val="clear" w:color="auto" w:fill="FFFFFF"/>
        <w:spacing w:after="300"/>
        <w:jc w:val="both"/>
        <w:rPr>
          <w:rFonts w:eastAsia="Times New Roman" w:cs="Calibri"/>
          <w:sz w:val="22"/>
          <w:szCs w:val="22"/>
        </w:rPr>
      </w:pPr>
      <w:r>
        <w:rPr>
          <w:rFonts w:eastAsia="Times New Roman" w:cs="Calibri"/>
          <w:sz w:val="22"/>
          <w:szCs w:val="22"/>
        </w:rPr>
        <w:t>En el marco del Día Mundial del Urbanismo, participaron especialistas nacionales e internacionales, quienes replantearon la forma en que se desarrollan las urbes del siglo XXI, abriendo el diálogo con los asistentes para abordar los desafíos de crecimiento, sostenibilidad y calidad de vida de la población.</w:t>
      </w:r>
    </w:p>
    <w:p w14:paraId="29AF30D9" w14:textId="77777777" w:rsidR="003722CF" w:rsidRDefault="00411668">
      <w:pPr>
        <w:widowControl/>
        <w:shd w:val="clear" w:color="auto" w:fill="FFFFFF"/>
        <w:spacing w:after="300"/>
        <w:jc w:val="both"/>
        <w:rPr>
          <w:rFonts w:eastAsia="Times New Roman" w:cs="Calibri"/>
          <w:sz w:val="22"/>
          <w:szCs w:val="22"/>
        </w:rPr>
      </w:pPr>
      <w:r>
        <w:rPr>
          <w:rFonts w:eastAsia="Times New Roman" w:cs="Calibri"/>
          <w:sz w:val="22"/>
          <w:szCs w:val="22"/>
        </w:rPr>
        <w:t>Se busca impulsar ciudades que no solo crezcan en extensión, sino en armonía con el entorno natural y las aspiraciones de los ciudadanos, creando entornos habitables y adaptados para los retos futuros.</w:t>
      </w:r>
    </w:p>
    <w:p w14:paraId="40F1C2FC" w14:textId="77777777" w:rsidR="003722CF" w:rsidRDefault="00411668">
      <w:pPr>
        <w:widowControl/>
        <w:shd w:val="clear" w:color="auto" w:fill="FFFFFF"/>
        <w:spacing w:after="300"/>
        <w:jc w:val="both"/>
        <w:rPr>
          <w:rFonts w:eastAsia="Times New Roman" w:cs="Calibri"/>
          <w:sz w:val="22"/>
          <w:szCs w:val="22"/>
        </w:rPr>
      </w:pPr>
      <w:r>
        <w:rPr>
          <w:rFonts w:eastAsia="Times New Roman" w:cs="Calibri"/>
          <w:sz w:val="22"/>
          <w:szCs w:val="22"/>
        </w:rPr>
        <w:t>El programa incluyó conferencias, mesas de diálogo y conversatorios sobre temas estratégicos como movilidad urbana, regeneración de áreas metropolitanas y financiamiento para vivienda accesible. En este sentido, las y los participantes coincidieron en la necesidad de mejorar la calidad de vida de las familias de bajos ingresos y de diseñar ciudades inclusivas y accesibles; Con esta primera edición de “Ciudades en Transformación”, la SEDUMA y la FADU dejan abierta la puerta a futuros encuentros que continúen</w:t>
      </w:r>
      <w:r>
        <w:rPr>
          <w:rFonts w:eastAsia="Times New Roman" w:cs="Calibri"/>
          <w:sz w:val="22"/>
          <w:szCs w:val="22"/>
        </w:rPr>
        <w:t xml:space="preserve"> impulsando el desarrollo sostenible en Tamaulipas, México y el mundo.</w:t>
      </w:r>
    </w:p>
    <w:p w14:paraId="15D20255" w14:textId="77777777" w:rsidR="003722CF" w:rsidRDefault="003722CF">
      <w:pPr>
        <w:widowControl/>
        <w:shd w:val="clear" w:color="auto" w:fill="FFFFFF"/>
        <w:spacing w:after="300"/>
        <w:jc w:val="both"/>
        <w:rPr>
          <w:rFonts w:eastAsia="Times New Roman" w:cs="Calibri"/>
          <w:color w:val="45494C"/>
          <w:sz w:val="22"/>
          <w:szCs w:val="22"/>
        </w:rPr>
      </w:pPr>
    </w:p>
    <w:p w14:paraId="34B046FA" w14:textId="77777777" w:rsidR="003722CF" w:rsidRDefault="003722CF">
      <w:pPr>
        <w:widowControl/>
        <w:shd w:val="clear" w:color="auto" w:fill="FFFFFF"/>
        <w:spacing w:after="300"/>
        <w:jc w:val="both"/>
        <w:rPr>
          <w:rFonts w:ascii="Encode Sans" w:eastAsia="Times New Roman" w:hAnsi="Encode Sans"/>
          <w:color w:val="45494C"/>
          <w:sz w:val="21"/>
          <w:szCs w:val="21"/>
        </w:rPr>
      </w:pPr>
    </w:p>
    <w:p w14:paraId="699FC553" w14:textId="77777777" w:rsidR="003722CF" w:rsidRDefault="003722CF">
      <w:pPr>
        <w:widowControl/>
        <w:spacing w:line="240" w:lineRule="exact"/>
        <w:jc w:val="both"/>
        <w:rPr>
          <w:rFonts w:eastAsia="Times New Roman" w:cs="DIN Pro Regular"/>
          <w:lang w:val="es-ES" w:eastAsia="es-ES"/>
        </w:rPr>
      </w:pPr>
    </w:p>
    <w:p w14:paraId="3161FF8F" w14:textId="77777777" w:rsidR="003722CF" w:rsidRDefault="00411668">
      <w:pPr>
        <w:spacing w:line="240" w:lineRule="exact"/>
        <w:ind w:firstLine="288"/>
        <w:jc w:val="both"/>
      </w:pPr>
      <w:r>
        <w:rPr>
          <w:rFonts w:eastAsia="Times New Roman" w:cs="Calibri"/>
          <w:bCs/>
          <w:sz w:val="22"/>
          <w:szCs w:val="22"/>
          <w:lang w:eastAsia="es-ES"/>
        </w:rPr>
        <w:t>En el arranque de las nuevas administraciones municipales se organizaron sesiones de trabajo de la Secretaría de Desarrollo Urbano y Medio Ambiente y los responsables de las áreas municipales relacionadas con la planeación y crecimiento urbano en los 43 municipios del estado, con la intención de trabajar de manera coordinada y eficiente</w:t>
      </w:r>
      <w:r>
        <w:rPr>
          <w:rFonts w:eastAsia="Times New Roman" w:cs="Calibri"/>
          <w:b/>
          <w:sz w:val="22"/>
          <w:szCs w:val="22"/>
          <w:lang w:eastAsia="es-ES"/>
        </w:rPr>
        <w:t xml:space="preserve">, </w:t>
      </w:r>
      <w:r>
        <w:rPr>
          <w:rFonts w:cs="Calibri"/>
          <w:sz w:val="22"/>
          <w:szCs w:val="22"/>
        </w:rPr>
        <w:t xml:space="preserve">durante la capacitación, se subrayó la importancia de delimitar las </w:t>
      </w:r>
      <w:r>
        <w:rPr>
          <w:rFonts w:cs="Calibri"/>
          <w:sz w:val="22"/>
          <w:szCs w:val="22"/>
        </w:rPr>
        <w:t>competencias entre la Secretaría y los municipios. También se abordaron temas de relevancia vinculados a la Procuraduría Ambiental y Urbana, así como al Instituto Tamaulipeco de Vivienda y Urbanismo (ITAVU), con el fin de brindar a las administraciones locales una perspectiva amplia que les permita generar mejores resultados en beneficio de la población</w:t>
      </w:r>
    </w:p>
    <w:p w14:paraId="1795D4D6" w14:textId="77777777" w:rsidR="003722CF" w:rsidRDefault="003722CF">
      <w:pPr>
        <w:spacing w:line="240" w:lineRule="exact"/>
        <w:ind w:firstLine="288"/>
        <w:jc w:val="both"/>
        <w:rPr>
          <w:rFonts w:eastAsia="Times New Roman" w:cs="Calibri"/>
          <w:b/>
          <w:sz w:val="22"/>
          <w:szCs w:val="22"/>
          <w:lang w:eastAsia="es-ES"/>
        </w:rPr>
      </w:pPr>
    </w:p>
    <w:p w14:paraId="6A12DEF2" w14:textId="77777777" w:rsidR="003722CF" w:rsidRDefault="00411668">
      <w:pPr>
        <w:widowControl/>
        <w:shd w:val="clear" w:color="auto" w:fill="FFFFFF"/>
        <w:spacing w:after="300"/>
        <w:jc w:val="both"/>
        <w:rPr>
          <w:rFonts w:eastAsia="Times New Roman" w:cs="Calibri"/>
          <w:sz w:val="22"/>
          <w:szCs w:val="22"/>
        </w:rPr>
      </w:pPr>
      <w:r>
        <w:rPr>
          <w:rFonts w:eastAsia="Times New Roman" w:cs="Calibri"/>
          <w:sz w:val="22"/>
          <w:szCs w:val="22"/>
        </w:rPr>
        <w:t xml:space="preserve">Con esta iniciativa se reafirma el compromiso de consolidar una relación colaborativa entre estado y municipios, asegurando que cada instancia cumpla </w:t>
      </w:r>
      <w:r>
        <w:rPr>
          <w:rFonts w:eastAsia="Times New Roman" w:cs="Calibri"/>
          <w:sz w:val="22"/>
          <w:szCs w:val="22"/>
        </w:rPr>
        <w:t>con claridad y responsabilidad su papel en el desarrollo del estado.</w:t>
      </w:r>
    </w:p>
    <w:p w14:paraId="70FFD582" w14:textId="77777777" w:rsidR="003722CF" w:rsidRDefault="00411668">
      <w:pPr>
        <w:spacing w:line="240" w:lineRule="exact"/>
        <w:ind w:firstLine="288"/>
        <w:jc w:val="both"/>
      </w:pPr>
      <w:r>
        <w:rPr>
          <w:rFonts w:eastAsia="Times New Roman" w:cs="Calibri"/>
          <w:bCs/>
          <w:sz w:val="22"/>
          <w:szCs w:val="22"/>
          <w:lang w:eastAsia="es-ES"/>
        </w:rPr>
        <w:t>Continuando con el esfuerzo hacia la protección del medio ambiente se organizó una jornada de capacitación dirigida a los encargados de áreas ecológicas de los 43 municipios del estado en los que se trataron temas claves como contaminación, manejo de residuos o gestión de permisos ambientales,</w:t>
      </w:r>
      <w:r>
        <w:rPr>
          <w:rFonts w:cs="Calibri"/>
          <w:bCs/>
          <w:sz w:val="22"/>
          <w:szCs w:val="22"/>
        </w:rPr>
        <w:t xml:space="preserve"> gestión de permisos relacionados con actividades productivas, acciones educativas para</w:t>
      </w:r>
      <w:r>
        <w:rPr>
          <w:rFonts w:cs="Calibri"/>
          <w:sz w:val="22"/>
          <w:szCs w:val="22"/>
        </w:rPr>
        <w:t xml:space="preserve"> generar conciencia social y proyectos para reducir impactos ambientales. También se presentaron iniciativas enfocadas en la reforestación, la protección de áreas naturales y la prevención de incendios en zonas forestales</w:t>
      </w:r>
    </w:p>
    <w:p w14:paraId="21AED623" w14:textId="77777777" w:rsidR="003722CF" w:rsidRDefault="003722CF">
      <w:pPr>
        <w:spacing w:line="240" w:lineRule="exact"/>
        <w:ind w:firstLine="288"/>
        <w:jc w:val="both"/>
        <w:rPr>
          <w:rFonts w:eastAsia="Times New Roman" w:cs="Calibri"/>
          <w:b/>
          <w:sz w:val="22"/>
          <w:szCs w:val="22"/>
          <w:lang w:eastAsia="es-ES"/>
        </w:rPr>
      </w:pPr>
    </w:p>
    <w:p w14:paraId="4B59C492" w14:textId="77777777" w:rsidR="003722CF" w:rsidRDefault="003722CF">
      <w:pPr>
        <w:spacing w:line="240" w:lineRule="exact"/>
        <w:ind w:firstLine="288"/>
        <w:jc w:val="both"/>
        <w:rPr>
          <w:rFonts w:eastAsia="Times New Roman" w:cs="Calibri"/>
          <w:b/>
          <w:sz w:val="22"/>
          <w:szCs w:val="22"/>
          <w:lang w:eastAsia="es-ES"/>
        </w:rPr>
      </w:pPr>
    </w:p>
    <w:p w14:paraId="4DD6F64C"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3.</w:t>
      </w:r>
      <w:r>
        <w:rPr>
          <w:rFonts w:eastAsia="Times New Roman" w:cs="Calibri"/>
          <w:b/>
          <w:sz w:val="22"/>
          <w:szCs w:val="22"/>
          <w:lang w:eastAsia="es-ES"/>
        </w:rPr>
        <w:tab/>
        <w:t>Organización y Objeto Social</w:t>
      </w:r>
    </w:p>
    <w:p w14:paraId="4AB3929B" w14:textId="77777777" w:rsidR="003722CF" w:rsidRDefault="003722CF">
      <w:pPr>
        <w:spacing w:line="240" w:lineRule="exact"/>
        <w:jc w:val="both"/>
        <w:rPr>
          <w:rFonts w:eastAsia="Times New Roman" w:cs="Calibri"/>
          <w:sz w:val="22"/>
          <w:szCs w:val="22"/>
          <w:lang w:val="es-ES" w:eastAsia="es-ES"/>
        </w:rPr>
      </w:pPr>
    </w:p>
    <w:p w14:paraId="660C2BB5" w14:textId="77777777" w:rsidR="003722CF" w:rsidRDefault="003722CF">
      <w:pPr>
        <w:spacing w:line="240" w:lineRule="exact"/>
        <w:ind w:left="709"/>
        <w:jc w:val="both"/>
        <w:rPr>
          <w:rFonts w:eastAsia="Times New Roman" w:cs="Calibri"/>
          <w:b/>
          <w:sz w:val="22"/>
          <w:szCs w:val="22"/>
          <w:lang w:val="es-ES" w:eastAsia="es-ES"/>
        </w:rPr>
      </w:pPr>
    </w:p>
    <w:p w14:paraId="7BF5B211" w14:textId="77777777" w:rsidR="003722CF" w:rsidRDefault="00411668">
      <w:pPr>
        <w:spacing w:line="240" w:lineRule="exact"/>
        <w:ind w:left="709"/>
        <w:jc w:val="both"/>
      </w:pPr>
      <w:r>
        <w:rPr>
          <w:rFonts w:eastAsia="Times New Roman" w:cs="Calibri"/>
          <w:b/>
          <w:sz w:val="22"/>
          <w:szCs w:val="22"/>
          <w:lang w:val="es-ES" w:eastAsia="es-ES"/>
        </w:rPr>
        <w:t>a.- Objeto Social</w:t>
      </w:r>
      <w:r>
        <w:rPr>
          <w:rFonts w:eastAsia="Times New Roman" w:cs="Calibri"/>
          <w:sz w:val="22"/>
          <w:szCs w:val="22"/>
          <w:u w:val="single"/>
          <w:lang w:val="es-ES" w:eastAsia="es-ES"/>
        </w:rPr>
        <w:t>:</w:t>
      </w:r>
    </w:p>
    <w:p w14:paraId="1BBD24EC" w14:textId="77777777" w:rsidR="003722CF" w:rsidRDefault="00411668">
      <w:pPr>
        <w:ind w:left="709"/>
        <w:jc w:val="both"/>
        <w:rPr>
          <w:rFonts w:eastAsia="Times New Roman" w:cs="Calibri"/>
          <w:sz w:val="22"/>
          <w:szCs w:val="22"/>
        </w:rPr>
      </w:pPr>
      <w:r>
        <w:rPr>
          <w:rFonts w:eastAsia="Times New Roman" w:cs="Calibri"/>
          <w:sz w:val="22"/>
          <w:szCs w:val="22"/>
        </w:rPr>
        <w:t>I.- Fungir como ámbito para la reflexión de carácter técnico en materia de uso ordenado del territorio, e incorporación de políticas ambientales que contribuyan al logro del desarrollo urbano sustentable, a partir de la actuación de un Consejo Ciudadano que vincule a la sociedad y el gobierno en los procesos de planeación del territorio conurbado.</w:t>
      </w:r>
    </w:p>
    <w:p w14:paraId="423E3731" w14:textId="77777777" w:rsidR="003722CF" w:rsidRDefault="003722CF">
      <w:pPr>
        <w:ind w:left="709"/>
        <w:jc w:val="both"/>
        <w:rPr>
          <w:rFonts w:eastAsia="Times New Roman" w:cs="Calibri"/>
          <w:sz w:val="22"/>
          <w:szCs w:val="22"/>
        </w:rPr>
      </w:pPr>
    </w:p>
    <w:p w14:paraId="67D83B40" w14:textId="77777777" w:rsidR="003722CF" w:rsidRDefault="00411668">
      <w:pPr>
        <w:ind w:left="709"/>
        <w:jc w:val="both"/>
        <w:rPr>
          <w:rFonts w:eastAsia="Times New Roman" w:cs="Calibri"/>
          <w:sz w:val="22"/>
          <w:szCs w:val="22"/>
        </w:rPr>
      </w:pPr>
      <w:r>
        <w:rPr>
          <w:rFonts w:eastAsia="Times New Roman" w:cs="Calibri"/>
          <w:sz w:val="22"/>
          <w:szCs w:val="22"/>
        </w:rPr>
        <w:t>II.- Ser órgano de consulta, asesoría y evaluación en temas urbanos, tanto para las entidades públicas y privadas, como para las personas en lo individual.</w:t>
      </w:r>
    </w:p>
    <w:p w14:paraId="6D65E807" w14:textId="77777777" w:rsidR="003722CF" w:rsidRDefault="003722CF">
      <w:pPr>
        <w:ind w:left="709"/>
        <w:jc w:val="both"/>
        <w:rPr>
          <w:rFonts w:eastAsia="Times New Roman" w:cs="Calibri"/>
          <w:sz w:val="22"/>
          <w:szCs w:val="22"/>
        </w:rPr>
      </w:pPr>
    </w:p>
    <w:p w14:paraId="79835651" w14:textId="77777777" w:rsidR="003722CF" w:rsidRDefault="00411668">
      <w:pPr>
        <w:ind w:left="709"/>
        <w:jc w:val="both"/>
        <w:rPr>
          <w:rFonts w:eastAsia="Times New Roman" w:cs="Calibri"/>
          <w:sz w:val="22"/>
          <w:szCs w:val="22"/>
        </w:rPr>
      </w:pPr>
      <w:r>
        <w:rPr>
          <w:rFonts w:eastAsia="Times New Roman" w:cs="Calibri"/>
          <w:sz w:val="22"/>
          <w:szCs w:val="22"/>
        </w:rPr>
        <w:t>III.- Promover procesos de planeación y garantizar su continuidad y eficiencia para que, en la Zona Conurbada de Altamira, Ciudad Madero y Tampico se fortalezca el desarrollo sustentable mediante la aplicación de directrices que provengan de una visión de largo plazo.</w:t>
      </w:r>
    </w:p>
    <w:p w14:paraId="3E935258" w14:textId="77777777" w:rsidR="003722CF" w:rsidRDefault="003722CF">
      <w:pPr>
        <w:ind w:left="709"/>
        <w:jc w:val="both"/>
        <w:rPr>
          <w:rFonts w:eastAsia="Times New Roman" w:cs="Calibri"/>
          <w:sz w:val="22"/>
          <w:szCs w:val="22"/>
        </w:rPr>
      </w:pPr>
    </w:p>
    <w:p w14:paraId="34CAC99E" w14:textId="77777777" w:rsidR="003722CF" w:rsidRDefault="003722CF">
      <w:pPr>
        <w:ind w:left="709"/>
        <w:jc w:val="both"/>
        <w:rPr>
          <w:rFonts w:eastAsia="Times New Roman" w:cs="Calibri"/>
          <w:sz w:val="22"/>
          <w:szCs w:val="22"/>
        </w:rPr>
      </w:pPr>
    </w:p>
    <w:p w14:paraId="62A58F75" w14:textId="77777777" w:rsidR="003722CF" w:rsidRDefault="00411668">
      <w:pPr>
        <w:ind w:left="709"/>
        <w:jc w:val="both"/>
        <w:rPr>
          <w:rFonts w:eastAsia="Times New Roman" w:cs="Calibri"/>
          <w:sz w:val="22"/>
          <w:szCs w:val="22"/>
        </w:rPr>
      </w:pPr>
      <w:r>
        <w:rPr>
          <w:rFonts w:eastAsia="Times New Roman" w:cs="Calibri"/>
          <w:sz w:val="22"/>
          <w:szCs w:val="22"/>
        </w:rPr>
        <w:t xml:space="preserve">El Instituto realizará sus funciones con base en los principios de objetividad, visión de largo plazo, sustentabilidad, legalidad, calidad y eficiencia. Actuará con apego a lo dispuesto en el orden jurídico estatal, particularmente las disposiciones en materia de desarrollo urbano, así como en el Plan Estatal y los planes vigentes de ordenamiento territorial y desarrollo urbano de los municipios de Altamira, Ciudad Madero y Tampico, y en su caso, el plan integral y los planes parciales que en la materia se </w:t>
      </w:r>
      <w:r>
        <w:rPr>
          <w:rFonts w:eastAsia="Times New Roman" w:cs="Calibri"/>
          <w:sz w:val="22"/>
          <w:szCs w:val="22"/>
        </w:rPr>
        <w:t>elaboren para la Zona Conurbada.</w:t>
      </w:r>
    </w:p>
    <w:p w14:paraId="047D6C46" w14:textId="77777777" w:rsidR="003722CF" w:rsidRDefault="003722CF">
      <w:pPr>
        <w:spacing w:line="240" w:lineRule="exact"/>
        <w:ind w:left="709"/>
        <w:jc w:val="both"/>
        <w:rPr>
          <w:rFonts w:ascii="Arial" w:eastAsia="Times New Roman" w:hAnsi="Arial" w:cs="Arial"/>
          <w:u w:val="single"/>
          <w:lang w:val="es-ES" w:eastAsia="es-ES"/>
        </w:rPr>
      </w:pPr>
    </w:p>
    <w:p w14:paraId="5AAF7B11" w14:textId="77777777" w:rsidR="003722CF" w:rsidRDefault="003722CF">
      <w:pPr>
        <w:widowControl/>
        <w:spacing w:line="240" w:lineRule="exact"/>
        <w:jc w:val="both"/>
        <w:rPr>
          <w:rFonts w:eastAsia="Times New Roman" w:cs="DIN Pro Regular"/>
          <w:lang w:val="es-ES" w:eastAsia="es-ES"/>
        </w:rPr>
      </w:pPr>
    </w:p>
    <w:p w14:paraId="19111983" w14:textId="77777777" w:rsidR="003722CF" w:rsidRDefault="003722CF">
      <w:pPr>
        <w:widowControl/>
        <w:spacing w:line="240" w:lineRule="exact"/>
        <w:jc w:val="both"/>
        <w:rPr>
          <w:rFonts w:eastAsia="Times New Roman" w:cs="DIN Pro Regular"/>
          <w:lang w:val="es-ES" w:eastAsia="es-ES"/>
        </w:rPr>
      </w:pPr>
    </w:p>
    <w:p w14:paraId="400C845E" w14:textId="77777777" w:rsidR="003722CF" w:rsidRDefault="003722CF">
      <w:pPr>
        <w:widowControl/>
        <w:spacing w:line="240" w:lineRule="exact"/>
        <w:jc w:val="both"/>
        <w:rPr>
          <w:rFonts w:eastAsia="Times New Roman" w:cs="DIN Pro Regular"/>
          <w:lang w:val="es-ES" w:eastAsia="es-ES"/>
        </w:rPr>
      </w:pPr>
    </w:p>
    <w:p w14:paraId="3B3ED274" w14:textId="77777777" w:rsidR="003722CF" w:rsidRDefault="003722CF">
      <w:pPr>
        <w:widowControl/>
        <w:spacing w:line="240" w:lineRule="exact"/>
        <w:jc w:val="both"/>
        <w:rPr>
          <w:rFonts w:eastAsia="Times New Roman" w:cs="DIN Pro Regular"/>
          <w:lang w:val="es-ES" w:eastAsia="es-ES"/>
        </w:rPr>
      </w:pPr>
    </w:p>
    <w:p w14:paraId="741C90D7" w14:textId="77777777" w:rsidR="003722CF" w:rsidRDefault="00411668">
      <w:pPr>
        <w:spacing w:line="240" w:lineRule="exact"/>
        <w:ind w:left="709"/>
        <w:jc w:val="both"/>
        <w:rPr>
          <w:rFonts w:eastAsia="Times New Roman" w:cs="Calibri"/>
          <w:b/>
          <w:sz w:val="22"/>
          <w:szCs w:val="22"/>
          <w:lang w:val="es-ES" w:eastAsia="es-ES"/>
        </w:rPr>
      </w:pPr>
      <w:r>
        <w:rPr>
          <w:rFonts w:eastAsia="Times New Roman" w:cs="Calibri"/>
          <w:b/>
          <w:sz w:val="22"/>
          <w:szCs w:val="22"/>
          <w:lang w:val="es-ES" w:eastAsia="es-ES"/>
        </w:rPr>
        <w:t>b.- Principal actividad</w:t>
      </w:r>
    </w:p>
    <w:p w14:paraId="06ED8D1B" w14:textId="77777777" w:rsidR="003722CF" w:rsidRDefault="003722CF">
      <w:pPr>
        <w:spacing w:line="240" w:lineRule="exact"/>
        <w:jc w:val="both"/>
        <w:rPr>
          <w:rFonts w:eastAsia="Times New Roman" w:cs="Calibri"/>
          <w:sz w:val="22"/>
          <w:szCs w:val="22"/>
          <w:lang w:eastAsia="es-ES"/>
        </w:rPr>
      </w:pPr>
    </w:p>
    <w:p w14:paraId="624B082B" w14:textId="77777777" w:rsidR="003722CF" w:rsidRDefault="00411668">
      <w:pPr>
        <w:widowControl/>
        <w:suppressAutoHyphens w:val="0"/>
        <w:spacing w:line="240" w:lineRule="exact"/>
        <w:jc w:val="both"/>
        <w:textAlignment w:val="auto"/>
        <w:rPr>
          <w:rFonts w:cs="Calibri"/>
          <w:sz w:val="22"/>
          <w:szCs w:val="22"/>
        </w:rPr>
      </w:pPr>
      <w:r>
        <w:rPr>
          <w:rFonts w:cs="Calibri"/>
          <w:sz w:val="22"/>
          <w:szCs w:val="22"/>
        </w:rPr>
        <w:t xml:space="preserve">              Planeación urbana para el desarrollo de la zona conurbada Tampico- Madero- Altamira</w:t>
      </w:r>
    </w:p>
    <w:p w14:paraId="73853EC5" w14:textId="77777777" w:rsidR="003722CF" w:rsidRDefault="003722CF">
      <w:pPr>
        <w:widowControl/>
        <w:suppressAutoHyphens w:val="0"/>
        <w:spacing w:line="240" w:lineRule="exact"/>
        <w:jc w:val="both"/>
        <w:textAlignment w:val="auto"/>
        <w:rPr>
          <w:rFonts w:cs="Calibri"/>
          <w:sz w:val="22"/>
          <w:szCs w:val="22"/>
        </w:rPr>
      </w:pPr>
    </w:p>
    <w:p w14:paraId="59C61402" w14:textId="77777777" w:rsidR="003722CF" w:rsidRDefault="00411668">
      <w:pPr>
        <w:spacing w:line="240" w:lineRule="exact"/>
        <w:ind w:left="709"/>
        <w:jc w:val="both"/>
        <w:rPr>
          <w:rFonts w:eastAsia="Times New Roman" w:cs="Calibri"/>
          <w:b/>
          <w:sz w:val="22"/>
          <w:szCs w:val="22"/>
          <w:lang w:val="es-ES" w:eastAsia="es-ES"/>
        </w:rPr>
      </w:pPr>
      <w:r>
        <w:rPr>
          <w:rFonts w:eastAsia="Times New Roman" w:cs="Calibri"/>
          <w:b/>
          <w:sz w:val="22"/>
          <w:szCs w:val="22"/>
          <w:lang w:val="es-ES" w:eastAsia="es-ES"/>
        </w:rPr>
        <w:t>c.- Ejercicio fiscal</w:t>
      </w:r>
    </w:p>
    <w:p w14:paraId="1EFA8817" w14:textId="77777777" w:rsidR="003722CF" w:rsidRDefault="003722CF">
      <w:pPr>
        <w:spacing w:line="240" w:lineRule="exact"/>
        <w:ind w:left="709"/>
        <w:jc w:val="both"/>
        <w:rPr>
          <w:rFonts w:eastAsia="Times New Roman" w:cs="Calibri"/>
          <w:color w:val="00B050"/>
          <w:sz w:val="22"/>
          <w:szCs w:val="22"/>
          <w:u w:val="single"/>
          <w:lang w:val="es-ES" w:eastAsia="es-ES"/>
        </w:rPr>
      </w:pPr>
    </w:p>
    <w:p w14:paraId="0C439B66" w14:textId="77777777" w:rsidR="003722CF" w:rsidRDefault="00411668">
      <w:pPr>
        <w:spacing w:line="240" w:lineRule="exact"/>
        <w:ind w:left="709"/>
        <w:jc w:val="both"/>
        <w:rPr>
          <w:rFonts w:eastAsia="Times New Roman" w:cs="Calibri"/>
          <w:sz w:val="22"/>
          <w:szCs w:val="22"/>
          <w:lang w:eastAsia="es-ES"/>
        </w:rPr>
      </w:pPr>
      <w:r>
        <w:rPr>
          <w:rFonts w:eastAsia="Times New Roman" w:cs="Calibri"/>
          <w:sz w:val="22"/>
          <w:szCs w:val="22"/>
          <w:lang w:eastAsia="es-ES"/>
        </w:rPr>
        <w:t>El ejercicio fiscal comprende del primero de enero al 31 de diciembre</w:t>
      </w:r>
    </w:p>
    <w:p w14:paraId="18AD3EA5" w14:textId="77777777" w:rsidR="003722CF" w:rsidRDefault="003722CF">
      <w:pPr>
        <w:spacing w:line="240" w:lineRule="exact"/>
        <w:ind w:left="709"/>
        <w:jc w:val="both"/>
        <w:rPr>
          <w:rFonts w:eastAsia="Times New Roman" w:cs="Calibri"/>
          <w:sz w:val="22"/>
          <w:szCs w:val="22"/>
          <w:u w:val="single"/>
          <w:lang w:val="es-ES" w:eastAsia="es-ES"/>
        </w:rPr>
      </w:pPr>
    </w:p>
    <w:p w14:paraId="49490852" w14:textId="77777777" w:rsidR="003722CF" w:rsidRDefault="003722CF">
      <w:pPr>
        <w:widowControl/>
        <w:suppressAutoHyphens w:val="0"/>
        <w:spacing w:line="240" w:lineRule="exact"/>
        <w:jc w:val="both"/>
        <w:textAlignment w:val="auto"/>
        <w:rPr>
          <w:rFonts w:cs="Calibri"/>
          <w:sz w:val="22"/>
          <w:szCs w:val="22"/>
          <w:lang w:val="es-ES"/>
        </w:rPr>
      </w:pPr>
    </w:p>
    <w:p w14:paraId="11D11D77" w14:textId="77777777" w:rsidR="003722CF" w:rsidRDefault="00411668">
      <w:pPr>
        <w:spacing w:line="240" w:lineRule="exact"/>
        <w:ind w:left="709"/>
        <w:jc w:val="both"/>
        <w:rPr>
          <w:rFonts w:eastAsia="Times New Roman" w:cs="Calibri"/>
          <w:b/>
          <w:sz w:val="22"/>
          <w:szCs w:val="22"/>
          <w:lang w:val="es-ES" w:eastAsia="es-ES"/>
        </w:rPr>
      </w:pPr>
      <w:r>
        <w:rPr>
          <w:rFonts w:eastAsia="Times New Roman" w:cs="Calibri"/>
          <w:b/>
          <w:sz w:val="22"/>
          <w:szCs w:val="22"/>
          <w:lang w:val="es-ES" w:eastAsia="es-ES"/>
        </w:rPr>
        <w:t>d.- Régimen Jurídico</w:t>
      </w:r>
    </w:p>
    <w:p w14:paraId="1E641262" w14:textId="77777777" w:rsidR="003722CF" w:rsidRDefault="003722CF">
      <w:pPr>
        <w:spacing w:line="240" w:lineRule="exact"/>
        <w:jc w:val="both"/>
        <w:rPr>
          <w:rFonts w:eastAsia="Times New Roman" w:cs="Calibri"/>
          <w:sz w:val="22"/>
          <w:szCs w:val="22"/>
          <w:lang w:val="es-ES" w:eastAsia="es-ES"/>
        </w:rPr>
      </w:pPr>
    </w:p>
    <w:p w14:paraId="0021FD44" w14:textId="77777777" w:rsidR="003722CF" w:rsidRDefault="00411668">
      <w:pPr>
        <w:spacing w:line="240" w:lineRule="exact"/>
        <w:ind w:left="709"/>
        <w:jc w:val="both"/>
        <w:rPr>
          <w:rFonts w:eastAsia="Times New Roman" w:cs="Calibri"/>
          <w:sz w:val="22"/>
          <w:szCs w:val="22"/>
          <w:lang w:val="es-ES" w:eastAsia="es-ES"/>
        </w:rPr>
      </w:pPr>
      <w:r>
        <w:rPr>
          <w:rFonts w:eastAsia="Times New Roman" w:cs="Calibri"/>
          <w:sz w:val="22"/>
          <w:szCs w:val="22"/>
          <w:lang w:val="es-ES" w:eastAsia="es-ES"/>
        </w:rPr>
        <w:t xml:space="preserve">Al </w:t>
      </w:r>
      <w:r>
        <w:rPr>
          <w:rFonts w:eastAsia="Times New Roman" w:cs="Calibri"/>
          <w:sz w:val="22"/>
          <w:szCs w:val="22"/>
          <w:lang w:val="es-ES" w:eastAsia="es-ES"/>
        </w:rPr>
        <w:t>IMEPLAN le son aplicables todas las reglas de carácter general contenidas en las leyes, reglamentos, disposiciones y normatividad que regulan la operación de los organismos públicos descentralizados del Gobierno del Estado de Tamaulipas, tanto de carácter federal como estatal.</w:t>
      </w:r>
    </w:p>
    <w:p w14:paraId="32FDCE01" w14:textId="77777777" w:rsidR="003722CF" w:rsidRDefault="003722CF">
      <w:pPr>
        <w:widowControl/>
        <w:suppressAutoHyphens w:val="0"/>
        <w:spacing w:line="240" w:lineRule="exact"/>
        <w:jc w:val="both"/>
        <w:textAlignment w:val="auto"/>
        <w:rPr>
          <w:rFonts w:cs="Calibri"/>
          <w:sz w:val="22"/>
          <w:szCs w:val="22"/>
          <w:lang w:val="es-ES"/>
        </w:rPr>
      </w:pPr>
    </w:p>
    <w:p w14:paraId="4DD4CDF6" w14:textId="77777777" w:rsidR="003722CF" w:rsidRDefault="00411668">
      <w:pPr>
        <w:spacing w:line="240" w:lineRule="exact"/>
        <w:ind w:left="709"/>
        <w:jc w:val="both"/>
      </w:pPr>
      <w:proofErr w:type="spellStart"/>
      <w:r>
        <w:rPr>
          <w:rFonts w:eastAsia="Times New Roman" w:cs="Calibri"/>
          <w:b/>
          <w:sz w:val="22"/>
          <w:szCs w:val="22"/>
          <w:lang w:val="es-ES" w:eastAsia="es-ES"/>
        </w:rPr>
        <w:t>e</w:t>
      </w:r>
      <w:proofErr w:type="spellEnd"/>
      <w:r>
        <w:rPr>
          <w:rFonts w:eastAsia="Times New Roman" w:cs="Calibri"/>
          <w:b/>
          <w:sz w:val="22"/>
          <w:szCs w:val="22"/>
          <w:lang w:val="es-ES" w:eastAsia="es-ES"/>
        </w:rPr>
        <w:t>.- Consideraciones fiscales del ente</w:t>
      </w:r>
      <w:r>
        <w:rPr>
          <w:rFonts w:eastAsia="Times New Roman" w:cs="Calibri"/>
          <w:b/>
          <w:sz w:val="22"/>
          <w:szCs w:val="22"/>
          <w:u w:val="single"/>
          <w:lang w:val="es-ES" w:eastAsia="es-ES"/>
        </w:rPr>
        <w:t>:</w:t>
      </w:r>
    </w:p>
    <w:p w14:paraId="77EE372C" w14:textId="77777777" w:rsidR="003722CF" w:rsidRDefault="003722CF">
      <w:pPr>
        <w:spacing w:line="240" w:lineRule="exact"/>
        <w:ind w:left="709"/>
        <w:jc w:val="both"/>
        <w:rPr>
          <w:rFonts w:eastAsia="Times New Roman" w:cs="Calibri"/>
          <w:sz w:val="22"/>
          <w:szCs w:val="22"/>
          <w:lang w:val="es-ES" w:eastAsia="es-ES"/>
        </w:rPr>
      </w:pPr>
    </w:p>
    <w:p w14:paraId="08C786E7" w14:textId="77777777" w:rsidR="003722CF" w:rsidRDefault="00411668">
      <w:pPr>
        <w:spacing w:line="240" w:lineRule="exact"/>
        <w:ind w:left="709"/>
        <w:jc w:val="both"/>
        <w:rPr>
          <w:rFonts w:eastAsia="Times New Roman" w:cs="Calibri"/>
          <w:sz w:val="22"/>
          <w:szCs w:val="22"/>
          <w:lang w:val="es-ES" w:eastAsia="es-ES"/>
        </w:rPr>
      </w:pPr>
      <w:r>
        <w:rPr>
          <w:rFonts w:eastAsia="Times New Roman" w:cs="Calibri"/>
          <w:sz w:val="22"/>
          <w:szCs w:val="22"/>
          <w:lang w:val="es-ES" w:eastAsia="es-ES"/>
        </w:rPr>
        <w:t>Las principales obligaciones fiscales del IMEPLAN incluyen lo siguiente:</w:t>
      </w:r>
    </w:p>
    <w:p w14:paraId="698EFF64" w14:textId="77777777" w:rsidR="003722CF" w:rsidRDefault="003722CF">
      <w:pPr>
        <w:spacing w:line="240" w:lineRule="exact"/>
        <w:ind w:left="1429"/>
        <w:jc w:val="both"/>
        <w:rPr>
          <w:rFonts w:eastAsia="Times New Roman" w:cs="Calibri"/>
          <w:sz w:val="22"/>
          <w:szCs w:val="22"/>
          <w:lang w:val="es-ES" w:eastAsia="es-ES"/>
        </w:rPr>
      </w:pPr>
    </w:p>
    <w:p w14:paraId="2DE8975D" w14:textId="77777777" w:rsidR="003722CF" w:rsidRDefault="00411668">
      <w:pPr>
        <w:widowControl/>
        <w:numPr>
          <w:ilvl w:val="0"/>
          <w:numId w:val="9"/>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Retención y entero de ISR Impuesto Sobre la Renta por los ingresos mensuales de los colaboradores. Se recibe un </w:t>
      </w:r>
      <w:r>
        <w:rPr>
          <w:rFonts w:eastAsia="Times New Roman" w:cs="Calibri"/>
          <w:sz w:val="22"/>
          <w:szCs w:val="22"/>
          <w:lang w:val="es-ES" w:eastAsia="es-ES"/>
        </w:rPr>
        <w:t>subsidio estatal para cubrir el diferencial de ISR generado por las compensaciones pagadas a los colaboradores, que se empezó a enterar a partir del mes de septiembre de 2015 y que se considera un impuesto a cargo del trabajador pagado por el patrón. El entero del impuesto comprende tanto las retenciones como el monto mensual del subsidio.</w:t>
      </w:r>
    </w:p>
    <w:p w14:paraId="4F03A42D" w14:textId="77777777" w:rsidR="003722CF" w:rsidRDefault="00411668">
      <w:pPr>
        <w:widowControl/>
        <w:numPr>
          <w:ilvl w:val="0"/>
          <w:numId w:val="9"/>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Impuesto mensual Estatal del 3% sobre los ingresos de los colaboradores. </w:t>
      </w:r>
    </w:p>
    <w:p w14:paraId="59BE2092" w14:textId="77777777" w:rsidR="003722CF" w:rsidRDefault="00411668">
      <w:pPr>
        <w:widowControl/>
        <w:numPr>
          <w:ilvl w:val="0"/>
          <w:numId w:val="9"/>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Declaración anual Informativa al estado del ISRTPS detallando las prestaciones pagadas a los trabajadores y el impuesto sobre nóminas causado y pagado.</w:t>
      </w:r>
    </w:p>
    <w:p w14:paraId="6DF47327" w14:textId="77777777" w:rsidR="003722CF" w:rsidRDefault="00411668">
      <w:pPr>
        <w:widowControl/>
        <w:numPr>
          <w:ilvl w:val="0"/>
          <w:numId w:val="9"/>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Timbrado de los recibos quincenales de nómina.</w:t>
      </w:r>
    </w:p>
    <w:p w14:paraId="55F29182" w14:textId="77777777" w:rsidR="003722CF" w:rsidRDefault="00411668">
      <w:pPr>
        <w:widowControl/>
        <w:numPr>
          <w:ilvl w:val="0"/>
          <w:numId w:val="9"/>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Declaración Informativa de Operaciones con terceros.</w:t>
      </w:r>
    </w:p>
    <w:p w14:paraId="55C50942" w14:textId="77777777" w:rsidR="003722CF" w:rsidRDefault="003722CF">
      <w:pPr>
        <w:widowControl/>
        <w:suppressAutoHyphens w:val="0"/>
        <w:spacing w:line="240" w:lineRule="exact"/>
        <w:jc w:val="both"/>
        <w:textAlignment w:val="auto"/>
        <w:rPr>
          <w:rFonts w:cs="Calibri"/>
          <w:sz w:val="22"/>
          <w:szCs w:val="22"/>
          <w:lang w:val="es-ES"/>
        </w:rPr>
      </w:pPr>
    </w:p>
    <w:p w14:paraId="03010B70" w14:textId="77777777" w:rsidR="003722CF" w:rsidRDefault="003722CF">
      <w:pPr>
        <w:spacing w:line="240" w:lineRule="exact"/>
        <w:ind w:left="709"/>
        <w:jc w:val="both"/>
        <w:rPr>
          <w:rFonts w:eastAsia="Times New Roman" w:cs="Calibri"/>
          <w:sz w:val="22"/>
          <w:szCs w:val="22"/>
          <w:lang w:val="es-ES" w:eastAsia="es-ES"/>
        </w:rPr>
      </w:pPr>
    </w:p>
    <w:p w14:paraId="5A206EB9" w14:textId="77777777" w:rsidR="003722CF" w:rsidRDefault="00411668">
      <w:pPr>
        <w:spacing w:line="240" w:lineRule="exact"/>
        <w:ind w:left="709"/>
        <w:jc w:val="both"/>
        <w:rPr>
          <w:rFonts w:eastAsia="Times New Roman" w:cs="Calibri"/>
          <w:sz w:val="22"/>
          <w:szCs w:val="22"/>
          <w:lang w:val="es-ES" w:eastAsia="es-ES"/>
        </w:rPr>
      </w:pPr>
      <w:r>
        <w:rPr>
          <w:rFonts w:eastAsia="Times New Roman" w:cs="Calibri"/>
          <w:sz w:val="22"/>
          <w:szCs w:val="22"/>
          <w:lang w:val="es-ES" w:eastAsia="es-ES"/>
        </w:rPr>
        <w:t xml:space="preserve">El Instituto, como organismo del Gobierno del Estado de Tamaulipas no persigue fines de lucro y </w:t>
      </w:r>
      <w:r>
        <w:rPr>
          <w:rFonts w:eastAsia="Times New Roman" w:cs="Calibri"/>
          <w:sz w:val="22"/>
          <w:szCs w:val="22"/>
          <w:lang w:val="es-ES" w:eastAsia="es-ES"/>
        </w:rPr>
        <w:t>por lo tanto absorbe, como consumidor final, el Impuesto al Valor Agregado pagado a los proveedores por la compra o contratación de bienes y servicios.</w:t>
      </w:r>
    </w:p>
    <w:p w14:paraId="2944A167" w14:textId="77777777" w:rsidR="003722CF" w:rsidRDefault="003722CF">
      <w:pPr>
        <w:widowControl/>
        <w:suppressAutoHyphens w:val="0"/>
        <w:spacing w:line="240" w:lineRule="exact"/>
        <w:jc w:val="both"/>
        <w:textAlignment w:val="auto"/>
        <w:rPr>
          <w:rFonts w:cs="Calibri"/>
          <w:sz w:val="22"/>
          <w:szCs w:val="22"/>
          <w:lang w:val="es-ES"/>
        </w:rPr>
      </w:pPr>
    </w:p>
    <w:p w14:paraId="48F0B001"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549CEA0F" w14:textId="77777777" w:rsidR="003722CF" w:rsidRDefault="00411668">
      <w:pPr>
        <w:spacing w:line="240" w:lineRule="exact"/>
        <w:ind w:left="709"/>
        <w:jc w:val="both"/>
      </w:pPr>
      <w:r>
        <w:rPr>
          <w:rFonts w:eastAsia="Times New Roman" w:cs="Calibri"/>
          <w:b/>
          <w:sz w:val="22"/>
          <w:szCs w:val="22"/>
          <w:lang w:val="es-ES" w:eastAsia="es-ES"/>
        </w:rPr>
        <w:t>f.- Estructura organizacional básica</w:t>
      </w:r>
      <w:r>
        <w:rPr>
          <w:rFonts w:eastAsia="Times New Roman" w:cs="Calibri"/>
          <w:b/>
          <w:sz w:val="22"/>
          <w:szCs w:val="22"/>
          <w:u w:val="single"/>
          <w:lang w:val="es-ES" w:eastAsia="es-ES"/>
        </w:rPr>
        <w:t>.</w:t>
      </w:r>
    </w:p>
    <w:p w14:paraId="22CC172B" w14:textId="77777777" w:rsidR="003722CF" w:rsidRDefault="003722CF">
      <w:pPr>
        <w:spacing w:line="240" w:lineRule="exact"/>
        <w:jc w:val="both"/>
        <w:rPr>
          <w:rFonts w:eastAsia="Times New Roman" w:cs="Calibri"/>
          <w:sz w:val="22"/>
          <w:szCs w:val="22"/>
          <w:lang w:val="es-ES" w:eastAsia="es-ES"/>
        </w:rPr>
      </w:pPr>
    </w:p>
    <w:p w14:paraId="0AA19EAC"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Dirección General</w:t>
      </w:r>
    </w:p>
    <w:p w14:paraId="7550DBFC"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Departamento de Administración y Relaciones Públicas.</w:t>
      </w:r>
    </w:p>
    <w:p w14:paraId="3A1458E5"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Departamento de Finanzas y Logística de Eventos.</w:t>
      </w:r>
    </w:p>
    <w:p w14:paraId="39A316E5"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Dirección de Planeación Territorial y Movilidad Urbana.</w:t>
      </w:r>
    </w:p>
    <w:p w14:paraId="40B21087"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Dirección de Medio Ambiente y Saneamiento Ambiental.</w:t>
      </w:r>
    </w:p>
    <w:p w14:paraId="0A30F3DF"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Dirección de Información y Desarrollo </w:t>
      </w:r>
      <w:proofErr w:type="gramStart"/>
      <w:r>
        <w:rPr>
          <w:rFonts w:eastAsia="Times New Roman" w:cs="Calibri"/>
          <w:sz w:val="22"/>
          <w:szCs w:val="22"/>
          <w:lang w:val="es-ES" w:eastAsia="es-ES"/>
        </w:rPr>
        <w:t>Socio-Económico</w:t>
      </w:r>
      <w:proofErr w:type="gramEnd"/>
      <w:r>
        <w:rPr>
          <w:rFonts w:eastAsia="Times New Roman" w:cs="Calibri"/>
          <w:sz w:val="22"/>
          <w:szCs w:val="22"/>
          <w:lang w:val="es-ES" w:eastAsia="es-ES"/>
        </w:rPr>
        <w:t>.</w:t>
      </w:r>
    </w:p>
    <w:p w14:paraId="130869E9" w14:textId="77777777" w:rsidR="003722CF" w:rsidRDefault="00411668">
      <w:pPr>
        <w:widowControl/>
        <w:numPr>
          <w:ilvl w:val="0"/>
          <w:numId w:val="10"/>
        </w:numPr>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Dirección de </w:t>
      </w:r>
      <w:proofErr w:type="gramStart"/>
      <w:r>
        <w:rPr>
          <w:rFonts w:eastAsia="Times New Roman" w:cs="Calibri"/>
          <w:sz w:val="22"/>
          <w:szCs w:val="22"/>
          <w:lang w:val="es-ES" w:eastAsia="es-ES"/>
        </w:rPr>
        <w:t>Geo procesamiento</w:t>
      </w:r>
      <w:proofErr w:type="gramEnd"/>
      <w:r>
        <w:rPr>
          <w:rFonts w:eastAsia="Times New Roman" w:cs="Calibri"/>
          <w:sz w:val="22"/>
          <w:szCs w:val="22"/>
          <w:lang w:val="es-ES" w:eastAsia="es-ES"/>
        </w:rPr>
        <w:t>, Informática y Archivo.</w:t>
      </w:r>
    </w:p>
    <w:p w14:paraId="44D3D674" w14:textId="77777777" w:rsidR="003722CF" w:rsidRDefault="003722CF">
      <w:pPr>
        <w:spacing w:line="240" w:lineRule="exact"/>
        <w:jc w:val="both"/>
        <w:rPr>
          <w:rFonts w:ascii="Arial" w:eastAsia="Times New Roman" w:hAnsi="Arial" w:cs="Arial"/>
          <w:u w:val="single"/>
          <w:lang w:val="es-ES" w:eastAsia="es-ES"/>
        </w:rPr>
      </w:pPr>
    </w:p>
    <w:p w14:paraId="0DD6EC92" w14:textId="77777777" w:rsidR="003722CF" w:rsidRDefault="003722CF">
      <w:pPr>
        <w:spacing w:line="240" w:lineRule="exact"/>
        <w:jc w:val="both"/>
        <w:rPr>
          <w:rFonts w:ascii="Arial" w:eastAsia="Times New Roman" w:hAnsi="Arial" w:cs="Arial"/>
          <w:u w:val="single"/>
          <w:lang w:val="es-ES" w:eastAsia="es-ES"/>
        </w:rPr>
      </w:pPr>
    </w:p>
    <w:p w14:paraId="093E5B02" w14:textId="77777777" w:rsidR="003722CF" w:rsidRDefault="003722CF">
      <w:pPr>
        <w:widowControl/>
        <w:suppressAutoHyphens w:val="0"/>
        <w:spacing w:line="240" w:lineRule="exact"/>
        <w:jc w:val="both"/>
        <w:textAlignment w:val="auto"/>
        <w:rPr>
          <w:rFonts w:ascii="Arial" w:eastAsia="Times New Roman" w:hAnsi="Arial" w:cs="Arial"/>
          <w:lang w:val="es-ES" w:eastAsia="es-ES"/>
        </w:rPr>
      </w:pPr>
    </w:p>
    <w:p w14:paraId="38361785" w14:textId="77777777" w:rsidR="003722CF" w:rsidRDefault="003722CF">
      <w:pPr>
        <w:widowControl/>
        <w:suppressAutoHyphens w:val="0"/>
        <w:spacing w:line="240" w:lineRule="exact"/>
        <w:jc w:val="both"/>
        <w:textAlignment w:val="auto"/>
        <w:rPr>
          <w:rFonts w:ascii="Arial" w:eastAsia="Times New Roman" w:hAnsi="Arial" w:cs="Arial"/>
          <w:lang w:val="es-ES" w:eastAsia="es-ES"/>
        </w:rPr>
      </w:pPr>
    </w:p>
    <w:p w14:paraId="0E312136" w14:textId="77777777" w:rsidR="003722CF" w:rsidRDefault="003722CF">
      <w:pPr>
        <w:spacing w:line="240" w:lineRule="exact"/>
        <w:ind w:left="709"/>
        <w:jc w:val="both"/>
        <w:rPr>
          <w:rFonts w:ascii="Arial" w:eastAsia="Times New Roman" w:hAnsi="Arial" w:cs="Arial"/>
          <w:b/>
          <w:lang w:val="es-ES" w:eastAsia="es-ES"/>
        </w:rPr>
      </w:pPr>
    </w:p>
    <w:p w14:paraId="0DD3CA92" w14:textId="77777777" w:rsidR="003722CF" w:rsidRDefault="003722CF">
      <w:pPr>
        <w:spacing w:line="240" w:lineRule="exact"/>
        <w:ind w:left="709"/>
        <w:jc w:val="both"/>
        <w:rPr>
          <w:rFonts w:ascii="Arial" w:eastAsia="Times New Roman" w:hAnsi="Arial" w:cs="Arial"/>
          <w:b/>
          <w:lang w:val="es-ES" w:eastAsia="es-ES"/>
        </w:rPr>
      </w:pPr>
    </w:p>
    <w:p w14:paraId="110EEE20" w14:textId="77777777" w:rsidR="003722CF" w:rsidRDefault="00411668">
      <w:pPr>
        <w:spacing w:line="240" w:lineRule="exact"/>
        <w:ind w:left="709"/>
        <w:jc w:val="both"/>
      </w:pPr>
      <w:r>
        <w:rPr>
          <w:rFonts w:eastAsia="Times New Roman" w:cs="Calibri"/>
          <w:b/>
          <w:sz w:val="22"/>
          <w:szCs w:val="22"/>
          <w:lang w:val="es-ES" w:eastAsia="es-ES"/>
        </w:rPr>
        <w:t>g.- Fideicomisos, mandatos y análogos de los cuales es fideicomitente o fiduciario</w:t>
      </w:r>
      <w:r>
        <w:rPr>
          <w:rFonts w:eastAsia="Times New Roman" w:cs="Calibri"/>
          <w:sz w:val="22"/>
          <w:szCs w:val="22"/>
          <w:lang w:val="es-ES" w:eastAsia="es-ES"/>
        </w:rPr>
        <w:t>.</w:t>
      </w:r>
    </w:p>
    <w:p w14:paraId="04D2061D" w14:textId="77777777" w:rsidR="003722CF" w:rsidRDefault="003722CF">
      <w:pPr>
        <w:spacing w:line="240" w:lineRule="exact"/>
        <w:ind w:left="709"/>
        <w:jc w:val="both"/>
        <w:rPr>
          <w:rFonts w:eastAsia="Times New Roman" w:cs="Calibri"/>
          <w:sz w:val="22"/>
          <w:szCs w:val="22"/>
          <w:u w:val="single"/>
          <w:lang w:val="es-ES" w:eastAsia="es-ES"/>
        </w:rPr>
      </w:pPr>
    </w:p>
    <w:p w14:paraId="08413AC4" w14:textId="77777777" w:rsidR="003722CF" w:rsidRDefault="00411668">
      <w:pPr>
        <w:spacing w:line="240" w:lineRule="exact"/>
        <w:ind w:left="709"/>
        <w:jc w:val="both"/>
        <w:rPr>
          <w:rFonts w:eastAsia="Times New Roman" w:cs="Calibri"/>
          <w:sz w:val="22"/>
          <w:szCs w:val="22"/>
          <w:lang w:val="es-ES" w:eastAsia="es-ES"/>
        </w:rPr>
      </w:pPr>
      <w:r>
        <w:rPr>
          <w:rFonts w:eastAsia="Times New Roman" w:cs="Calibri"/>
          <w:sz w:val="22"/>
          <w:szCs w:val="22"/>
          <w:lang w:val="es-ES" w:eastAsia="es-ES"/>
        </w:rPr>
        <w:t>No Aplica</w:t>
      </w:r>
    </w:p>
    <w:p w14:paraId="49781578"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1EDC7323"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0A39D7B1"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681449D6"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4.</w:t>
      </w:r>
      <w:r>
        <w:rPr>
          <w:rFonts w:eastAsia="Times New Roman" w:cs="Calibri"/>
          <w:b/>
          <w:sz w:val="22"/>
          <w:szCs w:val="22"/>
          <w:lang w:eastAsia="es-ES"/>
        </w:rPr>
        <w:tab/>
        <w:t>Bases de Preparación de los Estados Financieros</w:t>
      </w:r>
    </w:p>
    <w:p w14:paraId="6D617AD8" w14:textId="77777777" w:rsidR="003722CF" w:rsidRDefault="003722CF">
      <w:pPr>
        <w:jc w:val="both"/>
        <w:rPr>
          <w:rFonts w:eastAsia="Times New Roman" w:cs="Calibri"/>
          <w:sz w:val="22"/>
          <w:szCs w:val="22"/>
        </w:rPr>
      </w:pPr>
    </w:p>
    <w:p w14:paraId="4FB2A415" w14:textId="77777777" w:rsidR="003722CF" w:rsidRDefault="00411668">
      <w:pPr>
        <w:ind w:left="709"/>
        <w:jc w:val="both"/>
        <w:rPr>
          <w:rFonts w:eastAsia="Times New Roman" w:cs="Calibri"/>
          <w:sz w:val="22"/>
          <w:szCs w:val="22"/>
        </w:rPr>
      </w:pPr>
      <w:r>
        <w:rPr>
          <w:rFonts w:eastAsia="Times New Roman" w:cs="Calibri"/>
          <w:sz w:val="22"/>
          <w:szCs w:val="22"/>
        </w:rPr>
        <w:t xml:space="preserve">Los estados financieros fueron elaborados con la información generada por el </w:t>
      </w:r>
      <w:r>
        <w:rPr>
          <w:rFonts w:eastAsia="Times New Roman" w:cs="Calibri"/>
          <w:sz w:val="22"/>
          <w:szCs w:val="22"/>
        </w:rPr>
        <w:t xml:space="preserve">programa “Sistema Automatizado de Administración y Contabilidad Gubernamental” del proveedor </w:t>
      </w:r>
      <w:proofErr w:type="spellStart"/>
      <w:r>
        <w:rPr>
          <w:rFonts w:eastAsia="Times New Roman" w:cs="Calibri"/>
          <w:sz w:val="22"/>
          <w:szCs w:val="22"/>
        </w:rPr>
        <w:t>Indetec</w:t>
      </w:r>
      <w:proofErr w:type="spellEnd"/>
      <w:r>
        <w:rPr>
          <w:rFonts w:eastAsia="Times New Roman" w:cs="Calibri"/>
          <w:sz w:val="22"/>
          <w:szCs w:val="22"/>
        </w:rPr>
        <w:t>, que cumple con los lineamientos establecidos por el Consejo Nacional de Armonización Contable (CONAC).</w:t>
      </w:r>
    </w:p>
    <w:p w14:paraId="134D9DF6" w14:textId="77777777" w:rsidR="003722CF" w:rsidRDefault="003722CF">
      <w:pPr>
        <w:ind w:left="709"/>
        <w:jc w:val="both"/>
        <w:rPr>
          <w:rFonts w:eastAsia="Times New Roman" w:cs="Calibri"/>
          <w:sz w:val="22"/>
          <w:szCs w:val="22"/>
        </w:rPr>
      </w:pPr>
    </w:p>
    <w:p w14:paraId="23B1A229" w14:textId="77777777" w:rsidR="003722CF" w:rsidRDefault="00411668">
      <w:pPr>
        <w:ind w:left="709"/>
        <w:jc w:val="both"/>
        <w:rPr>
          <w:rFonts w:eastAsia="Times New Roman" w:cs="Calibri"/>
          <w:sz w:val="22"/>
          <w:szCs w:val="22"/>
        </w:rPr>
      </w:pPr>
      <w:r>
        <w:rPr>
          <w:rFonts w:eastAsia="Times New Roman" w:cs="Calibri"/>
          <w:sz w:val="22"/>
          <w:szCs w:val="22"/>
        </w:rPr>
        <w:t>Los bienes muebles están registrados considerando el valor en libros determinado por el valor de adquisición menos la depreciación acumulada al final del ejercicio. Con base en la normatividad emitida por el CONAC en 2015 se depuraron las cuentas de activo no circulante para eliminar los bienes muebles “controlables” y “no controlables” con un valor factura inferior al monto de 35 salarios mínimos generales.</w:t>
      </w:r>
    </w:p>
    <w:p w14:paraId="70A6D6C8"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4B8AB955" w14:textId="77777777" w:rsidR="003722CF" w:rsidRDefault="003722CF">
      <w:pPr>
        <w:spacing w:line="240" w:lineRule="exact"/>
        <w:ind w:firstLine="288"/>
        <w:jc w:val="both"/>
        <w:rPr>
          <w:rFonts w:eastAsia="Times New Roman" w:cs="Calibri"/>
          <w:b/>
          <w:sz w:val="22"/>
          <w:szCs w:val="22"/>
          <w:lang w:eastAsia="es-ES"/>
        </w:rPr>
      </w:pPr>
    </w:p>
    <w:p w14:paraId="23F4C354"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5.</w:t>
      </w:r>
      <w:r>
        <w:rPr>
          <w:rFonts w:eastAsia="Times New Roman" w:cs="Calibri"/>
          <w:b/>
          <w:sz w:val="22"/>
          <w:szCs w:val="22"/>
          <w:lang w:eastAsia="es-ES"/>
        </w:rPr>
        <w:tab/>
        <w:t>Políticas de Contabilidad Significativas.</w:t>
      </w:r>
    </w:p>
    <w:p w14:paraId="7FF631FF" w14:textId="77777777" w:rsidR="003722CF" w:rsidRDefault="003722CF">
      <w:pPr>
        <w:ind w:left="709"/>
        <w:jc w:val="both"/>
        <w:rPr>
          <w:rFonts w:eastAsia="Times New Roman" w:cs="Calibri"/>
          <w:sz w:val="22"/>
          <w:szCs w:val="22"/>
        </w:rPr>
      </w:pPr>
    </w:p>
    <w:p w14:paraId="22E90497" w14:textId="77777777" w:rsidR="003722CF" w:rsidRDefault="00411668">
      <w:pPr>
        <w:widowControl/>
        <w:numPr>
          <w:ilvl w:val="0"/>
          <w:numId w:val="11"/>
        </w:numPr>
        <w:suppressAutoHyphens w:val="0"/>
        <w:jc w:val="both"/>
        <w:textAlignment w:val="auto"/>
      </w:pPr>
      <w:r>
        <w:rPr>
          <w:rFonts w:eastAsia="Times New Roman" w:cs="Calibri"/>
          <w:sz w:val="22"/>
          <w:szCs w:val="22"/>
        </w:rPr>
        <w:t>El registro contable de las operaciones se llevó a cabo siguiendo la normatividad</w:t>
      </w:r>
      <w:r>
        <w:rPr>
          <w:rFonts w:eastAsia="Times New Roman" w:cs="Calibri"/>
          <w:color w:val="00B050"/>
          <w:sz w:val="22"/>
          <w:szCs w:val="22"/>
        </w:rPr>
        <w:t xml:space="preserve"> </w:t>
      </w:r>
      <w:r>
        <w:rPr>
          <w:rFonts w:eastAsia="Times New Roman" w:cs="Calibri"/>
          <w:sz w:val="22"/>
          <w:szCs w:val="22"/>
        </w:rPr>
        <w:t xml:space="preserve">establecida por el </w:t>
      </w:r>
      <w:r>
        <w:rPr>
          <w:rFonts w:eastAsia="Times New Roman" w:cs="Calibri"/>
          <w:sz w:val="22"/>
          <w:szCs w:val="22"/>
        </w:rPr>
        <w:t>Consejo Nacional de Armonización Contable (CONAC) y la Ley General de Contabilidad Gubernamental.</w:t>
      </w:r>
    </w:p>
    <w:p w14:paraId="6061DF8F" w14:textId="77777777" w:rsidR="003722CF" w:rsidRDefault="003722CF">
      <w:pPr>
        <w:widowControl/>
        <w:suppressAutoHyphens w:val="0"/>
        <w:ind w:left="1352"/>
        <w:jc w:val="both"/>
        <w:textAlignment w:val="auto"/>
        <w:rPr>
          <w:rFonts w:eastAsia="Times New Roman" w:cs="Calibri"/>
          <w:sz w:val="22"/>
          <w:szCs w:val="22"/>
        </w:rPr>
      </w:pPr>
    </w:p>
    <w:p w14:paraId="25CA4E76"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El registro contable de las operaciones es único, uniforme e integrador.</w:t>
      </w:r>
    </w:p>
    <w:p w14:paraId="5D30D2B7" w14:textId="77777777" w:rsidR="003722CF" w:rsidRDefault="003722CF">
      <w:pPr>
        <w:widowControl/>
        <w:suppressAutoHyphens w:val="0"/>
        <w:ind w:left="1352"/>
        <w:jc w:val="both"/>
        <w:textAlignment w:val="auto"/>
        <w:rPr>
          <w:rFonts w:eastAsia="Times New Roman" w:cs="Calibri"/>
          <w:sz w:val="22"/>
          <w:szCs w:val="22"/>
        </w:rPr>
      </w:pPr>
    </w:p>
    <w:p w14:paraId="3510AC1E"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integra en forma automática la operación contable con el ejercicio presupuestario.</w:t>
      </w:r>
    </w:p>
    <w:p w14:paraId="5BA7DB7B"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efectúan los registros considerando la base acumulativa (devengado) de las transacciones.</w:t>
      </w:r>
    </w:p>
    <w:p w14:paraId="519BDCB1"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registra de manera automática y, por única vez, en los momentos contables correspondientes.</w:t>
      </w:r>
    </w:p>
    <w:p w14:paraId="636E586D"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 xml:space="preserve">Se efectúa la interrelación automática entre los </w:t>
      </w:r>
      <w:r>
        <w:rPr>
          <w:rFonts w:eastAsia="Times New Roman" w:cs="Calibri"/>
          <w:sz w:val="22"/>
          <w:szCs w:val="22"/>
        </w:rPr>
        <w:t>clasificadores presupuestarios, la lista de cuentas y el catálogo de bienes.</w:t>
      </w:r>
    </w:p>
    <w:p w14:paraId="1B433D8B" w14:textId="77777777" w:rsidR="003722CF" w:rsidRDefault="003722CF">
      <w:pPr>
        <w:widowControl/>
        <w:suppressAutoHyphens w:val="0"/>
        <w:jc w:val="both"/>
        <w:textAlignment w:val="auto"/>
        <w:rPr>
          <w:rFonts w:eastAsia="Times New Roman" w:cs="Calibri"/>
          <w:sz w:val="22"/>
          <w:szCs w:val="22"/>
        </w:rPr>
      </w:pPr>
    </w:p>
    <w:p w14:paraId="7D9CBF34"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registran los momentos contables de los ingresos: Estimado, modificado, devengado y recaudado.</w:t>
      </w:r>
    </w:p>
    <w:p w14:paraId="01603990"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y de los egresos: aprobado, modificado, comprometido, devengado, ejercido y pagado.</w:t>
      </w:r>
    </w:p>
    <w:p w14:paraId="638CEC9A" w14:textId="77777777" w:rsidR="003722CF" w:rsidRDefault="003722CF">
      <w:pPr>
        <w:widowControl/>
        <w:suppressAutoHyphens w:val="0"/>
        <w:jc w:val="both"/>
        <w:textAlignment w:val="auto"/>
        <w:rPr>
          <w:rFonts w:eastAsia="Times New Roman" w:cs="Calibri"/>
          <w:sz w:val="22"/>
          <w:szCs w:val="22"/>
        </w:rPr>
      </w:pPr>
    </w:p>
    <w:p w14:paraId="305DBEFE"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mantiene la coordinación entre el registro y el control de los inventarios de los bienes muebles.</w:t>
      </w:r>
    </w:p>
    <w:p w14:paraId="1774DC8F" w14:textId="77777777" w:rsidR="003722CF" w:rsidRDefault="003722CF">
      <w:pPr>
        <w:widowControl/>
        <w:suppressAutoHyphens w:val="0"/>
        <w:ind w:left="1352"/>
        <w:jc w:val="both"/>
        <w:textAlignment w:val="auto"/>
        <w:rPr>
          <w:rFonts w:eastAsia="Times New Roman" w:cs="Calibri"/>
          <w:sz w:val="22"/>
          <w:szCs w:val="22"/>
        </w:rPr>
      </w:pPr>
    </w:p>
    <w:p w14:paraId="793E1BF5" w14:textId="77777777" w:rsidR="003722CF" w:rsidRDefault="003722CF">
      <w:pPr>
        <w:widowControl/>
        <w:suppressAutoHyphens w:val="0"/>
        <w:ind w:left="1352"/>
        <w:jc w:val="both"/>
        <w:textAlignment w:val="auto"/>
        <w:rPr>
          <w:rFonts w:eastAsia="Times New Roman" w:cs="Calibri"/>
          <w:sz w:val="22"/>
          <w:szCs w:val="22"/>
        </w:rPr>
      </w:pPr>
    </w:p>
    <w:p w14:paraId="5EC3872E" w14:textId="77777777" w:rsidR="003722CF" w:rsidRDefault="003722CF">
      <w:pPr>
        <w:widowControl/>
        <w:suppressAutoHyphens w:val="0"/>
        <w:ind w:left="1352"/>
        <w:jc w:val="both"/>
        <w:textAlignment w:val="auto"/>
        <w:rPr>
          <w:rFonts w:eastAsia="Times New Roman" w:cs="Calibri"/>
          <w:sz w:val="22"/>
          <w:szCs w:val="22"/>
        </w:rPr>
      </w:pPr>
    </w:p>
    <w:p w14:paraId="0E25CF3F" w14:textId="77777777" w:rsidR="003722CF" w:rsidRDefault="003722CF">
      <w:pPr>
        <w:widowControl/>
        <w:suppressAutoHyphens w:val="0"/>
        <w:ind w:left="1352"/>
        <w:jc w:val="both"/>
        <w:textAlignment w:val="auto"/>
        <w:rPr>
          <w:rFonts w:eastAsia="Times New Roman" w:cs="Calibri"/>
          <w:sz w:val="22"/>
          <w:szCs w:val="22"/>
        </w:rPr>
      </w:pPr>
    </w:p>
    <w:p w14:paraId="5B8C6E10" w14:textId="77777777" w:rsidR="003722CF" w:rsidRDefault="003722CF">
      <w:pPr>
        <w:widowControl/>
        <w:suppressAutoHyphens w:val="0"/>
        <w:ind w:left="1352"/>
        <w:jc w:val="both"/>
        <w:textAlignment w:val="auto"/>
        <w:rPr>
          <w:rFonts w:eastAsia="Times New Roman" w:cs="Calibri"/>
          <w:sz w:val="22"/>
          <w:szCs w:val="22"/>
        </w:rPr>
      </w:pPr>
    </w:p>
    <w:p w14:paraId="35675546" w14:textId="77777777" w:rsidR="003722CF" w:rsidRDefault="003722CF">
      <w:pPr>
        <w:widowControl/>
        <w:suppressAutoHyphens w:val="0"/>
        <w:ind w:left="1352"/>
        <w:jc w:val="both"/>
        <w:textAlignment w:val="auto"/>
        <w:rPr>
          <w:rFonts w:eastAsia="Times New Roman" w:cs="Calibri"/>
          <w:sz w:val="22"/>
          <w:szCs w:val="22"/>
        </w:rPr>
      </w:pPr>
    </w:p>
    <w:p w14:paraId="583F22C3"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generan los estados financieros y la información complementaria necesaria que coadyuven a la toma de decisiones, la transparencia y la rendición de cuentas.</w:t>
      </w:r>
    </w:p>
    <w:p w14:paraId="092585DC"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Se utilizan las herramientas de informática apropiadas para el registro y control de las operaciones.</w:t>
      </w:r>
    </w:p>
    <w:p w14:paraId="7F8CF56D"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 xml:space="preserve">El activo no circulante se actualizó, </w:t>
      </w:r>
      <w:proofErr w:type="gramStart"/>
      <w:r>
        <w:rPr>
          <w:rFonts w:eastAsia="Times New Roman" w:cs="Calibri"/>
          <w:sz w:val="22"/>
          <w:szCs w:val="22"/>
        </w:rPr>
        <w:t>de acuerdo a</w:t>
      </w:r>
      <w:proofErr w:type="gramEnd"/>
      <w:r>
        <w:rPr>
          <w:rFonts w:eastAsia="Times New Roman" w:cs="Calibri"/>
          <w:sz w:val="22"/>
          <w:szCs w:val="22"/>
        </w:rPr>
        <w:t xml:space="preserve"> las normas del CONAC, eliminando los bienes “controlables” y “no controlables”.</w:t>
      </w:r>
    </w:p>
    <w:p w14:paraId="5DB052C1"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No se realizaron operaciones en el extranjero.</w:t>
      </w:r>
    </w:p>
    <w:p w14:paraId="50638F34"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No se tiene inversión en acciones del Sector Paraestatal ni ningún otro tipo de inversiones.</w:t>
      </w:r>
    </w:p>
    <w:p w14:paraId="1679969C" w14:textId="77777777" w:rsidR="003722CF" w:rsidRDefault="00411668">
      <w:pPr>
        <w:widowControl/>
        <w:numPr>
          <w:ilvl w:val="0"/>
          <w:numId w:val="11"/>
        </w:numPr>
        <w:suppressAutoHyphens w:val="0"/>
        <w:jc w:val="both"/>
        <w:textAlignment w:val="auto"/>
        <w:rPr>
          <w:rFonts w:eastAsia="Times New Roman" w:cs="Calibri"/>
          <w:sz w:val="22"/>
          <w:szCs w:val="22"/>
        </w:rPr>
      </w:pPr>
      <w:r>
        <w:rPr>
          <w:rFonts w:eastAsia="Times New Roman" w:cs="Calibri"/>
          <w:sz w:val="22"/>
          <w:szCs w:val="22"/>
        </w:rPr>
        <w:t>No se han establecido reservas de ningún tipo. Las únicas provisiones registradas corresponden a los impuestos, tanto ISR como Impuesto Estatal Sobre Nóminas correspondientes al mes inmediato anterior.</w:t>
      </w:r>
    </w:p>
    <w:p w14:paraId="5193948B"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25B68957"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66BF9735"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6.</w:t>
      </w:r>
      <w:r>
        <w:rPr>
          <w:rFonts w:eastAsia="Times New Roman" w:cs="Calibri"/>
          <w:b/>
          <w:sz w:val="22"/>
          <w:szCs w:val="22"/>
          <w:lang w:eastAsia="es-ES"/>
        </w:rPr>
        <w:tab/>
        <w:t>Posición en Moneda Extranjera y Protección por Riesgo Cambiario</w:t>
      </w:r>
    </w:p>
    <w:p w14:paraId="5F18CCD4" w14:textId="77777777" w:rsidR="003722CF" w:rsidRDefault="003722CF">
      <w:pPr>
        <w:ind w:left="709"/>
        <w:jc w:val="both"/>
        <w:rPr>
          <w:rFonts w:eastAsia="Times New Roman" w:cs="Calibri"/>
          <w:sz w:val="22"/>
          <w:szCs w:val="22"/>
        </w:rPr>
      </w:pPr>
    </w:p>
    <w:p w14:paraId="5576D587" w14:textId="77777777" w:rsidR="003722CF" w:rsidRDefault="00411668">
      <w:pPr>
        <w:ind w:left="709"/>
        <w:jc w:val="both"/>
        <w:rPr>
          <w:rFonts w:eastAsia="Times New Roman" w:cs="Calibri"/>
          <w:sz w:val="22"/>
          <w:szCs w:val="22"/>
        </w:rPr>
      </w:pPr>
      <w:r>
        <w:rPr>
          <w:rFonts w:eastAsia="Times New Roman" w:cs="Calibri"/>
          <w:sz w:val="22"/>
          <w:szCs w:val="22"/>
        </w:rPr>
        <w:t>No Aplica</w:t>
      </w:r>
    </w:p>
    <w:p w14:paraId="4AEA8731"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225132E7"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201A8211" w14:textId="77777777" w:rsidR="003722CF" w:rsidRDefault="003722CF">
      <w:pPr>
        <w:spacing w:line="240" w:lineRule="exact"/>
        <w:ind w:firstLine="288"/>
        <w:jc w:val="both"/>
        <w:rPr>
          <w:rFonts w:eastAsia="Times New Roman" w:cs="Calibri"/>
          <w:b/>
          <w:sz w:val="22"/>
          <w:szCs w:val="22"/>
          <w:lang w:eastAsia="es-ES"/>
        </w:rPr>
      </w:pPr>
    </w:p>
    <w:p w14:paraId="33FC77DB"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7.     Reporte Analítico del Activo</w:t>
      </w:r>
    </w:p>
    <w:p w14:paraId="778ED071" w14:textId="77777777" w:rsidR="003722CF" w:rsidRDefault="003722CF">
      <w:pPr>
        <w:ind w:left="709"/>
        <w:jc w:val="both"/>
        <w:rPr>
          <w:rFonts w:eastAsia="Times New Roman" w:cs="Calibri"/>
          <w:sz w:val="22"/>
          <w:szCs w:val="22"/>
        </w:rPr>
      </w:pPr>
    </w:p>
    <w:p w14:paraId="3CDF6E9F" w14:textId="77777777" w:rsidR="003722CF" w:rsidRDefault="00411668">
      <w:pPr>
        <w:ind w:left="709"/>
        <w:jc w:val="both"/>
        <w:rPr>
          <w:rFonts w:eastAsia="Times New Roman" w:cs="Calibri"/>
          <w:sz w:val="22"/>
          <w:szCs w:val="22"/>
        </w:rPr>
      </w:pPr>
      <w:r>
        <w:rPr>
          <w:rFonts w:eastAsia="Times New Roman" w:cs="Calibri"/>
          <w:sz w:val="22"/>
          <w:szCs w:val="22"/>
        </w:rPr>
        <w:t xml:space="preserve">Anexamos reporte analítico del activo, concepto </w:t>
      </w:r>
      <w:r>
        <w:rPr>
          <w:rFonts w:eastAsia="Times New Roman" w:cs="Calibri"/>
          <w:sz w:val="22"/>
          <w:szCs w:val="22"/>
        </w:rPr>
        <w:t>bienes muebles. El organismo no posee bienes inmuebles.</w:t>
      </w:r>
    </w:p>
    <w:p w14:paraId="62A38F12" w14:textId="77777777" w:rsidR="003722CF" w:rsidRDefault="003722CF">
      <w:pPr>
        <w:ind w:left="709"/>
        <w:jc w:val="both"/>
        <w:rPr>
          <w:rFonts w:eastAsia="Times New Roman" w:cs="Calibri"/>
          <w:sz w:val="22"/>
          <w:szCs w:val="22"/>
        </w:rPr>
      </w:pPr>
    </w:p>
    <w:tbl>
      <w:tblPr>
        <w:tblW w:w="7960" w:type="dxa"/>
        <w:tblInd w:w="1384" w:type="dxa"/>
        <w:tblCellMar>
          <w:left w:w="10" w:type="dxa"/>
          <w:right w:w="10" w:type="dxa"/>
        </w:tblCellMar>
        <w:tblLook w:val="0000" w:firstRow="0" w:lastRow="0" w:firstColumn="0" w:lastColumn="0" w:noHBand="0" w:noVBand="0"/>
      </w:tblPr>
      <w:tblGrid>
        <w:gridCol w:w="3600"/>
        <w:gridCol w:w="1340"/>
        <w:gridCol w:w="1640"/>
        <w:gridCol w:w="1380"/>
      </w:tblGrid>
      <w:tr w:rsidR="003722CF" w14:paraId="2A37E636" w14:textId="77777777">
        <w:tblPrEx>
          <w:tblCellMar>
            <w:top w:w="0" w:type="dxa"/>
            <w:bottom w:w="0" w:type="dxa"/>
          </w:tblCellMar>
        </w:tblPrEx>
        <w:trPr>
          <w:trHeight w:val="600"/>
        </w:trPr>
        <w:tc>
          <w:tcPr>
            <w:tcW w:w="360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7B4800E" w14:textId="77777777" w:rsidR="003722CF" w:rsidRDefault="00411668">
            <w:pPr>
              <w:jc w:val="center"/>
              <w:rPr>
                <w:rFonts w:eastAsia="Times New Roman" w:cs="Calibri"/>
                <w:color w:val="FFFFFF"/>
                <w:sz w:val="22"/>
                <w:szCs w:val="22"/>
              </w:rPr>
            </w:pPr>
            <w:r>
              <w:rPr>
                <w:rFonts w:eastAsia="Times New Roman" w:cs="Calibri"/>
                <w:color w:val="FFFFFF"/>
                <w:sz w:val="22"/>
                <w:szCs w:val="22"/>
              </w:rPr>
              <w:t>Concepto</w:t>
            </w:r>
          </w:p>
        </w:tc>
        <w:tc>
          <w:tcPr>
            <w:tcW w:w="13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2A15CC0" w14:textId="77777777" w:rsidR="003722CF" w:rsidRDefault="00411668">
            <w:pPr>
              <w:jc w:val="center"/>
              <w:rPr>
                <w:rFonts w:eastAsia="Times New Roman" w:cs="Calibri"/>
                <w:color w:val="FFFFFF"/>
                <w:sz w:val="22"/>
                <w:szCs w:val="22"/>
              </w:rPr>
            </w:pPr>
            <w:r>
              <w:rPr>
                <w:rFonts w:eastAsia="Times New Roman" w:cs="Calibri"/>
                <w:color w:val="FFFFFF"/>
                <w:sz w:val="22"/>
                <w:szCs w:val="22"/>
              </w:rPr>
              <w:t>Importe</w:t>
            </w:r>
          </w:p>
        </w:tc>
        <w:tc>
          <w:tcPr>
            <w:tcW w:w="16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36FE60D" w14:textId="77777777" w:rsidR="003722CF" w:rsidRDefault="00411668">
            <w:pPr>
              <w:jc w:val="center"/>
              <w:rPr>
                <w:rFonts w:eastAsia="Times New Roman" w:cs="Calibri"/>
                <w:color w:val="FFFFFF"/>
                <w:sz w:val="22"/>
                <w:szCs w:val="22"/>
              </w:rPr>
            </w:pPr>
            <w:r>
              <w:rPr>
                <w:rFonts w:eastAsia="Times New Roman" w:cs="Calibri"/>
                <w:color w:val="FFFFFF"/>
                <w:sz w:val="22"/>
                <w:szCs w:val="22"/>
              </w:rPr>
              <w:t>Años Vida útil</w:t>
            </w:r>
          </w:p>
        </w:tc>
        <w:tc>
          <w:tcPr>
            <w:tcW w:w="138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6D95253" w14:textId="77777777" w:rsidR="003722CF" w:rsidRDefault="00411668">
            <w:pPr>
              <w:jc w:val="both"/>
              <w:rPr>
                <w:rFonts w:eastAsia="Times New Roman" w:cs="Calibri"/>
                <w:color w:val="FFFFFF"/>
                <w:sz w:val="22"/>
                <w:szCs w:val="22"/>
              </w:rPr>
            </w:pPr>
            <w:r>
              <w:rPr>
                <w:rFonts w:eastAsia="Times New Roman" w:cs="Calibri"/>
                <w:color w:val="FFFFFF"/>
                <w:sz w:val="22"/>
                <w:szCs w:val="22"/>
              </w:rPr>
              <w:t>Porcentaje Depreciación</w:t>
            </w:r>
          </w:p>
        </w:tc>
      </w:tr>
      <w:tr w:rsidR="003722CF" w14:paraId="6A874F51"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D8777F7"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Mobiliario y </w:t>
            </w:r>
            <w:proofErr w:type="spellStart"/>
            <w:r>
              <w:rPr>
                <w:rFonts w:eastAsia="Times New Roman" w:cs="Calibri"/>
                <w:color w:val="000000"/>
                <w:sz w:val="22"/>
                <w:szCs w:val="22"/>
              </w:rPr>
              <w:t>Eq</w:t>
            </w:r>
            <w:proofErr w:type="spellEnd"/>
            <w:r>
              <w:rPr>
                <w:rFonts w:eastAsia="Times New Roman" w:cs="Calibri"/>
                <w:color w:val="000000"/>
                <w:sz w:val="22"/>
                <w:szCs w:val="22"/>
              </w:rPr>
              <w:t>. De Admón.</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120A1D" w14:textId="77777777" w:rsidR="003722CF" w:rsidRDefault="00411668">
            <w:pPr>
              <w:jc w:val="right"/>
              <w:rPr>
                <w:rFonts w:eastAsia="Times New Roman" w:cs="Calibri"/>
                <w:color w:val="000000"/>
                <w:sz w:val="22"/>
                <w:szCs w:val="22"/>
              </w:rPr>
            </w:pPr>
            <w:r>
              <w:rPr>
                <w:rFonts w:eastAsia="Times New Roman" w:cs="Calibri"/>
                <w:color w:val="000000"/>
                <w:sz w:val="22"/>
                <w:szCs w:val="22"/>
              </w:rPr>
              <w:t>$850,566</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1AA3AB" w14:textId="77777777" w:rsidR="003722CF" w:rsidRDefault="00411668">
            <w:pPr>
              <w:jc w:val="center"/>
              <w:rPr>
                <w:rFonts w:eastAsia="Times New Roman" w:cs="Calibri"/>
                <w:color w:val="000000"/>
                <w:sz w:val="22"/>
                <w:szCs w:val="22"/>
              </w:rPr>
            </w:pPr>
            <w:r>
              <w:rPr>
                <w:rFonts w:eastAsia="Times New Roman" w:cs="Calibri"/>
                <w:color w:val="000000"/>
                <w:sz w:val="22"/>
                <w:szCs w:val="22"/>
              </w:rPr>
              <w:t xml:space="preserve">10 </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05CC9C" w14:textId="77777777" w:rsidR="003722CF" w:rsidRDefault="00411668">
            <w:pPr>
              <w:jc w:val="center"/>
              <w:rPr>
                <w:rFonts w:eastAsia="Times New Roman" w:cs="Calibri"/>
                <w:color w:val="000000"/>
                <w:sz w:val="22"/>
                <w:szCs w:val="22"/>
              </w:rPr>
            </w:pPr>
            <w:r>
              <w:rPr>
                <w:rFonts w:eastAsia="Times New Roman" w:cs="Calibri"/>
                <w:color w:val="000000"/>
                <w:sz w:val="22"/>
                <w:szCs w:val="22"/>
              </w:rPr>
              <w:t>10%</w:t>
            </w:r>
          </w:p>
        </w:tc>
      </w:tr>
      <w:tr w:rsidR="003722CF" w14:paraId="49E02943"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FABDAD"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Mobiliario y </w:t>
            </w:r>
            <w:proofErr w:type="spellStart"/>
            <w:r>
              <w:rPr>
                <w:rFonts w:eastAsia="Times New Roman" w:cs="Calibri"/>
                <w:color w:val="000000"/>
                <w:sz w:val="22"/>
                <w:szCs w:val="22"/>
              </w:rPr>
              <w:t>Eq</w:t>
            </w:r>
            <w:proofErr w:type="spellEnd"/>
            <w:r>
              <w:rPr>
                <w:rFonts w:eastAsia="Times New Roman" w:cs="Calibri"/>
                <w:color w:val="000000"/>
                <w:sz w:val="22"/>
                <w:szCs w:val="22"/>
              </w:rPr>
              <w:t>. Educacional y Recreativo</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4B7B3A" w14:textId="77777777" w:rsidR="003722CF" w:rsidRDefault="00411668">
            <w:pPr>
              <w:jc w:val="right"/>
              <w:rPr>
                <w:rFonts w:eastAsia="Times New Roman" w:cs="Calibri"/>
                <w:color w:val="000000"/>
                <w:sz w:val="22"/>
                <w:szCs w:val="22"/>
              </w:rPr>
            </w:pPr>
            <w:r>
              <w:rPr>
                <w:rFonts w:eastAsia="Times New Roman" w:cs="Calibri"/>
                <w:color w:val="000000"/>
                <w:sz w:val="22"/>
                <w:szCs w:val="22"/>
              </w:rPr>
              <w:t>$84,127</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C330B1" w14:textId="77777777" w:rsidR="003722CF" w:rsidRDefault="00411668">
            <w:pPr>
              <w:jc w:val="center"/>
              <w:rPr>
                <w:rFonts w:eastAsia="Times New Roman" w:cs="Calibri"/>
                <w:color w:val="000000"/>
                <w:sz w:val="22"/>
                <w:szCs w:val="22"/>
              </w:rPr>
            </w:pPr>
            <w:r>
              <w:rPr>
                <w:rFonts w:eastAsia="Times New Roman" w:cs="Calibri"/>
                <w:color w:val="000000"/>
                <w:sz w:val="22"/>
                <w:szCs w:val="22"/>
              </w:rPr>
              <w:t xml:space="preserve">5 </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2FE139" w14:textId="77777777" w:rsidR="003722CF" w:rsidRDefault="00411668">
            <w:pPr>
              <w:jc w:val="center"/>
              <w:rPr>
                <w:rFonts w:eastAsia="Times New Roman" w:cs="Calibri"/>
                <w:color w:val="000000"/>
                <w:sz w:val="22"/>
                <w:szCs w:val="22"/>
              </w:rPr>
            </w:pPr>
            <w:r>
              <w:rPr>
                <w:rFonts w:eastAsia="Times New Roman" w:cs="Calibri"/>
                <w:color w:val="000000"/>
                <w:sz w:val="22"/>
                <w:szCs w:val="22"/>
              </w:rPr>
              <w:t>20%</w:t>
            </w:r>
          </w:p>
        </w:tc>
      </w:tr>
      <w:tr w:rsidR="003722CF" w14:paraId="54CD9EEC"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9BDC36" w14:textId="77777777" w:rsidR="003722CF" w:rsidRDefault="00411668">
            <w:pPr>
              <w:rPr>
                <w:rFonts w:eastAsia="Times New Roman" w:cs="Calibri"/>
                <w:color w:val="000000"/>
                <w:sz w:val="22"/>
                <w:szCs w:val="22"/>
              </w:rPr>
            </w:pPr>
            <w:r>
              <w:rPr>
                <w:rFonts w:eastAsia="Times New Roman" w:cs="Calibri"/>
                <w:color w:val="000000"/>
                <w:sz w:val="22"/>
                <w:szCs w:val="22"/>
              </w:rPr>
              <w:t>Equipo de Computo</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5BDA88" w14:textId="77777777" w:rsidR="003722CF" w:rsidRDefault="00411668">
            <w:pPr>
              <w:jc w:val="right"/>
              <w:rPr>
                <w:rFonts w:eastAsia="Times New Roman" w:cs="Calibri"/>
                <w:color w:val="000000"/>
                <w:sz w:val="22"/>
                <w:szCs w:val="22"/>
              </w:rPr>
            </w:pPr>
            <w:r>
              <w:rPr>
                <w:rFonts w:eastAsia="Times New Roman" w:cs="Calibri"/>
                <w:color w:val="000000"/>
                <w:sz w:val="22"/>
                <w:szCs w:val="22"/>
              </w:rPr>
              <w:t>1,276,640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DB8838" w14:textId="77777777" w:rsidR="003722CF" w:rsidRDefault="00411668">
            <w:pPr>
              <w:jc w:val="center"/>
              <w:rPr>
                <w:rFonts w:eastAsia="Times New Roman" w:cs="Calibri"/>
                <w:color w:val="000000"/>
                <w:sz w:val="22"/>
                <w:szCs w:val="22"/>
              </w:rPr>
            </w:pPr>
            <w:r>
              <w:rPr>
                <w:rFonts w:eastAsia="Times New Roman" w:cs="Calibri"/>
                <w:color w:val="000000"/>
                <w:sz w:val="22"/>
                <w:szCs w:val="22"/>
              </w:rPr>
              <w:t>5</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005AD13" w14:textId="77777777" w:rsidR="003722CF" w:rsidRDefault="00411668">
            <w:pPr>
              <w:jc w:val="center"/>
              <w:rPr>
                <w:rFonts w:eastAsia="Times New Roman" w:cs="Calibri"/>
                <w:color w:val="000000"/>
                <w:sz w:val="22"/>
                <w:szCs w:val="22"/>
              </w:rPr>
            </w:pPr>
            <w:r>
              <w:rPr>
                <w:rFonts w:eastAsia="Times New Roman" w:cs="Calibri"/>
                <w:color w:val="000000"/>
                <w:sz w:val="22"/>
                <w:szCs w:val="22"/>
              </w:rPr>
              <w:t>20%</w:t>
            </w:r>
          </w:p>
        </w:tc>
      </w:tr>
      <w:tr w:rsidR="003722CF" w14:paraId="5FF32DD7"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56A896" w14:textId="77777777" w:rsidR="003722CF" w:rsidRDefault="00411668">
            <w:pPr>
              <w:rPr>
                <w:rFonts w:eastAsia="Times New Roman" w:cs="Calibri"/>
                <w:color w:val="000000"/>
                <w:sz w:val="22"/>
                <w:szCs w:val="22"/>
              </w:rPr>
            </w:pPr>
            <w:r>
              <w:rPr>
                <w:rFonts w:eastAsia="Times New Roman" w:cs="Calibri"/>
                <w:color w:val="000000"/>
                <w:sz w:val="22"/>
                <w:szCs w:val="22"/>
              </w:rPr>
              <w:t>Equipo de Transporte</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8E6F10" w14:textId="77777777" w:rsidR="003722CF" w:rsidRDefault="00411668">
            <w:pPr>
              <w:jc w:val="right"/>
              <w:rPr>
                <w:rFonts w:eastAsia="Times New Roman" w:cs="Calibri"/>
                <w:color w:val="000000"/>
                <w:sz w:val="22"/>
                <w:szCs w:val="22"/>
              </w:rPr>
            </w:pPr>
            <w:r>
              <w:rPr>
                <w:rFonts w:eastAsia="Times New Roman" w:cs="Calibri"/>
                <w:color w:val="000000"/>
                <w:sz w:val="22"/>
                <w:szCs w:val="22"/>
              </w:rPr>
              <w:t>737,400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479A4B" w14:textId="77777777" w:rsidR="003722CF" w:rsidRDefault="00411668">
            <w:pPr>
              <w:jc w:val="center"/>
              <w:rPr>
                <w:rFonts w:eastAsia="Times New Roman" w:cs="Calibri"/>
                <w:color w:val="000000"/>
                <w:sz w:val="22"/>
                <w:szCs w:val="22"/>
              </w:rPr>
            </w:pPr>
            <w:r>
              <w:rPr>
                <w:rFonts w:eastAsia="Times New Roman" w:cs="Calibri"/>
                <w:color w:val="000000"/>
                <w:sz w:val="22"/>
                <w:szCs w:val="22"/>
              </w:rPr>
              <w:t>8</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F71526" w14:textId="77777777" w:rsidR="003722CF" w:rsidRDefault="00411668">
            <w:pPr>
              <w:jc w:val="center"/>
              <w:rPr>
                <w:rFonts w:eastAsia="Times New Roman" w:cs="Calibri"/>
                <w:color w:val="000000"/>
                <w:sz w:val="22"/>
                <w:szCs w:val="22"/>
              </w:rPr>
            </w:pPr>
            <w:r>
              <w:rPr>
                <w:rFonts w:eastAsia="Times New Roman" w:cs="Calibri"/>
                <w:color w:val="000000"/>
                <w:sz w:val="22"/>
                <w:szCs w:val="22"/>
              </w:rPr>
              <w:t>12.50%</w:t>
            </w:r>
          </w:p>
        </w:tc>
      </w:tr>
      <w:tr w:rsidR="003722CF" w14:paraId="09CFA457"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32858C"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Equipo de Comunicación </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3A09AD" w14:textId="77777777" w:rsidR="003722CF" w:rsidRDefault="00411668">
            <w:pPr>
              <w:jc w:val="right"/>
              <w:rPr>
                <w:rFonts w:eastAsia="Times New Roman" w:cs="Calibri"/>
                <w:color w:val="000000"/>
                <w:sz w:val="22"/>
                <w:szCs w:val="22"/>
              </w:rPr>
            </w:pPr>
            <w:r>
              <w:rPr>
                <w:rFonts w:eastAsia="Times New Roman" w:cs="Calibri"/>
                <w:color w:val="000000"/>
                <w:sz w:val="22"/>
                <w:szCs w:val="22"/>
              </w:rPr>
              <w:t>$26,216</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920611" w14:textId="77777777" w:rsidR="003722CF" w:rsidRDefault="00411668">
            <w:pPr>
              <w:jc w:val="center"/>
              <w:rPr>
                <w:rFonts w:eastAsia="Times New Roman" w:cs="Calibri"/>
                <w:color w:val="000000"/>
                <w:sz w:val="22"/>
                <w:szCs w:val="22"/>
              </w:rPr>
            </w:pPr>
            <w:r>
              <w:rPr>
                <w:rFonts w:eastAsia="Times New Roman" w:cs="Calibri"/>
                <w:color w:val="000000"/>
                <w:sz w:val="22"/>
                <w:szCs w:val="22"/>
              </w:rPr>
              <w:t>5</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FF9A50" w14:textId="77777777" w:rsidR="003722CF" w:rsidRDefault="00411668">
            <w:pPr>
              <w:jc w:val="center"/>
              <w:rPr>
                <w:rFonts w:eastAsia="Times New Roman" w:cs="Calibri"/>
                <w:color w:val="000000"/>
                <w:sz w:val="22"/>
                <w:szCs w:val="22"/>
              </w:rPr>
            </w:pPr>
            <w:r>
              <w:rPr>
                <w:rFonts w:eastAsia="Times New Roman" w:cs="Calibri"/>
                <w:color w:val="000000"/>
                <w:sz w:val="22"/>
                <w:szCs w:val="22"/>
              </w:rPr>
              <w:t>20%</w:t>
            </w:r>
          </w:p>
        </w:tc>
      </w:tr>
      <w:tr w:rsidR="003722CF" w14:paraId="299B7669"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E056B3" w14:textId="77777777" w:rsidR="003722CF" w:rsidRDefault="00411668">
            <w:pPr>
              <w:rPr>
                <w:rFonts w:eastAsia="Times New Roman" w:cs="Calibri"/>
                <w:color w:val="000000"/>
                <w:sz w:val="22"/>
                <w:szCs w:val="22"/>
              </w:rPr>
            </w:pPr>
            <w:r>
              <w:rPr>
                <w:rFonts w:eastAsia="Times New Roman" w:cs="Calibri"/>
                <w:color w:val="000000"/>
                <w:sz w:val="22"/>
                <w:szCs w:val="22"/>
              </w:rPr>
              <w:t>Activos Intangibles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26AFA9A" w14:textId="77777777" w:rsidR="003722CF" w:rsidRDefault="00411668">
            <w:pPr>
              <w:jc w:val="right"/>
              <w:rPr>
                <w:rFonts w:eastAsia="Times New Roman" w:cs="Calibri"/>
                <w:color w:val="000000"/>
                <w:sz w:val="22"/>
                <w:szCs w:val="22"/>
              </w:rPr>
            </w:pPr>
            <w:r>
              <w:rPr>
                <w:rFonts w:eastAsia="Times New Roman" w:cs="Calibri"/>
                <w:color w:val="000000"/>
                <w:sz w:val="22"/>
                <w:szCs w:val="22"/>
              </w:rPr>
              <w:t>100,920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1CBD3C" w14:textId="77777777" w:rsidR="003722CF" w:rsidRDefault="003722CF">
            <w:pPr>
              <w:jc w:val="center"/>
              <w:rPr>
                <w:rFonts w:eastAsia="Times New Roman" w:cs="Calibri"/>
                <w:color w:val="000000"/>
                <w:sz w:val="22"/>
                <w:szCs w:val="22"/>
              </w:rPr>
            </w:pP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949816" w14:textId="77777777" w:rsidR="003722CF" w:rsidRDefault="003722CF">
            <w:pPr>
              <w:jc w:val="center"/>
              <w:rPr>
                <w:rFonts w:eastAsia="Times New Roman" w:cs="Calibri"/>
                <w:color w:val="000000"/>
                <w:sz w:val="22"/>
                <w:szCs w:val="22"/>
              </w:rPr>
            </w:pPr>
          </w:p>
        </w:tc>
      </w:tr>
      <w:tr w:rsidR="003722CF" w14:paraId="19E5F883"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1A5BA2" w14:textId="77777777" w:rsidR="003722CF" w:rsidRDefault="00411668">
            <w:pPr>
              <w:rPr>
                <w:rFonts w:eastAsia="Times New Roman" w:cs="Calibri"/>
                <w:color w:val="000000"/>
                <w:sz w:val="22"/>
                <w:szCs w:val="22"/>
              </w:rPr>
            </w:pPr>
            <w:r>
              <w:rPr>
                <w:rFonts w:eastAsia="Times New Roman" w:cs="Calibri"/>
                <w:color w:val="000000"/>
                <w:sz w:val="22"/>
                <w:szCs w:val="22"/>
              </w:rPr>
              <w:t>Total</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3A2640" w14:textId="77777777" w:rsidR="003722CF" w:rsidRDefault="00411668">
            <w:pPr>
              <w:jc w:val="right"/>
              <w:rPr>
                <w:rFonts w:eastAsia="Times New Roman" w:cs="Calibri"/>
                <w:color w:val="000000"/>
                <w:sz w:val="22"/>
                <w:szCs w:val="22"/>
              </w:rPr>
            </w:pPr>
            <w:r>
              <w:rPr>
                <w:rFonts w:eastAsia="Times New Roman" w:cs="Calibri"/>
                <w:color w:val="000000"/>
                <w:sz w:val="22"/>
                <w:szCs w:val="22"/>
              </w:rPr>
              <w:t>$3,075,869</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DA3B45" w14:textId="77777777" w:rsidR="003722CF" w:rsidRDefault="00411668">
            <w:pPr>
              <w:jc w:val="right"/>
              <w:rPr>
                <w:rFonts w:eastAsia="Times New Roman" w:cs="Calibri"/>
                <w:color w:val="000000"/>
                <w:sz w:val="22"/>
                <w:szCs w:val="22"/>
              </w:rPr>
            </w:pPr>
            <w:r>
              <w:rPr>
                <w:rFonts w:eastAsia="Times New Roman" w:cs="Calibri"/>
                <w:color w:val="000000"/>
                <w:sz w:val="22"/>
                <w:szCs w:val="22"/>
              </w:rPr>
              <w:t> </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208DA0" w14:textId="77777777" w:rsidR="003722CF" w:rsidRDefault="00411668">
            <w:pPr>
              <w:jc w:val="right"/>
              <w:rPr>
                <w:rFonts w:eastAsia="Times New Roman" w:cs="Calibri"/>
                <w:color w:val="000000"/>
                <w:sz w:val="22"/>
                <w:szCs w:val="22"/>
              </w:rPr>
            </w:pPr>
            <w:r>
              <w:rPr>
                <w:rFonts w:eastAsia="Times New Roman" w:cs="Calibri"/>
                <w:color w:val="000000"/>
                <w:sz w:val="22"/>
                <w:szCs w:val="22"/>
              </w:rPr>
              <w:t> </w:t>
            </w:r>
          </w:p>
        </w:tc>
      </w:tr>
    </w:tbl>
    <w:p w14:paraId="267B74B6" w14:textId="77777777" w:rsidR="003722CF" w:rsidRDefault="003722CF">
      <w:pPr>
        <w:ind w:left="709"/>
        <w:jc w:val="both"/>
        <w:rPr>
          <w:rFonts w:eastAsia="Times New Roman" w:cs="Calibri"/>
          <w:sz w:val="22"/>
          <w:szCs w:val="22"/>
        </w:rPr>
      </w:pPr>
    </w:p>
    <w:p w14:paraId="693929A7" w14:textId="77777777" w:rsidR="003722CF" w:rsidRDefault="003722CF">
      <w:pPr>
        <w:ind w:left="709"/>
        <w:jc w:val="both"/>
        <w:rPr>
          <w:rFonts w:eastAsia="Times New Roman" w:cs="Calibri"/>
          <w:sz w:val="22"/>
          <w:szCs w:val="22"/>
        </w:rPr>
      </w:pPr>
    </w:p>
    <w:p w14:paraId="50FFED12" w14:textId="77777777" w:rsidR="003722CF" w:rsidRDefault="00411668">
      <w:pPr>
        <w:ind w:left="709"/>
        <w:jc w:val="both"/>
        <w:rPr>
          <w:rFonts w:eastAsia="Times New Roman" w:cs="Calibri"/>
          <w:sz w:val="22"/>
          <w:szCs w:val="22"/>
        </w:rPr>
      </w:pPr>
      <w:r>
        <w:rPr>
          <w:rFonts w:eastAsia="Times New Roman" w:cs="Calibri"/>
          <w:sz w:val="22"/>
          <w:szCs w:val="22"/>
        </w:rPr>
        <w:t xml:space="preserve"> </w:t>
      </w:r>
    </w:p>
    <w:p w14:paraId="0536999E" w14:textId="77777777" w:rsidR="003722CF" w:rsidRDefault="00411668">
      <w:pPr>
        <w:spacing w:line="240" w:lineRule="exact"/>
        <w:jc w:val="both"/>
      </w:pPr>
      <w:r>
        <w:rPr>
          <w:rFonts w:eastAsia="Times New Roman" w:cs="Calibri"/>
          <w:sz w:val="22"/>
          <w:szCs w:val="22"/>
        </w:rPr>
        <w:t xml:space="preserve">El organismo no tiene Bienes Inmuebles, inversiones en valores, ni en empresas de participación mayoritaria y </w:t>
      </w:r>
      <w:r>
        <w:rPr>
          <w:rFonts w:eastAsia="Times New Roman" w:cs="Calibri"/>
          <w:sz w:val="22"/>
          <w:szCs w:val="22"/>
        </w:rPr>
        <w:t>minoritaria</w:t>
      </w:r>
    </w:p>
    <w:p w14:paraId="1AB00038" w14:textId="77777777" w:rsidR="003722CF" w:rsidRDefault="003722CF">
      <w:pPr>
        <w:spacing w:line="240" w:lineRule="exact"/>
        <w:jc w:val="both"/>
        <w:rPr>
          <w:rFonts w:eastAsia="Times New Roman" w:cs="Calibri"/>
          <w:sz w:val="22"/>
          <w:szCs w:val="22"/>
          <w:lang w:val="es-ES" w:eastAsia="es-ES"/>
        </w:rPr>
      </w:pPr>
    </w:p>
    <w:p w14:paraId="6D051233" w14:textId="77777777" w:rsidR="003722CF" w:rsidRDefault="003722CF">
      <w:pPr>
        <w:spacing w:line="240" w:lineRule="exact"/>
        <w:ind w:firstLine="288"/>
        <w:jc w:val="both"/>
        <w:rPr>
          <w:rFonts w:eastAsia="Times New Roman" w:cs="Calibri"/>
          <w:b/>
          <w:sz w:val="22"/>
          <w:szCs w:val="22"/>
          <w:lang w:eastAsia="es-ES"/>
        </w:rPr>
      </w:pPr>
    </w:p>
    <w:p w14:paraId="76980EA8" w14:textId="77777777" w:rsidR="003722CF" w:rsidRDefault="003722CF">
      <w:pPr>
        <w:spacing w:line="240" w:lineRule="exact"/>
        <w:ind w:firstLine="288"/>
        <w:jc w:val="both"/>
        <w:rPr>
          <w:rFonts w:eastAsia="Times New Roman" w:cs="Calibri"/>
          <w:b/>
          <w:sz w:val="22"/>
          <w:szCs w:val="22"/>
          <w:lang w:eastAsia="es-ES"/>
        </w:rPr>
      </w:pPr>
    </w:p>
    <w:p w14:paraId="42774508" w14:textId="77777777" w:rsidR="003722CF" w:rsidRDefault="003722CF">
      <w:pPr>
        <w:spacing w:line="240" w:lineRule="exact"/>
        <w:ind w:firstLine="288"/>
        <w:jc w:val="both"/>
        <w:rPr>
          <w:rFonts w:eastAsia="Times New Roman" w:cs="Calibri"/>
          <w:b/>
          <w:sz w:val="22"/>
          <w:szCs w:val="22"/>
          <w:lang w:eastAsia="es-ES"/>
        </w:rPr>
      </w:pPr>
    </w:p>
    <w:p w14:paraId="74A02370" w14:textId="77777777" w:rsidR="003722CF" w:rsidRDefault="003722CF">
      <w:pPr>
        <w:spacing w:line="240" w:lineRule="exact"/>
        <w:ind w:firstLine="288"/>
        <w:jc w:val="both"/>
        <w:rPr>
          <w:rFonts w:eastAsia="Times New Roman" w:cs="Calibri"/>
          <w:b/>
          <w:sz w:val="22"/>
          <w:szCs w:val="22"/>
          <w:lang w:eastAsia="es-ES"/>
        </w:rPr>
      </w:pPr>
    </w:p>
    <w:p w14:paraId="3E7C703B" w14:textId="77777777" w:rsidR="003722CF" w:rsidRDefault="003722CF">
      <w:pPr>
        <w:spacing w:line="240" w:lineRule="exact"/>
        <w:ind w:firstLine="288"/>
        <w:jc w:val="both"/>
        <w:rPr>
          <w:rFonts w:eastAsia="Times New Roman" w:cs="Calibri"/>
          <w:b/>
          <w:sz w:val="22"/>
          <w:szCs w:val="22"/>
          <w:lang w:eastAsia="es-ES"/>
        </w:rPr>
      </w:pPr>
    </w:p>
    <w:p w14:paraId="46EA5AAE" w14:textId="77777777" w:rsidR="003722CF" w:rsidRDefault="003722CF">
      <w:pPr>
        <w:spacing w:line="240" w:lineRule="exact"/>
        <w:ind w:firstLine="288"/>
        <w:jc w:val="both"/>
        <w:rPr>
          <w:rFonts w:eastAsia="Times New Roman" w:cs="Calibri"/>
          <w:b/>
          <w:sz w:val="22"/>
          <w:szCs w:val="22"/>
          <w:lang w:eastAsia="es-ES"/>
        </w:rPr>
      </w:pPr>
    </w:p>
    <w:p w14:paraId="27A5977C" w14:textId="77777777" w:rsidR="003722CF" w:rsidRDefault="003722CF">
      <w:pPr>
        <w:spacing w:line="240" w:lineRule="exact"/>
        <w:ind w:firstLine="288"/>
        <w:jc w:val="both"/>
        <w:rPr>
          <w:rFonts w:eastAsia="Times New Roman" w:cs="Calibri"/>
          <w:b/>
          <w:sz w:val="22"/>
          <w:szCs w:val="22"/>
          <w:lang w:eastAsia="es-ES"/>
        </w:rPr>
      </w:pPr>
    </w:p>
    <w:p w14:paraId="16B13476"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8.</w:t>
      </w:r>
      <w:r>
        <w:rPr>
          <w:rFonts w:eastAsia="Times New Roman" w:cs="Calibri"/>
          <w:b/>
          <w:sz w:val="22"/>
          <w:szCs w:val="22"/>
          <w:lang w:eastAsia="es-ES"/>
        </w:rPr>
        <w:tab/>
        <w:t>Fideicomisos, Mandatos y Análogos.</w:t>
      </w:r>
    </w:p>
    <w:p w14:paraId="27364020" w14:textId="77777777" w:rsidR="003722CF" w:rsidRDefault="003722CF">
      <w:pPr>
        <w:spacing w:line="240" w:lineRule="exact"/>
        <w:ind w:firstLine="288"/>
        <w:jc w:val="both"/>
        <w:rPr>
          <w:rFonts w:eastAsia="Times New Roman" w:cs="Calibri"/>
          <w:sz w:val="22"/>
          <w:szCs w:val="22"/>
          <w:lang w:eastAsia="es-ES"/>
        </w:rPr>
      </w:pPr>
    </w:p>
    <w:p w14:paraId="6746DA5F" w14:textId="77777777" w:rsidR="003722CF" w:rsidRDefault="00411668">
      <w:pPr>
        <w:spacing w:line="240" w:lineRule="exact"/>
        <w:ind w:left="288" w:firstLine="421"/>
        <w:jc w:val="both"/>
        <w:rPr>
          <w:rFonts w:eastAsia="Times New Roman" w:cs="Calibri"/>
          <w:sz w:val="22"/>
          <w:szCs w:val="22"/>
          <w:lang w:eastAsia="es-ES"/>
        </w:rPr>
      </w:pPr>
      <w:r>
        <w:rPr>
          <w:rFonts w:eastAsia="Times New Roman" w:cs="Calibri"/>
          <w:sz w:val="22"/>
          <w:szCs w:val="22"/>
          <w:lang w:eastAsia="es-ES"/>
        </w:rPr>
        <w:t>No Aplica</w:t>
      </w:r>
    </w:p>
    <w:p w14:paraId="24346B0B" w14:textId="77777777" w:rsidR="003722CF" w:rsidRDefault="003722CF">
      <w:pPr>
        <w:spacing w:line="240" w:lineRule="exact"/>
        <w:ind w:firstLine="288"/>
        <w:jc w:val="both"/>
        <w:rPr>
          <w:rFonts w:eastAsia="Times New Roman" w:cs="Calibri"/>
          <w:b/>
          <w:sz w:val="22"/>
          <w:szCs w:val="22"/>
          <w:lang w:eastAsia="es-ES"/>
        </w:rPr>
      </w:pPr>
    </w:p>
    <w:p w14:paraId="09FB5A7E" w14:textId="77777777" w:rsidR="003722CF" w:rsidRDefault="003722CF">
      <w:pPr>
        <w:spacing w:line="240" w:lineRule="exact"/>
        <w:ind w:firstLine="288"/>
        <w:jc w:val="both"/>
        <w:rPr>
          <w:rFonts w:eastAsia="Times New Roman" w:cs="Calibri"/>
          <w:b/>
          <w:sz w:val="22"/>
          <w:szCs w:val="22"/>
          <w:lang w:eastAsia="es-ES"/>
        </w:rPr>
      </w:pPr>
    </w:p>
    <w:p w14:paraId="0ACB50EB" w14:textId="77777777" w:rsidR="003722CF" w:rsidRDefault="003722CF">
      <w:pPr>
        <w:spacing w:line="240" w:lineRule="exact"/>
        <w:ind w:firstLine="288"/>
        <w:jc w:val="both"/>
        <w:rPr>
          <w:rFonts w:eastAsia="Times New Roman" w:cs="Calibri"/>
          <w:b/>
          <w:sz w:val="22"/>
          <w:szCs w:val="22"/>
          <w:lang w:eastAsia="es-ES"/>
        </w:rPr>
      </w:pPr>
    </w:p>
    <w:p w14:paraId="34EC033D"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9.</w:t>
      </w:r>
      <w:r>
        <w:rPr>
          <w:rFonts w:eastAsia="Times New Roman" w:cs="Calibri"/>
          <w:b/>
          <w:sz w:val="22"/>
          <w:szCs w:val="22"/>
          <w:lang w:eastAsia="es-ES"/>
        </w:rPr>
        <w:tab/>
        <w:t>Reporte de la Recaudación.</w:t>
      </w:r>
    </w:p>
    <w:p w14:paraId="5D451A05" w14:textId="77777777" w:rsidR="003722CF" w:rsidRDefault="003722CF">
      <w:pPr>
        <w:widowControl/>
        <w:tabs>
          <w:tab w:val="left" w:pos="1440"/>
        </w:tabs>
        <w:spacing w:line="240" w:lineRule="exact"/>
        <w:ind w:left="709" w:hanging="1"/>
        <w:jc w:val="both"/>
        <w:rPr>
          <w:rFonts w:eastAsia="Times New Roman" w:cs="Calibri"/>
          <w:sz w:val="22"/>
          <w:szCs w:val="22"/>
          <w:lang w:eastAsia="es-ES"/>
        </w:rPr>
      </w:pPr>
    </w:p>
    <w:p w14:paraId="3F040A02" w14:textId="77777777" w:rsidR="003722CF" w:rsidRDefault="00411668">
      <w:pPr>
        <w:widowControl/>
        <w:tabs>
          <w:tab w:val="left" w:pos="1440"/>
        </w:tabs>
        <w:spacing w:line="240" w:lineRule="exact"/>
        <w:ind w:left="709" w:hanging="1"/>
        <w:jc w:val="both"/>
      </w:pPr>
      <w:r>
        <w:rPr>
          <w:rFonts w:eastAsia="Times New Roman" w:cs="Calibri"/>
          <w:sz w:val="22"/>
          <w:szCs w:val="22"/>
          <w:lang w:eastAsia="es-ES"/>
        </w:rPr>
        <w:t>En el Ejercicio 2024 los subsidios fueron para gasto corriente y de capital</w:t>
      </w:r>
    </w:p>
    <w:p w14:paraId="1900C08D" w14:textId="77777777" w:rsidR="003722CF" w:rsidRDefault="003722CF">
      <w:pPr>
        <w:widowControl/>
        <w:tabs>
          <w:tab w:val="left" w:pos="1440"/>
        </w:tabs>
        <w:spacing w:line="240" w:lineRule="exact"/>
        <w:ind w:left="709" w:hanging="1"/>
        <w:jc w:val="both"/>
        <w:rPr>
          <w:rFonts w:eastAsia="Times New Roman" w:cs="Calibri"/>
          <w:sz w:val="22"/>
          <w:szCs w:val="22"/>
          <w:lang w:eastAsia="es-ES"/>
        </w:rPr>
      </w:pPr>
    </w:p>
    <w:tbl>
      <w:tblPr>
        <w:tblW w:w="4860" w:type="dxa"/>
        <w:tblInd w:w="2337" w:type="dxa"/>
        <w:tblCellMar>
          <w:left w:w="10" w:type="dxa"/>
          <w:right w:w="10" w:type="dxa"/>
        </w:tblCellMar>
        <w:tblLook w:val="0000" w:firstRow="0" w:lastRow="0" w:firstColumn="0" w:lastColumn="0" w:noHBand="0" w:noVBand="0"/>
      </w:tblPr>
      <w:tblGrid>
        <w:gridCol w:w="3320"/>
        <w:gridCol w:w="1540"/>
      </w:tblGrid>
      <w:tr w:rsidR="003722CF" w14:paraId="2A7FE8BD" w14:textId="77777777">
        <w:tblPrEx>
          <w:tblCellMar>
            <w:top w:w="0" w:type="dxa"/>
            <w:bottom w:w="0" w:type="dxa"/>
          </w:tblCellMar>
        </w:tblPrEx>
        <w:trPr>
          <w:trHeight w:val="282"/>
        </w:trPr>
        <w:tc>
          <w:tcPr>
            <w:tcW w:w="332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4CE7A22F" w14:textId="77777777" w:rsidR="003722CF" w:rsidRDefault="00411668">
            <w:pPr>
              <w:widowControl/>
              <w:suppressAutoHyphens w:val="0"/>
              <w:jc w:val="center"/>
              <w:textAlignment w:val="auto"/>
              <w:rPr>
                <w:rFonts w:eastAsia="Times New Roman" w:cs="Calibri"/>
                <w:color w:val="FFFFFF"/>
                <w:sz w:val="22"/>
                <w:szCs w:val="22"/>
              </w:rPr>
            </w:pPr>
            <w:r>
              <w:rPr>
                <w:rFonts w:eastAsia="Times New Roman" w:cs="Calibri"/>
                <w:color w:val="FFFFFF"/>
                <w:sz w:val="22"/>
                <w:szCs w:val="22"/>
              </w:rPr>
              <w:t>Concepto</w:t>
            </w:r>
          </w:p>
        </w:tc>
        <w:tc>
          <w:tcPr>
            <w:tcW w:w="15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6D45D16B" w14:textId="77777777" w:rsidR="003722CF" w:rsidRDefault="00411668">
            <w:pPr>
              <w:widowControl/>
              <w:suppressAutoHyphens w:val="0"/>
              <w:jc w:val="center"/>
              <w:textAlignment w:val="auto"/>
              <w:rPr>
                <w:rFonts w:eastAsia="Times New Roman" w:cs="Calibri"/>
                <w:color w:val="FFFFFF"/>
                <w:sz w:val="22"/>
                <w:szCs w:val="22"/>
              </w:rPr>
            </w:pPr>
            <w:r>
              <w:rPr>
                <w:rFonts w:eastAsia="Times New Roman" w:cs="Calibri"/>
                <w:color w:val="FFFFFF"/>
                <w:sz w:val="22"/>
                <w:szCs w:val="22"/>
              </w:rPr>
              <w:t>Ingresos</w:t>
            </w:r>
          </w:p>
        </w:tc>
      </w:tr>
      <w:tr w:rsidR="003722CF" w14:paraId="7BCB87C4"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8105FAC"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Subsidio Estatal </w:t>
            </w:r>
            <w:proofErr w:type="spellStart"/>
            <w:r>
              <w:rPr>
                <w:rFonts w:eastAsia="Times New Roman" w:cs="Calibri"/>
                <w:color w:val="000000"/>
                <w:sz w:val="22"/>
                <w:szCs w:val="22"/>
              </w:rPr>
              <w:t>Cap</w:t>
            </w:r>
            <w:proofErr w:type="spellEnd"/>
            <w:r>
              <w:rPr>
                <w:rFonts w:eastAsia="Times New Roman" w:cs="Calibri"/>
                <w:color w:val="000000"/>
                <w:sz w:val="22"/>
                <w:szCs w:val="22"/>
              </w:rPr>
              <w:t xml:space="preserve"> 1000</w:t>
            </w:r>
          </w:p>
        </w:tc>
        <w:tc>
          <w:tcPr>
            <w:tcW w:w="15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733081F" w14:textId="77777777" w:rsidR="003722CF" w:rsidRDefault="00411668">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$7,492,604</w:t>
            </w:r>
          </w:p>
        </w:tc>
      </w:tr>
      <w:tr w:rsidR="003722CF" w14:paraId="68627146"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A2469CE"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Subsidio </w:t>
            </w:r>
            <w:r>
              <w:rPr>
                <w:rFonts w:eastAsia="Times New Roman" w:cs="Calibri"/>
                <w:color w:val="000000"/>
                <w:sz w:val="22"/>
                <w:szCs w:val="22"/>
              </w:rPr>
              <w:t xml:space="preserve">Estatal </w:t>
            </w:r>
            <w:proofErr w:type="spellStart"/>
            <w:proofErr w:type="gramStart"/>
            <w:r>
              <w:rPr>
                <w:rFonts w:eastAsia="Times New Roman" w:cs="Calibri"/>
                <w:color w:val="000000"/>
                <w:sz w:val="22"/>
                <w:szCs w:val="22"/>
              </w:rPr>
              <w:t>Cap</w:t>
            </w:r>
            <w:proofErr w:type="spellEnd"/>
            <w:r>
              <w:rPr>
                <w:rFonts w:eastAsia="Times New Roman" w:cs="Calibri"/>
                <w:color w:val="000000"/>
                <w:sz w:val="22"/>
                <w:szCs w:val="22"/>
              </w:rPr>
              <w:t xml:space="preserve">  2000</w:t>
            </w:r>
            <w:proofErr w:type="gramEnd"/>
          </w:p>
        </w:tc>
        <w:tc>
          <w:tcPr>
            <w:tcW w:w="15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1FBEA8F" w14:textId="77777777" w:rsidR="003722CF" w:rsidRDefault="00411668">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$405,904</w:t>
            </w:r>
          </w:p>
        </w:tc>
      </w:tr>
      <w:tr w:rsidR="003722CF" w14:paraId="19E26B30"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3A0780D"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Subsidio Estatal </w:t>
            </w:r>
            <w:proofErr w:type="spellStart"/>
            <w:r>
              <w:rPr>
                <w:rFonts w:eastAsia="Times New Roman" w:cs="Calibri"/>
                <w:color w:val="000000"/>
                <w:sz w:val="22"/>
                <w:szCs w:val="22"/>
              </w:rPr>
              <w:t>Cap</w:t>
            </w:r>
            <w:proofErr w:type="spellEnd"/>
            <w:r>
              <w:rPr>
                <w:rFonts w:eastAsia="Times New Roman" w:cs="Calibri"/>
                <w:color w:val="000000"/>
                <w:sz w:val="22"/>
                <w:szCs w:val="22"/>
              </w:rPr>
              <w:t xml:space="preserve"> 3000</w:t>
            </w:r>
          </w:p>
        </w:tc>
        <w:tc>
          <w:tcPr>
            <w:tcW w:w="15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E2A5A98"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        $1,885,289</w:t>
            </w:r>
          </w:p>
        </w:tc>
      </w:tr>
      <w:tr w:rsidR="003722CF" w14:paraId="77D6742E"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E36CE7B"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Subsidio Estatal </w:t>
            </w:r>
            <w:proofErr w:type="spellStart"/>
            <w:r>
              <w:rPr>
                <w:rFonts w:eastAsia="Times New Roman" w:cs="Calibri"/>
                <w:color w:val="000000"/>
                <w:sz w:val="22"/>
                <w:szCs w:val="22"/>
              </w:rPr>
              <w:t>Cap</w:t>
            </w:r>
            <w:proofErr w:type="spellEnd"/>
            <w:r>
              <w:rPr>
                <w:rFonts w:eastAsia="Times New Roman" w:cs="Calibri"/>
                <w:color w:val="000000"/>
                <w:sz w:val="22"/>
                <w:szCs w:val="22"/>
              </w:rPr>
              <w:t xml:space="preserve"> 5000</w:t>
            </w:r>
          </w:p>
        </w:tc>
        <w:tc>
          <w:tcPr>
            <w:tcW w:w="15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79C0772" w14:textId="77777777" w:rsidR="003722CF" w:rsidRDefault="00411668">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$2,259,396</w:t>
            </w:r>
          </w:p>
        </w:tc>
      </w:tr>
      <w:tr w:rsidR="003722CF" w14:paraId="0150E665"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9340BC2" w14:textId="77777777" w:rsidR="003722CF" w:rsidRDefault="00411668">
            <w:pPr>
              <w:widowControl/>
              <w:suppressAutoHyphens w:val="0"/>
              <w:textAlignment w:val="auto"/>
              <w:rPr>
                <w:rFonts w:eastAsia="Times New Roman" w:cs="Calibri"/>
                <w:color w:val="000000"/>
                <w:sz w:val="22"/>
                <w:szCs w:val="22"/>
              </w:rPr>
            </w:pPr>
            <w:r>
              <w:rPr>
                <w:rFonts w:eastAsia="Times New Roman" w:cs="Calibri"/>
                <w:color w:val="000000"/>
                <w:sz w:val="22"/>
                <w:szCs w:val="22"/>
              </w:rPr>
              <w:t>Total</w:t>
            </w:r>
          </w:p>
        </w:tc>
        <w:tc>
          <w:tcPr>
            <w:tcW w:w="15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CB405D7" w14:textId="77777777" w:rsidR="003722CF" w:rsidRDefault="00411668">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$12,043,193</w:t>
            </w:r>
          </w:p>
        </w:tc>
      </w:tr>
    </w:tbl>
    <w:p w14:paraId="17A369A4" w14:textId="77777777" w:rsidR="003722CF" w:rsidRDefault="003722CF">
      <w:pPr>
        <w:spacing w:line="240" w:lineRule="exact"/>
        <w:ind w:firstLine="288"/>
        <w:jc w:val="both"/>
        <w:rPr>
          <w:rFonts w:eastAsia="Times New Roman" w:cs="Calibri"/>
          <w:b/>
          <w:sz w:val="22"/>
          <w:szCs w:val="22"/>
          <w:lang w:eastAsia="es-ES"/>
        </w:rPr>
      </w:pPr>
    </w:p>
    <w:p w14:paraId="73186DDA" w14:textId="77777777" w:rsidR="003722CF" w:rsidRDefault="003722CF">
      <w:pPr>
        <w:spacing w:line="240" w:lineRule="exact"/>
        <w:ind w:firstLine="288"/>
        <w:jc w:val="both"/>
        <w:rPr>
          <w:rFonts w:eastAsia="Times New Roman" w:cs="Calibri"/>
          <w:b/>
          <w:sz w:val="22"/>
          <w:szCs w:val="22"/>
          <w:lang w:eastAsia="es-ES"/>
        </w:rPr>
      </w:pPr>
    </w:p>
    <w:p w14:paraId="0B3B2F29" w14:textId="77777777" w:rsidR="003722CF" w:rsidRDefault="003722CF">
      <w:pPr>
        <w:spacing w:line="240" w:lineRule="exact"/>
        <w:ind w:firstLine="288"/>
        <w:jc w:val="both"/>
        <w:rPr>
          <w:rFonts w:eastAsia="Times New Roman" w:cs="Calibri"/>
          <w:b/>
          <w:sz w:val="22"/>
          <w:szCs w:val="22"/>
          <w:lang w:eastAsia="es-ES"/>
        </w:rPr>
      </w:pPr>
    </w:p>
    <w:p w14:paraId="788CE36D"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10.</w:t>
      </w:r>
      <w:r>
        <w:rPr>
          <w:rFonts w:eastAsia="Times New Roman" w:cs="Calibri"/>
          <w:b/>
          <w:sz w:val="22"/>
          <w:szCs w:val="22"/>
          <w:lang w:eastAsia="es-ES"/>
        </w:rPr>
        <w:tab/>
        <w:t>Información sobre la Deuda y el Reporte Analítico de la Deuda</w:t>
      </w:r>
    </w:p>
    <w:p w14:paraId="4FFDBAE4" w14:textId="77777777" w:rsidR="003722CF" w:rsidRDefault="003722CF">
      <w:pPr>
        <w:ind w:left="709"/>
        <w:jc w:val="both"/>
        <w:rPr>
          <w:rFonts w:eastAsia="Times New Roman" w:cs="Calibri"/>
          <w:sz w:val="22"/>
          <w:szCs w:val="22"/>
        </w:rPr>
      </w:pPr>
    </w:p>
    <w:p w14:paraId="53F7A50D" w14:textId="77777777" w:rsidR="003722CF" w:rsidRDefault="00411668">
      <w:pPr>
        <w:ind w:left="709"/>
        <w:jc w:val="both"/>
        <w:rPr>
          <w:rFonts w:eastAsia="Times New Roman" w:cs="Calibri"/>
          <w:sz w:val="22"/>
          <w:szCs w:val="22"/>
        </w:rPr>
      </w:pPr>
      <w:r>
        <w:rPr>
          <w:rFonts w:eastAsia="Times New Roman" w:cs="Calibri"/>
          <w:sz w:val="22"/>
          <w:szCs w:val="22"/>
        </w:rPr>
        <w:t>No Aplica</w:t>
      </w:r>
    </w:p>
    <w:p w14:paraId="5E83D6F6"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02DA8326"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13E5EBE0" w14:textId="77777777" w:rsidR="003722CF" w:rsidRDefault="00411668">
      <w:pPr>
        <w:spacing w:line="240" w:lineRule="exact"/>
        <w:ind w:firstLine="288"/>
        <w:jc w:val="both"/>
      </w:pPr>
      <w:r>
        <w:rPr>
          <w:rFonts w:eastAsia="Times New Roman" w:cs="Calibri"/>
          <w:b/>
          <w:sz w:val="22"/>
          <w:szCs w:val="22"/>
          <w:lang w:eastAsia="es-ES"/>
        </w:rPr>
        <w:t>11.   Calificaciones otorgadas</w:t>
      </w:r>
    </w:p>
    <w:p w14:paraId="7696A426" w14:textId="77777777" w:rsidR="003722CF" w:rsidRDefault="003722CF">
      <w:pPr>
        <w:spacing w:line="240" w:lineRule="exact"/>
        <w:ind w:firstLine="288"/>
        <w:jc w:val="both"/>
        <w:rPr>
          <w:rFonts w:eastAsia="Times New Roman" w:cs="Calibri"/>
          <w:sz w:val="22"/>
          <w:szCs w:val="22"/>
          <w:u w:val="single"/>
          <w:lang w:eastAsia="es-ES"/>
        </w:rPr>
      </w:pPr>
    </w:p>
    <w:p w14:paraId="0C244A5B" w14:textId="77777777" w:rsidR="003722CF" w:rsidRDefault="00411668">
      <w:pPr>
        <w:ind w:left="709"/>
        <w:jc w:val="both"/>
      </w:pPr>
      <w:r>
        <w:rPr>
          <w:rFonts w:eastAsia="Times New Roman" w:cs="Calibri"/>
          <w:sz w:val="22"/>
          <w:szCs w:val="22"/>
          <w:lang w:eastAsia="es-ES"/>
        </w:rPr>
        <w:t>.</w:t>
      </w:r>
      <w:r>
        <w:rPr>
          <w:rFonts w:eastAsia="Times New Roman" w:cs="Calibri"/>
          <w:sz w:val="22"/>
          <w:szCs w:val="22"/>
        </w:rPr>
        <w:t xml:space="preserve"> No </w:t>
      </w:r>
      <w:r>
        <w:rPr>
          <w:rFonts w:eastAsia="Times New Roman" w:cs="Calibri"/>
          <w:sz w:val="22"/>
          <w:szCs w:val="22"/>
        </w:rPr>
        <w:t>Aplica</w:t>
      </w:r>
    </w:p>
    <w:p w14:paraId="674544F8" w14:textId="77777777" w:rsidR="003722CF" w:rsidRDefault="003722CF">
      <w:pPr>
        <w:spacing w:line="240" w:lineRule="exact"/>
        <w:ind w:left="709" w:firstLine="288"/>
        <w:jc w:val="both"/>
        <w:rPr>
          <w:rFonts w:eastAsia="Times New Roman" w:cs="Calibri"/>
          <w:sz w:val="22"/>
          <w:szCs w:val="22"/>
          <w:lang w:eastAsia="es-ES"/>
        </w:rPr>
      </w:pPr>
    </w:p>
    <w:p w14:paraId="6773DBF9"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62CABF4A"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17195FF0"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12.</w:t>
      </w:r>
      <w:r>
        <w:rPr>
          <w:rFonts w:eastAsia="Times New Roman" w:cs="Calibri"/>
          <w:b/>
          <w:sz w:val="22"/>
          <w:szCs w:val="22"/>
          <w:lang w:eastAsia="es-ES"/>
        </w:rPr>
        <w:tab/>
        <w:t>Proceso de Mejora</w:t>
      </w:r>
    </w:p>
    <w:p w14:paraId="43823CCD" w14:textId="77777777" w:rsidR="003722CF" w:rsidRDefault="003722CF">
      <w:pPr>
        <w:ind w:left="709"/>
        <w:jc w:val="both"/>
        <w:rPr>
          <w:rFonts w:eastAsia="Times New Roman" w:cs="Calibri"/>
          <w:sz w:val="22"/>
          <w:szCs w:val="22"/>
        </w:rPr>
      </w:pPr>
    </w:p>
    <w:p w14:paraId="76634A4E" w14:textId="77777777" w:rsidR="003722CF" w:rsidRDefault="00411668">
      <w:pPr>
        <w:ind w:left="709"/>
        <w:jc w:val="both"/>
        <w:rPr>
          <w:rFonts w:eastAsia="Times New Roman" w:cs="Calibri"/>
          <w:sz w:val="22"/>
          <w:szCs w:val="22"/>
        </w:rPr>
      </w:pPr>
      <w:r>
        <w:rPr>
          <w:rFonts w:eastAsia="Times New Roman" w:cs="Calibri"/>
          <w:sz w:val="22"/>
          <w:szCs w:val="22"/>
        </w:rPr>
        <w:t>Principales políticas de control interno. - Las principales políticas de control interno implantadas en el organismo han sido establecidas con el propósito de conseguir las metas fijadas, asegurar la confiabilidad de los estados financieros, proteger los activos y dar cumplimiento a las leyes y normatividad que le son aplicables.</w:t>
      </w:r>
    </w:p>
    <w:p w14:paraId="5A267743" w14:textId="77777777" w:rsidR="003722CF" w:rsidRDefault="003722CF">
      <w:pPr>
        <w:ind w:left="709"/>
        <w:jc w:val="both"/>
        <w:rPr>
          <w:rFonts w:eastAsia="Times New Roman" w:cs="Calibri"/>
          <w:sz w:val="22"/>
          <w:szCs w:val="22"/>
        </w:rPr>
      </w:pPr>
    </w:p>
    <w:p w14:paraId="10BA38F5" w14:textId="77777777" w:rsidR="003722CF" w:rsidRDefault="00411668">
      <w:pPr>
        <w:ind w:left="709"/>
        <w:jc w:val="both"/>
        <w:rPr>
          <w:rFonts w:eastAsia="Times New Roman" w:cs="Calibri"/>
          <w:sz w:val="22"/>
          <w:szCs w:val="22"/>
        </w:rPr>
      </w:pPr>
      <w:r>
        <w:rPr>
          <w:rFonts w:eastAsia="Times New Roman" w:cs="Calibri"/>
          <w:sz w:val="22"/>
          <w:szCs w:val="22"/>
        </w:rPr>
        <w:t>Medidas de desempeño financiero, metas y alcance. - Las medidas de desempeño financiero tienen por objeto dar cumplimiento efectivo y eficiente al ejercicio del presupuesto y hacer uso racional y óptimo de los recursos disponibles, dentro de un marco de control estricto y adecuado.</w:t>
      </w:r>
    </w:p>
    <w:p w14:paraId="5327CCE5" w14:textId="77777777" w:rsidR="003722CF" w:rsidRDefault="003722CF">
      <w:pPr>
        <w:widowControl/>
        <w:suppressAutoHyphens w:val="0"/>
        <w:spacing w:line="240" w:lineRule="exact"/>
        <w:jc w:val="both"/>
        <w:textAlignment w:val="auto"/>
        <w:rPr>
          <w:rFonts w:eastAsia="Times New Roman" w:cs="Calibri"/>
          <w:sz w:val="22"/>
          <w:szCs w:val="22"/>
          <w:lang w:eastAsia="es-ES"/>
        </w:rPr>
      </w:pPr>
    </w:p>
    <w:p w14:paraId="38EC4861"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5BA18D40"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5FB4AC2F"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313E8268"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461DA8DF"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7AE44BB9"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2339FACF"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0257A1C2" w14:textId="77777777" w:rsidR="003722CF" w:rsidRDefault="003722CF">
      <w:pPr>
        <w:widowControl/>
        <w:suppressAutoHyphens w:val="0"/>
        <w:spacing w:line="240" w:lineRule="exact"/>
        <w:jc w:val="both"/>
        <w:textAlignment w:val="auto"/>
        <w:rPr>
          <w:rFonts w:ascii="Arial" w:eastAsia="Times New Roman" w:hAnsi="Arial" w:cs="Arial"/>
          <w:lang w:eastAsia="es-ES"/>
        </w:rPr>
      </w:pPr>
    </w:p>
    <w:p w14:paraId="76E538AF" w14:textId="77777777" w:rsidR="003722CF" w:rsidRDefault="003722CF">
      <w:pPr>
        <w:spacing w:line="240" w:lineRule="exact"/>
        <w:ind w:firstLine="288"/>
        <w:jc w:val="both"/>
        <w:rPr>
          <w:rFonts w:eastAsia="Times New Roman" w:cs="Calibri"/>
          <w:b/>
          <w:sz w:val="22"/>
          <w:szCs w:val="22"/>
          <w:lang w:eastAsia="es-ES"/>
        </w:rPr>
      </w:pPr>
    </w:p>
    <w:p w14:paraId="52BC8E08" w14:textId="77777777" w:rsidR="003722CF" w:rsidRDefault="003722CF">
      <w:pPr>
        <w:spacing w:line="240" w:lineRule="exact"/>
        <w:ind w:firstLine="288"/>
        <w:jc w:val="both"/>
        <w:rPr>
          <w:rFonts w:eastAsia="Times New Roman" w:cs="Calibri"/>
          <w:b/>
          <w:sz w:val="22"/>
          <w:szCs w:val="22"/>
          <w:lang w:eastAsia="es-ES"/>
        </w:rPr>
      </w:pPr>
    </w:p>
    <w:p w14:paraId="26A1AE70"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13.</w:t>
      </w:r>
      <w:r>
        <w:rPr>
          <w:rFonts w:eastAsia="Times New Roman" w:cs="Calibri"/>
          <w:b/>
          <w:sz w:val="22"/>
          <w:szCs w:val="22"/>
          <w:lang w:eastAsia="es-ES"/>
        </w:rPr>
        <w:tab/>
        <w:t>Información por Segmentos</w:t>
      </w:r>
    </w:p>
    <w:p w14:paraId="23ADB6E3" w14:textId="77777777" w:rsidR="003722CF" w:rsidRDefault="003722CF">
      <w:pPr>
        <w:ind w:left="709"/>
        <w:jc w:val="both"/>
        <w:rPr>
          <w:rFonts w:eastAsia="Times New Roman" w:cs="Calibri"/>
          <w:sz w:val="22"/>
          <w:szCs w:val="22"/>
        </w:rPr>
      </w:pPr>
    </w:p>
    <w:p w14:paraId="5A4DDEC8" w14:textId="77777777" w:rsidR="003722CF" w:rsidRDefault="00411668">
      <w:pPr>
        <w:ind w:left="709"/>
        <w:jc w:val="both"/>
        <w:rPr>
          <w:rFonts w:eastAsia="Times New Roman" w:cs="Calibri"/>
          <w:sz w:val="22"/>
          <w:szCs w:val="22"/>
        </w:rPr>
      </w:pPr>
      <w:r>
        <w:rPr>
          <w:rFonts w:eastAsia="Times New Roman" w:cs="Calibri"/>
          <w:sz w:val="22"/>
          <w:szCs w:val="22"/>
        </w:rPr>
        <w:t xml:space="preserve">No se considera necesario presentar información financiera por </w:t>
      </w:r>
      <w:r>
        <w:rPr>
          <w:rFonts w:eastAsia="Times New Roman" w:cs="Calibri"/>
          <w:sz w:val="22"/>
          <w:szCs w:val="22"/>
        </w:rPr>
        <w:t xml:space="preserve">segmentos para entender el desempeño del ente como un todo y evaluar los riesgos y beneficios </w:t>
      </w:r>
      <w:proofErr w:type="gramStart"/>
      <w:r>
        <w:rPr>
          <w:rFonts w:eastAsia="Times New Roman" w:cs="Calibri"/>
          <w:sz w:val="22"/>
          <w:szCs w:val="22"/>
        </w:rPr>
        <w:t>del mismo</w:t>
      </w:r>
      <w:proofErr w:type="gramEnd"/>
      <w:r>
        <w:rPr>
          <w:rFonts w:eastAsia="Times New Roman" w:cs="Calibri"/>
          <w:sz w:val="22"/>
          <w:szCs w:val="22"/>
        </w:rPr>
        <w:t>.</w:t>
      </w:r>
    </w:p>
    <w:p w14:paraId="786880F6" w14:textId="77777777" w:rsidR="003722CF" w:rsidRDefault="003722CF">
      <w:pPr>
        <w:spacing w:line="240" w:lineRule="exact"/>
        <w:jc w:val="both"/>
        <w:rPr>
          <w:rFonts w:eastAsia="Times New Roman" w:cs="Calibri"/>
          <w:sz w:val="22"/>
          <w:szCs w:val="22"/>
          <w:lang w:eastAsia="es-ES"/>
        </w:rPr>
      </w:pPr>
    </w:p>
    <w:p w14:paraId="5C284331" w14:textId="77777777" w:rsidR="003722CF" w:rsidRDefault="00411668">
      <w:pPr>
        <w:spacing w:line="240" w:lineRule="exact"/>
        <w:ind w:firstLine="288"/>
        <w:jc w:val="both"/>
      </w:pPr>
      <w:r>
        <w:rPr>
          <w:rFonts w:eastAsia="Times New Roman" w:cs="Calibri"/>
          <w:b/>
          <w:sz w:val="22"/>
          <w:szCs w:val="22"/>
          <w:lang w:eastAsia="es-ES"/>
        </w:rPr>
        <w:t>14.</w:t>
      </w:r>
      <w:r>
        <w:rPr>
          <w:rFonts w:eastAsia="Times New Roman" w:cs="Calibri"/>
          <w:b/>
          <w:sz w:val="22"/>
          <w:szCs w:val="22"/>
          <w:lang w:eastAsia="es-ES"/>
        </w:rPr>
        <w:tab/>
        <w:t>Eventos Posteriores al Cierre</w:t>
      </w:r>
    </w:p>
    <w:p w14:paraId="0FA6A950" w14:textId="77777777" w:rsidR="003722CF" w:rsidRDefault="003722CF">
      <w:pPr>
        <w:jc w:val="both"/>
        <w:rPr>
          <w:rFonts w:eastAsia="Times New Roman" w:cs="Calibri"/>
          <w:sz w:val="22"/>
          <w:szCs w:val="22"/>
        </w:rPr>
      </w:pPr>
    </w:p>
    <w:p w14:paraId="07BA14DE" w14:textId="77777777" w:rsidR="003722CF" w:rsidRDefault="00411668">
      <w:pPr>
        <w:ind w:left="709"/>
        <w:jc w:val="both"/>
        <w:rPr>
          <w:rFonts w:eastAsia="Times New Roman" w:cs="Calibri"/>
          <w:sz w:val="22"/>
          <w:szCs w:val="22"/>
        </w:rPr>
      </w:pPr>
      <w:r>
        <w:rPr>
          <w:rFonts w:eastAsia="Times New Roman" w:cs="Calibri"/>
          <w:sz w:val="22"/>
          <w:szCs w:val="22"/>
        </w:rPr>
        <w:t>No hay eventos posteriores al cierre que afecten económicamente al ente y eventos que no hayan sido conocidos oportunamente.</w:t>
      </w:r>
    </w:p>
    <w:p w14:paraId="08BF41F9" w14:textId="77777777" w:rsidR="003722CF" w:rsidRDefault="003722CF">
      <w:pPr>
        <w:spacing w:line="240" w:lineRule="exact"/>
        <w:jc w:val="both"/>
        <w:rPr>
          <w:rFonts w:eastAsia="Times New Roman" w:cs="Calibri"/>
          <w:b/>
          <w:sz w:val="22"/>
          <w:szCs w:val="22"/>
          <w:lang w:eastAsia="es-ES"/>
        </w:rPr>
      </w:pPr>
    </w:p>
    <w:p w14:paraId="2C529F36" w14:textId="77777777" w:rsidR="003722CF" w:rsidRDefault="003722CF">
      <w:pPr>
        <w:spacing w:line="240" w:lineRule="exact"/>
        <w:ind w:firstLine="288"/>
        <w:jc w:val="both"/>
        <w:rPr>
          <w:rFonts w:eastAsia="Times New Roman" w:cs="Calibri"/>
          <w:b/>
          <w:sz w:val="22"/>
          <w:szCs w:val="22"/>
          <w:lang w:eastAsia="es-ES"/>
        </w:rPr>
      </w:pPr>
    </w:p>
    <w:p w14:paraId="78B2A578" w14:textId="77777777" w:rsidR="003722CF" w:rsidRDefault="00411668">
      <w:pPr>
        <w:spacing w:line="240" w:lineRule="exact"/>
        <w:ind w:firstLine="288"/>
        <w:jc w:val="both"/>
        <w:rPr>
          <w:rFonts w:eastAsia="Times New Roman" w:cs="Calibri"/>
          <w:b/>
          <w:sz w:val="22"/>
          <w:szCs w:val="22"/>
          <w:lang w:eastAsia="es-ES"/>
        </w:rPr>
      </w:pPr>
      <w:r>
        <w:rPr>
          <w:rFonts w:eastAsia="Times New Roman" w:cs="Calibri"/>
          <w:b/>
          <w:sz w:val="22"/>
          <w:szCs w:val="22"/>
          <w:lang w:eastAsia="es-ES"/>
        </w:rPr>
        <w:t>15.</w:t>
      </w:r>
      <w:r>
        <w:rPr>
          <w:rFonts w:eastAsia="Times New Roman" w:cs="Calibri"/>
          <w:b/>
          <w:sz w:val="22"/>
          <w:szCs w:val="22"/>
          <w:lang w:eastAsia="es-ES"/>
        </w:rPr>
        <w:tab/>
        <w:t>Partes Relacionadas</w:t>
      </w:r>
    </w:p>
    <w:p w14:paraId="7882D80A" w14:textId="77777777" w:rsidR="003722CF" w:rsidRDefault="003722CF">
      <w:pPr>
        <w:ind w:left="709"/>
        <w:jc w:val="both"/>
        <w:rPr>
          <w:rFonts w:eastAsia="Times New Roman" w:cs="Calibri"/>
          <w:sz w:val="22"/>
          <w:szCs w:val="22"/>
        </w:rPr>
      </w:pPr>
    </w:p>
    <w:p w14:paraId="4EA6E3C1" w14:textId="77777777" w:rsidR="003722CF" w:rsidRDefault="00411668">
      <w:pPr>
        <w:ind w:left="709"/>
        <w:jc w:val="both"/>
        <w:rPr>
          <w:rFonts w:eastAsia="Times New Roman" w:cs="Calibri"/>
          <w:sz w:val="22"/>
          <w:szCs w:val="22"/>
        </w:rPr>
      </w:pPr>
      <w:r>
        <w:rPr>
          <w:rFonts w:eastAsia="Times New Roman" w:cs="Calibri"/>
          <w:sz w:val="22"/>
          <w:szCs w:val="22"/>
        </w:rPr>
        <w:t>No existen partes relacionadas que pudieran ejercer influencia significativa sobre la toma de decisiones financieras y operativas.</w:t>
      </w:r>
    </w:p>
    <w:p w14:paraId="737C4125" w14:textId="77777777" w:rsidR="003722CF" w:rsidRDefault="003722CF">
      <w:pPr>
        <w:jc w:val="both"/>
        <w:rPr>
          <w:rFonts w:eastAsia="Times New Roman" w:cs="Calibri"/>
          <w:sz w:val="22"/>
          <w:szCs w:val="22"/>
        </w:rPr>
      </w:pPr>
    </w:p>
    <w:p w14:paraId="00DC2713"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18D3B67B" w14:textId="77777777" w:rsidR="003722CF" w:rsidRDefault="00411668">
      <w:pPr>
        <w:widowControl/>
        <w:suppressAutoHyphens w:val="0"/>
        <w:spacing w:line="240" w:lineRule="exact"/>
        <w:jc w:val="both"/>
        <w:textAlignment w:val="auto"/>
      </w:pPr>
      <w:r>
        <w:rPr>
          <w:rFonts w:eastAsia="Times New Roman" w:cs="Calibri"/>
          <w:sz w:val="22"/>
          <w:szCs w:val="22"/>
          <w:lang w:val="es-ES" w:eastAsia="es-ES"/>
        </w:rPr>
        <w:t xml:space="preserve">      </w:t>
      </w:r>
      <w:r>
        <w:rPr>
          <w:rFonts w:eastAsia="Times New Roman" w:cs="Calibri"/>
          <w:b/>
          <w:sz w:val="22"/>
          <w:szCs w:val="22"/>
          <w:lang w:val="es-ES" w:eastAsia="es-ES"/>
        </w:rPr>
        <w:t xml:space="preserve">16. Responsabilidad Sobre la Presentación Razonable de la Información </w:t>
      </w:r>
      <w:r>
        <w:rPr>
          <w:rFonts w:eastAsia="Times New Roman" w:cs="Calibri"/>
          <w:b/>
          <w:sz w:val="22"/>
          <w:szCs w:val="22"/>
          <w:lang w:val="es-ES" w:eastAsia="es-ES"/>
        </w:rPr>
        <w:t>Contable</w:t>
      </w:r>
    </w:p>
    <w:p w14:paraId="0D0C5777" w14:textId="77777777" w:rsidR="003722CF" w:rsidRDefault="00411668">
      <w:pPr>
        <w:widowControl/>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      </w:t>
      </w:r>
    </w:p>
    <w:p w14:paraId="2D8439D9" w14:textId="77777777" w:rsidR="003722CF" w:rsidRDefault="00411668">
      <w:pPr>
        <w:widowControl/>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           </w:t>
      </w:r>
    </w:p>
    <w:p w14:paraId="44AC1236" w14:textId="77777777" w:rsidR="003722CF" w:rsidRDefault="00411668">
      <w:pPr>
        <w:widowControl/>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 xml:space="preserve">    Toda la Información Contable se firma en cada página de </w:t>
      </w:r>
      <w:proofErr w:type="gramStart"/>
      <w:r>
        <w:rPr>
          <w:rFonts w:eastAsia="Times New Roman" w:cs="Calibri"/>
          <w:sz w:val="22"/>
          <w:szCs w:val="22"/>
          <w:lang w:val="es-ES" w:eastAsia="es-ES"/>
        </w:rPr>
        <w:t>la misma</w:t>
      </w:r>
      <w:proofErr w:type="gramEnd"/>
      <w:r>
        <w:rPr>
          <w:rFonts w:eastAsia="Times New Roman" w:cs="Calibri"/>
          <w:sz w:val="22"/>
          <w:szCs w:val="22"/>
          <w:lang w:val="es-ES" w:eastAsia="es-ES"/>
        </w:rPr>
        <w:t xml:space="preserve"> y se incluye la leyenda: “Bajo protesta de decir verdad declaramos que los Estados Financieros y sus notas, son razonablemente correctos y son </w:t>
      </w:r>
      <w:r>
        <w:rPr>
          <w:rFonts w:eastAsia="Times New Roman" w:cs="Calibri"/>
          <w:sz w:val="22"/>
          <w:szCs w:val="22"/>
          <w:lang w:val="es-ES" w:eastAsia="es-ES"/>
        </w:rPr>
        <w:t>responsabilidad del emisor “</w:t>
      </w:r>
    </w:p>
    <w:p w14:paraId="184371AE"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6E6CEA16"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635D51F0"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0E1D5F73"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17E36A8A" w14:textId="77777777" w:rsidR="003722CF" w:rsidRDefault="00411668">
      <w:pPr>
        <w:widowControl/>
        <w:suppressAutoHyphens w:val="0"/>
        <w:spacing w:line="240" w:lineRule="exact"/>
        <w:jc w:val="both"/>
        <w:textAlignment w:val="auto"/>
        <w:rPr>
          <w:rFonts w:eastAsia="Times New Roman" w:cs="Calibri"/>
          <w:sz w:val="22"/>
          <w:szCs w:val="22"/>
          <w:lang w:val="es-ES" w:eastAsia="es-ES"/>
        </w:rPr>
      </w:pPr>
      <w:r>
        <w:rPr>
          <w:rFonts w:eastAsia="Times New Roman" w:cs="Calibri"/>
          <w:sz w:val="22"/>
          <w:szCs w:val="22"/>
          <w:lang w:val="es-ES" w:eastAsia="es-ES"/>
        </w:rPr>
        <w:t>Bajo protesta de decir verdad declaramos que los Estados Financieros y sus Notas, son razonablemente correctos y son responsabilidad del emisor</w:t>
      </w:r>
    </w:p>
    <w:p w14:paraId="0A7AE69C"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27EDA42C"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62BFF9FC" w14:textId="77777777" w:rsidR="003722CF" w:rsidRDefault="003722CF">
      <w:pPr>
        <w:widowControl/>
        <w:suppressAutoHyphens w:val="0"/>
        <w:spacing w:line="240" w:lineRule="exact"/>
        <w:jc w:val="both"/>
        <w:textAlignment w:val="auto"/>
        <w:rPr>
          <w:rFonts w:eastAsia="Times New Roman" w:cs="Calibri"/>
          <w:sz w:val="22"/>
          <w:szCs w:val="22"/>
          <w:lang w:val="es-ES" w:eastAsia="es-ES"/>
        </w:rPr>
      </w:pPr>
    </w:p>
    <w:p w14:paraId="79E615C1" w14:textId="77777777" w:rsidR="003722CF" w:rsidRDefault="003722CF">
      <w:pPr>
        <w:widowControl/>
        <w:suppressAutoHyphens w:val="0"/>
        <w:spacing w:line="240" w:lineRule="exact"/>
        <w:jc w:val="both"/>
        <w:textAlignment w:val="auto"/>
        <w:rPr>
          <w:rFonts w:ascii="Arial" w:eastAsia="Times New Roman" w:hAnsi="Arial" w:cs="Arial"/>
          <w:lang w:val="es-ES" w:eastAsia="es-ES"/>
        </w:rPr>
      </w:pPr>
    </w:p>
    <w:p w14:paraId="0ADD8BD2" w14:textId="77777777" w:rsidR="003722CF" w:rsidRDefault="003722CF">
      <w:pPr>
        <w:widowControl/>
        <w:suppressAutoHyphens w:val="0"/>
        <w:spacing w:line="240" w:lineRule="exact"/>
        <w:jc w:val="both"/>
        <w:textAlignment w:val="auto"/>
        <w:rPr>
          <w:rFonts w:ascii="Arial" w:eastAsia="Times New Roman" w:hAnsi="Arial" w:cs="Arial"/>
          <w:lang w:val="es-ES" w:eastAsia="es-ES"/>
        </w:rPr>
      </w:pPr>
    </w:p>
    <w:p w14:paraId="7049B0C2" w14:textId="77777777" w:rsidR="003722CF" w:rsidRDefault="003722CF">
      <w:pPr>
        <w:widowControl/>
        <w:suppressAutoHyphens w:val="0"/>
        <w:spacing w:line="240" w:lineRule="exact"/>
        <w:jc w:val="both"/>
        <w:textAlignment w:val="auto"/>
        <w:rPr>
          <w:rFonts w:ascii="Arial" w:eastAsia="Times New Roman" w:hAnsi="Arial" w:cs="Arial"/>
          <w:lang w:val="es-ES" w:eastAsia="es-ES"/>
        </w:rPr>
      </w:pPr>
    </w:p>
    <w:p w14:paraId="560EE887" w14:textId="77777777" w:rsidR="003722CF" w:rsidRDefault="00411668">
      <w:pPr>
        <w:widowControl/>
        <w:suppressAutoHyphens w:val="0"/>
        <w:spacing w:line="240" w:lineRule="exact"/>
        <w:textAlignment w:val="auto"/>
        <w:rPr>
          <w:rFonts w:ascii="Arial" w:eastAsia="Times New Roman" w:hAnsi="Arial" w:cs="Arial"/>
          <w:lang w:val="es-ES" w:eastAsia="es-ES"/>
        </w:rPr>
      </w:pPr>
      <w:r>
        <w:rPr>
          <w:rFonts w:ascii="Arial" w:eastAsia="Times New Roman" w:hAnsi="Arial" w:cs="Arial"/>
          <w:lang w:val="es-ES" w:eastAsia="es-ES"/>
        </w:rPr>
        <w:t xml:space="preserve"> </w:t>
      </w:r>
    </w:p>
    <w:p w14:paraId="14FB6C2C" w14:textId="77777777" w:rsidR="003722CF" w:rsidRDefault="003722CF">
      <w:pPr>
        <w:widowControl/>
        <w:suppressAutoHyphens w:val="0"/>
        <w:spacing w:line="240" w:lineRule="exact"/>
        <w:textAlignment w:val="auto"/>
        <w:rPr>
          <w:rFonts w:ascii="Arial" w:eastAsia="Times New Roman" w:hAnsi="Arial" w:cs="Arial"/>
          <w:lang w:val="es-ES" w:eastAsia="es-ES"/>
        </w:rPr>
      </w:pPr>
    </w:p>
    <w:p w14:paraId="0C718165" w14:textId="77777777" w:rsidR="003722CF" w:rsidRDefault="003722CF">
      <w:pPr>
        <w:widowControl/>
        <w:suppressAutoHyphens w:val="0"/>
        <w:spacing w:line="240" w:lineRule="exact"/>
        <w:textAlignment w:val="auto"/>
        <w:rPr>
          <w:rFonts w:ascii="Arial" w:eastAsia="Times New Roman" w:hAnsi="Arial" w:cs="Arial"/>
          <w:lang w:val="es-ES" w:eastAsia="es-ES"/>
        </w:rPr>
      </w:pPr>
    </w:p>
    <w:p w14:paraId="797DB603" w14:textId="77777777" w:rsidR="003722CF" w:rsidRDefault="003722CF">
      <w:pPr>
        <w:widowControl/>
        <w:suppressAutoHyphens w:val="0"/>
        <w:spacing w:line="240" w:lineRule="exact"/>
        <w:textAlignment w:val="auto"/>
        <w:rPr>
          <w:rFonts w:eastAsia="Times New Roman" w:cs="Calibri"/>
          <w:sz w:val="22"/>
          <w:szCs w:val="22"/>
          <w:lang w:val="es-ES" w:eastAsia="es-ES"/>
        </w:rPr>
      </w:pPr>
    </w:p>
    <w:p w14:paraId="66BC8560" w14:textId="77777777" w:rsidR="003722CF" w:rsidRDefault="003722CF">
      <w:pPr>
        <w:widowControl/>
        <w:suppressAutoHyphens w:val="0"/>
        <w:spacing w:line="240" w:lineRule="exact"/>
        <w:textAlignment w:val="auto"/>
        <w:rPr>
          <w:rFonts w:eastAsia="Times New Roman" w:cs="Calibri"/>
          <w:b/>
          <w:sz w:val="22"/>
          <w:szCs w:val="22"/>
          <w:lang w:val="es-ES" w:eastAsia="es-ES"/>
        </w:rPr>
      </w:pPr>
    </w:p>
    <w:p w14:paraId="6955B07B" w14:textId="77777777" w:rsidR="003722CF" w:rsidRDefault="003722CF">
      <w:pPr>
        <w:pStyle w:val="Text"/>
        <w:spacing w:after="0" w:line="240" w:lineRule="exact"/>
        <w:ind w:firstLine="0"/>
        <w:rPr>
          <w:rFonts w:ascii="Calibri" w:hAnsi="Calibri" w:cs="DIN Pro Regular"/>
          <w:b/>
          <w:sz w:val="20"/>
        </w:rPr>
      </w:pPr>
    </w:p>
    <w:p w14:paraId="17603B26" w14:textId="77777777" w:rsidR="003722CF" w:rsidRDefault="003722CF">
      <w:pPr>
        <w:pStyle w:val="Text"/>
        <w:spacing w:after="0" w:line="240" w:lineRule="exact"/>
        <w:ind w:firstLine="0"/>
        <w:rPr>
          <w:rFonts w:ascii="Calibri" w:hAnsi="Calibri" w:cs="DIN Pro Regular"/>
          <w:b/>
          <w:sz w:val="20"/>
        </w:rPr>
      </w:pPr>
    </w:p>
    <w:p w14:paraId="61C9D9D3" w14:textId="77777777" w:rsidR="003722CF" w:rsidRDefault="003722CF">
      <w:pPr>
        <w:pStyle w:val="Text"/>
        <w:spacing w:after="0" w:line="240" w:lineRule="exact"/>
        <w:ind w:firstLine="0"/>
        <w:rPr>
          <w:rFonts w:ascii="Calibri" w:hAnsi="Calibri" w:cs="DIN Pro Regular"/>
          <w:b/>
          <w:sz w:val="20"/>
        </w:rPr>
      </w:pPr>
    </w:p>
    <w:p w14:paraId="17B65643" w14:textId="77777777" w:rsidR="003722CF" w:rsidRDefault="003722CF">
      <w:pPr>
        <w:pStyle w:val="Text"/>
        <w:spacing w:after="0" w:line="240" w:lineRule="exact"/>
        <w:ind w:firstLine="0"/>
        <w:rPr>
          <w:rFonts w:ascii="Calibri" w:hAnsi="Calibri" w:cs="DIN Pro Regular"/>
          <w:b/>
          <w:sz w:val="20"/>
        </w:rPr>
      </w:pPr>
    </w:p>
    <w:p w14:paraId="4917FD50" w14:textId="77777777" w:rsidR="003722CF" w:rsidRDefault="003722CF">
      <w:pPr>
        <w:pStyle w:val="Text"/>
        <w:spacing w:after="0" w:line="240" w:lineRule="exact"/>
        <w:ind w:firstLine="0"/>
        <w:rPr>
          <w:rFonts w:ascii="Calibri" w:hAnsi="Calibri" w:cs="DIN Pro Regular"/>
          <w:b/>
          <w:sz w:val="20"/>
        </w:rPr>
      </w:pPr>
    </w:p>
    <w:p w14:paraId="385DD003" w14:textId="77777777" w:rsidR="003722CF" w:rsidRDefault="003722CF">
      <w:pPr>
        <w:pStyle w:val="Text"/>
        <w:spacing w:after="0" w:line="240" w:lineRule="exact"/>
        <w:ind w:firstLine="0"/>
        <w:rPr>
          <w:rFonts w:ascii="Calibri" w:hAnsi="Calibri" w:cs="DIN Pro Regular"/>
          <w:b/>
          <w:sz w:val="20"/>
        </w:rPr>
      </w:pPr>
    </w:p>
    <w:p w14:paraId="0201D6CA" w14:textId="77777777" w:rsidR="003722CF" w:rsidRDefault="003722CF">
      <w:pPr>
        <w:pStyle w:val="Text"/>
        <w:spacing w:after="0" w:line="240" w:lineRule="exact"/>
        <w:ind w:firstLine="0"/>
        <w:rPr>
          <w:rFonts w:ascii="Calibri" w:hAnsi="Calibri" w:cs="DIN Pro Regular"/>
          <w:b/>
          <w:sz w:val="20"/>
        </w:rPr>
      </w:pPr>
    </w:p>
    <w:p w14:paraId="1B99B2BD" w14:textId="77777777" w:rsidR="003722CF" w:rsidRDefault="003722CF">
      <w:pPr>
        <w:pStyle w:val="Text"/>
        <w:spacing w:after="0" w:line="240" w:lineRule="exact"/>
        <w:ind w:firstLine="0"/>
        <w:rPr>
          <w:rFonts w:ascii="Calibri" w:hAnsi="Calibri" w:cs="DIN Pro Regular"/>
          <w:b/>
          <w:sz w:val="20"/>
        </w:rPr>
      </w:pPr>
    </w:p>
    <w:p w14:paraId="726ACEB5" w14:textId="77777777" w:rsidR="003722CF" w:rsidRDefault="00411668">
      <w:pPr>
        <w:pStyle w:val="Text"/>
        <w:spacing w:after="0" w:line="240" w:lineRule="exact"/>
        <w:jc w:val="center"/>
      </w:pPr>
      <w:r>
        <w:rPr>
          <w:rFonts w:ascii="Calibri" w:hAnsi="Calibri" w:cs="DIN Pro Regular"/>
          <w:b/>
          <w:sz w:val="24"/>
          <w:szCs w:val="24"/>
        </w:rPr>
        <w:t>Cuenta Pública 2024</w:t>
      </w:r>
    </w:p>
    <w:p w14:paraId="0688E2A1" w14:textId="77777777" w:rsidR="003722CF" w:rsidRDefault="003722CF">
      <w:pPr>
        <w:pStyle w:val="Text"/>
        <w:spacing w:after="0" w:line="240" w:lineRule="exact"/>
        <w:jc w:val="center"/>
        <w:rPr>
          <w:rFonts w:ascii="Calibri" w:hAnsi="Calibri" w:cs="DIN Pro Regular"/>
          <w:b/>
          <w:sz w:val="24"/>
          <w:szCs w:val="24"/>
        </w:rPr>
      </w:pPr>
    </w:p>
    <w:p w14:paraId="4C6AEB1E" w14:textId="77777777" w:rsidR="003722CF" w:rsidRDefault="00411668">
      <w:pPr>
        <w:pStyle w:val="Text"/>
        <w:spacing w:after="0" w:line="240" w:lineRule="exact"/>
        <w:jc w:val="center"/>
      </w:pPr>
      <w:r>
        <w:rPr>
          <w:rFonts w:ascii="Calibri" w:hAnsi="Calibri" w:cs="DIN Pro Regular"/>
          <w:b/>
          <w:sz w:val="24"/>
          <w:szCs w:val="24"/>
        </w:rPr>
        <w:t xml:space="preserve">Notas a los Estados </w:t>
      </w:r>
      <w:r>
        <w:rPr>
          <w:rFonts w:ascii="Calibri" w:hAnsi="Calibri" w:cs="DIN Pro Regular"/>
          <w:b/>
          <w:sz w:val="24"/>
          <w:szCs w:val="24"/>
        </w:rPr>
        <w:t>Financieros</w:t>
      </w:r>
    </w:p>
    <w:p w14:paraId="3CCAB351" w14:textId="77777777" w:rsidR="003722CF" w:rsidRDefault="003722CF">
      <w:pPr>
        <w:pStyle w:val="Text"/>
        <w:spacing w:after="0" w:line="240" w:lineRule="exact"/>
        <w:ind w:firstLine="0"/>
        <w:rPr>
          <w:rFonts w:ascii="Calibri" w:hAnsi="Calibri" w:cs="DIN Pro Regular"/>
          <w:b/>
          <w:sz w:val="24"/>
          <w:szCs w:val="24"/>
        </w:rPr>
      </w:pPr>
    </w:p>
    <w:p w14:paraId="474E06F6" w14:textId="77777777" w:rsidR="003722CF" w:rsidRDefault="003722CF">
      <w:pPr>
        <w:pStyle w:val="Text"/>
        <w:spacing w:after="0" w:line="240" w:lineRule="exact"/>
        <w:jc w:val="center"/>
        <w:rPr>
          <w:rFonts w:ascii="Calibri" w:hAnsi="Calibri" w:cs="DIN Pro Regular"/>
          <w:b/>
          <w:sz w:val="24"/>
          <w:szCs w:val="24"/>
        </w:rPr>
      </w:pPr>
    </w:p>
    <w:p w14:paraId="176DF1B9" w14:textId="77777777" w:rsidR="003722CF" w:rsidRDefault="003722CF">
      <w:pPr>
        <w:pStyle w:val="Text"/>
        <w:spacing w:after="0" w:line="240" w:lineRule="exact"/>
        <w:jc w:val="center"/>
        <w:rPr>
          <w:rFonts w:ascii="Calibri" w:hAnsi="Calibri" w:cs="DIN Pro Regular"/>
          <w:b/>
          <w:sz w:val="24"/>
          <w:szCs w:val="24"/>
        </w:rPr>
      </w:pPr>
    </w:p>
    <w:p w14:paraId="6FDEFE53" w14:textId="77777777" w:rsidR="003722CF" w:rsidRDefault="00411668">
      <w:pPr>
        <w:pStyle w:val="Text"/>
        <w:spacing w:after="0" w:line="240" w:lineRule="exact"/>
        <w:jc w:val="center"/>
      </w:pPr>
      <w:r>
        <w:rPr>
          <w:rFonts w:ascii="Calibri" w:hAnsi="Calibri" w:cs="DIN Pro Regular"/>
          <w:b/>
          <w:sz w:val="24"/>
          <w:szCs w:val="24"/>
        </w:rPr>
        <w:t>b) NOTAS DE DESGLOSE</w:t>
      </w:r>
    </w:p>
    <w:p w14:paraId="58CFB83A" w14:textId="77777777" w:rsidR="003722CF" w:rsidRDefault="003722CF">
      <w:pPr>
        <w:pStyle w:val="Text"/>
        <w:spacing w:after="0" w:line="240" w:lineRule="exact"/>
        <w:jc w:val="center"/>
        <w:rPr>
          <w:rFonts w:ascii="Calibri" w:hAnsi="Calibri" w:cs="DIN Pro Regular"/>
          <w:b/>
          <w:sz w:val="20"/>
        </w:rPr>
      </w:pPr>
    </w:p>
    <w:p w14:paraId="33DB6F80" w14:textId="77777777" w:rsidR="003722CF" w:rsidRDefault="00411668">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4514098" w14:textId="77777777" w:rsidR="003722CF" w:rsidRDefault="003722CF">
      <w:pPr>
        <w:pStyle w:val="Text"/>
        <w:spacing w:after="0" w:line="240" w:lineRule="exact"/>
        <w:rPr>
          <w:rFonts w:ascii="Calibri" w:hAnsi="Calibri" w:cs="DIN Pro Regular"/>
          <w:sz w:val="20"/>
          <w:lang w:val="es-MX"/>
        </w:rPr>
      </w:pPr>
    </w:p>
    <w:p w14:paraId="3C27B872" w14:textId="77777777" w:rsidR="003722CF" w:rsidRDefault="00411668">
      <w:pPr>
        <w:pStyle w:val="Text"/>
        <w:spacing w:after="0" w:line="240" w:lineRule="exact"/>
        <w:rPr>
          <w:rFonts w:ascii="Calibri" w:hAnsi="Calibri" w:cs="Calibri"/>
          <w:sz w:val="22"/>
          <w:szCs w:val="22"/>
          <w:lang w:val="es-MX"/>
        </w:rPr>
      </w:pPr>
      <w:r>
        <w:rPr>
          <w:rFonts w:ascii="Calibri" w:hAnsi="Calibri" w:cs="Calibri"/>
          <w:sz w:val="22"/>
          <w:szCs w:val="22"/>
          <w:lang w:val="es-MX"/>
        </w:rPr>
        <w:t>subsidio estatal para gasto de Capital, además del subsidio para gasto corriente.</w:t>
      </w:r>
    </w:p>
    <w:p w14:paraId="5ADBD437" w14:textId="77777777" w:rsidR="003722CF" w:rsidRDefault="003722CF">
      <w:pPr>
        <w:pStyle w:val="Text"/>
        <w:spacing w:after="0" w:line="240" w:lineRule="exact"/>
        <w:rPr>
          <w:rFonts w:ascii="Calibri" w:hAnsi="Calibri" w:cs="Calibri"/>
          <w:sz w:val="22"/>
          <w:szCs w:val="22"/>
          <w:lang w:val="es-MX"/>
        </w:rPr>
      </w:pPr>
    </w:p>
    <w:p w14:paraId="3E6923EA" w14:textId="77777777" w:rsidR="003722CF" w:rsidRDefault="003722CF">
      <w:pPr>
        <w:pStyle w:val="Text"/>
        <w:spacing w:after="0" w:line="240" w:lineRule="exact"/>
        <w:rPr>
          <w:rFonts w:ascii="Calibri" w:hAnsi="Calibri" w:cs="Calibri"/>
          <w:sz w:val="22"/>
          <w:szCs w:val="22"/>
          <w:lang w:val="es-MX"/>
        </w:rPr>
      </w:pPr>
    </w:p>
    <w:p w14:paraId="62938AFE" w14:textId="77777777" w:rsidR="003722CF" w:rsidRDefault="003722CF">
      <w:pPr>
        <w:pStyle w:val="Text"/>
        <w:spacing w:after="0" w:line="240" w:lineRule="exact"/>
        <w:rPr>
          <w:rFonts w:ascii="Calibri" w:hAnsi="Calibri" w:cs="Calibri"/>
          <w:sz w:val="22"/>
          <w:szCs w:val="22"/>
          <w:lang w:val="es-MX"/>
        </w:rPr>
      </w:pPr>
    </w:p>
    <w:p w14:paraId="51481AF3" w14:textId="77777777" w:rsidR="003722CF" w:rsidRDefault="003722CF">
      <w:pPr>
        <w:pStyle w:val="Text"/>
        <w:spacing w:after="0" w:line="240" w:lineRule="exact"/>
        <w:rPr>
          <w:rFonts w:ascii="Calibri" w:hAnsi="Calibri" w:cs="Calibri"/>
          <w:sz w:val="22"/>
          <w:szCs w:val="22"/>
          <w:lang w:val="es-MX"/>
        </w:rPr>
      </w:pPr>
    </w:p>
    <w:tbl>
      <w:tblPr>
        <w:tblW w:w="4660" w:type="dxa"/>
        <w:tblInd w:w="2337" w:type="dxa"/>
        <w:tblCellMar>
          <w:left w:w="10" w:type="dxa"/>
          <w:right w:w="10" w:type="dxa"/>
        </w:tblCellMar>
        <w:tblLook w:val="0000" w:firstRow="0" w:lastRow="0" w:firstColumn="0" w:lastColumn="0" w:noHBand="0" w:noVBand="0"/>
      </w:tblPr>
      <w:tblGrid>
        <w:gridCol w:w="3320"/>
        <w:gridCol w:w="1340"/>
      </w:tblGrid>
      <w:tr w:rsidR="003722CF" w14:paraId="1AF92851" w14:textId="77777777">
        <w:tblPrEx>
          <w:tblCellMar>
            <w:top w:w="0" w:type="dxa"/>
            <w:bottom w:w="0" w:type="dxa"/>
          </w:tblCellMar>
        </w:tblPrEx>
        <w:trPr>
          <w:trHeight w:val="282"/>
        </w:trPr>
        <w:tc>
          <w:tcPr>
            <w:tcW w:w="332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563EAC99" w14:textId="77777777" w:rsidR="003722CF" w:rsidRDefault="00411668">
            <w:pPr>
              <w:jc w:val="center"/>
            </w:pPr>
            <w:r>
              <w:rPr>
                <w:rFonts w:cs="Calibri"/>
                <w:sz w:val="22"/>
                <w:szCs w:val="22"/>
              </w:rPr>
              <w:t xml:space="preserve">                </w:t>
            </w:r>
            <w:r>
              <w:rPr>
                <w:rFonts w:eastAsia="Times New Roman" w:cs="Calibri"/>
                <w:color w:val="FFFFFF"/>
                <w:sz w:val="22"/>
                <w:szCs w:val="22"/>
              </w:rPr>
              <w:t>Concepto</w:t>
            </w:r>
          </w:p>
        </w:tc>
        <w:tc>
          <w:tcPr>
            <w:tcW w:w="13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3D705EFF" w14:textId="77777777" w:rsidR="003722CF" w:rsidRDefault="00411668">
            <w:pPr>
              <w:jc w:val="center"/>
              <w:rPr>
                <w:rFonts w:eastAsia="Times New Roman" w:cs="Calibri"/>
                <w:color w:val="FFFFFF"/>
                <w:sz w:val="22"/>
                <w:szCs w:val="22"/>
              </w:rPr>
            </w:pPr>
            <w:r>
              <w:rPr>
                <w:rFonts w:eastAsia="Times New Roman" w:cs="Calibri"/>
                <w:color w:val="FFFFFF"/>
                <w:sz w:val="22"/>
                <w:szCs w:val="22"/>
              </w:rPr>
              <w:t>Ingresos</w:t>
            </w:r>
          </w:p>
        </w:tc>
      </w:tr>
      <w:tr w:rsidR="003722CF" w14:paraId="3ED165A9"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8C706F"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Subsidio Estatal </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DC23754" w14:textId="77777777" w:rsidR="003722CF" w:rsidRDefault="00411668">
            <w:pPr>
              <w:jc w:val="right"/>
              <w:rPr>
                <w:rFonts w:eastAsia="Times New Roman" w:cs="Calibri"/>
                <w:color w:val="000000"/>
                <w:sz w:val="22"/>
                <w:szCs w:val="22"/>
              </w:rPr>
            </w:pPr>
            <w:r>
              <w:rPr>
                <w:rFonts w:eastAsia="Times New Roman" w:cs="Calibri"/>
                <w:color w:val="000000"/>
                <w:sz w:val="22"/>
                <w:szCs w:val="22"/>
              </w:rPr>
              <w:t>$12,043,193</w:t>
            </w:r>
          </w:p>
        </w:tc>
      </w:tr>
      <w:tr w:rsidR="003722CF" w14:paraId="717C9CF8"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235DD90"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Interés cuenta </w:t>
            </w:r>
            <w:r>
              <w:rPr>
                <w:rFonts w:eastAsia="Times New Roman" w:cs="Calibri"/>
                <w:color w:val="000000"/>
                <w:sz w:val="22"/>
                <w:szCs w:val="22"/>
              </w:rPr>
              <w:t>productiva</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78196A1" w14:textId="77777777" w:rsidR="003722CF" w:rsidRDefault="00411668">
            <w:pPr>
              <w:jc w:val="right"/>
              <w:rPr>
                <w:rFonts w:eastAsia="Times New Roman" w:cs="Calibri"/>
                <w:color w:val="000000"/>
                <w:sz w:val="22"/>
                <w:szCs w:val="22"/>
              </w:rPr>
            </w:pPr>
            <w:r>
              <w:rPr>
                <w:rFonts w:eastAsia="Times New Roman" w:cs="Calibri"/>
                <w:color w:val="000000"/>
                <w:sz w:val="22"/>
                <w:szCs w:val="22"/>
              </w:rPr>
              <w:t>$2</w:t>
            </w:r>
          </w:p>
        </w:tc>
      </w:tr>
      <w:tr w:rsidR="003722CF" w14:paraId="74152491"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49EB7F3" w14:textId="77777777" w:rsidR="003722CF" w:rsidRDefault="00411668">
            <w:pPr>
              <w:rPr>
                <w:rFonts w:eastAsia="Times New Roman" w:cs="Calibri"/>
                <w:color w:val="000000"/>
                <w:sz w:val="22"/>
                <w:szCs w:val="22"/>
              </w:rPr>
            </w:pPr>
            <w:r>
              <w:rPr>
                <w:rFonts w:eastAsia="Times New Roman" w:cs="Calibri"/>
                <w:color w:val="000000"/>
                <w:sz w:val="22"/>
                <w:szCs w:val="22"/>
              </w:rPr>
              <w:t> </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803C7CE" w14:textId="77777777" w:rsidR="003722CF" w:rsidRDefault="00411668">
            <w:pPr>
              <w:rPr>
                <w:rFonts w:eastAsia="Times New Roman" w:cs="Calibri"/>
                <w:color w:val="000000"/>
                <w:sz w:val="22"/>
                <w:szCs w:val="22"/>
              </w:rPr>
            </w:pPr>
            <w:r>
              <w:rPr>
                <w:rFonts w:eastAsia="Times New Roman" w:cs="Calibri"/>
                <w:color w:val="000000"/>
                <w:sz w:val="22"/>
                <w:szCs w:val="22"/>
              </w:rPr>
              <w:t> </w:t>
            </w:r>
          </w:p>
        </w:tc>
      </w:tr>
      <w:tr w:rsidR="003722CF" w14:paraId="50ECDEDD"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A28BCBE" w14:textId="77777777" w:rsidR="003722CF" w:rsidRDefault="00411668">
            <w:pPr>
              <w:rPr>
                <w:rFonts w:eastAsia="Times New Roman" w:cs="Calibri"/>
                <w:color w:val="000000"/>
                <w:sz w:val="22"/>
                <w:szCs w:val="22"/>
              </w:rPr>
            </w:pPr>
            <w:r>
              <w:rPr>
                <w:rFonts w:eastAsia="Times New Roman" w:cs="Calibri"/>
                <w:color w:val="000000"/>
                <w:sz w:val="22"/>
                <w:szCs w:val="22"/>
              </w:rPr>
              <w:t>Total</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7DDBEC8" w14:textId="77777777" w:rsidR="003722CF" w:rsidRDefault="00411668">
            <w:pPr>
              <w:jc w:val="right"/>
              <w:rPr>
                <w:rFonts w:eastAsia="Times New Roman" w:cs="Calibri"/>
                <w:color w:val="000000"/>
                <w:sz w:val="22"/>
                <w:szCs w:val="22"/>
              </w:rPr>
            </w:pPr>
            <w:r>
              <w:rPr>
                <w:rFonts w:eastAsia="Times New Roman" w:cs="Calibri"/>
                <w:color w:val="000000"/>
                <w:sz w:val="22"/>
                <w:szCs w:val="22"/>
              </w:rPr>
              <w:t>$12,043,195</w:t>
            </w:r>
          </w:p>
        </w:tc>
      </w:tr>
    </w:tbl>
    <w:p w14:paraId="2A2EA6D1" w14:textId="77777777" w:rsidR="003722CF" w:rsidRDefault="003722CF">
      <w:pPr>
        <w:pStyle w:val="Text"/>
        <w:spacing w:after="0" w:line="240" w:lineRule="exact"/>
        <w:rPr>
          <w:rFonts w:ascii="Calibri" w:hAnsi="Calibri" w:cs="Calibri"/>
          <w:sz w:val="22"/>
          <w:szCs w:val="22"/>
          <w:lang w:val="es-MX"/>
        </w:rPr>
      </w:pPr>
    </w:p>
    <w:p w14:paraId="5AC2744B" w14:textId="77777777" w:rsidR="003722CF" w:rsidRDefault="003722CF">
      <w:pPr>
        <w:pStyle w:val="Text"/>
        <w:spacing w:after="0" w:line="240" w:lineRule="exact"/>
        <w:rPr>
          <w:rFonts w:ascii="Calibri" w:hAnsi="Calibri" w:cs="Calibri"/>
          <w:sz w:val="22"/>
          <w:szCs w:val="22"/>
          <w:lang w:val="es-MX"/>
        </w:rPr>
      </w:pPr>
    </w:p>
    <w:p w14:paraId="70F44F50" w14:textId="77777777" w:rsidR="003722CF" w:rsidRDefault="003722CF">
      <w:pPr>
        <w:pStyle w:val="Text"/>
        <w:spacing w:after="0" w:line="240" w:lineRule="exact"/>
        <w:rPr>
          <w:rFonts w:ascii="Calibri" w:hAnsi="Calibri" w:cs="Calibri"/>
          <w:sz w:val="22"/>
          <w:szCs w:val="22"/>
          <w:lang w:val="es-MX"/>
        </w:rPr>
      </w:pPr>
    </w:p>
    <w:p w14:paraId="6793A9BE" w14:textId="77777777" w:rsidR="003722CF" w:rsidRDefault="003722CF">
      <w:pPr>
        <w:pStyle w:val="Text"/>
        <w:spacing w:after="0" w:line="240" w:lineRule="exact"/>
        <w:rPr>
          <w:rFonts w:ascii="Calibri" w:hAnsi="Calibri" w:cs="Calibri"/>
          <w:sz w:val="22"/>
          <w:szCs w:val="22"/>
          <w:lang w:val="es-MX"/>
        </w:rPr>
      </w:pPr>
    </w:p>
    <w:p w14:paraId="26E3DDA1" w14:textId="77777777" w:rsidR="003722CF" w:rsidRDefault="003722CF">
      <w:pPr>
        <w:pStyle w:val="Text"/>
        <w:spacing w:after="0" w:line="240" w:lineRule="exact"/>
        <w:rPr>
          <w:rFonts w:ascii="Calibri" w:hAnsi="Calibri" w:cs="Calibri"/>
          <w:sz w:val="22"/>
          <w:szCs w:val="22"/>
          <w:lang w:val="es-MX"/>
        </w:rPr>
      </w:pPr>
    </w:p>
    <w:p w14:paraId="0EBA29C8" w14:textId="77777777" w:rsidR="003722CF" w:rsidRDefault="00411668">
      <w:pPr>
        <w:pStyle w:val="ROMANOS"/>
        <w:spacing w:after="0" w:line="240" w:lineRule="exact"/>
        <w:ind w:left="1140"/>
      </w:pPr>
      <w:r>
        <w:rPr>
          <w:rFonts w:ascii="Calibri" w:hAnsi="Calibri" w:cs="Calibri"/>
          <w:b/>
          <w:sz w:val="22"/>
          <w:szCs w:val="22"/>
          <w:lang w:val="es-MX"/>
        </w:rPr>
        <w:t>Gastos y Otras Pérdidas</w:t>
      </w:r>
      <w:r>
        <w:rPr>
          <w:rFonts w:ascii="Calibri" w:hAnsi="Calibri" w:cs="Calibri"/>
          <w:sz w:val="22"/>
          <w:szCs w:val="22"/>
          <w:lang w:val="es-MX"/>
        </w:rPr>
        <w:t>:</w:t>
      </w:r>
    </w:p>
    <w:p w14:paraId="16E18B4A" w14:textId="77777777" w:rsidR="003722CF" w:rsidRDefault="003722CF">
      <w:pPr>
        <w:pStyle w:val="ROMANOS"/>
        <w:spacing w:after="0" w:line="240" w:lineRule="exact"/>
        <w:ind w:left="1008" w:firstLine="0"/>
        <w:rPr>
          <w:rFonts w:ascii="Calibri" w:hAnsi="Calibri" w:cs="Calibri"/>
          <w:sz w:val="22"/>
          <w:szCs w:val="22"/>
          <w:lang w:val="es-MX"/>
        </w:rPr>
      </w:pPr>
    </w:p>
    <w:p w14:paraId="65A9611C" w14:textId="77777777" w:rsidR="003722CF" w:rsidRDefault="00411668">
      <w:pPr>
        <w:pStyle w:val="ROMANOS"/>
        <w:spacing w:after="0" w:line="240" w:lineRule="exact"/>
        <w:ind w:left="709" w:hanging="1"/>
        <w:rPr>
          <w:rFonts w:ascii="Calibri" w:hAnsi="Calibri" w:cs="Calibri"/>
          <w:sz w:val="22"/>
          <w:szCs w:val="22"/>
          <w:lang w:val="es-MX"/>
        </w:rPr>
      </w:pPr>
      <w:r>
        <w:rPr>
          <w:rFonts w:ascii="Calibri" w:hAnsi="Calibri" w:cs="Calibri"/>
          <w:sz w:val="22"/>
          <w:szCs w:val="22"/>
          <w:lang w:val="es-MX"/>
        </w:rPr>
        <w:t>El IMEPLAN tuvo gasto corriente de operación, por el período comprendido de enero a diciembre de 2024 por un monto de $9,570,810, depreciación anual $ 89,844.</w:t>
      </w:r>
    </w:p>
    <w:p w14:paraId="2DFF5719" w14:textId="77777777" w:rsidR="003722CF" w:rsidRDefault="003722CF">
      <w:pPr>
        <w:pStyle w:val="ROMANOS"/>
        <w:spacing w:after="0" w:line="240" w:lineRule="exact"/>
        <w:ind w:left="709" w:hanging="1"/>
        <w:rPr>
          <w:rFonts w:ascii="Calibri" w:hAnsi="Calibri" w:cs="Calibri"/>
          <w:sz w:val="22"/>
          <w:szCs w:val="22"/>
          <w:lang w:val="es-MX"/>
        </w:rPr>
      </w:pPr>
    </w:p>
    <w:p w14:paraId="37BD3173" w14:textId="77777777" w:rsidR="003722CF" w:rsidRDefault="003722CF">
      <w:pPr>
        <w:pStyle w:val="ROMANOS"/>
        <w:spacing w:after="0" w:line="240" w:lineRule="exact"/>
        <w:ind w:left="709" w:hanging="1"/>
        <w:rPr>
          <w:rFonts w:ascii="Calibri" w:hAnsi="Calibri" w:cs="Calibri"/>
          <w:sz w:val="22"/>
          <w:szCs w:val="22"/>
          <w:lang w:val="es-MX"/>
        </w:rPr>
      </w:pPr>
    </w:p>
    <w:tbl>
      <w:tblPr>
        <w:tblW w:w="6300" w:type="dxa"/>
        <w:tblInd w:w="1520" w:type="dxa"/>
        <w:tblCellMar>
          <w:left w:w="10" w:type="dxa"/>
          <w:right w:w="10" w:type="dxa"/>
        </w:tblCellMar>
        <w:tblLook w:val="0000" w:firstRow="0" w:lastRow="0" w:firstColumn="0" w:lastColumn="0" w:noHBand="0" w:noVBand="0"/>
      </w:tblPr>
      <w:tblGrid>
        <w:gridCol w:w="3320"/>
        <w:gridCol w:w="1340"/>
        <w:gridCol w:w="1640"/>
      </w:tblGrid>
      <w:tr w:rsidR="003722CF" w14:paraId="7A73E331" w14:textId="77777777">
        <w:tblPrEx>
          <w:tblCellMar>
            <w:top w:w="0" w:type="dxa"/>
            <w:bottom w:w="0" w:type="dxa"/>
          </w:tblCellMar>
        </w:tblPrEx>
        <w:trPr>
          <w:trHeight w:val="315"/>
        </w:trPr>
        <w:tc>
          <w:tcPr>
            <w:tcW w:w="332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701EDAAC" w14:textId="77777777" w:rsidR="003722CF" w:rsidRDefault="00411668">
            <w:pPr>
              <w:jc w:val="center"/>
              <w:rPr>
                <w:rFonts w:eastAsia="Times New Roman" w:cs="Calibri"/>
                <w:color w:val="FFFFFF"/>
                <w:sz w:val="22"/>
                <w:szCs w:val="22"/>
              </w:rPr>
            </w:pPr>
            <w:r>
              <w:rPr>
                <w:rFonts w:eastAsia="Times New Roman" w:cs="Calibri"/>
                <w:color w:val="FFFFFF"/>
                <w:sz w:val="22"/>
                <w:szCs w:val="22"/>
              </w:rPr>
              <w:t xml:space="preserve">  </w:t>
            </w:r>
          </w:p>
        </w:tc>
        <w:tc>
          <w:tcPr>
            <w:tcW w:w="13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6AB7E6C7" w14:textId="77777777" w:rsidR="003722CF" w:rsidRDefault="00411668">
            <w:pPr>
              <w:jc w:val="center"/>
              <w:rPr>
                <w:rFonts w:eastAsia="Times New Roman" w:cs="Calibri"/>
                <w:color w:val="FFFFFF"/>
                <w:sz w:val="22"/>
                <w:szCs w:val="22"/>
              </w:rPr>
            </w:pPr>
            <w:r>
              <w:rPr>
                <w:rFonts w:eastAsia="Times New Roman" w:cs="Calibri"/>
                <w:color w:val="FFFFFF"/>
                <w:sz w:val="22"/>
                <w:szCs w:val="22"/>
              </w:rPr>
              <w:t>Capitulo</w:t>
            </w:r>
          </w:p>
        </w:tc>
        <w:tc>
          <w:tcPr>
            <w:tcW w:w="16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2C1D4885" w14:textId="77777777" w:rsidR="003722CF" w:rsidRDefault="00411668">
            <w:pPr>
              <w:jc w:val="center"/>
              <w:rPr>
                <w:rFonts w:eastAsia="Times New Roman" w:cs="Calibri"/>
                <w:color w:val="FFFFFF"/>
                <w:sz w:val="22"/>
                <w:szCs w:val="22"/>
              </w:rPr>
            </w:pPr>
            <w:r>
              <w:rPr>
                <w:rFonts w:eastAsia="Times New Roman" w:cs="Calibri"/>
                <w:color w:val="FFFFFF"/>
                <w:sz w:val="22"/>
                <w:szCs w:val="22"/>
              </w:rPr>
              <w:t>Importe</w:t>
            </w:r>
          </w:p>
        </w:tc>
      </w:tr>
      <w:tr w:rsidR="003722CF" w14:paraId="0B305669" w14:textId="77777777">
        <w:tblPrEx>
          <w:tblCellMar>
            <w:top w:w="0" w:type="dxa"/>
            <w:bottom w:w="0" w:type="dxa"/>
          </w:tblCellMar>
        </w:tblPrEx>
        <w:trPr>
          <w:trHeight w:val="315"/>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ADFB693" w14:textId="77777777" w:rsidR="003722CF" w:rsidRDefault="00411668">
            <w:pPr>
              <w:rPr>
                <w:rFonts w:eastAsia="Times New Roman" w:cs="Calibri"/>
                <w:color w:val="000000"/>
                <w:sz w:val="22"/>
                <w:szCs w:val="22"/>
              </w:rPr>
            </w:pPr>
            <w:r>
              <w:rPr>
                <w:rFonts w:eastAsia="Times New Roman" w:cs="Calibri"/>
                <w:color w:val="000000"/>
                <w:sz w:val="22"/>
                <w:szCs w:val="22"/>
              </w:rPr>
              <w:t>Servicios Personales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36C1546" w14:textId="77777777" w:rsidR="003722CF" w:rsidRDefault="00411668">
            <w:pPr>
              <w:jc w:val="center"/>
              <w:rPr>
                <w:rFonts w:eastAsia="Times New Roman" w:cs="Calibri"/>
                <w:color w:val="000000"/>
                <w:sz w:val="22"/>
                <w:szCs w:val="22"/>
              </w:rPr>
            </w:pPr>
            <w:r>
              <w:rPr>
                <w:rFonts w:eastAsia="Times New Roman" w:cs="Calibri"/>
                <w:color w:val="000000"/>
                <w:sz w:val="22"/>
                <w:szCs w:val="22"/>
              </w:rPr>
              <w:t>1000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478D92C" w14:textId="77777777" w:rsidR="003722CF" w:rsidRDefault="00411668">
            <w:pPr>
              <w:jc w:val="right"/>
              <w:rPr>
                <w:rFonts w:eastAsia="Times New Roman" w:cs="Calibri"/>
                <w:color w:val="000000"/>
                <w:sz w:val="22"/>
                <w:szCs w:val="22"/>
              </w:rPr>
            </w:pPr>
            <w:r>
              <w:rPr>
                <w:rFonts w:eastAsia="Times New Roman" w:cs="Calibri"/>
                <w:color w:val="000000"/>
                <w:sz w:val="22"/>
                <w:szCs w:val="22"/>
              </w:rPr>
              <w:t>$7,479,144</w:t>
            </w:r>
          </w:p>
        </w:tc>
      </w:tr>
      <w:tr w:rsidR="003722CF" w14:paraId="1DCC02B7" w14:textId="77777777">
        <w:tblPrEx>
          <w:tblCellMar>
            <w:top w:w="0" w:type="dxa"/>
            <w:bottom w:w="0" w:type="dxa"/>
          </w:tblCellMar>
        </w:tblPrEx>
        <w:trPr>
          <w:trHeight w:val="315"/>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86FC36C" w14:textId="77777777" w:rsidR="003722CF" w:rsidRDefault="00411668">
            <w:pPr>
              <w:rPr>
                <w:rFonts w:eastAsia="Times New Roman" w:cs="Calibri"/>
                <w:color w:val="000000"/>
                <w:sz w:val="22"/>
                <w:szCs w:val="22"/>
              </w:rPr>
            </w:pPr>
            <w:r>
              <w:rPr>
                <w:rFonts w:eastAsia="Times New Roman" w:cs="Calibri"/>
                <w:color w:val="000000"/>
                <w:sz w:val="22"/>
                <w:szCs w:val="22"/>
              </w:rPr>
              <w:t>Materiales y Suministros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2A8F8CD" w14:textId="77777777" w:rsidR="003722CF" w:rsidRDefault="00411668">
            <w:pPr>
              <w:jc w:val="center"/>
              <w:rPr>
                <w:rFonts w:eastAsia="Times New Roman" w:cs="Calibri"/>
                <w:color w:val="000000"/>
                <w:sz w:val="22"/>
                <w:szCs w:val="22"/>
              </w:rPr>
            </w:pPr>
            <w:r>
              <w:rPr>
                <w:rFonts w:eastAsia="Times New Roman" w:cs="Calibri"/>
                <w:color w:val="000000"/>
                <w:sz w:val="22"/>
                <w:szCs w:val="22"/>
              </w:rPr>
              <w:t>2000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75D9FE6" w14:textId="77777777" w:rsidR="003722CF" w:rsidRDefault="00411668">
            <w:pPr>
              <w:jc w:val="right"/>
              <w:rPr>
                <w:rFonts w:eastAsia="Times New Roman" w:cs="Calibri"/>
                <w:color w:val="000000"/>
                <w:sz w:val="22"/>
                <w:szCs w:val="22"/>
              </w:rPr>
            </w:pPr>
            <w:r>
              <w:rPr>
                <w:rFonts w:eastAsia="Times New Roman" w:cs="Calibri"/>
                <w:color w:val="000000"/>
                <w:sz w:val="22"/>
                <w:szCs w:val="22"/>
              </w:rPr>
              <w:t>$374,355</w:t>
            </w:r>
          </w:p>
        </w:tc>
      </w:tr>
      <w:tr w:rsidR="003722CF" w14:paraId="2AFF0D13" w14:textId="77777777">
        <w:tblPrEx>
          <w:tblCellMar>
            <w:top w:w="0" w:type="dxa"/>
            <w:bottom w:w="0" w:type="dxa"/>
          </w:tblCellMar>
        </w:tblPrEx>
        <w:trPr>
          <w:trHeight w:val="315"/>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690D6E3" w14:textId="77777777" w:rsidR="003722CF" w:rsidRDefault="00411668">
            <w:pPr>
              <w:rPr>
                <w:rFonts w:eastAsia="Times New Roman" w:cs="Calibri"/>
                <w:color w:val="000000"/>
                <w:sz w:val="22"/>
                <w:szCs w:val="22"/>
              </w:rPr>
            </w:pPr>
            <w:r>
              <w:rPr>
                <w:rFonts w:eastAsia="Times New Roman" w:cs="Calibri"/>
                <w:color w:val="000000"/>
                <w:sz w:val="22"/>
                <w:szCs w:val="22"/>
              </w:rPr>
              <w:t>Servicios Generales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D9082FA" w14:textId="77777777" w:rsidR="003722CF" w:rsidRDefault="00411668">
            <w:pPr>
              <w:jc w:val="center"/>
              <w:rPr>
                <w:rFonts w:eastAsia="Times New Roman" w:cs="Calibri"/>
                <w:color w:val="000000"/>
                <w:sz w:val="22"/>
                <w:szCs w:val="22"/>
              </w:rPr>
            </w:pPr>
            <w:r>
              <w:rPr>
                <w:rFonts w:eastAsia="Times New Roman" w:cs="Calibri"/>
                <w:color w:val="000000"/>
                <w:sz w:val="22"/>
                <w:szCs w:val="22"/>
              </w:rPr>
              <w:t>3000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BFD99B8" w14:textId="77777777" w:rsidR="003722CF" w:rsidRDefault="00411668">
            <w:pPr>
              <w:jc w:val="right"/>
              <w:rPr>
                <w:rFonts w:eastAsia="Times New Roman" w:cs="Calibri"/>
                <w:color w:val="000000"/>
                <w:sz w:val="22"/>
                <w:szCs w:val="22"/>
              </w:rPr>
            </w:pPr>
            <w:r>
              <w:rPr>
                <w:rFonts w:eastAsia="Times New Roman" w:cs="Calibri"/>
                <w:color w:val="000000"/>
                <w:sz w:val="22"/>
                <w:szCs w:val="22"/>
              </w:rPr>
              <w:t>$1,717,311</w:t>
            </w:r>
          </w:p>
        </w:tc>
      </w:tr>
      <w:tr w:rsidR="003722CF" w14:paraId="3911F7A9" w14:textId="77777777">
        <w:tblPrEx>
          <w:tblCellMar>
            <w:top w:w="0" w:type="dxa"/>
            <w:bottom w:w="0" w:type="dxa"/>
          </w:tblCellMar>
        </w:tblPrEx>
        <w:trPr>
          <w:trHeight w:val="315"/>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5A55497" w14:textId="77777777" w:rsidR="003722CF" w:rsidRDefault="00411668">
            <w:pPr>
              <w:rPr>
                <w:rFonts w:eastAsia="Times New Roman" w:cs="Calibri"/>
                <w:color w:val="000000"/>
                <w:sz w:val="22"/>
                <w:szCs w:val="22"/>
              </w:rPr>
            </w:pPr>
            <w:r>
              <w:rPr>
                <w:rFonts w:eastAsia="Times New Roman" w:cs="Calibri"/>
                <w:color w:val="000000"/>
                <w:sz w:val="22"/>
                <w:szCs w:val="22"/>
              </w:rPr>
              <w:t>Otros Gastos (Depreciación)</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2AAF1A9" w14:textId="77777777" w:rsidR="003722CF" w:rsidRDefault="00411668">
            <w:pPr>
              <w:jc w:val="center"/>
              <w:rPr>
                <w:rFonts w:eastAsia="Times New Roman" w:cs="Calibri"/>
                <w:color w:val="000000"/>
                <w:sz w:val="22"/>
                <w:szCs w:val="22"/>
              </w:rPr>
            </w:pPr>
            <w:r>
              <w:rPr>
                <w:rFonts w:eastAsia="Times New Roman" w:cs="Calibri"/>
                <w:color w:val="000000"/>
                <w:sz w:val="22"/>
                <w:szCs w:val="22"/>
              </w:rPr>
              <w:t> </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3059AD6" w14:textId="77777777" w:rsidR="003722CF" w:rsidRDefault="00411668">
            <w:pPr>
              <w:jc w:val="right"/>
              <w:rPr>
                <w:rFonts w:eastAsia="Times New Roman" w:cs="Calibri"/>
                <w:color w:val="000000"/>
                <w:sz w:val="22"/>
                <w:szCs w:val="22"/>
              </w:rPr>
            </w:pPr>
            <w:r>
              <w:rPr>
                <w:rFonts w:eastAsia="Times New Roman" w:cs="Calibri"/>
                <w:color w:val="000000"/>
                <w:sz w:val="22"/>
                <w:szCs w:val="22"/>
              </w:rPr>
              <w:t>$89,844</w:t>
            </w:r>
          </w:p>
        </w:tc>
      </w:tr>
      <w:tr w:rsidR="003722CF" w14:paraId="545A269D" w14:textId="77777777">
        <w:tblPrEx>
          <w:tblCellMar>
            <w:top w:w="0" w:type="dxa"/>
            <w:bottom w:w="0" w:type="dxa"/>
          </w:tblCellMar>
        </w:tblPrEx>
        <w:trPr>
          <w:trHeight w:val="315"/>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156D8CD" w14:textId="77777777" w:rsidR="003722CF" w:rsidRDefault="00411668">
            <w:pPr>
              <w:rPr>
                <w:rFonts w:eastAsia="Times New Roman" w:cs="Calibri"/>
                <w:color w:val="000000"/>
                <w:sz w:val="22"/>
                <w:szCs w:val="22"/>
              </w:rPr>
            </w:pPr>
            <w:r>
              <w:rPr>
                <w:rFonts w:eastAsia="Times New Roman" w:cs="Calibri"/>
                <w:color w:val="000000"/>
                <w:sz w:val="22"/>
                <w:szCs w:val="22"/>
              </w:rPr>
              <w:t>Total</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BC7F21B" w14:textId="77777777" w:rsidR="003722CF" w:rsidRDefault="00411668">
            <w:pPr>
              <w:jc w:val="center"/>
              <w:rPr>
                <w:rFonts w:eastAsia="Times New Roman" w:cs="Calibri"/>
                <w:color w:val="000000"/>
                <w:sz w:val="22"/>
                <w:szCs w:val="22"/>
              </w:rPr>
            </w:pPr>
            <w:r>
              <w:rPr>
                <w:rFonts w:eastAsia="Times New Roman" w:cs="Calibri"/>
                <w:color w:val="000000"/>
                <w:sz w:val="22"/>
                <w:szCs w:val="22"/>
              </w:rPr>
              <w:t> </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09FFA82" w14:textId="77777777" w:rsidR="003722CF" w:rsidRDefault="00411668">
            <w:pPr>
              <w:jc w:val="right"/>
              <w:rPr>
                <w:rFonts w:eastAsia="Times New Roman" w:cs="Calibri"/>
                <w:color w:val="000000"/>
                <w:sz w:val="22"/>
                <w:szCs w:val="22"/>
              </w:rPr>
            </w:pPr>
            <w:r>
              <w:rPr>
                <w:rFonts w:eastAsia="Times New Roman" w:cs="Calibri"/>
                <w:color w:val="000000"/>
                <w:sz w:val="22"/>
                <w:szCs w:val="22"/>
              </w:rPr>
              <w:t>$9,660,654</w:t>
            </w:r>
          </w:p>
        </w:tc>
      </w:tr>
    </w:tbl>
    <w:p w14:paraId="218849A0" w14:textId="77777777" w:rsidR="003722CF" w:rsidRDefault="003722CF">
      <w:pPr>
        <w:pStyle w:val="ROMANOS"/>
        <w:spacing w:after="0" w:line="240" w:lineRule="exact"/>
        <w:ind w:left="709" w:hanging="1"/>
        <w:rPr>
          <w:rFonts w:ascii="Calibri" w:hAnsi="Calibri" w:cs="Calibri"/>
          <w:sz w:val="22"/>
          <w:szCs w:val="22"/>
          <w:lang w:val="es-MX"/>
        </w:rPr>
      </w:pPr>
    </w:p>
    <w:p w14:paraId="047D4AE2" w14:textId="77777777" w:rsidR="003722CF" w:rsidRDefault="003722CF">
      <w:pPr>
        <w:pStyle w:val="ROMANOS"/>
        <w:spacing w:after="0" w:line="240" w:lineRule="exact"/>
        <w:ind w:left="1140"/>
        <w:rPr>
          <w:rFonts w:ascii="Calibri" w:hAnsi="Calibri" w:cs="Calibri"/>
          <w:sz w:val="22"/>
          <w:szCs w:val="22"/>
          <w:lang w:val="es-MX"/>
        </w:rPr>
      </w:pPr>
    </w:p>
    <w:p w14:paraId="55AE65B7" w14:textId="77777777" w:rsidR="003722CF" w:rsidRDefault="003722CF">
      <w:pPr>
        <w:pStyle w:val="ROMANOS"/>
        <w:spacing w:after="0" w:line="240" w:lineRule="exact"/>
        <w:ind w:left="1140"/>
        <w:rPr>
          <w:rFonts w:ascii="Calibri" w:hAnsi="Calibri" w:cs="Calibri"/>
          <w:sz w:val="22"/>
          <w:szCs w:val="22"/>
          <w:lang w:val="es-MX"/>
        </w:rPr>
      </w:pPr>
    </w:p>
    <w:p w14:paraId="1E80FE5D" w14:textId="77777777" w:rsidR="003722CF" w:rsidRDefault="003722CF">
      <w:pPr>
        <w:pStyle w:val="ROMANOS"/>
        <w:spacing w:after="0" w:line="240" w:lineRule="exact"/>
        <w:ind w:left="1140"/>
        <w:rPr>
          <w:rFonts w:ascii="Calibri" w:hAnsi="Calibri" w:cs="Calibri"/>
          <w:sz w:val="22"/>
          <w:szCs w:val="22"/>
          <w:lang w:val="es-MX"/>
        </w:rPr>
      </w:pPr>
    </w:p>
    <w:p w14:paraId="55AB0A4E" w14:textId="77777777" w:rsidR="003722CF" w:rsidRDefault="003722CF">
      <w:pPr>
        <w:pStyle w:val="ROMANOS"/>
        <w:spacing w:after="0" w:line="240" w:lineRule="exact"/>
        <w:ind w:left="1140"/>
        <w:rPr>
          <w:rFonts w:ascii="Calibri" w:hAnsi="Calibri" w:cs="Calibri"/>
          <w:sz w:val="22"/>
          <w:szCs w:val="22"/>
          <w:lang w:val="es-MX"/>
        </w:rPr>
      </w:pPr>
    </w:p>
    <w:p w14:paraId="1DB727FB" w14:textId="77777777" w:rsidR="003722CF" w:rsidRDefault="003722CF">
      <w:pPr>
        <w:pStyle w:val="ROMANOS"/>
        <w:spacing w:after="0" w:line="240" w:lineRule="exact"/>
        <w:ind w:left="1140"/>
        <w:rPr>
          <w:rFonts w:ascii="Calibri" w:hAnsi="Calibri" w:cs="Calibri"/>
          <w:sz w:val="22"/>
          <w:szCs w:val="22"/>
          <w:lang w:val="es-MX"/>
        </w:rPr>
      </w:pPr>
    </w:p>
    <w:p w14:paraId="16859344" w14:textId="77777777" w:rsidR="003722CF" w:rsidRDefault="003722CF">
      <w:pPr>
        <w:pStyle w:val="ROMANOS"/>
        <w:spacing w:after="0" w:line="240" w:lineRule="exact"/>
        <w:ind w:left="1140"/>
        <w:rPr>
          <w:rFonts w:ascii="Calibri" w:hAnsi="Calibri" w:cs="Calibri"/>
          <w:sz w:val="22"/>
          <w:szCs w:val="22"/>
          <w:lang w:val="es-MX"/>
        </w:rPr>
      </w:pPr>
    </w:p>
    <w:p w14:paraId="1D6F4B55" w14:textId="77777777" w:rsidR="003722CF" w:rsidRDefault="003722CF">
      <w:pPr>
        <w:pStyle w:val="ROMANOS"/>
        <w:spacing w:after="0" w:line="240" w:lineRule="exact"/>
        <w:ind w:left="1140"/>
        <w:rPr>
          <w:rFonts w:ascii="Calibri" w:hAnsi="Calibri" w:cs="Calibri"/>
          <w:sz w:val="22"/>
          <w:szCs w:val="22"/>
          <w:lang w:val="es-MX"/>
        </w:rPr>
      </w:pPr>
    </w:p>
    <w:p w14:paraId="51A9B520" w14:textId="77777777" w:rsidR="003722CF" w:rsidRDefault="003722CF">
      <w:pPr>
        <w:pStyle w:val="ROMANOS"/>
        <w:spacing w:after="0" w:line="240" w:lineRule="exact"/>
        <w:ind w:left="1140"/>
        <w:rPr>
          <w:rFonts w:ascii="Calibri" w:hAnsi="Calibri" w:cs="Calibri"/>
          <w:sz w:val="22"/>
          <w:szCs w:val="22"/>
          <w:lang w:val="es-MX"/>
        </w:rPr>
      </w:pPr>
    </w:p>
    <w:p w14:paraId="76965DC5" w14:textId="77777777" w:rsidR="003722CF" w:rsidRDefault="003722CF">
      <w:pPr>
        <w:pStyle w:val="ROMANOS"/>
        <w:spacing w:after="0" w:line="240" w:lineRule="exact"/>
        <w:ind w:left="1140"/>
        <w:rPr>
          <w:rFonts w:ascii="Calibri" w:hAnsi="Calibri" w:cs="DIN Pro Regular"/>
          <w:sz w:val="20"/>
          <w:szCs w:val="20"/>
          <w:lang w:val="es-MX"/>
        </w:rPr>
      </w:pPr>
    </w:p>
    <w:p w14:paraId="019843E9" w14:textId="77777777" w:rsidR="003722CF" w:rsidRDefault="003722CF">
      <w:pPr>
        <w:pStyle w:val="ROMANOS"/>
        <w:spacing w:after="0" w:line="240" w:lineRule="exact"/>
        <w:ind w:left="1140"/>
        <w:rPr>
          <w:rFonts w:ascii="Calibri" w:hAnsi="Calibri" w:cs="DIN Pro Regular"/>
          <w:sz w:val="20"/>
          <w:szCs w:val="20"/>
          <w:lang w:val="es-MX"/>
        </w:rPr>
      </w:pPr>
    </w:p>
    <w:p w14:paraId="4971E024" w14:textId="77777777" w:rsidR="003722CF" w:rsidRDefault="003722CF">
      <w:pPr>
        <w:pStyle w:val="ROMANOS"/>
        <w:spacing w:after="0" w:line="240" w:lineRule="exact"/>
        <w:ind w:left="1140"/>
        <w:rPr>
          <w:rFonts w:ascii="Calibri" w:hAnsi="Calibri" w:cs="DIN Pro Regular"/>
          <w:sz w:val="20"/>
          <w:szCs w:val="20"/>
          <w:lang w:val="es-MX"/>
        </w:rPr>
      </w:pPr>
    </w:p>
    <w:p w14:paraId="30B09C26" w14:textId="77777777" w:rsidR="003722CF" w:rsidRDefault="003722CF">
      <w:pPr>
        <w:pStyle w:val="ROMANOS"/>
        <w:spacing w:after="0" w:line="240" w:lineRule="exact"/>
        <w:ind w:left="1140"/>
        <w:rPr>
          <w:rFonts w:ascii="Calibri" w:hAnsi="Calibri" w:cs="DIN Pro Regular"/>
          <w:sz w:val="20"/>
          <w:szCs w:val="20"/>
          <w:lang w:val="es-MX"/>
        </w:rPr>
      </w:pPr>
    </w:p>
    <w:p w14:paraId="02631F4C" w14:textId="77777777" w:rsidR="003722CF" w:rsidRDefault="00411668">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2FB450A5" w14:textId="77777777" w:rsidR="003722CF" w:rsidRDefault="003722CF">
      <w:pPr>
        <w:pStyle w:val="INCISO"/>
        <w:spacing w:after="0" w:line="240" w:lineRule="exact"/>
        <w:ind w:left="360"/>
        <w:rPr>
          <w:rFonts w:ascii="Calibri" w:hAnsi="Calibri" w:cs="DIN Pro Regular"/>
          <w:b/>
          <w:smallCaps/>
          <w:sz w:val="20"/>
          <w:szCs w:val="20"/>
        </w:rPr>
      </w:pPr>
    </w:p>
    <w:p w14:paraId="33869FF6" w14:textId="77777777" w:rsidR="003722CF" w:rsidRDefault="00411668">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4EB37EED" w14:textId="77777777" w:rsidR="003722CF" w:rsidRDefault="003722CF">
      <w:pPr>
        <w:pStyle w:val="Text"/>
        <w:spacing w:after="80" w:line="203" w:lineRule="exact"/>
      </w:pPr>
    </w:p>
    <w:p w14:paraId="57192CC7" w14:textId="77777777" w:rsidR="003722CF" w:rsidRDefault="00411668">
      <w:pPr>
        <w:pStyle w:val="Text"/>
        <w:spacing w:after="80" w:line="203" w:lineRule="exact"/>
        <w:ind w:left="624" w:firstLine="0"/>
      </w:pPr>
      <w:r>
        <w:rPr>
          <w:rFonts w:ascii="Calibri" w:hAnsi="Calibri" w:cs="DIN Pro Regular"/>
          <w:b/>
          <w:sz w:val="20"/>
          <w:lang w:val="es-MX"/>
        </w:rPr>
        <w:t>Efectivo y Equivalentes</w:t>
      </w:r>
    </w:p>
    <w:p w14:paraId="7BD7B098" w14:textId="77777777" w:rsidR="003722CF" w:rsidRDefault="003722CF">
      <w:pPr>
        <w:widowControl/>
        <w:spacing w:after="80" w:line="203" w:lineRule="exact"/>
        <w:ind w:left="624"/>
        <w:jc w:val="both"/>
        <w:rPr>
          <w:rFonts w:eastAsia="Times New Roman" w:cs="Calibri"/>
          <w:b/>
          <w:sz w:val="22"/>
          <w:szCs w:val="22"/>
          <w:lang w:eastAsia="es-ES"/>
        </w:rPr>
      </w:pPr>
    </w:p>
    <w:tbl>
      <w:tblPr>
        <w:tblW w:w="6997" w:type="dxa"/>
        <w:tblInd w:w="709" w:type="dxa"/>
        <w:tblCellMar>
          <w:left w:w="10" w:type="dxa"/>
          <w:right w:w="10" w:type="dxa"/>
        </w:tblCellMar>
        <w:tblLook w:val="0000" w:firstRow="0" w:lastRow="0" w:firstColumn="0" w:lastColumn="0" w:noHBand="0" w:noVBand="0"/>
      </w:tblPr>
      <w:tblGrid>
        <w:gridCol w:w="4215"/>
        <w:gridCol w:w="2782"/>
      </w:tblGrid>
      <w:tr w:rsidR="003722CF" w14:paraId="5D765B0C"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1C9EC369" w14:textId="77777777" w:rsidR="003722CF" w:rsidRDefault="00411668">
            <w:pPr>
              <w:jc w:val="center"/>
              <w:rPr>
                <w:rFonts w:eastAsia="Times New Roman" w:cs="Calibri"/>
                <w:b/>
                <w:color w:val="FFFFFF"/>
                <w:sz w:val="22"/>
                <w:szCs w:val="22"/>
              </w:rPr>
            </w:pPr>
            <w:bookmarkStart w:id="0" w:name="_Hlk190358411"/>
            <w:r>
              <w:rPr>
                <w:rFonts w:eastAsia="Times New Roman" w:cs="Calibri"/>
                <w:b/>
                <w:color w:val="FFFFFF"/>
                <w:sz w:val="22"/>
                <w:szCs w:val="22"/>
              </w:rPr>
              <w:t>Banco y Número de cuenta</w:t>
            </w:r>
          </w:p>
        </w:tc>
        <w:tc>
          <w:tcPr>
            <w:tcW w:w="2782"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11BB674B" w14:textId="77777777" w:rsidR="003722CF" w:rsidRDefault="00411668">
            <w:pPr>
              <w:spacing w:line="240" w:lineRule="exact"/>
              <w:jc w:val="center"/>
              <w:rPr>
                <w:rFonts w:eastAsia="Times New Roman" w:cs="Calibri"/>
                <w:color w:val="F2F2F2"/>
                <w:sz w:val="22"/>
                <w:szCs w:val="22"/>
                <w:lang w:eastAsia="es-ES"/>
              </w:rPr>
            </w:pPr>
            <w:r>
              <w:rPr>
                <w:rFonts w:eastAsia="Times New Roman" w:cs="Calibri"/>
                <w:color w:val="F2F2F2"/>
                <w:sz w:val="22"/>
                <w:szCs w:val="22"/>
                <w:lang w:eastAsia="es-ES"/>
              </w:rPr>
              <w:t>Saldo al 31 de diciembre de 2024</w:t>
            </w:r>
          </w:p>
        </w:tc>
      </w:tr>
      <w:tr w:rsidR="003722CF" w14:paraId="48F1BC63"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BB0C" w14:textId="77777777" w:rsidR="003722CF" w:rsidRDefault="00411668">
            <w:pPr>
              <w:spacing w:line="240" w:lineRule="exact"/>
              <w:jc w:val="both"/>
              <w:rPr>
                <w:rFonts w:eastAsia="Times New Roman" w:cs="Calibri"/>
                <w:sz w:val="22"/>
                <w:szCs w:val="22"/>
                <w:lang w:eastAsia="es-ES"/>
              </w:rPr>
            </w:pPr>
            <w:r>
              <w:rPr>
                <w:rFonts w:eastAsia="Times New Roman" w:cs="Calibri"/>
                <w:sz w:val="22"/>
                <w:szCs w:val="22"/>
                <w:lang w:eastAsia="es-ES"/>
              </w:rPr>
              <w:t>Bancos</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6D1D" w14:textId="77777777" w:rsidR="003722CF" w:rsidRDefault="00411668">
            <w:pPr>
              <w:spacing w:line="240" w:lineRule="exact"/>
              <w:jc w:val="center"/>
              <w:rPr>
                <w:rFonts w:eastAsia="Times New Roman" w:cs="Calibri"/>
                <w:sz w:val="22"/>
                <w:szCs w:val="22"/>
                <w:lang w:eastAsia="es-ES"/>
              </w:rPr>
            </w:pPr>
            <w:r>
              <w:rPr>
                <w:rFonts w:eastAsia="Times New Roman" w:cs="Calibri"/>
                <w:sz w:val="22"/>
                <w:szCs w:val="22"/>
                <w:lang w:eastAsia="es-ES"/>
              </w:rPr>
              <w:t xml:space="preserve">                                 $512,547</w:t>
            </w:r>
          </w:p>
        </w:tc>
      </w:tr>
      <w:tr w:rsidR="003722CF" w14:paraId="64E99624"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0D69"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Banco Santander (México), S.A. Institución de Banca Múltiple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611F"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$ 18,090</w:t>
            </w:r>
          </w:p>
          <w:p w14:paraId="364A8BFF" w14:textId="77777777" w:rsidR="003722CF" w:rsidRDefault="003722CF">
            <w:pPr>
              <w:widowControl/>
              <w:suppressAutoHyphens w:val="0"/>
              <w:spacing w:line="240" w:lineRule="exact"/>
              <w:jc w:val="center"/>
              <w:textAlignment w:val="auto"/>
              <w:rPr>
                <w:rFonts w:eastAsia="Times New Roman" w:cs="Calibri"/>
                <w:sz w:val="22"/>
                <w:szCs w:val="22"/>
                <w:lang w:eastAsia="es-ES"/>
              </w:rPr>
            </w:pPr>
          </w:p>
        </w:tc>
      </w:tr>
      <w:tr w:rsidR="003722CF" w14:paraId="65ED26E1"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E17B"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Banco Del Bajío, S.A., Institución de Banca Múltiple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15EF"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$494,456</w:t>
            </w:r>
          </w:p>
          <w:p w14:paraId="65EA3B2D"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w:t>
            </w:r>
          </w:p>
        </w:tc>
      </w:tr>
      <w:tr w:rsidR="003722CF" w14:paraId="2114654F"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7767"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Efectivo (caja chica)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994F"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$10,000</w:t>
            </w:r>
          </w:p>
        </w:tc>
      </w:tr>
      <w:tr w:rsidR="003722CF" w14:paraId="11093D46"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59F9" w14:textId="77777777" w:rsidR="003722CF" w:rsidRDefault="00411668">
            <w:pPr>
              <w:widowControl/>
              <w:suppressAutoHyphens w:val="0"/>
              <w:spacing w:line="240" w:lineRule="exact"/>
              <w:jc w:val="both"/>
              <w:textAlignment w:val="auto"/>
              <w:rPr>
                <w:rFonts w:eastAsia="Times New Roman" w:cs="Calibri"/>
                <w:sz w:val="22"/>
                <w:szCs w:val="22"/>
                <w:lang w:eastAsia="es-ES"/>
              </w:rPr>
            </w:pPr>
            <w:proofErr w:type="gramStart"/>
            <w:r>
              <w:rPr>
                <w:rFonts w:eastAsia="Times New Roman" w:cs="Calibri"/>
                <w:sz w:val="22"/>
                <w:szCs w:val="22"/>
                <w:lang w:eastAsia="es-ES"/>
              </w:rPr>
              <w:t>Total</w:t>
            </w:r>
            <w:proofErr w:type="gramEnd"/>
            <w:r>
              <w:rPr>
                <w:rFonts w:eastAsia="Times New Roman" w:cs="Calibri"/>
                <w:sz w:val="22"/>
                <w:szCs w:val="22"/>
                <w:lang w:eastAsia="es-ES"/>
              </w:rPr>
              <w:t xml:space="preserve"> Efectivo y Equivalentes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69DD"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$522,547</w:t>
            </w:r>
          </w:p>
        </w:tc>
      </w:tr>
      <w:bookmarkEnd w:id="0"/>
    </w:tbl>
    <w:p w14:paraId="2A804ED1" w14:textId="77777777" w:rsidR="003722CF" w:rsidRDefault="003722CF">
      <w:pPr>
        <w:pStyle w:val="Text"/>
        <w:spacing w:after="80" w:line="203" w:lineRule="exact"/>
        <w:ind w:left="624" w:firstLine="0"/>
        <w:rPr>
          <w:rFonts w:ascii="Calibri" w:hAnsi="Calibri" w:cs="DIN Pro Regular"/>
          <w:b/>
          <w:sz w:val="20"/>
          <w:lang w:val="es-MX"/>
        </w:rPr>
      </w:pPr>
    </w:p>
    <w:p w14:paraId="175C7E19" w14:textId="77777777" w:rsidR="003722CF" w:rsidRDefault="003722CF">
      <w:pPr>
        <w:pStyle w:val="Text"/>
        <w:spacing w:after="80" w:line="203" w:lineRule="exact"/>
        <w:ind w:left="624" w:firstLine="0"/>
        <w:rPr>
          <w:rFonts w:ascii="Calibri" w:hAnsi="Calibri" w:cs="DIN Pro Regular"/>
          <w:b/>
          <w:sz w:val="20"/>
          <w:lang w:val="es-MX"/>
        </w:rPr>
      </w:pPr>
    </w:p>
    <w:p w14:paraId="525E3436" w14:textId="77777777" w:rsidR="003722CF" w:rsidRDefault="003722CF">
      <w:pPr>
        <w:pStyle w:val="Text"/>
        <w:spacing w:after="80" w:line="203" w:lineRule="exact"/>
        <w:ind w:left="624" w:firstLine="0"/>
        <w:rPr>
          <w:rFonts w:ascii="Calibri" w:hAnsi="Calibri" w:cs="DIN Pro Regular"/>
          <w:b/>
          <w:sz w:val="20"/>
          <w:lang w:val="es-MX"/>
        </w:rPr>
      </w:pPr>
    </w:p>
    <w:p w14:paraId="0305DF20" w14:textId="77777777" w:rsidR="003722CF" w:rsidRDefault="00411668">
      <w:pPr>
        <w:pStyle w:val="Text"/>
        <w:spacing w:after="80" w:line="203" w:lineRule="exact"/>
        <w:ind w:left="624" w:firstLine="0"/>
      </w:pPr>
      <w:r>
        <w:rPr>
          <w:rFonts w:ascii="Calibri" w:hAnsi="Calibri" w:cs="DIN Pro Regular"/>
          <w:b/>
          <w:sz w:val="20"/>
          <w:lang w:val="es-MX"/>
        </w:rPr>
        <w:t>Derechos a recibir Efectivo y Equivalentes y Bienes o Servicios a Recibir</w:t>
      </w:r>
    </w:p>
    <w:p w14:paraId="134D8A7F" w14:textId="77777777" w:rsidR="003722CF" w:rsidRDefault="00411668">
      <w:pPr>
        <w:widowControl/>
        <w:spacing w:after="80" w:line="203" w:lineRule="exact"/>
        <w:ind w:left="624"/>
        <w:jc w:val="both"/>
        <w:rPr>
          <w:rFonts w:eastAsia="Times New Roman" w:cs="Calibri"/>
          <w:bCs/>
          <w:sz w:val="22"/>
          <w:szCs w:val="22"/>
          <w:lang w:eastAsia="es-ES"/>
        </w:rPr>
      </w:pPr>
      <w:r>
        <w:rPr>
          <w:rFonts w:eastAsia="Times New Roman" w:cs="Calibri"/>
          <w:bCs/>
          <w:sz w:val="22"/>
          <w:szCs w:val="22"/>
          <w:lang w:eastAsia="es-ES"/>
        </w:rPr>
        <w:t xml:space="preserve">La </w:t>
      </w:r>
      <w:proofErr w:type="gramStart"/>
      <w:r>
        <w:rPr>
          <w:rFonts w:eastAsia="Times New Roman" w:cs="Calibri"/>
          <w:bCs/>
          <w:sz w:val="22"/>
          <w:szCs w:val="22"/>
          <w:lang w:eastAsia="es-ES"/>
        </w:rPr>
        <w:t>Secretaria</w:t>
      </w:r>
      <w:proofErr w:type="gramEnd"/>
      <w:r>
        <w:rPr>
          <w:rFonts w:eastAsia="Times New Roman" w:cs="Calibri"/>
          <w:bCs/>
          <w:sz w:val="22"/>
          <w:szCs w:val="22"/>
          <w:lang w:eastAsia="es-ES"/>
        </w:rPr>
        <w:t xml:space="preserve"> de Finanzas tiene pendiente el depósito del Impuesto estatal sobre nóminas del mes de diciembre y la cuenta de deudores es por saldo de </w:t>
      </w:r>
      <w:r>
        <w:rPr>
          <w:rFonts w:eastAsia="Times New Roman" w:cs="Calibri"/>
          <w:bCs/>
          <w:sz w:val="22"/>
          <w:szCs w:val="22"/>
          <w:lang w:eastAsia="es-ES"/>
        </w:rPr>
        <w:t>viáticos por reintegrar.</w:t>
      </w:r>
    </w:p>
    <w:p w14:paraId="20C6E2A3" w14:textId="77777777" w:rsidR="003722CF" w:rsidRDefault="003722CF">
      <w:pPr>
        <w:widowControl/>
        <w:spacing w:after="80" w:line="203" w:lineRule="exact"/>
        <w:ind w:left="624"/>
        <w:jc w:val="both"/>
        <w:rPr>
          <w:rFonts w:eastAsia="Times New Roman" w:cs="Calibri"/>
          <w:b/>
          <w:sz w:val="22"/>
          <w:szCs w:val="22"/>
          <w:lang w:eastAsia="es-ES"/>
        </w:rPr>
      </w:pPr>
    </w:p>
    <w:tbl>
      <w:tblPr>
        <w:tblW w:w="6997" w:type="dxa"/>
        <w:tblInd w:w="709" w:type="dxa"/>
        <w:tblCellMar>
          <w:left w:w="10" w:type="dxa"/>
          <w:right w:w="10" w:type="dxa"/>
        </w:tblCellMar>
        <w:tblLook w:val="0000" w:firstRow="0" w:lastRow="0" w:firstColumn="0" w:lastColumn="0" w:noHBand="0" w:noVBand="0"/>
      </w:tblPr>
      <w:tblGrid>
        <w:gridCol w:w="4215"/>
        <w:gridCol w:w="2782"/>
      </w:tblGrid>
      <w:tr w:rsidR="003722CF" w14:paraId="770331AF"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08F1500D" w14:textId="77777777" w:rsidR="003722CF" w:rsidRDefault="00411668">
            <w:pPr>
              <w:jc w:val="center"/>
              <w:rPr>
                <w:rFonts w:eastAsia="Times New Roman" w:cs="Calibri"/>
                <w:b/>
                <w:color w:val="FFFFFF"/>
                <w:sz w:val="22"/>
                <w:szCs w:val="22"/>
              </w:rPr>
            </w:pPr>
            <w:proofErr w:type="spellStart"/>
            <w:r>
              <w:rPr>
                <w:rFonts w:eastAsia="Times New Roman" w:cs="Calibri"/>
                <w:b/>
                <w:color w:val="FFFFFF"/>
                <w:sz w:val="22"/>
                <w:szCs w:val="22"/>
              </w:rPr>
              <w:t>Cocepto</w:t>
            </w:r>
            <w:proofErr w:type="spellEnd"/>
          </w:p>
        </w:tc>
        <w:tc>
          <w:tcPr>
            <w:tcW w:w="2782"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2C98A51E" w14:textId="77777777" w:rsidR="003722CF" w:rsidRDefault="00411668">
            <w:pPr>
              <w:spacing w:line="240" w:lineRule="exact"/>
              <w:jc w:val="center"/>
              <w:rPr>
                <w:rFonts w:eastAsia="Times New Roman" w:cs="Calibri"/>
                <w:color w:val="F2F2F2"/>
                <w:sz w:val="22"/>
                <w:szCs w:val="22"/>
                <w:lang w:eastAsia="es-ES"/>
              </w:rPr>
            </w:pPr>
            <w:r>
              <w:rPr>
                <w:rFonts w:eastAsia="Times New Roman" w:cs="Calibri"/>
                <w:color w:val="F2F2F2"/>
                <w:sz w:val="22"/>
                <w:szCs w:val="22"/>
                <w:lang w:eastAsia="es-ES"/>
              </w:rPr>
              <w:t>Saldo al 31 de diciembre de 2024</w:t>
            </w:r>
          </w:p>
        </w:tc>
      </w:tr>
      <w:tr w:rsidR="003722CF" w14:paraId="0966E972"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F2D8"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Secretaria de Finanzas del Gobierno del Estado de Tamaulipas</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3471"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$ 36,329</w:t>
            </w:r>
          </w:p>
          <w:p w14:paraId="3AF2A313" w14:textId="77777777" w:rsidR="003722CF" w:rsidRDefault="003722CF">
            <w:pPr>
              <w:widowControl/>
              <w:suppressAutoHyphens w:val="0"/>
              <w:spacing w:line="240" w:lineRule="exact"/>
              <w:jc w:val="center"/>
              <w:textAlignment w:val="auto"/>
              <w:rPr>
                <w:rFonts w:eastAsia="Times New Roman" w:cs="Calibri"/>
                <w:sz w:val="22"/>
                <w:szCs w:val="22"/>
                <w:lang w:eastAsia="es-ES"/>
              </w:rPr>
            </w:pPr>
          </w:p>
        </w:tc>
      </w:tr>
      <w:tr w:rsidR="003722CF" w14:paraId="01A13758"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7036"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 xml:space="preserve">Deudores Diversos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B17E"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$49</w:t>
            </w:r>
          </w:p>
          <w:p w14:paraId="6E34FB7F"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w:t>
            </w:r>
          </w:p>
        </w:tc>
      </w:tr>
      <w:tr w:rsidR="003722CF" w14:paraId="708ABDB0" w14:textId="77777777">
        <w:tblPrEx>
          <w:tblCellMar>
            <w:top w:w="0" w:type="dxa"/>
            <w:bottom w:w="0" w:type="dxa"/>
          </w:tblCellMar>
        </w:tblPrEx>
        <w:tc>
          <w:tcPr>
            <w:tcW w:w="4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D65B" w14:textId="77777777" w:rsidR="003722CF" w:rsidRDefault="00411668">
            <w:pPr>
              <w:widowControl/>
              <w:suppressAutoHyphens w:val="0"/>
              <w:spacing w:line="240" w:lineRule="exact"/>
              <w:jc w:val="both"/>
              <w:textAlignment w:val="auto"/>
              <w:rPr>
                <w:rFonts w:eastAsia="Times New Roman" w:cs="Calibri"/>
                <w:sz w:val="22"/>
                <w:szCs w:val="22"/>
                <w:lang w:eastAsia="es-ES"/>
              </w:rPr>
            </w:pPr>
            <w:proofErr w:type="gramStart"/>
            <w:r>
              <w:rPr>
                <w:rFonts w:eastAsia="Times New Roman" w:cs="Calibri"/>
                <w:sz w:val="22"/>
                <w:szCs w:val="22"/>
                <w:lang w:eastAsia="es-ES"/>
              </w:rPr>
              <w:t>Total</w:t>
            </w:r>
            <w:proofErr w:type="gramEnd"/>
            <w:r>
              <w:rPr>
                <w:rFonts w:eastAsia="Times New Roman" w:cs="Calibri"/>
                <w:sz w:val="22"/>
                <w:szCs w:val="22"/>
                <w:lang w:eastAsia="es-ES"/>
              </w:rPr>
              <w:t xml:space="preserve"> Cuentas por cobrar</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1B0E" w14:textId="77777777" w:rsidR="003722CF" w:rsidRDefault="00411668">
            <w:pPr>
              <w:widowControl/>
              <w:suppressAutoHyphens w:val="0"/>
              <w:spacing w:line="240" w:lineRule="exact"/>
              <w:jc w:val="center"/>
              <w:textAlignment w:val="auto"/>
              <w:rPr>
                <w:rFonts w:eastAsia="Times New Roman" w:cs="Calibri"/>
                <w:sz w:val="22"/>
                <w:szCs w:val="22"/>
                <w:lang w:eastAsia="es-ES"/>
              </w:rPr>
            </w:pPr>
            <w:r>
              <w:rPr>
                <w:rFonts w:eastAsia="Times New Roman" w:cs="Calibri"/>
                <w:sz w:val="22"/>
                <w:szCs w:val="22"/>
                <w:lang w:eastAsia="es-ES"/>
              </w:rPr>
              <w:t xml:space="preserve">                                 $36,378</w:t>
            </w:r>
          </w:p>
        </w:tc>
      </w:tr>
    </w:tbl>
    <w:p w14:paraId="159C0A14" w14:textId="77777777" w:rsidR="003722CF" w:rsidRDefault="003722CF">
      <w:pPr>
        <w:pStyle w:val="Text"/>
        <w:spacing w:after="80" w:line="203" w:lineRule="exact"/>
        <w:ind w:left="624" w:firstLine="0"/>
        <w:rPr>
          <w:rFonts w:ascii="Calibri" w:hAnsi="Calibri" w:cs="DIN Pro Regular"/>
          <w:b/>
          <w:sz w:val="20"/>
          <w:lang w:val="es-MX"/>
        </w:rPr>
      </w:pPr>
    </w:p>
    <w:p w14:paraId="1E3B6A2C" w14:textId="77777777" w:rsidR="003722CF" w:rsidRDefault="003722CF">
      <w:pPr>
        <w:pStyle w:val="Text"/>
        <w:spacing w:after="80" w:line="203" w:lineRule="exact"/>
        <w:ind w:left="624" w:firstLine="0"/>
        <w:rPr>
          <w:rFonts w:ascii="Calibri" w:hAnsi="Calibri" w:cs="DIN Pro Regular"/>
          <w:b/>
          <w:sz w:val="20"/>
          <w:lang w:val="es-MX"/>
        </w:rPr>
      </w:pPr>
    </w:p>
    <w:p w14:paraId="6864E9B5" w14:textId="77777777" w:rsidR="003722CF" w:rsidRDefault="003722CF">
      <w:pPr>
        <w:pStyle w:val="Text"/>
        <w:spacing w:after="80" w:line="203" w:lineRule="exact"/>
        <w:ind w:left="624" w:firstLine="0"/>
        <w:rPr>
          <w:rFonts w:ascii="Calibri" w:hAnsi="Calibri" w:cs="Calibri"/>
          <w:b/>
          <w:sz w:val="22"/>
          <w:szCs w:val="22"/>
          <w:lang w:val="es-MX"/>
        </w:rPr>
      </w:pPr>
    </w:p>
    <w:p w14:paraId="0266A8CA" w14:textId="77777777" w:rsidR="003722CF" w:rsidRDefault="00411668">
      <w:pPr>
        <w:pStyle w:val="ROMANOS"/>
        <w:spacing w:after="0" w:line="240" w:lineRule="exact"/>
        <w:ind w:hanging="11"/>
      </w:pPr>
      <w:r>
        <w:rPr>
          <w:rFonts w:ascii="Calibri" w:hAnsi="Calibri" w:cs="Calibri"/>
          <w:b/>
          <w:sz w:val="22"/>
          <w:szCs w:val="22"/>
          <w:lang w:val="es-MX"/>
        </w:rPr>
        <w:t>Bienes Disponibles para su Transformación o Consumo (inventarios</w:t>
      </w:r>
      <w:r>
        <w:rPr>
          <w:rFonts w:ascii="Calibri" w:hAnsi="Calibri" w:cs="Calibri"/>
          <w:b/>
          <w:sz w:val="22"/>
          <w:szCs w:val="22"/>
          <w:u w:val="single"/>
          <w:lang w:val="es-MX"/>
        </w:rPr>
        <w:t>)</w:t>
      </w:r>
    </w:p>
    <w:p w14:paraId="3765ED4E" w14:textId="77777777" w:rsidR="003722CF" w:rsidRDefault="003722CF">
      <w:pPr>
        <w:pStyle w:val="ROMANOS"/>
        <w:spacing w:after="0" w:line="240" w:lineRule="exact"/>
        <w:ind w:hanging="11"/>
        <w:rPr>
          <w:rFonts w:ascii="Calibri" w:hAnsi="Calibri" w:cs="Calibri"/>
          <w:sz w:val="22"/>
          <w:szCs w:val="22"/>
          <w:lang w:val="es-MX"/>
        </w:rPr>
      </w:pPr>
    </w:p>
    <w:p w14:paraId="5C4D8B59" w14:textId="77777777" w:rsidR="003722CF" w:rsidRDefault="00411668">
      <w:pPr>
        <w:pStyle w:val="ROMANOS"/>
        <w:spacing w:after="0" w:line="240" w:lineRule="exact"/>
        <w:ind w:hanging="11"/>
        <w:rPr>
          <w:rFonts w:ascii="Calibri" w:hAnsi="Calibri" w:cs="Calibri"/>
          <w:sz w:val="22"/>
          <w:szCs w:val="22"/>
          <w:lang w:val="es-MX"/>
        </w:rPr>
      </w:pPr>
      <w:r>
        <w:rPr>
          <w:rFonts w:ascii="Calibri" w:hAnsi="Calibri" w:cs="Calibri"/>
          <w:sz w:val="22"/>
          <w:szCs w:val="22"/>
          <w:lang w:val="es-MX"/>
        </w:rPr>
        <w:t>No Aplica</w:t>
      </w:r>
    </w:p>
    <w:p w14:paraId="25E7C726" w14:textId="77777777" w:rsidR="003722CF" w:rsidRDefault="003722CF">
      <w:pPr>
        <w:pStyle w:val="ROMANOS"/>
        <w:spacing w:after="0" w:line="240" w:lineRule="exact"/>
        <w:rPr>
          <w:rFonts w:ascii="Calibri" w:hAnsi="Calibri" w:cs="Calibri"/>
          <w:sz w:val="22"/>
          <w:szCs w:val="22"/>
          <w:lang w:val="es-MX"/>
        </w:rPr>
      </w:pPr>
    </w:p>
    <w:p w14:paraId="47CFD346" w14:textId="77777777" w:rsidR="003722CF" w:rsidRDefault="003722CF">
      <w:pPr>
        <w:pStyle w:val="ROMANOS"/>
        <w:spacing w:after="0" w:line="240" w:lineRule="exact"/>
        <w:ind w:hanging="11"/>
        <w:rPr>
          <w:rFonts w:ascii="Calibri" w:hAnsi="Calibri" w:cs="Calibri"/>
          <w:b/>
          <w:sz w:val="22"/>
          <w:szCs w:val="22"/>
          <w:u w:val="single"/>
          <w:lang w:val="es-MX"/>
        </w:rPr>
      </w:pPr>
    </w:p>
    <w:p w14:paraId="0AE8EF70" w14:textId="77777777" w:rsidR="003722CF" w:rsidRDefault="003722CF">
      <w:pPr>
        <w:pStyle w:val="ROMANOS"/>
        <w:spacing w:after="0" w:line="240" w:lineRule="exact"/>
        <w:ind w:hanging="11"/>
        <w:rPr>
          <w:rFonts w:ascii="Calibri" w:hAnsi="Calibri" w:cs="Calibri"/>
          <w:b/>
          <w:sz w:val="22"/>
          <w:szCs w:val="22"/>
          <w:u w:val="single"/>
          <w:lang w:val="es-MX"/>
        </w:rPr>
      </w:pPr>
    </w:p>
    <w:p w14:paraId="25364859" w14:textId="77777777" w:rsidR="003722CF" w:rsidRDefault="00411668">
      <w:pPr>
        <w:pStyle w:val="ROMANOS"/>
        <w:spacing w:after="0" w:line="240" w:lineRule="exact"/>
        <w:ind w:hanging="11"/>
        <w:rPr>
          <w:rFonts w:ascii="Calibri" w:hAnsi="Calibri" w:cs="Calibri"/>
          <w:b/>
          <w:sz w:val="22"/>
          <w:szCs w:val="22"/>
          <w:lang w:val="es-MX"/>
        </w:rPr>
      </w:pPr>
      <w:r>
        <w:rPr>
          <w:rFonts w:ascii="Calibri" w:hAnsi="Calibri" w:cs="Calibri"/>
          <w:b/>
          <w:sz w:val="22"/>
          <w:szCs w:val="22"/>
          <w:lang w:val="es-MX"/>
        </w:rPr>
        <w:t>Inversiones Financieras</w:t>
      </w:r>
    </w:p>
    <w:p w14:paraId="2E823BB3" w14:textId="77777777" w:rsidR="003722CF" w:rsidRDefault="003722CF">
      <w:pPr>
        <w:pStyle w:val="ROMANOS"/>
        <w:spacing w:after="0" w:line="240" w:lineRule="exact"/>
        <w:ind w:hanging="11"/>
        <w:rPr>
          <w:rFonts w:ascii="Calibri" w:hAnsi="Calibri" w:cs="Calibri"/>
          <w:sz w:val="22"/>
          <w:szCs w:val="22"/>
          <w:lang w:val="es-MX"/>
        </w:rPr>
      </w:pPr>
    </w:p>
    <w:p w14:paraId="553912CD" w14:textId="77777777" w:rsidR="003722CF" w:rsidRDefault="00411668">
      <w:pPr>
        <w:pStyle w:val="ROMANOS"/>
        <w:spacing w:after="0" w:line="240" w:lineRule="exact"/>
        <w:ind w:hanging="11"/>
        <w:rPr>
          <w:rFonts w:ascii="Calibri" w:hAnsi="Calibri" w:cs="Calibri"/>
          <w:sz w:val="22"/>
          <w:szCs w:val="22"/>
          <w:lang w:val="es-MX"/>
        </w:rPr>
      </w:pPr>
      <w:r>
        <w:rPr>
          <w:rFonts w:ascii="Calibri" w:hAnsi="Calibri" w:cs="Calibri"/>
          <w:sz w:val="22"/>
          <w:szCs w:val="22"/>
          <w:lang w:val="es-MX"/>
        </w:rPr>
        <w:t>No Aplica</w:t>
      </w:r>
    </w:p>
    <w:p w14:paraId="099314F9" w14:textId="77777777" w:rsidR="003722CF" w:rsidRDefault="003722CF">
      <w:pPr>
        <w:pStyle w:val="Text"/>
        <w:spacing w:after="80" w:line="203" w:lineRule="exact"/>
        <w:ind w:left="624" w:firstLine="0"/>
        <w:rPr>
          <w:rFonts w:ascii="Calibri" w:hAnsi="Calibri" w:cs="DIN Pro Regular"/>
          <w:b/>
          <w:sz w:val="20"/>
          <w:lang w:val="es-MX"/>
        </w:rPr>
      </w:pPr>
    </w:p>
    <w:p w14:paraId="6A984768" w14:textId="77777777" w:rsidR="003722CF" w:rsidRDefault="003722CF">
      <w:pPr>
        <w:pStyle w:val="Text"/>
        <w:spacing w:after="80" w:line="203" w:lineRule="exact"/>
        <w:ind w:left="624" w:firstLine="0"/>
        <w:rPr>
          <w:rFonts w:ascii="Calibri" w:hAnsi="Calibri" w:cs="DIN Pro Regular"/>
          <w:b/>
          <w:sz w:val="20"/>
          <w:lang w:val="es-MX"/>
        </w:rPr>
      </w:pPr>
    </w:p>
    <w:p w14:paraId="6EF84E66" w14:textId="77777777" w:rsidR="003722CF" w:rsidRDefault="003722CF">
      <w:pPr>
        <w:pStyle w:val="Text"/>
        <w:spacing w:after="80" w:line="203" w:lineRule="exact"/>
        <w:ind w:left="624" w:firstLine="0"/>
        <w:rPr>
          <w:rFonts w:ascii="Calibri" w:hAnsi="Calibri" w:cs="DIN Pro Regular"/>
          <w:b/>
          <w:sz w:val="20"/>
          <w:lang w:val="es-MX"/>
        </w:rPr>
      </w:pPr>
    </w:p>
    <w:p w14:paraId="46E4954B" w14:textId="77777777" w:rsidR="003722CF" w:rsidRDefault="003722CF">
      <w:pPr>
        <w:pStyle w:val="Text"/>
        <w:spacing w:after="80" w:line="203" w:lineRule="exact"/>
        <w:ind w:left="624" w:firstLine="0"/>
        <w:rPr>
          <w:rFonts w:ascii="Calibri" w:hAnsi="Calibri" w:cs="DIN Pro Regular"/>
          <w:b/>
          <w:sz w:val="20"/>
          <w:lang w:val="es-MX"/>
        </w:rPr>
      </w:pPr>
    </w:p>
    <w:p w14:paraId="4A402A00" w14:textId="77777777" w:rsidR="003722CF" w:rsidRDefault="003722CF">
      <w:pPr>
        <w:pStyle w:val="Text"/>
        <w:spacing w:after="80" w:line="203" w:lineRule="exact"/>
        <w:ind w:left="624" w:firstLine="0"/>
        <w:rPr>
          <w:rFonts w:ascii="Calibri" w:hAnsi="Calibri" w:cs="DIN Pro Regular"/>
          <w:b/>
          <w:sz w:val="20"/>
          <w:lang w:val="es-MX"/>
        </w:rPr>
      </w:pPr>
    </w:p>
    <w:p w14:paraId="1A980DFB" w14:textId="77777777" w:rsidR="003722CF" w:rsidRDefault="003722CF">
      <w:pPr>
        <w:pStyle w:val="Text"/>
        <w:spacing w:after="80" w:line="203" w:lineRule="exact"/>
        <w:ind w:left="624" w:firstLine="0"/>
        <w:rPr>
          <w:rFonts w:ascii="Calibri" w:hAnsi="Calibri" w:cs="DIN Pro Regular"/>
          <w:b/>
          <w:sz w:val="20"/>
          <w:lang w:val="es-MX"/>
        </w:rPr>
      </w:pPr>
    </w:p>
    <w:p w14:paraId="565D10B4" w14:textId="77777777" w:rsidR="003722CF" w:rsidRDefault="003722CF">
      <w:pPr>
        <w:pStyle w:val="Text"/>
        <w:spacing w:after="80" w:line="203" w:lineRule="exact"/>
        <w:ind w:left="624" w:firstLine="0"/>
        <w:rPr>
          <w:rFonts w:ascii="Calibri" w:hAnsi="Calibri" w:cs="DIN Pro Regular"/>
          <w:b/>
          <w:sz w:val="20"/>
          <w:lang w:val="es-MX"/>
        </w:rPr>
      </w:pPr>
    </w:p>
    <w:p w14:paraId="4B569DE9" w14:textId="77777777" w:rsidR="003722CF" w:rsidRDefault="003722CF">
      <w:pPr>
        <w:pStyle w:val="Text"/>
        <w:spacing w:after="80" w:line="203" w:lineRule="exact"/>
        <w:ind w:left="624" w:firstLine="0"/>
        <w:rPr>
          <w:rFonts w:ascii="Calibri" w:hAnsi="Calibri" w:cs="DIN Pro Regular"/>
          <w:b/>
          <w:sz w:val="20"/>
          <w:lang w:val="es-MX"/>
        </w:rPr>
      </w:pPr>
    </w:p>
    <w:p w14:paraId="54F4C949" w14:textId="77777777" w:rsidR="003722CF" w:rsidRDefault="003722CF">
      <w:pPr>
        <w:pStyle w:val="Text"/>
        <w:spacing w:after="80" w:line="203" w:lineRule="exact"/>
        <w:ind w:left="624" w:firstLine="0"/>
        <w:rPr>
          <w:rFonts w:ascii="Calibri" w:hAnsi="Calibri" w:cs="DIN Pro Regular"/>
          <w:b/>
          <w:sz w:val="20"/>
          <w:lang w:val="es-MX"/>
        </w:rPr>
      </w:pPr>
    </w:p>
    <w:p w14:paraId="4DDAE6F6" w14:textId="77777777" w:rsidR="003722CF" w:rsidRDefault="003722CF">
      <w:pPr>
        <w:pStyle w:val="Text"/>
        <w:spacing w:after="80" w:line="203" w:lineRule="exact"/>
        <w:ind w:left="624" w:firstLine="0"/>
        <w:rPr>
          <w:rFonts w:ascii="Calibri" w:hAnsi="Calibri" w:cs="DIN Pro Regular"/>
          <w:b/>
          <w:sz w:val="20"/>
          <w:lang w:val="es-MX"/>
        </w:rPr>
      </w:pPr>
    </w:p>
    <w:p w14:paraId="61DB455B" w14:textId="77777777" w:rsidR="003722CF" w:rsidRDefault="00411668">
      <w:pPr>
        <w:pStyle w:val="Text"/>
        <w:spacing w:after="80" w:line="203" w:lineRule="exact"/>
        <w:ind w:left="624" w:firstLine="0"/>
      </w:pPr>
      <w:r>
        <w:rPr>
          <w:rFonts w:ascii="Calibri" w:hAnsi="Calibri" w:cs="DIN Pro Regular"/>
          <w:b/>
          <w:sz w:val="20"/>
          <w:lang w:val="es-MX"/>
        </w:rPr>
        <w:t xml:space="preserve">Bienes </w:t>
      </w:r>
      <w:r>
        <w:rPr>
          <w:rFonts w:ascii="Calibri" w:hAnsi="Calibri" w:cs="DIN Pro Regular"/>
          <w:b/>
          <w:sz w:val="20"/>
          <w:lang w:val="es-MX"/>
        </w:rPr>
        <w:t>Muebles, Inmuebles e Intangibles</w:t>
      </w:r>
    </w:p>
    <w:p w14:paraId="340093AB" w14:textId="77777777" w:rsidR="003722CF" w:rsidRDefault="003722CF">
      <w:pPr>
        <w:pStyle w:val="Text"/>
        <w:spacing w:after="80" w:line="203" w:lineRule="exact"/>
        <w:ind w:left="624" w:firstLine="0"/>
        <w:rPr>
          <w:rFonts w:ascii="Calibri" w:hAnsi="Calibri" w:cs="DIN Pro Regular"/>
          <w:b/>
          <w:sz w:val="20"/>
          <w:lang w:val="es-MX"/>
        </w:rPr>
      </w:pPr>
    </w:p>
    <w:tbl>
      <w:tblPr>
        <w:tblW w:w="7820" w:type="dxa"/>
        <w:tblInd w:w="762" w:type="dxa"/>
        <w:tblCellMar>
          <w:left w:w="10" w:type="dxa"/>
          <w:right w:w="10" w:type="dxa"/>
        </w:tblCellMar>
        <w:tblLook w:val="0000" w:firstRow="0" w:lastRow="0" w:firstColumn="0" w:lastColumn="0" w:noHBand="0" w:noVBand="0"/>
      </w:tblPr>
      <w:tblGrid>
        <w:gridCol w:w="3460"/>
        <w:gridCol w:w="1340"/>
        <w:gridCol w:w="1640"/>
        <w:gridCol w:w="1380"/>
      </w:tblGrid>
      <w:tr w:rsidR="003722CF" w14:paraId="092A5ABC" w14:textId="77777777">
        <w:tblPrEx>
          <w:tblCellMar>
            <w:top w:w="0" w:type="dxa"/>
            <w:bottom w:w="0" w:type="dxa"/>
          </w:tblCellMar>
        </w:tblPrEx>
        <w:trPr>
          <w:trHeight w:val="282"/>
        </w:trPr>
        <w:tc>
          <w:tcPr>
            <w:tcW w:w="346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152DD845" w14:textId="77777777" w:rsidR="003722CF" w:rsidRDefault="00411668">
            <w:pPr>
              <w:jc w:val="center"/>
              <w:rPr>
                <w:rFonts w:eastAsia="Times New Roman" w:cs="Calibri"/>
                <w:color w:val="FFFFFF"/>
                <w:sz w:val="22"/>
                <w:szCs w:val="22"/>
              </w:rPr>
            </w:pPr>
            <w:r>
              <w:rPr>
                <w:rFonts w:eastAsia="Times New Roman" w:cs="Calibri"/>
                <w:color w:val="FFFFFF"/>
                <w:sz w:val="22"/>
                <w:szCs w:val="22"/>
              </w:rPr>
              <w:t>Concepto</w:t>
            </w:r>
          </w:p>
        </w:tc>
        <w:tc>
          <w:tcPr>
            <w:tcW w:w="13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1ACE9E0B" w14:textId="77777777" w:rsidR="003722CF" w:rsidRDefault="00411668">
            <w:pPr>
              <w:jc w:val="center"/>
              <w:rPr>
                <w:rFonts w:eastAsia="Times New Roman" w:cs="Calibri"/>
                <w:color w:val="FFFFFF"/>
                <w:sz w:val="22"/>
                <w:szCs w:val="22"/>
              </w:rPr>
            </w:pPr>
            <w:r>
              <w:rPr>
                <w:rFonts w:eastAsia="Times New Roman" w:cs="Calibri"/>
                <w:color w:val="FFFFFF"/>
                <w:sz w:val="22"/>
                <w:szCs w:val="22"/>
              </w:rPr>
              <w:t>Acumulado</w:t>
            </w:r>
          </w:p>
        </w:tc>
        <w:tc>
          <w:tcPr>
            <w:tcW w:w="16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0391D0B6" w14:textId="77777777" w:rsidR="003722CF" w:rsidRDefault="00411668">
            <w:pPr>
              <w:jc w:val="center"/>
              <w:rPr>
                <w:rFonts w:eastAsia="Times New Roman" w:cs="Calibri"/>
                <w:color w:val="FFFFFF"/>
                <w:sz w:val="22"/>
                <w:szCs w:val="22"/>
              </w:rPr>
            </w:pPr>
            <w:r>
              <w:rPr>
                <w:rFonts w:eastAsia="Times New Roman" w:cs="Calibri"/>
                <w:color w:val="FFFFFF"/>
                <w:sz w:val="22"/>
                <w:szCs w:val="22"/>
              </w:rPr>
              <w:t>Anual</w:t>
            </w:r>
          </w:p>
        </w:tc>
        <w:tc>
          <w:tcPr>
            <w:tcW w:w="138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0C0078E3" w14:textId="77777777" w:rsidR="003722CF" w:rsidRDefault="00411668">
            <w:pPr>
              <w:jc w:val="center"/>
              <w:rPr>
                <w:rFonts w:eastAsia="Times New Roman" w:cs="Calibri"/>
                <w:color w:val="FFFFFF"/>
                <w:sz w:val="22"/>
                <w:szCs w:val="22"/>
              </w:rPr>
            </w:pPr>
            <w:r>
              <w:rPr>
                <w:rFonts w:eastAsia="Times New Roman" w:cs="Calibri"/>
                <w:color w:val="FFFFFF"/>
                <w:sz w:val="22"/>
                <w:szCs w:val="22"/>
              </w:rPr>
              <w:t>Suma</w:t>
            </w:r>
          </w:p>
        </w:tc>
      </w:tr>
      <w:tr w:rsidR="003722CF" w14:paraId="2C9095A6" w14:textId="77777777">
        <w:tblPrEx>
          <w:tblCellMar>
            <w:top w:w="0" w:type="dxa"/>
            <w:bottom w:w="0" w:type="dxa"/>
          </w:tblCellMar>
        </w:tblPrEx>
        <w:trPr>
          <w:trHeight w:val="282"/>
        </w:trPr>
        <w:tc>
          <w:tcPr>
            <w:tcW w:w="34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8E78F9A" w14:textId="77777777" w:rsidR="003722CF" w:rsidRDefault="00411668">
            <w:pPr>
              <w:rPr>
                <w:rFonts w:eastAsia="Times New Roman" w:cs="Calibri"/>
                <w:color w:val="000000"/>
                <w:sz w:val="22"/>
                <w:szCs w:val="22"/>
              </w:rPr>
            </w:pPr>
            <w:r>
              <w:rPr>
                <w:rFonts w:eastAsia="Times New Roman" w:cs="Calibri"/>
                <w:color w:val="000000"/>
                <w:sz w:val="22"/>
                <w:szCs w:val="22"/>
              </w:rPr>
              <w:t>Bienes Muebles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67CCE5B" w14:textId="77777777" w:rsidR="003722CF" w:rsidRDefault="00411668">
            <w:pPr>
              <w:jc w:val="right"/>
              <w:rPr>
                <w:rFonts w:eastAsia="Times New Roman" w:cs="Calibri"/>
                <w:color w:val="000000"/>
                <w:sz w:val="22"/>
                <w:szCs w:val="22"/>
              </w:rPr>
            </w:pPr>
            <w:r>
              <w:rPr>
                <w:rFonts w:eastAsia="Times New Roman" w:cs="Calibri"/>
                <w:color w:val="000000"/>
                <w:sz w:val="22"/>
                <w:szCs w:val="22"/>
              </w:rPr>
              <w:t>$816,473</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D053082" w14:textId="77777777" w:rsidR="003722CF" w:rsidRDefault="00411668">
            <w:pPr>
              <w:jc w:val="right"/>
              <w:rPr>
                <w:rFonts w:eastAsia="Times New Roman" w:cs="Calibri"/>
                <w:color w:val="000000"/>
                <w:sz w:val="22"/>
                <w:szCs w:val="22"/>
              </w:rPr>
            </w:pPr>
            <w:r>
              <w:rPr>
                <w:rFonts w:eastAsia="Times New Roman" w:cs="Calibri"/>
                <w:color w:val="000000"/>
                <w:sz w:val="22"/>
                <w:szCs w:val="22"/>
              </w:rPr>
              <w:t>$2,158,476</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B22AE96" w14:textId="77777777" w:rsidR="003722CF" w:rsidRDefault="00411668">
            <w:pPr>
              <w:jc w:val="right"/>
              <w:rPr>
                <w:rFonts w:eastAsia="Times New Roman" w:cs="Calibri"/>
                <w:color w:val="000000"/>
                <w:sz w:val="22"/>
                <w:szCs w:val="22"/>
              </w:rPr>
            </w:pPr>
            <w:r>
              <w:rPr>
                <w:rFonts w:eastAsia="Times New Roman" w:cs="Calibri"/>
                <w:color w:val="000000"/>
                <w:sz w:val="22"/>
                <w:szCs w:val="22"/>
              </w:rPr>
              <w:t>2,974,949</w:t>
            </w:r>
          </w:p>
        </w:tc>
      </w:tr>
      <w:tr w:rsidR="003722CF" w14:paraId="211E7741" w14:textId="77777777">
        <w:tblPrEx>
          <w:tblCellMar>
            <w:top w:w="0" w:type="dxa"/>
            <w:bottom w:w="0" w:type="dxa"/>
          </w:tblCellMar>
        </w:tblPrEx>
        <w:trPr>
          <w:trHeight w:val="282"/>
        </w:trPr>
        <w:tc>
          <w:tcPr>
            <w:tcW w:w="34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1C9BD2C" w14:textId="77777777" w:rsidR="003722CF" w:rsidRDefault="00411668">
            <w:pPr>
              <w:rPr>
                <w:rFonts w:eastAsia="Times New Roman" w:cs="Calibri"/>
                <w:color w:val="000000"/>
                <w:sz w:val="22"/>
                <w:szCs w:val="22"/>
              </w:rPr>
            </w:pPr>
            <w:r>
              <w:rPr>
                <w:rFonts w:eastAsia="Times New Roman" w:cs="Calibri"/>
                <w:color w:val="000000"/>
                <w:sz w:val="22"/>
                <w:szCs w:val="22"/>
              </w:rPr>
              <w:t>Bienes Inmuebles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36B1FD7" w14:textId="77777777" w:rsidR="003722CF" w:rsidRDefault="00411668">
            <w:pPr>
              <w:jc w:val="right"/>
              <w:rPr>
                <w:rFonts w:eastAsia="Times New Roman" w:cs="Calibri"/>
                <w:color w:val="000000"/>
                <w:sz w:val="22"/>
                <w:szCs w:val="22"/>
              </w:rPr>
            </w:pPr>
            <w:r>
              <w:rPr>
                <w:rFonts w:eastAsia="Times New Roman" w:cs="Calibri"/>
                <w:color w:val="000000"/>
                <w:sz w:val="22"/>
                <w:szCs w:val="22"/>
              </w:rPr>
              <w:t>$0.00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FB179A8" w14:textId="77777777" w:rsidR="003722CF" w:rsidRDefault="00411668">
            <w:pPr>
              <w:jc w:val="right"/>
              <w:rPr>
                <w:rFonts w:eastAsia="Times New Roman" w:cs="Calibri"/>
                <w:color w:val="000000"/>
                <w:sz w:val="22"/>
                <w:szCs w:val="22"/>
              </w:rPr>
            </w:pPr>
            <w:r>
              <w:rPr>
                <w:rFonts w:eastAsia="Times New Roman" w:cs="Calibri"/>
                <w:color w:val="000000"/>
                <w:sz w:val="22"/>
                <w:szCs w:val="22"/>
              </w:rPr>
              <w:t>$0.00</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6951A4C" w14:textId="77777777" w:rsidR="003722CF" w:rsidRDefault="00411668">
            <w:pPr>
              <w:jc w:val="right"/>
              <w:rPr>
                <w:rFonts w:eastAsia="Times New Roman" w:cs="Calibri"/>
                <w:color w:val="000000"/>
                <w:sz w:val="22"/>
                <w:szCs w:val="22"/>
              </w:rPr>
            </w:pPr>
            <w:r>
              <w:rPr>
                <w:rFonts w:eastAsia="Times New Roman" w:cs="Calibri"/>
                <w:color w:val="000000"/>
                <w:sz w:val="22"/>
                <w:szCs w:val="22"/>
              </w:rPr>
              <w:t>$0.00</w:t>
            </w:r>
          </w:p>
        </w:tc>
      </w:tr>
      <w:tr w:rsidR="003722CF" w14:paraId="672ED2A3" w14:textId="77777777">
        <w:tblPrEx>
          <w:tblCellMar>
            <w:top w:w="0" w:type="dxa"/>
            <w:bottom w:w="0" w:type="dxa"/>
          </w:tblCellMar>
        </w:tblPrEx>
        <w:trPr>
          <w:trHeight w:val="282"/>
        </w:trPr>
        <w:tc>
          <w:tcPr>
            <w:tcW w:w="34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8D1C172"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Bienes Intangibles </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1F6FB2C" w14:textId="77777777" w:rsidR="003722CF" w:rsidRDefault="00411668">
            <w:pPr>
              <w:jc w:val="right"/>
              <w:rPr>
                <w:rFonts w:eastAsia="Times New Roman" w:cs="Calibri"/>
                <w:color w:val="000000"/>
                <w:sz w:val="22"/>
                <w:szCs w:val="22"/>
              </w:rPr>
            </w:pPr>
            <w:r>
              <w:rPr>
                <w:rFonts w:eastAsia="Times New Roman" w:cs="Calibri"/>
                <w:color w:val="000000"/>
                <w:sz w:val="22"/>
                <w:szCs w:val="22"/>
              </w:rPr>
              <w:t>$0.00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B0E88C5" w14:textId="77777777" w:rsidR="003722CF" w:rsidRDefault="00411668">
            <w:pPr>
              <w:jc w:val="right"/>
              <w:rPr>
                <w:rFonts w:eastAsia="Times New Roman" w:cs="Calibri"/>
                <w:color w:val="000000"/>
                <w:sz w:val="22"/>
                <w:szCs w:val="22"/>
              </w:rPr>
            </w:pPr>
            <w:r>
              <w:rPr>
                <w:rFonts w:eastAsia="Times New Roman" w:cs="Calibri"/>
                <w:color w:val="000000"/>
                <w:sz w:val="22"/>
                <w:szCs w:val="22"/>
              </w:rPr>
              <w:t>$100,920</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7A1D9D7" w14:textId="77777777" w:rsidR="003722CF" w:rsidRDefault="00411668">
            <w:pPr>
              <w:jc w:val="right"/>
              <w:rPr>
                <w:rFonts w:eastAsia="Times New Roman" w:cs="Calibri"/>
                <w:color w:val="000000"/>
                <w:sz w:val="22"/>
                <w:szCs w:val="22"/>
              </w:rPr>
            </w:pPr>
            <w:r>
              <w:rPr>
                <w:rFonts w:eastAsia="Times New Roman" w:cs="Calibri"/>
                <w:color w:val="000000"/>
                <w:sz w:val="22"/>
                <w:szCs w:val="22"/>
              </w:rPr>
              <w:t>$100,920</w:t>
            </w:r>
          </w:p>
        </w:tc>
      </w:tr>
      <w:tr w:rsidR="003722CF" w14:paraId="1B9CA767" w14:textId="77777777">
        <w:tblPrEx>
          <w:tblCellMar>
            <w:top w:w="0" w:type="dxa"/>
            <w:bottom w:w="0" w:type="dxa"/>
          </w:tblCellMar>
        </w:tblPrEx>
        <w:trPr>
          <w:trHeight w:val="282"/>
        </w:trPr>
        <w:tc>
          <w:tcPr>
            <w:tcW w:w="34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A53A6A3" w14:textId="77777777" w:rsidR="003722CF" w:rsidRDefault="00411668">
            <w:pPr>
              <w:rPr>
                <w:rFonts w:eastAsia="Times New Roman" w:cs="Calibri"/>
                <w:color w:val="000000"/>
                <w:sz w:val="22"/>
                <w:szCs w:val="22"/>
              </w:rPr>
            </w:pPr>
            <w:r>
              <w:rPr>
                <w:rFonts w:eastAsia="Times New Roman" w:cs="Calibri"/>
                <w:color w:val="000000"/>
                <w:sz w:val="22"/>
                <w:szCs w:val="22"/>
              </w:rPr>
              <w:t>Total</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62C7283" w14:textId="77777777" w:rsidR="003722CF" w:rsidRDefault="00411668">
            <w:pPr>
              <w:jc w:val="right"/>
              <w:rPr>
                <w:rFonts w:eastAsia="Times New Roman" w:cs="Calibri"/>
                <w:color w:val="000000"/>
                <w:sz w:val="22"/>
                <w:szCs w:val="22"/>
              </w:rPr>
            </w:pPr>
            <w:r>
              <w:rPr>
                <w:rFonts w:eastAsia="Times New Roman" w:cs="Calibri"/>
                <w:color w:val="000000"/>
                <w:sz w:val="22"/>
                <w:szCs w:val="22"/>
              </w:rPr>
              <w:t>$816,473</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231E761" w14:textId="77777777" w:rsidR="003722CF" w:rsidRDefault="00411668">
            <w:pPr>
              <w:jc w:val="right"/>
              <w:rPr>
                <w:rFonts w:eastAsia="Times New Roman" w:cs="Calibri"/>
                <w:color w:val="000000"/>
                <w:sz w:val="22"/>
                <w:szCs w:val="22"/>
              </w:rPr>
            </w:pPr>
            <w:r>
              <w:rPr>
                <w:rFonts w:eastAsia="Times New Roman" w:cs="Calibri"/>
                <w:color w:val="000000"/>
                <w:sz w:val="22"/>
                <w:szCs w:val="22"/>
              </w:rPr>
              <w:t>$2,259,396</w:t>
            </w:r>
          </w:p>
        </w:tc>
        <w:tc>
          <w:tcPr>
            <w:tcW w:w="13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F863B45" w14:textId="77777777" w:rsidR="003722CF" w:rsidRDefault="00411668">
            <w:pPr>
              <w:jc w:val="right"/>
              <w:rPr>
                <w:rFonts w:eastAsia="Times New Roman" w:cs="Calibri"/>
                <w:color w:val="000000"/>
                <w:sz w:val="22"/>
                <w:szCs w:val="22"/>
              </w:rPr>
            </w:pPr>
            <w:r>
              <w:rPr>
                <w:rFonts w:eastAsia="Times New Roman" w:cs="Calibri"/>
                <w:color w:val="000000"/>
                <w:sz w:val="22"/>
                <w:szCs w:val="22"/>
              </w:rPr>
              <w:t>$3,075,869</w:t>
            </w:r>
          </w:p>
        </w:tc>
      </w:tr>
    </w:tbl>
    <w:p w14:paraId="63CECC05" w14:textId="77777777" w:rsidR="003722CF" w:rsidRDefault="003722CF">
      <w:pPr>
        <w:widowControl/>
        <w:spacing w:after="80" w:line="203" w:lineRule="exact"/>
        <w:ind w:left="624"/>
        <w:jc w:val="both"/>
        <w:rPr>
          <w:rFonts w:eastAsia="Times New Roman" w:cs="Calibri"/>
          <w:b/>
          <w:sz w:val="22"/>
          <w:szCs w:val="22"/>
          <w:lang w:eastAsia="es-ES"/>
        </w:rPr>
      </w:pPr>
    </w:p>
    <w:p w14:paraId="0F75BF1A" w14:textId="77777777" w:rsidR="003722CF" w:rsidRDefault="003722CF">
      <w:pPr>
        <w:widowControl/>
        <w:spacing w:after="80" w:line="203" w:lineRule="exact"/>
        <w:ind w:left="624"/>
        <w:jc w:val="both"/>
        <w:rPr>
          <w:rFonts w:eastAsia="Times New Roman" w:cs="Calibri"/>
          <w:b/>
          <w:sz w:val="22"/>
          <w:szCs w:val="22"/>
          <w:lang w:eastAsia="es-ES"/>
        </w:rPr>
      </w:pPr>
    </w:p>
    <w:p w14:paraId="3330EF69" w14:textId="77777777" w:rsidR="003722CF" w:rsidRDefault="003722CF">
      <w:pPr>
        <w:widowControl/>
        <w:spacing w:after="80" w:line="203" w:lineRule="exact"/>
        <w:ind w:left="624"/>
        <w:jc w:val="both"/>
        <w:rPr>
          <w:rFonts w:eastAsia="Times New Roman" w:cs="Calibri"/>
          <w:b/>
          <w:sz w:val="22"/>
          <w:szCs w:val="22"/>
          <w:lang w:eastAsia="es-ES"/>
        </w:rPr>
      </w:pPr>
    </w:p>
    <w:p w14:paraId="775D5400" w14:textId="77777777" w:rsidR="003722CF" w:rsidRDefault="003722CF">
      <w:pPr>
        <w:widowControl/>
        <w:spacing w:after="80" w:line="203" w:lineRule="exact"/>
        <w:ind w:left="624"/>
        <w:jc w:val="both"/>
        <w:rPr>
          <w:rFonts w:eastAsia="Times New Roman" w:cs="Calibri"/>
          <w:b/>
          <w:sz w:val="22"/>
          <w:szCs w:val="22"/>
          <w:lang w:eastAsia="es-ES"/>
        </w:rPr>
      </w:pPr>
    </w:p>
    <w:p w14:paraId="526C816E" w14:textId="77777777" w:rsidR="003722CF" w:rsidRDefault="00411668">
      <w:pPr>
        <w:widowControl/>
        <w:tabs>
          <w:tab w:val="left" w:pos="1440"/>
        </w:tabs>
        <w:spacing w:line="276" w:lineRule="auto"/>
        <w:jc w:val="both"/>
        <w:rPr>
          <w:rFonts w:eastAsia="Times New Roman" w:cs="Calibri"/>
          <w:sz w:val="22"/>
          <w:szCs w:val="22"/>
          <w:lang w:eastAsia="es-ES"/>
        </w:rPr>
      </w:pPr>
      <w:r>
        <w:rPr>
          <w:rFonts w:eastAsia="Times New Roman" w:cs="Calibri"/>
          <w:sz w:val="22"/>
          <w:szCs w:val="22"/>
          <w:lang w:eastAsia="es-ES"/>
        </w:rPr>
        <w:t xml:space="preserve">La </w:t>
      </w:r>
      <w:r>
        <w:rPr>
          <w:rFonts w:eastAsia="Times New Roman" w:cs="Calibri"/>
          <w:sz w:val="22"/>
          <w:szCs w:val="22"/>
          <w:lang w:eastAsia="es-ES"/>
        </w:rPr>
        <w:t>deprecación Acumulada al inicio del ejercicio es de $ 724,809 la depreciación anual 2024</w:t>
      </w:r>
    </w:p>
    <w:p w14:paraId="27AE3580" w14:textId="77777777" w:rsidR="003722CF" w:rsidRDefault="00411668">
      <w:pPr>
        <w:widowControl/>
        <w:tabs>
          <w:tab w:val="left" w:pos="1440"/>
        </w:tabs>
        <w:spacing w:line="276" w:lineRule="auto"/>
        <w:jc w:val="both"/>
        <w:rPr>
          <w:rFonts w:eastAsia="Times New Roman" w:cs="Calibri"/>
          <w:sz w:val="22"/>
          <w:szCs w:val="22"/>
          <w:lang w:eastAsia="es-ES"/>
        </w:rPr>
      </w:pPr>
      <w:r>
        <w:rPr>
          <w:rFonts w:eastAsia="Times New Roman" w:cs="Calibri"/>
          <w:sz w:val="22"/>
          <w:szCs w:val="22"/>
          <w:lang w:eastAsia="es-ES"/>
        </w:rPr>
        <w:t xml:space="preserve"> $ 89,844, saldo acumulado al 31 de diciembre 2024 $ -814,653</w:t>
      </w:r>
    </w:p>
    <w:p w14:paraId="61472F7D" w14:textId="77777777" w:rsidR="003722CF" w:rsidRDefault="003722CF">
      <w:pPr>
        <w:widowControl/>
        <w:tabs>
          <w:tab w:val="left" w:pos="1440"/>
        </w:tabs>
        <w:spacing w:line="276" w:lineRule="auto"/>
        <w:jc w:val="right"/>
        <w:rPr>
          <w:rFonts w:eastAsia="Times New Roman" w:cs="Calibri"/>
          <w:sz w:val="22"/>
          <w:szCs w:val="22"/>
          <w:lang w:eastAsia="es-ES"/>
        </w:rPr>
      </w:pPr>
    </w:p>
    <w:tbl>
      <w:tblPr>
        <w:tblW w:w="7736" w:type="dxa"/>
        <w:tblInd w:w="830" w:type="dxa"/>
        <w:tblCellMar>
          <w:left w:w="10" w:type="dxa"/>
          <w:right w:w="10" w:type="dxa"/>
        </w:tblCellMar>
        <w:tblLook w:val="0000" w:firstRow="0" w:lastRow="0" w:firstColumn="0" w:lastColumn="0" w:noHBand="0" w:noVBand="0"/>
      </w:tblPr>
      <w:tblGrid>
        <w:gridCol w:w="3320"/>
        <w:gridCol w:w="1388"/>
        <w:gridCol w:w="1640"/>
        <w:gridCol w:w="1388"/>
      </w:tblGrid>
      <w:tr w:rsidR="003722CF" w14:paraId="27FB0C20" w14:textId="77777777">
        <w:tblPrEx>
          <w:tblCellMar>
            <w:top w:w="0" w:type="dxa"/>
            <w:bottom w:w="0" w:type="dxa"/>
          </w:tblCellMar>
        </w:tblPrEx>
        <w:trPr>
          <w:trHeight w:val="282"/>
        </w:trPr>
        <w:tc>
          <w:tcPr>
            <w:tcW w:w="332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02F5ACE6" w14:textId="77777777" w:rsidR="003722CF" w:rsidRDefault="00411668">
            <w:pPr>
              <w:jc w:val="center"/>
              <w:rPr>
                <w:rFonts w:eastAsia="Times New Roman" w:cs="Calibri"/>
                <w:color w:val="FFFFFF"/>
                <w:sz w:val="22"/>
                <w:szCs w:val="22"/>
              </w:rPr>
            </w:pPr>
            <w:r>
              <w:rPr>
                <w:rFonts w:eastAsia="Times New Roman" w:cs="Calibri"/>
                <w:color w:val="FFFFFF"/>
                <w:sz w:val="22"/>
                <w:szCs w:val="22"/>
              </w:rPr>
              <w:t>Concepto</w:t>
            </w:r>
          </w:p>
        </w:tc>
        <w:tc>
          <w:tcPr>
            <w:tcW w:w="1388"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25F6A8E8" w14:textId="77777777" w:rsidR="003722CF" w:rsidRDefault="00411668">
            <w:pPr>
              <w:jc w:val="center"/>
              <w:rPr>
                <w:rFonts w:eastAsia="Times New Roman" w:cs="Calibri"/>
                <w:color w:val="FFFFFF"/>
                <w:sz w:val="22"/>
                <w:szCs w:val="22"/>
              </w:rPr>
            </w:pPr>
            <w:r>
              <w:rPr>
                <w:rFonts w:eastAsia="Times New Roman" w:cs="Calibri"/>
                <w:color w:val="FFFFFF"/>
                <w:sz w:val="22"/>
                <w:szCs w:val="22"/>
              </w:rPr>
              <w:t>Acumulado</w:t>
            </w:r>
          </w:p>
        </w:tc>
        <w:tc>
          <w:tcPr>
            <w:tcW w:w="16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02BA8C5A" w14:textId="77777777" w:rsidR="003722CF" w:rsidRDefault="00411668">
            <w:pPr>
              <w:jc w:val="center"/>
            </w:pPr>
            <w:r>
              <w:rPr>
                <w:rFonts w:eastAsia="Times New Roman" w:cs="Calibri"/>
                <w:color w:val="FFFFFF"/>
                <w:sz w:val="22"/>
                <w:szCs w:val="22"/>
                <w:shd w:val="clear" w:color="auto" w:fill="C00000"/>
              </w:rPr>
              <w:t>A</w:t>
            </w:r>
            <w:r>
              <w:rPr>
                <w:rFonts w:eastAsia="Times New Roman" w:cs="Calibri"/>
                <w:color w:val="FFFFFF"/>
                <w:sz w:val="22"/>
                <w:szCs w:val="22"/>
              </w:rPr>
              <w:t>nual</w:t>
            </w:r>
          </w:p>
        </w:tc>
        <w:tc>
          <w:tcPr>
            <w:tcW w:w="1388"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49A7086D" w14:textId="77777777" w:rsidR="003722CF" w:rsidRDefault="00411668">
            <w:pPr>
              <w:jc w:val="center"/>
              <w:rPr>
                <w:rFonts w:eastAsia="Times New Roman" w:cs="Calibri"/>
                <w:color w:val="FFFFFF"/>
                <w:sz w:val="22"/>
                <w:szCs w:val="22"/>
              </w:rPr>
            </w:pPr>
            <w:r>
              <w:rPr>
                <w:rFonts w:eastAsia="Times New Roman" w:cs="Calibri"/>
                <w:color w:val="FFFFFF"/>
                <w:sz w:val="22"/>
                <w:szCs w:val="22"/>
              </w:rPr>
              <w:t>Suma</w:t>
            </w:r>
          </w:p>
        </w:tc>
      </w:tr>
      <w:tr w:rsidR="003722CF" w14:paraId="62B7B719"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50CFFE3"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Mobiliario y </w:t>
            </w:r>
            <w:proofErr w:type="spellStart"/>
            <w:r>
              <w:rPr>
                <w:rFonts w:eastAsia="Times New Roman" w:cs="Calibri"/>
                <w:color w:val="000000"/>
                <w:sz w:val="22"/>
                <w:szCs w:val="22"/>
              </w:rPr>
              <w:t>Eq</w:t>
            </w:r>
            <w:proofErr w:type="spellEnd"/>
            <w:r>
              <w:rPr>
                <w:rFonts w:eastAsia="Times New Roman" w:cs="Calibri"/>
                <w:color w:val="000000"/>
                <w:sz w:val="22"/>
                <w:szCs w:val="22"/>
              </w:rPr>
              <w:t>. De Admón.</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EC1A69E" w14:textId="77777777" w:rsidR="003722CF" w:rsidRDefault="00411668">
            <w:pPr>
              <w:jc w:val="right"/>
              <w:rPr>
                <w:rFonts w:eastAsia="Times New Roman" w:cs="Calibri"/>
                <w:color w:val="000000"/>
                <w:sz w:val="22"/>
                <w:szCs w:val="22"/>
              </w:rPr>
            </w:pPr>
            <w:r>
              <w:rPr>
                <w:rFonts w:eastAsia="Times New Roman" w:cs="Calibri"/>
                <w:color w:val="000000"/>
                <w:sz w:val="22"/>
                <w:szCs w:val="22"/>
              </w:rPr>
              <w:t>($493,718)</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621DE9B" w14:textId="77777777" w:rsidR="003722CF" w:rsidRDefault="00411668">
            <w:pPr>
              <w:jc w:val="right"/>
              <w:rPr>
                <w:rFonts w:eastAsia="Times New Roman" w:cs="Calibri"/>
                <w:color w:val="000000"/>
                <w:sz w:val="22"/>
                <w:szCs w:val="22"/>
              </w:rPr>
            </w:pPr>
            <w:r>
              <w:rPr>
                <w:rFonts w:eastAsia="Times New Roman" w:cs="Calibri"/>
                <w:color w:val="000000"/>
                <w:sz w:val="22"/>
                <w:szCs w:val="22"/>
              </w:rPr>
              <w:t>($45,065)</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C65A6AA" w14:textId="77777777" w:rsidR="003722CF" w:rsidRDefault="00411668">
            <w:pPr>
              <w:jc w:val="right"/>
              <w:rPr>
                <w:rFonts w:eastAsia="Times New Roman" w:cs="Calibri"/>
                <w:color w:val="000000"/>
                <w:sz w:val="22"/>
                <w:szCs w:val="22"/>
              </w:rPr>
            </w:pPr>
            <w:r>
              <w:rPr>
                <w:rFonts w:eastAsia="Times New Roman" w:cs="Calibri"/>
                <w:color w:val="000000"/>
                <w:sz w:val="22"/>
                <w:szCs w:val="22"/>
              </w:rPr>
              <w:t>($538,783)</w:t>
            </w:r>
          </w:p>
        </w:tc>
      </w:tr>
      <w:tr w:rsidR="003722CF" w14:paraId="02ED9C8A"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F8374A"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Mobiliario y </w:t>
            </w:r>
            <w:proofErr w:type="spellStart"/>
            <w:r>
              <w:rPr>
                <w:rFonts w:eastAsia="Times New Roman" w:cs="Calibri"/>
                <w:color w:val="000000"/>
                <w:sz w:val="22"/>
                <w:szCs w:val="22"/>
              </w:rPr>
              <w:t>Eq</w:t>
            </w:r>
            <w:proofErr w:type="spellEnd"/>
            <w:r>
              <w:rPr>
                <w:rFonts w:eastAsia="Times New Roman" w:cs="Calibri"/>
                <w:color w:val="000000"/>
                <w:sz w:val="22"/>
                <w:szCs w:val="22"/>
              </w:rPr>
              <w:t>. Educacional y Recreativo</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96DD95E" w14:textId="77777777" w:rsidR="003722CF" w:rsidRDefault="00411668">
            <w:pPr>
              <w:jc w:val="right"/>
              <w:rPr>
                <w:rFonts w:eastAsia="Times New Roman" w:cs="Calibri"/>
                <w:color w:val="000000"/>
                <w:sz w:val="22"/>
                <w:szCs w:val="22"/>
              </w:rPr>
            </w:pPr>
            <w:r>
              <w:rPr>
                <w:rFonts w:eastAsia="Times New Roman" w:cs="Calibri"/>
                <w:color w:val="000000"/>
                <w:sz w:val="22"/>
                <w:szCs w:val="22"/>
              </w:rPr>
              <w:t>($25,791)</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638A991" w14:textId="77777777" w:rsidR="003722CF" w:rsidRDefault="00411668">
            <w:pPr>
              <w:jc w:val="right"/>
              <w:rPr>
                <w:rFonts w:eastAsia="Times New Roman" w:cs="Calibri"/>
                <w:color w:val="000000"/>
                <w:sz w:val="22"/>
                <w:szCs w:val="22"/>
              </w:rPr>
            </w:pPr>
            <w:r>
              <w:rPr>
                <w:rFonts w:eastAsia="Times New Roman" w:cs="Calibri"/>
                <w:color w:val="000000"/>
                <w:sz w:val="22"/>
                <w:szCs w:val="22"/>
              </w:rPr>
              <w:t>($437)</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6CDDEEA" w14:textId="77777777" w:rsidR="003722CF" w:rsidRDefault="00411668">
            <w:pPr>
              <w:jc w:val="right"/>
              <w:rPr>
                <w:rFonts w:eastAsia="Times New Roman" w:cs="Calibri"/>
                <w:color w:val="000000"/>
                <w:sz w:val="22"/>
                <w:szCs w:val="22"/>
              </w:rPr>
            </w:pPr>
            <w:r>
              <w:rPr>
                <w:rFonts w:eastAsia="Times New Roman" w:cs="Calibri"/>
                <w:color w:val="000000"/>
                <w:sz w:val="22"/>
                <w:szCs w:val="22"/>
              </w:rPr>
              <w:t>($26,228)</w:t>
            </w:r>
          </w:p>
        </w:tc>
      </w:tr>
      <w:tr w:rsidR="003722CF" w14:paraId="72EA2BBC"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09B1254" w14:textId="77777777" w:rsidR="003722CF" w:rsidRDefault="00411668">
            <w:pPr>
              <w:rPr>
                <w:rFonts w:eastAsia="Times New Roman" w:cs="Calibri"/>
                <w:color w:val="000000"/>
                <w:sz w:val="22"/>
                <w:szCs w:val="22"/>
              </w:rPr>
            </w:pPr>
            <w:r>
              <w:rPr>
                <w:rFonts w:eastAsia="Times New Roman" w:cs="Calibri"/>
                <w:color w:val="000000"/>
                <w:sz w:val="22"/>
                <w:szCs w:val="22"/>
              </w:rPr>
              <w:t>Equipo de Transporte</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81B0334" w14:textId="77777777" w:rsidR="003722CF" w:rsidRDefault="00411668">
            <w:pPr>
              <w:jc w:val="right"/>
              <w:rPr>
                <w:rFonts w:eastAsia="Times New Roman" w:cs="Calibri"/>
                <w:color w:val="000000"/>
                <w:sz w:val="22"/>
                <w:szCs w:val="22"/>
              </w:rPr>
            </w:pPr>
            <w:r>
              <w:rPr>
                <w:rFonts w:eastAsia="Times New Roman" w:cs="Calibri"/>
                <w:color w:val="000000"/>
                <w:sz w:val="22"/>
                <w:szCs w:val="22"/>
              </w:rPr>
              <w:t>($205,300)</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568E7A" w14:textId="77777777" w:rsidR="003722CF" w:rsidRDefault="00411668">
            <w:pPr>
              <w:jc w:val="right"/>
              <w:rPr>
                <w:rFonts w:eastAsia="Times New Roman" w:cs="Calibri"/>
                <w:color w:val="000000"/>
                <w:sz w:val="22"/>
                <w:szCs w:val="22"/>
              </w:rPr>
            </w:pPr>
            <w:r>
              <w:rPr>
                <w:rFonts w:eastAsia="Times New Roman" w:cs="Calibri"/>
                <w:color w:val="000000"/>
                <w:sz w:val="22"/>
                <w:szCs w:val="22"/>
              </w:rPr>
              <w:t>($44,342)</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6A494B9" w14:textId="77777777" w:rsidR="003722CF" w:rsidRDefault="00411668">
            <w:pPr>
              <w:jc w:val="right"/>
              <w:rPr>
                <w:rFonts w:eastAsia="Times New Roman" w:cs="Calibri"/>
                <w:color w:val="000000"/>
                <w:sz w:val="22"/>
                <w:szCs w:val="22"/>
              </w:rPr>
            </w:pPr>
            <w:r>
              <w:rPr>
                <w:rFonts w:eastAsia="Times New Roman" w:cs="Calibri"/>
                <w:color w:val="000000"/>
                <w:sz w:val="22"/>
                <w:szCs w:val="22"/>
              </w:rPr>
              <w:t>($249,642)</w:t>
            </w:r>
          </w:p>
        </w:tc>
      </w:tr>
      <w:tr w:rsidR="003722CF" w14:paraId="17804B32" w14:textId="77777777">
        <w:tblPrEx>
          <w:tblCellMar>
            <w:top w:w="0" w:type="dxa"/>
            <w:bottom w:w="0" w:type="dxa"/>
          </w:tblCellMar>
        </w:tblPrEx>
        <w:trPr>
          <w:trHeight w:val="282"/>
        </w:trPr>
        <w:tc>
          <w:tcPr>
            <w:tcW w:w="33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C9CC3C9" w14:textId="77777777" w:rsidR="003722CF" w:rsidRDefault="00411668">
            <w:pPr>
              <w:rPr>
                <w:rFonts w:eastAsia="Times New Roman" w:cs="Calibri"/>
                <w:color w:val="000000"/>
                <w:sz w:val="22"/>
                <w:szCs w:val="22"/>
              </w:rPr>
            </w:pPr>
            <w:r>
              <w:rPr>
                <w:rFonts w:eastAsia="Times New Roman" w:cs="Calibri"/>
                <w:color w:val="000000"/>
                <w:sz w:val="22"/>
                <w:szCs w:val="22"/>
              </w:rPr>
              <w:t>Total</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50FAC7E" w14:textId="77777777" w:rsidR="003722CF" w:rsidRDefault="00411668">
            <w:pPr>
              <w:jc w:val="right"/>
              <w:rPr>
                <w:rFonts w:eastAsia="Times New Roman" w:cs="Calibri"/>
                <w:color w:val="000000"/>
                <w:sz w:val="22"/>
                <w:szCs w:val="22"/>
              </w:rPr>
            </w:pPr>
            <w:r>
              <w:rPr>
                <w:rFonts w:eastAsia="Times New Roman" w:cs="Calibri"/>
                <w:color w:val="000000"/>
                <w:sz w:val="22"/>
                <w:szCs w:val="22"/>
              </w:rPr>
              <w:t>($724,809)</w:t>
            </w:r>
          </w:p>
        </w:tc>
        <w:tc>
          <w:tcPr>
            <w:tcW w:w="16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55939A4" w14:textId="77777777" w:rsidR="003722CF" w:rsidRDefault="00411668">
            <w:pPr>
              <w:jc w:val="right"/>
              <w:rPr>
                <w:rFonts w:eastAsia="Times New Roman" w:cs="Calibri"/>
                <w:color w:val="000000"/>
                <w:sz w:val="22"/>
                <w:szCs w:val="22"/>
              </w:rPr>
            </w:pPr>
            <w:r>
              <w:rPr>
                <w:rFonts w:eastAsia="Times New Roman" w:cs="Calibri"/>
                <w:color w:val="000000"/>
                <w:sz w:val="22"/>
                <w:szCs w:val="22"/>
              </w:rPr>
              <w:t>($89,844)</w:t>
            </w:r>
          </w:p>
        </w:tc>
        <w:tc>
          <w:tcPr>
            <w:tcW w:w="138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B04F037" w14:textId="77777777" w:rsidR="003722CF" w:rsidRDefault="00411668">
            <w:pPr>
              <w:jc w:val="right"/>
              <w:rPr>
                <w:rFonts w:eastAsia="Times New Roman" w:cs="Calibri"/>
                <w:color w:val="000000"/>
                <w:sz w:val="22"/>
                <w:szCs w:val="22"/>
              </w:rPr>
            </w:pPr>
            <w:r>
              <w:rPr>
                <w:rFonts w:eastAsia="Times New Roman" w:cs="Calibri"/>
                <w:color w:val="000000"/>
                <w:sz w:val="22"/>
                <w:szCs w:val="22"/>
              </w:rPr>
              <w:t>($814,653)</w:t>
            </w:r>
          </w:p>
        </w:tc>
      </w:tr>
    </w:tbl>
    <w:p w14:paraId="2FD16F24" w14:textId="77777777" w:rsidR="003722CF" w:rsidRDefault="003722CF">
      <w:pPr>
        <w:widowControl/>
        <w:spacing w:after="80" w:line="203" w:lineRule="exact"/>
        <w:ind w:left="624"/>
        <w:jc w:val="both"/>
        <w:rPr>
          <w:rFonts w:eastAsia="Times New Roman" w:cs="Calibri"/>
          <w:b/>
          <w:sz w:val="22"/>
          <w:szCs w:val="22"/>
          <w:lang w:eastAsia="es-ES"/>
        </w:rPr>
      </w:pPr>
    </w:p>
    <w:p w14:paraId="10A197D7" w14:textId="77777777" w:rsidR="003722CF" w:rsidRDefault="003722CF">
      <w:pPr>
        <w:widowControl/>
        <w:spacing w:after="80" w:line="203" w:lineRule="exact"/>
        <w:ind w:left="624"/>
        <w:jc w:val="both"/>
        <w:rPr>
          <w:rFonts w:eastAsia="Times New Roman" w:cs="Calibri"/>
          <w:b/>
          <w:sz w:val="22"/>
          <w:szCs w:val="22"/>
          <w:lang w:eastAsia="es-ES"/>
        </w:rPr>
      </w:pPr>
    </w:p>
    <w:p w14:paraId="224ACBD4" w14:textId="77777777" w:rsidR="003722CF" w:rsidRDefault="003722CF">
      <w:pPr>
        <w:widowControl/>
        <w:suppressAutoHyphens w:val="0"/>
        <w:spacing w:after="80" w:line="203" w:lineRule="exact"/>
        <w:jc w:val="both"/>
        <w:textAlignment w:val="auto"/>
        <w:rPr>
          <w:rFonts w:eastAsia="Times New Roman" w:cs="Calibri"/>
          <w:b/>
          <w:sz w:val="22"/>
          <w:szCs w:val="22"/>
          <w:lang w:eastAsia="es-ES"/>
        </w:rPr>
      </w:pPr>
    </w:p>
    <w:p w14:paraId="2A7A4AC0" w14:textId="77777777" w:rsidR="003722CF" w:rsidRDefault="003722CF">
      <w:pPr>
        <w:widowControl/>
        <w:suppressAutoHyphens w:val="0"/>
        <w:spacing w:after="80" w:line="203" w:lineRule="exact"/>
        <w:jc w:val="both"/>
        <w:textAlignment w:val="auto"/>
        <w:rPr>
          <w:rFonts w:eastAsia="Times New Roman" w:cs="Calibri"/>
          <w:b/>
          <w:sz w:val="22"/>
          <w:szCs w:val="22"/>
          <w:lang w:eastAsia="es-ES"/>
        </w:rPr>
      </w:pPr>
    </w:p>
    <w:p w14:paraId="30926D36" w14:textId="77777777" w:rsidR="003722CF" w:rsidRDefault="00411668">
      <w:pPr>
        <w:widowControl/>
        <w:suppressAutoHyphens w:val="0"/>
        <w:spacing w:after="80" w:line="203" w:lineRule="exact"/>
        <w:jc w:val="both"/>
        <w:textAlignment w:val="auto"/>
        <w:rPr>
          <w:rFonts w:eastAsia="Times New Roman" w:cs="Calibri"/>
          <w:b/>
          <w:sz w:val="22"/>
          <w:szCs w:val="22"/>
          <w:lang w:eastAsia="es-ES"/>
        </w:rPr>
      </w:pPr>
      <w:r>
        <w:rPr>
          <w:rFonts w:eastAsia="Times New Roman" w:cs="Calibri"/>
          <w:b/>
          <w:sz w:val="22"/>
          <w:szCs w:val="22"/>
          <w:lang w:eastAsia="es-ES"/>
        </w:rPr>
        <w:t xml:space="preserve">            Estimaciones y Deterioros</w:t>
      </w:r>
    </w:p>
    <w:p w14:paraId="7C7472B3" w14:textId="77777777" w:rsidR="003722CF" w:rsidRDefault="00411668">
      <w:pPr>
        <w:widowControl/>
        <w:tabs>
          <w:tab w:val="left" w:pos="1440"/>
        </w:tabs>
        <w:spacing w:line="276" w:lineRule="auto"/>
        <w:jc w:val="both"/>
      </w:pPr>
      <w:r>
        <w:rPr>
          <w:rFonts w:eastAsia="Times New Roman" w:cs="Calibri"/>
          <w:sz w:val="22"/>
          <w:szCs w:val="22"/>
          <w:lang w:eastAsia="es-ES"/>
        </w:rPr>
        <w:t xml:space="preserve">                No Aplica</w:t>
      </w:r>
    </w:p>
    <w:p w14:paraId="1A61452D" w14:textId="77777777" w:rsidR="003722CF" w:rsidRDefault="003722CF">
      <w:pPr>
        <w:widowControl/>
        <w:tabs>
          <w:tab w:val="left" w:pos="1440"/>
        </w:tabs>
        <w:spacing w:line="276" w:lineRule="auto"/>
        <w:jc w:val="both"/>
        <w:rPr>
          <w:rFonts w:eastAsia="Times New Roman" w:cs="Calibri"/>
          <w:sz w:val="22"/>
          <w:szCs w:val="22"/>
          <w:lang w:eastAsia="es-ES"/>
        </w:rPr>
      </w:pPr>
    </w:p>
    <w:p w14:paraId="20A78479" w14:textId="77777777" w:rsidR="003722CF" w:rsidRDefault="003722CF">
      <w:pPr>
        <w:widowControl/>
        <w:tabs>
          <w:tab w:val="left" w:pos="1440"/>
        </w:tabs>
        <w:spacing w:line="276" w:lineRule="auto"/>
        <w:jc w:val="both"/>
        <w:rPr>
          <w:rFonts w:eastAsia="Times New Roman" w:cs="Calibri"/>
          <w:sz w:val="22"/>
          <w:szCs w:val="22"/>
          <w:lang w:eastAsia="es-ES"/>
        </w:rPr>
      </w:pPr>
    </w:p>
    <w:p w14:paraId="5591E77A" w14:textId="77777777" w:rsidR="003722CF" w:rsidRDefault="003722CF">
      <w:pPr>
        <w:widowControl/>
        <w:tabs>
          <w:tab w:val="left" w:pos="1440"/>
        </w:tabs>
        <w:spacing w:line="276" w:lineRule="auto"/>
        <w:jc w:val="both"/>
        <w:rPr>
          <w:rFonts w:eastAsia="Times New Roman" w:cs="Calibri"/>
          <w:sz w:val="22"/>
          <w:szCs w:val="22"/>
          <w:lang w:eastAsia="es-ES"/>
        </w:rPr>
      </w:pPr>
    </w:p>
    <w:p w14:paraId="596A2523" w14:textId="77777777" w:rsidR="003722CF" w:rsidRDefault="003722CF">
      <w:pPr>
        <w:widowControl/>
        <w:tabs>
          <w:tab w:val="left" w:pos="1440"/>
        </w:tabs>
        <w:spacing w:line="276" w:lineRule="auto"/>
        <w:rPr>
          <w:rFonts w:eastAsia="Times New Roman" w:cs="Calibri"/>
          <w:sz w:val="22"/>
          <w:szCs w:val="22"/>
          <w:lang w:eastAsia="es-ES"/>
        </w:rPr>
      </w:pPr>
    </w:p>
    <w:p w14:paraId="581F862E" w14:textId="77777777" w:rsidR="003722CF" w:rsidRDefault="00411668">
      <w:pPr>
        <w:widowControl/>
        <w:suppressAutoHyphens w:val="0"/>
        <w:spacing w:after="80" w:line="203" w:lineRule="exact"/>
        <w:jc w:val="both"/>
        <w:textAlignment w:val="auto"/>
        <w:rPr>
          <w:rFonts w:eastAsia="Times New Roman" w:cs="Calibri"/>
          <w:b/>
          <w:sz w:val="22"/>
          <w:szCs w:val="22"/>
          <w:lang w:eastAsia="es-ES"/>
        </w:rPr>
      </w:pPr>
      <w:r>
        <w:rPr>
          <w:rFonts w:eastAsia="Times New Roman" w:cs="Calibri"/>
          <w:b/>
          <w:sz w:val="22"/>
          <w:szCs w:val="22"/>
          <w:lang w:eastAsia="es-ES"/>
        </w:rPr>
        <w:t xml:space="preserve">                  Otros Activos</w:t>
      </w:r>
    </w:p>
    <w:p w14:paraId="4C6B8414" w14:textId="77777777" w:rsidR="003722CF" w:rsidRDefault="00411668">
      <w:pPr>
        <w:widowControl/>
        <w:suppressAutoHyphens w:val="0"/>
        <w:spacing w:line="240" w:lineRule="exact"/>
        <w:jc w:val="both"/>
        <w:textAlignment w:val="auto"/>
        <w:rPr>
          <w:rFonts w:eastAsia="Times New Roman" w:cs="Calibri"/>
          <w:sz w:val="22"/>
          <w:szCs w:val="22"/>
          <w:lang w:eastAsia="es-ES"/>
        </w:rPr>
      </w:pPr>
      <w:r>
        <w:rPr>
          <w:rFonts w:eastAsia="Times New Roman" w:cs="Calibri"/>
          <w:sz w:val="22"/>
          <w:szCs w:val="22"/>
          <w:lang w:eastAsia="es-ES"/>
        </w:rPr>
        <w:t xml:space="preserve">                      No Aplica</w:t>
      </w:r>
    </w:p>
    <w:p w14:paraId="53B6C649" w14:textId="77777777" w:rsidR="003722CF" w:rsidRDefault="003722CF">
      <w:pPr>
        <w:pStyle w:val="Text"/>
        <w:spacing w:after="80" w:line="203" w:lineRule="exact"/>
        <w:ind w:left="624" w:firstLine="0"/>
        <w:rPr>
          <w:rFonts w:ascii="Calibri" w:hAnsi="Calibri" w:cs="DIN Pro Regular"/>
          <w:b/>
          <w:sz w:val="20"/>
          <w:lang w:val="es-MX"/>
        </w:rPr>
      </w:pPr>
    </w:p>
    <w:p w14:paraId="25E1C240" w14:textId="77777777" w:rsidR="003722CF" w:rsidRDefault="003722CF">
      <w:pPr>
        <w:pStyle w:val="Text"/>
        <w:spacing w:after="80" w:line="203" w:lineRule="exact"/>
        <w:ind w:left="624" w:firstLine="0"/>
        <w:rPr>
          <w:rFonts w:ascii="Calibri" w:hAnsi="Calibri" w:cs="DIN Pro Regular"/>
          <w:b/>
          <w:sz w:val="20"/>
          <w:lang w:val="es-MX"/>
        </w:rPr>
      </w:pPr>
    </w:p>
    <w:p w14:paraId="60E5E205" w14:textId="77777777" w:rsidR="003722CF" w:rsidRDefault="003722CF">
      <w:pPr>
        <w:pStyle w:val="ROMANOS"/>
        <w:spacing w:after="0" w:line="240" w:lineRule="exact"/>
        <w:ind w:left="432"/>
        <w:rPr>
          <w:rFonts w:ascii="Calibri" w:hAnsi="Calibri" w:cs="DIN Pro Regular"/>
          <w:b/>
          <w:sz w:val="20"/>
          <w:szCs w:val="20"/>
          <w:lang w:val="es-MX"/>
        </w:rPr>
      </w:pPr>
    </w:p>
    <w:p w14:paraId="6E1CD2AC" w14:textId="77777777" w:rsidR="003722CF" w:rsidRDefault="003722CF">
      <w:pPr>
        <w:pStyle w:val="ROMANOS"/>
        <w:spacing w:after="0" w:line="240" w:lineRule="exact"/>
        <w:ind w:left="432"/>
        <w:rPr>
          <w:rFonts w:ascii="Calibri" w:hAnsi="Calibri" w:cs="DIN Pro Regular"/>
          <w:b/>
          <w:sz w:val="20"/>
          <w:szCs w:val="20"/>
          <w:lang w:val="es-MX"/>
        </w:rPr>
      </w:pPr>
    </w:p>
    <w:p w14:paraId="62CB1029" w14:textId="77777777" w:rsidR="003722CF" w:rsidRDefault="003722CF">
      <w:pPr>
        <w:pStyle w:val="ROMANOS"/>
        <w:spacing w:after="0" w:line="240" w:lineRule="exact"/>
        <w:ind w:left="432"/>
        <w:rPr>
          <w:rFonts w:ascii="Calibri" w:hAnsi="Calibri" w:cs="DIN Pro Regular"/>
          <w:b/>
          <w:sz w:val="20"/>
          <w:szCs w:val="20"/>
          <w:lang w:val="es-MX"/>
        </w:rPr>
      </w:pPr>
    </w:p>
    <w:p w14:paraId="2337E284" w14:textId="77777777" w:rsidR="003722CF" w:rsidRDefault="003722CF">
      <w:pPr>
        <w:pStyle w:val="ROMANOS"/>
        <w:spacing w:after="0" w:line="240" w:lineRule="exact"/>
        <w:ind w:left="432"/>
        <w:rPr>
          <w:rFonts w:ascii="Calibri" w:hAnsi="Calibri" w:cs="DIN Pro Regular"/>
          <w:b/>
          <w:sz w:val="20"/>
          <w:szCs w:val="20"/>
          <w:lang w:val="es-MX"/>
        </w:rPr>
      </w:pPr>
    </w:p>
    <w:p w14:paraId="31F9B1D4" w14:textId="77777777" w:rsidR="003722CF" w:rsidRDefault="003722CF">
      <w:pPr>
        <w:pStyle w:val="ROMANOS"/>
        <w:spacing w:after="0" w:line="240" w:lineRule="exact"/>
        <w:ind w:left="432"/>
        <w:rPr>
          <w:rFonts w:ascii="Calibri" w:hAnsi="Calibri" w:cs="DIN Pro Regular"/>
          <w:b/>
          <w:sz w:val="20"/>
          <w:szCs w:val="20"/>
          <w:lang w:val="es-MX"/>
        </w:rPr>
      </w:pPr>
    </w:p>
    <w:p w14:paraId="5327DD9E" w14:textId="77777777" w:rsidR="003722CF" w:rsidRDefault="003722CF">
      <w:pPr>
        <w:pStyle w:val="ROMANOS"/>
        <w:spacing w:after="0" w:line="240" w:lineRule="exact"/>
        <w:ind w:left="432"/>
        <w:rPr>
          <w:rFonts w:ascii="Calibri" w:hAnsi="Calibri" w:cs="DIN Pro Regular"/>
          <w:b/>
          <w:sz w:val="20"/>
          <w:szCs w:val="20"/>
          <w:lang w:val="es-MX"/>
        </w:rPr>
      </w:pPr>
    </w:p>
    <w:p w14:paraId="3B6DDACE" w14:textId="77777777" w:rsidR="003722CF" w:rsidRDefault="003722CF">
      <w:pPr>
        <w:pStyle w:val="ROMANOS"/>
        <w:spacing w:after="0" w:line="240" w:lineRule="exact"/>
        <w:ind w:left="432"/>
        <w:rPr>
          <w:rFonts w:ascii="Calibri" w:hAnsi="Calibri" w:cs="DIN Pro Regular"/>
          <w:b/>
          <w:sz w:val="20"/>
          <w:szCs w:val="20"/>
          <w:lang w:val="es-MX"/>
        </w:rPr>
      </w:pPr>
    </w:p>
    <w:p w14:paraId="006FD39A" w14:textId="77777777" w:rsidR="003722CF" w:rsidRDefault="003722CF">
      <w:pPr>
        <w:pStyle w:val="ROMANOS"/>
        <w:spacing w:after="0" w:line="240" w:lineRule="exact"/>
        <w:ind w:left="432"/>
        <w:rPr>
          <w:rFonts w:ascii="Calibri" w:hAnsi="Calibri" w:cs="DIN Pro Regular"/>
          <w:b/>
          <w:sz w:val="20"/>
          <w:szCs w:val="20"/>
          <w:lang w:val="es-MX"/>
        </w:rPr>
      </w:pPr>
    </w:p>
    <w:p w14:paraId="5D15685A" w14:textId="77777777" w:rsidR="003722CF" w:rsidRDefault="003722CF">
      <w:pPr>
        <w:pStyle w:val="ROMANOS"/>
        <w:spacing w:after="0" w:line="240" w:lineRule="exact"/>
        <w:ind w:left="432"/>
        <w:rPr>
          <w:rFonts w:ascii="Calibri" w:hAnsi="Calibri" w:cs="DIN Pro Regular"/>
          <w:b/>
          <w:sz w:val="20"/>
          <w:szCs w:val="20"/>
          <w:lang w:val="es-MX"/>
        </w:rPr>
      </w:pPr>
    </w:p>
    <w:p w14:paraId="19512163" w14:textId="77777777" w:rsidR="003722CF" w:rsidRDefault="00411668">
      <w:pPr>
        <w:pStyle w:val="ROMANOS"/>
        <w:spacing w:after="0" w:line="240" w:lineRule="exact"/>
        <w:ind w:left="432"/>
      </w:pPr>
      <w:r>
        <w:rPr>
          <w:rFonts w:ascii="Calibri" w:hAnsi="Calibri" w:cs="DIN Pro Regular"/>
          <w:b/>
          <w:sz w:val="20"/>
          <w:szCs w:val="20"/>
          <w:lang w:val="es-MX"/>
        </w:rPr>
        <w:t xml:space="preserve">      Pasivo</w:t>
      </w:r>
    </w:p>
    <w:p w14:paraId="587A85FD" w14:textId="77777777" w:rsidR="003722CF" w:rsidRDefault="00411668">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6F732F7F" w14:textId="77777777" w:rsidR="003722CF" w:rsidRDefault="00411668">
      <w:pPr>
        <w:pStyle w:val="ROMANOS"/>
        <w:spacing w:after="0" w:line="240" w:lineRule="exact"/>
        <w:ind w:left="432"/>
      </w:pPr>
      <w:r>
        <w:rPr>
          <w:rFonts w:ascii="Calibri" w:hAnsi="Calibri" w:cs="Calibri"/>
          <w:b/>
          <w:sz w:val="22"/>
          <w:szCs w:val="22"/>
          <w:lang w:val="es-MX"/>
        </w:rPr>
        <w:t xml:space="preserve">      </w:t>
      </w:r>
      <w:r>
        <w:rPr>
          <w:rFonts w:ascii="Calibri" w:hAnsi="Calibri" w:cs="Calibri"/>
          <w:sz w:val="22"/>
          <w:szCs w:val="22"/>
          <w:lang w:val="es-MX"/>
        </w:rPr>
        <w:t xml:space="preserve"> </w:t>
      </w:r>
    </w:p>
    <w:tbl>
      <w:tblPr>
        <w:tblW w:w="10916" w:type="dxa"/>
        <w:tblInd w:w="-780" w:type="dxa"/>
        <w:tblCellMar>
          <w:left w:w="10" w:type="dxa"/>
          <w:right w:w="10" w:type="dxa"/>
        </w:tblCellMar>
        <w:tblLook w:val="0000" w:firstRow="0" w:lastRow="0" w:firstColumn="0" w:lastColumn="0" w:noHBand="0" w:noVBand="0"/>
      </w:tblPr>
      <w:tblGrid>
        <w:gridCol w:w="1097"/>
        <w:gridCol w:w="425"/>
        <w:gridCol w:w="737"/>
        <w:gridCol w:w="2707"/>
        <w:gridCol w:w="3385"/>
        <w:gridCol w:w="1106"/>
        <w:gridCol w:w="1459"/>
      </w:tblGrid>
      <w:tr w:rsidR="003722CF" w14:paraId="0A4E0729" w14:textId="77777777">
        <w:tblPrEx>
          <w:tblCellMar>
            <w:top w:w="0" w:type="dxa"/>
            <w:bottom w:w="0" w:type="dxa"/>
          </w:tblCellMar>
        </w:tblPrEx>
        <w:trPr>
          <w:trHeight w:val="945"/>
        </w:trPr>
        <w:tc>
          <w:tcPr>
            <w:tcW w:w="1097"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F20D41"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NÚM. FACTURA O RECIBO</w:t>
            </w:r>
          </w:p>
        </w:tc>
        <w:tc>
          <w:tcPr>
            <w:tcW w:w="425" w:type="dxa"/>
            <w:tcBorders>
              <w:top w:val="single" w:sz="4" w:space="0" w:color="000000"/>
              <w:bottom w:val="single" w:sz="4" w:space="0" w:color="000000"/>
            </w:tcBorders>
            <w:shd w:val="clear" w:color="auto" w:fill="AB0033"/>
            <w:tcMar>
              <w:top w:w="0" w:type="dxa"/>
              <w:left w:w="70" w:type="dxa"/>
              <w:bottom w:w="0" w:type="dxa"/>
              <w:right w:w="70" w:type="dxa"/>
            </w:tcMar>
          </w:tcPr>
          <w:p w14:paraId="50F342AA" w14:textId="77777777" w:rsidR="003722CF" w:rsidRDefault="003722CF">
            <w:pPr>
              <w:jc w:val="center"/>
              <w:rPr>
                <w:rFonts w:eastAsia="Times New Roman" w:cs="Calibri"/>
                <w:b/>
                <w:bCs/>
                <w:color w:val="FFFFFF"/>
                <w:sz w:val="22"/>
                <w:szCs w:val="22"/>
              </w:rPr>
            </w:pPr>
          </w:p>
        </w:tc>
        <w:tc>
          <w:tcPr>
            <w:tcW w:w="73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515B9C"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FECHA</w:t>
            </w:r>
          </w:p>
        </w:tc>
        <w:tc>
          <w:tcPr>
            <w:tcW w:w="270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F344013"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NOMBRE O RAZÓN SOCIAL DEL PROVEEDOR O PRESTADOR DE SERVICIOS</w:t>
            </w:r>
          </w:p>
        </w:tc>
        <w:tc>
          <w:tcPr>
            <w:tcW w:w="338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28AC88E"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CONCEPTO</w:t>
            </w:r>
          </w:p>
        </w:tc>
        <w:tc>
          <w:tcPr>
            <w:tcW w:w="110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13CDD83"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IMPORTE</w:t>
            </w:r>
          </w:p>
        </w:tc>
        <w:tc>
          <w:tcPr>
            <w:tcW w:w="14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0A899D" w14:textId="77777777" w:rsidR="003722CF" w:rsidRDefault="00411668">
            <w:pPr>
              <w:jc w:val="center"/>
              <w:rPr>
                <w:rFonts w:eastAsia="Times New Roman" w:cs="Calibri"/>
                <w:b/>
                <w:bCs/>
                <w:color w:val="FFFFFF"/>
                <w:sz w:val="22"/>
                <w:szCs w:val="22"/>
              </w:rPr>
            </w:pPr>
            <w:r>
              <w:rPr>
                <w:rFonts w:eastAsia="Times New Roman" w:cs="Calibri"/>
                <w:b/>
                <w:bCs/>
                <w:color w:val="FFFFFF"/>
                <w:sz w:val="22"/>
                <w:szCs w:val="22"/>
              </w:rPr>
              <w:t>FECHA DE VENCIMIENTO</w:t>
            </w:r>
          </w:p>
        </w:tc>
      </w:tr>
      <w:tr w:rsidR="003722CF" w14:paraId="4DBD213F" w14:textId="77777777">
        <w:tblPrEx>
          <w:tblCellMar>
            <w:top w:w="0" w:type="dxa"/>
            <w:bottom w:w="0" w:type="dxa"/>
          </w:tblCellMar>
        </w:tblPrEx>
        <w:trPr>
          <w:trHeight w:val="276"/>
        </w:trPr>
        <w:tc>
          <w:tcPr>
            <w:tcW w:w="1097"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6E755492" w14:textId="77777777" w:rsidR="003722CF" w:rsidRDefault="00411668">
            <w:pPr>
              <w:rPr>
                <w:rFonts w:eastAsia="Times New Roman" w:cs="Calibri"/>
                <w:sz w:val="22"/>
                <w:szCs w:val="22"/>
              </w:rPr>
            </w:pPr>
            <w:r>
              <w:rPr>
                <w:rFonts w:eastAsia="Times New Roman" w:cs="Calibri"/>
                <w:sz w:val="22"/>
                <w:szCs w:val="22"/>
              </w:rPr>
              <w:t>Reporte</w:t>
            </w:r>
          </w:p>
        </w:tc>
        <w:tc>
          <w:tcPr>
            <w:tcW w:w="425" w:type="dxa"/>
            <w:shd w:val="clear" w:color="auto" w:fill="auto"/>
            <w:tcMar>
              <w:top w:w="0" w:type="dxa"/>
              <w:left w:w="70" w:type="dxa"/>
              <w:bottom w:w="0" w:type="dxa"/>
              <w:right w:w="70" w:type="dxa"/>
            </w:tcMar>
          </w:tcPr>
          <w:p w14:paraId="263A4EBA" w14:textId="77777777" w:rsidR="003722CF" w:rsidRDefault="003722CF">
            <w:pPr>
              <w:jc w:val="right"/>
              <w:rPr>
                <w:rFonts w:eastAsia="Times New Roman" w:cs="Calibri"/>
                <w:sz w:val="22"/>
                <w:szCs w:val="22"/>
              </w:rPr>
            </w:pPr>
          </w:p>
        </w:tc>
        <w:tc>
          <w:tcPr>
            <w:tcW w:w="737" w:type="dxa"/>
            <w:tcBorders>
              <w:right w:val="single" w:sz="4" w:space="0" w:color="000000"/>
            </w:tcBorders>
            <w:shd w:val="clear" w:color="auto" w:fill="auto"/>
            <w:noWrap/>
            <w:tcMar>
              <w:top w:w="0" w:type="dxa"/>
              <w:left w:w="70" w:type="dxa"/>
              <w:bottom w:w="0" w:type="dxa"/>
              <w:right w:w="70" w:type="dxa"/>
            </w:tcMar>
            <w:vAlign w:val="bottom"/>
          </w:tcPr>
          <w:p w14:paraId="25EB042C" w14:textId="77777777" w:rsidR="003722CF" w:rsidRDefault="00411668">
            <w:pPr>
              <w:jc w:val="right"/>
              <w:rPr>
                <w:rFonts w:eastAsia="Times New Roman" w:cs="Calibri"/>
                <w:sz w:val="22"/>
                <w:szCs w:val="22"/>
              </w:rPr>
            </w:pPr>
            <w:r>
              <w:rPr>
                <w:rFonts w:eastAsia="Times New Roman" w:cs="Calibri"/>
                <w:sz w:val="22"/>
                <w:szCs w:val="22"/>
              </w:rPr>
              <w:t>31-dic</w:t>
            </w:r>
          </w:p>
        </w:tc>
        <w:tc>
          <w:tcPr>
            <w:tcW w:w="2707" w:type="dxa"/>
            <w:tcBorders>
              <w:right w:val="single" w:sz="4" w:space="0" w:color="000000"/>
            </w:tcBorders>
            <w:shd w:val="clear" w:color="auto" w:fill="auto"/>
            <w:noWrap/>
            <w:tcMar>
              <w:top w:w="0" w:type="dxa"/>
              <w:left w:w="70" w:type="dxa"/>
              <w:bottom w:w="0" w:type="dxa"/>
              <w:right w:w="70" w:type="dxa"/>
            </w:tcMar>
            <w:vAlign w:val="bottom"/>
          </w:tcPr>
          <w:p w14:paraId="440BD437" w14:textId="77777777" w:rsidR="003722CF" w:rsidRDefault="00411668">
            <w:pPr>
              <w:rPr>
                <w:rFonts w:eastAsia="Times New Roman" w:cs="Calibri"/>
                <w:sz w:val="22"/>
                <w:szCs w:val="22"/>
              </w:rPr>
            </w:pPr>
            <w:r>
              <w:rPr>
                <w:rFonts w:eastAsia="Times New Roman" w:cs="Calibri"/>
                <w:sz w:val="22"/>
                <w:szCs w:val="22"/>
              </w:rPr>
              <w:t xml:space="preserve">Servicio de Administración Tributaria </w:t>
            </w:r>
          </w:p>
        </w:tc>
        <w:tc>
          <w:tcPr>
            <w:tcW w:w="3385" w:type="dxa"/>
            <w:tcBorders>
              <w:right w:val="single" w:sz="4" w:space="0" w:color="000000"/>
            </w:tcBorders>
            <w:shd w:val="clear" w:color="auto" w:fill="auto"/>
            <w:noWrap/>
            <w:tcMar>
              <w:top w:w="0" w:type="dxa"/>
              <w:left w:w="70" w:type="dxa"/>
              <w:bottom w:w="0" w:type="dxa"/>
              <w:right w:w="70" w:type="dxa"/>
            </w:tcMar>
            <w:vAlign w:val="bottom"/>
          </w:tcPr>
          <w:p w14:paraId="14D91FB8" w14:textId="77777777" w:rsidR="003722CF" w:rsidRDefault="00411668">
            <w:pPr>
              <w:rPr>
                <w:rFonts w:eastAsia="Times New Roman" w:cs="Calibri"/>
                <w:sz w:val="22"/>
                <w:szCs w:val="22"/>
              </w:rPr>
            </w:pPr>
            <w:r>
              <w:rPr>
                <w:rFonts w:eastAsia="Times New Roman" w:cs="Calibri"/>
                <w:sz w:val="22"/>
                <w:szCs w:val="22"/>
              </w:rPr>
              <w:t>ISR Retenido por salarios</w:t>
            </w:r>
          </w:p>
        </w:tc>
        <w:tc>
          <w:tcPr>
            <w:tcW w:w="1106" w:type="dxa"/>
            <w:tcBorders>
              <w:right w:val="single" w:sz="4" w:space="0" w:color="000000"/>
            </w:tcBorders>
            <w:shd w:val="clear" w:color="auto" w:fill="auto"/>
            <w:noWrap/>
            <w:tcMar>
              <w:top w:w="0" w:type="dxa"/>
              <w:left w:w="70" w:type="dxa"/>
              <w:bottom w:w="0" w:type="dxa"/>
              <w:right w:w="70" w:type="dxa"/>
            </w:tcMar>
            <w:vAlign w:val="bottom"/>
          </w:tcPr>
          <w:p w14:paraId="68A2923C" w14:textId="77777777" w:rsidR="003722CF" w:rsidRDefault="00411668">
            <w:pPr>
              <w:jc w:val="right"/>
              <w:rPr>
                <w:rFonts w:eastAsia="Times New Roman" w:cs="Calibri"/>
                <w:sz w:val="22"/>
                <w:szCs w:val="22"/>
              </w:rPr>
            </w:pPr>
            <w:r>
              <w:rPr>
                <w:rFonts w:eastAsia="Times New Roman" w:cs="Calibri"/>
                <w:sz w:val="22"/>
                <w:szCs w:val="22"/>
              </w:rPr>
              <w:t>290,705</w:t>
            </w:r>
          </w:p>
        </w:tc>
        <w:tc>
          <w:tcPr>
            <w:tcW w:w="1459" w:type="dxa"/>
            <w:tcBorders>
              <w:right w:val="single" w:sz="4" w:space="0" w:color="000000"/>
            </w:tcBorders>
            <w:shd w:val="clear" w:color="auto" w:fill="auto"/>
            <w:noWrap/>
            <w:tcMar>
              <w:top w:w="0" w:type="dxa"/>
              <w:left w:w="70" w:type="dxa"/>
              <w:bottom w:w="0" w:type="dxa"/>
              <w:right w:w="70" w:type="dxa"/>
            </w:tcMar>
            <w:vAlign w:val="bottom"/>
          </w:tcPr>
          <w:p w14:paraId="3FD0F112" w14:textId="77777777" w:rsidR="003722CF" w:rsidRDefault="00411668">
            <w:pPr>
              <w:jc w:val="right"/>
              <w:rPr>
                <w:rFonts w:eastAsia="Times New Roman" w:cs="Calibri"/>
                <w:sz w:val="22"/>
                <w:szCs w:val="22"/>
              </w:rPr>
            </w:pPr>
            <w:r>
              <w:rPr>
                <w:rFonts w:eastAsia="Times New Roman" w:cs="Calibri"/>
                <w:sz w:val="22"/>
                <w:szCs w:val="22"/>
              </w:rPr>
              <w:t>17/01/2025</w:t>
            </w:r>
          </w:p>
        </w:tc>
      </w:tr>
      <w:tr w:rsidR="003722CF" w14:paraId="00015904" w14:textId="77777777">
        <w:tblPrEx>
          <w:tblCellMar>
            <w:top w:w="0" w:type="dxa"/>
            <w:bottom w:w="0" w:type="dxa"/>
          </w:tblCellMar>
        </w:tblPrEx>
        <w:trPr>
          <w:trHeight w:val="276"/>
        </w:trPr>
        <w:tc>
          <w:tcPr>
            <w:tcW w:w="1097"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6BB14254" w14:textId="77777777" w:rsidR="003722CF" w:rsidRDefault="00411668">
            <w:pPr>
              <w:rPr>
                <w:rFonts w:eastAsia="Times New Roman" w:cs="Calibri"/>
                <w:sz w:val="22"/>
                <w:szCs w:val="22"/>
              </w:rPr>
            </w:pPr>
            <w:r>
              <w:rPr>
                <w:rFonts w:eastAsia="Times New Roman" w:cs="Calibri"/>
                <w:sz w:val="22"/>
                <w:szCs w:val="22"/>
              </w:rPr>
              <w:t>Reporte</w:t>
            </w:r>
          </w:p>
        </w:tc>
        <w:tc>
          <w:tcPr>
            <w:tcW w:w="425" w:type="dxa"/>
            <w:shd w:val="clear" w:color="auto" w:fill="auto"/>
            <w:tcMar>
              <w:top w:w="0" w:type="dxa"/>
              <w:left w:w="70" w:type="dxa"/>
              <w:bottom w:w="0" w:type="dxa"/>
              <w:right w:w="70" w:type="dxa"/>
            </w:tcMar>
          </w:tcPr>
          <w:p w14:paraId="0A4A858F" w14:textId="77777777" w:rsidR="003722CF" w:rsidRDefault="003722CF">
            <w:pPr>
              <w:jc w:val="right"/>
              <w:rPr>
                <w:rFonts w:eastAsia="Times New Roman" w:cs="Calibri"/>
                <w:sz w:val="22"/>
                <w:szCs w:val="22"/>
              </w:rPr>
            </w:pPr>
          </w:p>
        </w:tc>
        <w:tc>
          <w:tcPr>
            <w:tcW w:w="737" w:type="dxa"/>
            <w:tcBorders>
              <w:right w:val="single" w:sz="4" w:space="0" w:color="000000"/>
            </w:tcBorders>
            <w:shd w:val="clear" w:color="auto" w:fill="auto"/>
            <w:noWrap/>
            <w:tcMar>
              <w:top w:w="0" w:type="dxa"/>
              <w:left w:w="70" w:type="dxa"/>
              <w:bottom w:w="0" w:type="dxa"/>
              <w:right w:w="70" w:type="dxa"/>
            </w:tcMar>
            <w:vAlign w:val="bottom"/>
          </w:tcPr>
          <w:p w14:paraId="67F267EF" w14:textId="77777777" w:rsidR="003722CF" w:rsidRDefault="00411668">
            <w:pPr>
              <w:jc w:val="right"/>
              <w:rPr>
                <w:rFonts w:eastAsia="Times New Roman" w:cs="Calibri"/>
                <w:sz w:val="22"/>
                <w:szCs w:val="22"/>
              </w:rPr>
            </w:pPr>
            <w:r>
              <w:rPr>
                <w:rFonts w:eastAsia="Times New Roman" w:cs="Calibri"/>
                <w:sz w:val="22"/>
                <w:szCs w:val="22"/>
              </w:rPr>
              <w:t>31-dic</w:t>
            </w:r>
          </w:p>
        </w:tc>
        <w:tc>
          <w:tcPr>
            <w:tcW w:w="2707" w:type="dxa"/>
            <w:tcBorders>
              <w:right w:val="single" w:sz="4" w:space="0" w:color="000000"/>
            </w:tcBorders>
            <w:shd w:val="clear" w:color="auto" w:fill="auto"/>
            <w:noWrap/>
            <w:tcMar>
              <w:top w:w="0" w:type="dxa"/>
              <w:left w:w="70" w:type="dxa"/>
              <w:bottom w:w="0" w:type="dxa"/>
              <w:right w:w="70" w:type="dxa"/>
            </w:tcMar>
            <w:vAlign w:val="bottom"/>
          </w:tcPr>
          <w:p w14:paraId="598A2360" w14:textId="77777777" w:rsidR="003722CF" w:rsidRDefault="00411668">
            <w:pPr>
              <w:rPr>
                <w:rFonts w:eastAsia="Times New Roman" w:cs="Calibri"/>
                <w:sz w:val="22"/>
                <w:szCs w:val="22"/>
              </w:rPr>
            </w:pPr>
            <w:r>
              <w:rPr>
                <w:rFonts w:eastAsia="Times New Roman" w:cs="Calibri"/>
                <w:sz w:val="22"/>
                <w:szCs w:val="22"/>
              </w:rPr>
              <w:t>Secretaria de Finanzas Gob. Edo</w:t>
            </w:r>
          </w:p>
        </w:tc>
        <w:tc>
          <w:tcPr>
            <w:tcW w:w="3385" w:type="dxa"/>
            <w:tcBorders>
              <w:right w:val="single" w:sz="4" w:space="0" w:color="000000"/>
            </w:tcBorders>
            <w:shd w:val="clear" w:color="auto" w:fill="auto"/>
            <w:noWrap/>
            <w:tcMar>
              <w:top w:w="0" w:type="dxa"/>
              <w:left w:w="70" w:type="dxa"/>
              <w:bottom w:w="0" w:type="dxa"/>
              <w:right w:w="70" w:type="dxa"/>
            </w:tcMar>
            <w:vAlign w:val="bottom"/>
          </w:tcPr>
          <w:p w14:paraId="237BF4C4" w14:textId="77777777" w:rsidR="003722CF" w:rsidRDefault="00411668">
            <w:pPr>
              <w:rPr>
                <w:rFonts w:eastAsia="Times New Roman" w:cs="Calibri"/>
                <w:sz w:val="22"/>
                <w:szCs w:val="22"/>
              </w:rPr>
            </w:pPr>
            <w:r>
              <w:rPr>
                <w:rFonts w:eastAsia="Times New Roman" w:cs="Calibri"/>
                <w:sz w:val="22"/>
                <w:szCs w:val="22"/>
              </w:rPr>
              <w:t>Impuesto sobre Nóminas Dic 2024</w:t>
            </w:r>
          </w:p>
        </w:tc>
        <w:tc>
          <w:tcPr>
            <w:tcW w:w="1106" w:type="dxa"/>
            <w:tcBorders>
              <w:right w:val="single" w:sz="4" w:space="0" w:color="000000"/>
            </w:tcBorders>
            <w:shd w:val="clear" w:color="auto" w:fill="auto"/>
            <w:noWrap/>
            <w:tcMar>
              <w:top w:w="0" w:type="dxa"/>
              <w:left w:w="70" w:type="dxa"/>
              <w:bottom w:w="0" w:type="dxa"/>
              <w:right w:w="70" w:type="dxa"/>
            </w:tcMar>
            <w:vAlign w:val="bottom"/>
          </w:tcPr>
          <w:p w14:paraId="6569C357" w14:textId="77777777" w:rsidR="003722CF" w:rsidRDefault="00411668">
            <w:pPr>
              <w:jc w:val="right"/>
              <w:rPr>
                <w:rFonts w:eastAsia="Times New Roman" w:cs="Calibri"/>
                <w:sz w:val="22"/>
                <w:szCs w:val="22"/>
              </w:rPr>
            </w:pPr>
            <w:r>
              <w:rPr>
                <w:rFonts w:eastAsia="Times New Roman" w:cs="Calibri"/>
                <w:sz w:val="22"/>
                <w:szCs w:val="22"/>
              </w:rPr>
              <w:t>36,014</w:t>
            </w:r>
          </w:p>
        </w:tc>
        <w:tc>
          <w:tcPr>
            <w:tcW w:w="1459" w:type="dxa"/>
            <w:tcBorders>
              <w:right w:val="single" w:sz="4" w:space="0" w:color="000000"/>
            </w:tcBorders>
            <w:shd w:val="clear" w:color="auto" w:fill="auto"/>
            <w:noWrap/>
            <w:tcMar>
              <w:top w:w="0" w:type="dxa"/>
              <w:left w:w="70" w:type="dxa"/>
              <w:bottom w:w="0" w:type="dxa"/>
              <w:right w:w="70" w:type="dxa"/>
            </w:tcMar>
            <w:vAlign w:val="bottom"/>
          </w:tcPr>
          <w:p w14:paraId="2577CD07" w14:textId="77777777" w:rsidR="003722CF" w:rsidRDefault="00411668">
            <w:pPr>
              <w:jc w:val="right"/>
              <w:rPr>
                <w:rFonts w:eastAsia="Times New Roman" w:cs="Calibri"/>
                <w:sz w:val="22"/>
                <w:szCs w:val="22"/>
              </w:rPr>
            </w:pPr>
            <w:r>
              <w:rPr>
                <w:rFonts w:eastAsia="Times New Roman" w:cs="Calibri"/>
                <w:sz w:val="22"/>
                <w:szCs w:val="22"/>
              </w:rPr>
              <w:t>15/01/2025</w:t>
            </w:r>
          </w:p>
        </w:tc>
      </w:tr>
      <w:tr w:rsidR="003722CF" w14:paraId="59827DEF" w14:textId="77777777">
        <w:tblPrEx>
          <w:tblCellMar>
            <w:top w:w="0" w:type="dxa"/>
            <w:bottom w:w="0" w:type="dxa"/>
          </w:tblCellMar>
        </w:tblPrEx>
        <w:trPr>
          <w:trHeight w:val="276"/>
        </w:trPr>
        <w:tc>
          <w:tcPr>
            <w:tcW w:w="1097"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EC0AF44" w14:textId="77777777" w:rsidR="003722CF" w:rsidRDefault="00411668">
            <w:pPr>
              <w:rPr>
                <w:rFonts w:eastAsia="Times New Roman" w:cs="Calibri"/>
                <w:sz w:val="22"/>
                <w:szCs w:val="22"/>
              </w:rPr>
            </w:pPr>
            <w:r>
              <w:rPr>
                <w:rFonts w:eastAsia="Times New Roman" w:cs="Calibri"/>
                <w:sz w:val="22"/>
                <w:szCs w:val="22"/>
              </w:rPr>
              <w:t> </w:t>
            </w:r>
          </w:p>
        </w:tc>
        <w:tc>
          <w:tcPr>
            <w:tcW w:w="425" w:type="dxa"/>
            <w:tcBorders>
              <w:top w:val="single" w:sz="4" w:space="0" w:color="000000"/>
              <w:bottom w:val="single" w:sz="4" w:space="0" w:color="000000"/>
            </w:tcBorders>
            <w:shd w:val="clear" w:color="auto" w:fill="auto"/>
            <w:tcMar>
              <w:top w:w="0" w:type="dxa"/>
              <w:left w:w="70" w:type="dxa"/>
              <w:bottom w:w="0" w:type="dxa"/>
              <w:right w:w="70" w:type="dxa"/>
            </w:tcMar>
          </w:tcPr>
          <w:p w14:paraId="5110A21D" w14:textId="77777777" w:rsidR="003722CF" w:rsidRDefault="003722CF">
            <w:pPr>
              <w:rPr>
                <w:rFonts w:eastAsia="Times New Roman" w:cs="Calibri"/>
                <w:sz w:val="22"/>
                <w:szCs w:val="22"/>
              </w:rPr>
            </w:pPr>
          </w:p>
        </w:tc>
        <w:tc>
          <w:tcPr>
            <w:tcW w:w="73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06281525" w14:textId="77777777" w:rsidR="003722CF" w:rsidRDefault="00411668">
            <w:pPr>
              <w:rPr>
                <w:rFonts w:eastAsia="Times New Roman" w:cs="Calibri"/>
                <w:sz w:val="22"/>
                <w:szCs w:val="22"/>
              </w:rPr>
            </w:pPr>
            <w:r>
              <w:rPr>
                <w:rFonts w:eastAsia="Times New Roman" w:cs="Calibri"/>
                <w:sz w:val="22"/>
                <w:szCs w:val="22"/>
              </w:rPr>
              <w:t> </w:t>
            </w:r>
          </w:p>
        </w:tc>
        <w:tc>
          <w:tcPr>
            <w:tcW w:w="270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ABFE16A" w14:textId="77777777" w:rsidR="003722CF" w:rsidRDefault="00411668">
            <w:pPr>
              <w:rPr>
                <w:rFonts w:eastAsia="Times New Roman" w:cs="Calibri"/>
                <w:sz w:val="22"/>
                <w:szCs w:val="22"/>
              </w:rPr>
            </w:pPr>
            <w:r>
              <w:rPr>
                <w:rFonts w:eastAsia="Times New Roman" w:cs="Calibri"/>
                <w:sz w:val="22"/>
                <w:szCs w:val="22"/>
              </w:rPr>
              <w:t> </w:t>
            </w:r>
          </w:p>
        </w:tc>
        <w:tc>
          <w:tcPr>
            <w:tcW w:w="338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E378975" w14:textId="77777777" w:rsidR="003722CF" w:rsidRDefault="00411668">
            <w:pPr>
              <w:rPr>
                <w:rFonts w:eastAsia="Times New Roman" w:cs="Calibri"/>
                <w:b/>
                <w:bCs/>
                <w:sz w:val="22"/>
                <w:szCs w:val="22"/>
              </w:rPr>
            </w:pPr>
            <w:r>
              <w:rPr>
                <w:rFonts w:eastAsia="Times New Roman" w:cs="Calibri"/>
                <w:b/>
                <w:bCs/>
                <w:sz w:val="22"/>
                <w:szCs w:val="22"/>
              </w:rPr>
              <w:t> </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A12132" w14:textId="77777777" w:rsidR="003722CF" w:rsidRDefault="00411668">
            <w:pPr>
              <w:jc w:val="right"/>
              <w:rPr>
                <w:rFonts w:eastAsia="Times New Roman" w:cs="Calibri"/>
                <w:b/>
                <w:bCs/>
                <w:sz w:val="22"/>
                <w:szCs w:val="22"/>
              </w:rPr>
            </w:pPr>
            <w:r>
              <w:rPr>
                <w:rFonts w:eastAsia="Times New Roman" w:cs="Calibri"/>
                <w:b/>
                <w:bCs/>
                <w:sz w:val="22"/>
                <w:szCs w:val="22"/>
              </w:rPr>
              <w:t>326,719</w:t>
            </w:r>
          </w:p>
        </w:tc>
        <w:tc>
          <w:tcPr>
            <w:tcW w:w="14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837740" w14:textId="77777777" w:rsidR="003722CF" w:rsidRDefault="00411668">
            <w:pPr>
              <w:rPr>
                <w:rFonts w:eastAsia="Times New Roman" w:cs="Calibri"/>
                <w:sz w:val="22"/>
                <w:szCs w:val="22"/>
              </w:rPr>
            </w:pPr>
            <w:r>
              <w:rPr>
                <w:rFonts w:eastAsia="Times New Roman" w:cs="Calibri"/>
                <w:sz w:val="22"/>
                <w:szCs w:val="22"/>
              </w:rPr>
              <w:t> </w:t>
            </w:r>
          </w:p>
        </w:tc>
      </w:tr>
    </w:tbl>
    <w:p w14:paraId="7E260FB0" w14:textId="77777777" w:rsidR="003722CF" w:rsidRDefault="003722CF">
      <w:pPr>
        <w:pStyle w:val="ROMANOS"/>
        <w:spacing w:after="0" w:line="240" w:lineRule="exact"/>
        <w:ind w:left="0" w:firstLine="0"/>
        <w:rPr>
          <w:rFonts w:ascii="Calibri" w:hAnsi="Calibri" w:cs="Calibri"/>
          <w:sz w:val="22"/>
          <w:szCs w:val="22"/>
          <w:lang w:val="es-MX"/>
        </w:rPr>
      </w:pPr>
    </w:p>
    <w:p w14:paraId="1534D949" w14:textId="77777777" w:rsidR="003722CF" w:rsidRDefault="003722CF">
      <w:pPr>
        <w:pStyle w:val="ROMANOS"/>
        <w:spacing w:after="0" w:line="240" w:lineRule="exact"/>
        <w:ind w:left="0" w:firstLine="0"/>
        <w:rPr>
          <w:rFonts w:ascii="Calibri" w:hAnsi="Calibri" w:cs="Calibri"/>
          <w:sz w:val="22"/>
          <w:szCs w:val="22"/>
          <w:lang w:val="es-MX"/>
        </w:rPr>
      </w:pPr>
    </w:p>
    <w:p w14:paraId="27809339" w14:textId="77777777" w:rsidR="003722CF" w:rsidRDefault="003722CF">
      <w:pPr>
        <w:pStyle w:val="ROMANOS"/>
        <w:spacing w:after="0" w:line="240" w:lineRule="exact"/>
        <w:ind w:left="0" w:firstLine="0"/>
        <w:rPr>
          <w:rFonts w:ascii="Calibri" w:hAnsi="Calibri" w:cs="Calibri"/>
          <w:sz w:val="22"/>
          <w:szCs w:val="22"/>
          <w:lang w:val="es-MX"/>
        </w:rPr>
      </w:pPr>
    </w:p>
    <w:p w14:paraId="0A9CB30C" w14:textId="77777777" w:rsidR="003722CF" w:rsidRDefault="003722CF">
      <w:pPr>
        <w:pStyle w:val="ROMANOS"/>
        <w:spacing w:after="0" w:line="240" w:lineRule="exact"/>
        <w:ind w:left="0" w:firstLine="0"/>
        <w:rPr>
          <w:rFonts w:ascii="Calibri" w:hAnsi="Calibri" w:cs="Calibri"/>
          <w:sz w:val="22"/>
          <w:szCs w:val="22"/>
          <w:lang w:val="es-MX"/>
        </w:rPr>
      </w:pPr>
    </w:p>
    <w:p w14:paraId="388D95D2" w14:textId="77777777" w:rsidR="003722CF" w:rsidRDefault="003722CF">
      <w:pPr>
        <w:pStyle w:val="ROMANOS"/>
        <w:spacing w:after="0" w:line="240" w:lineRule="exact"/>
        <w:rPr>
          <w:rFonts w:ascii="Calibri" w:hAnsi="Calibri" w:cs="Calibri"/>
          <w:sz w:val="22"/>
          <w:szCs w:val="22"/>
          <w:lang w:val="es-MX"/>
        </w:rPr>
      </w:pPr>
    </w:p>
    <w:p w14:paraId="2AB9778D" w14:textId="77777777" w:rsidR="003722CF" w:rsidRDefault="00411668">
      <w:pPr>
        <w:pStyle w:val="ROMANOS"/>
        <w:spacing w:after="0" w:line="240" w:lineRule="exact"/>
        <w:rPr>
          <w:rFonts w:ascii="Calibri" w:hAnsi="Calibri" w:cs="Calibri"/>
          <w:b/>
          <w:bCs/>
          <w:sz w:val="22"/>
          <w:szCs w:val="22"/>
          <w:lang w:val="es-MX"/>
        </w:rPr>
      </w:pPr>
      <w:r>
        <w:rPr>
          <w:rFonts w:ascii="Calibri" w:hAnsi="Calibri" w:cs="Calibri"/>
          <w:b/>
          <w:bCs/>
          <w:sz w:val="22"/>
          <w:szCs w:val="22"/>
          <w:lang w:val="es-MX"/>
        </w:rPr>
        <w:t xml:space="preserve">Fondos y Bienes de Terceros en Garantía y/o </w:t>
      </w:r>
      <w:r>
        <w:rPr>
          <w:rFonts w:ascii="Calibri" w:hAnsi="Calibri" w:cs="Calibri"/>
          <w:b/>
          <w:bCs/>
          <w:sz w:val="22"/>
          <w:szCs w:val="22"/>
          <w:lang w:val="es-MX"/>
        </w:rPr>
        <w:t>Administración a Corto y Largo Plazo</w:t>
      </w:r>
    </w:p>
    <w:p w14:paraId="282C2308" w14:textId="77777777" w:rsidR="003722CF" w:rsidRDefault="003722CF">
      <w:pPr>
        <w:pStyle w:val="ROMANOS"/>
        <w:spacing w:after="0" w:line="240" w:lineRule="exact"/>
        <w:rPr>
          <w:rFonts w:ascii="Calibri" w:hAnsi="Calibri" w:cs="Calibri"/>
          <w:sz w:val="22"/>
          <w:szCs w:val="22"/>
          <w:lang w:val="es-MX"/>
        </w:rPr>
      </w:pPr>
    </w:p>
    <w:p w14:paraId="4048B655" w14:textId="77777777" w:rsidR="003722CF" w:rsidRDefault="00411668">
      <w:pPr>
        <w:pStyle w:val="ROMANOS"/>
        <w:spacing w:after="0" w:line="240" w:lineRule="exact"/>
        <w:rPr>
          <w:rFonts w:ascii="Calibri" w:hAnsi="Calibri" w:cs="Calibri"/>
          <w:sz w:val="22"/>
          <w:szCs w:val="22"/>
          <w:lang w:val="es-MX"/>
        </w:rPr>
      </w:pPr>
      <w:r>
        <w:rPr>
          <w:rFonts w:ascii="Calibri" w:hAnsi="Calibri" w:cs="Calibri"/>
          <w:sz w:val="22"/>
          <w:szCs w:val="22"/>
          <w:lang w:val="es-MX"/>
        </w:rPr>
        <w:t>No Aplica</w:t>
      </w:r>
    </w:p>
    <w:p w14:paraId="4087BF35" w14:textId="77777777" w:rsidR="003722CF" w:rsidRDefault="003722CF">
      <w:pPr>
        <w:pStyle w:val="ROMANOS"/>
        <w:spacing w:after="0" w:line="240" w:lineRule="exact"/>
        <w:rPr>
          <w:rFonts w:ascii="Calibri" w:hAnsi="Calibri" w:cs="Calibri"/>
          <w:sz w:val="22"/>
          <w:szCs w:val="22"/>
          <w:lang w:val="es-MX"/>
        </w:rPr>
      </w:pPr>
    </w:p>
    <w:p w14:paraId="32BF3669" w14:textId="77777777" w:rsidR="003722CF" w:rsidRDefault="003722CF">
      <w:pPr>
        <w:pStyle w:val="ROMANOS"/>
        <w:spacing w:after="0" w:line="240" w:lineRule="exact"/>
        <w:rPr>
          <w:rFonts w:ascii="Calibri" w:hAnsi="Calibri" w:cs="Calibri"/>
          <w:sz w:val="22"/>
          <w:szCs w:val="22"/>
          <w:lang w:val="es-MX"/>
        </w:rPr>
      </w:pPr>
    </w:p>
    <w:p w14:paraId="6C973208" w14:textId="77777777" w:rsidR="003722CF" w:rsidRDefault="003722CF">
      <w:pPr>
        <w:pStyle w:val="ROMANOS"/>
        <w:spacing w:after="0" w:line="240" w:lineRule="exact"/>
        <w:rPr>
          <w:rFonts w:ascii="Calibri" w:hAnsi="Calibri" w:cs="Calibri"/>
          <w:sz w:val="22"/>
          <w:szCs w:val="22"/>
          <w:lang w:val="es-MX"/>
        </w:rPr>
      </w:pPr>
    </w:p>
    <w:p w14:paraId="7F675F94" w14:textId="77777777" w:rsidR="003722CF" w:rsidRDefault="003722CF">
      <w:pPr>
        <w:pStyle w:val="ROMANOS"/>
        <w:spacing w:after="0" w:line="240" w:lineRule="exact"/>
        <w:rPr>
          <w:rFonts w:ascii="Calibri" w:hAnsi="Calibri" w:cs="Calibri"/>
          <w:sz w:val="22"/>
          <w:szCs w:val="22"/>
          <w:lang w:val="es-MX"/>
        </w:rPr>
      </w:pPr>
    </w:p>
    <w:p w14:paraId="3BCAA894" w14:textId="77777777" w:rsidR="003722CF" w:rsidRDefault="00411668">
      <w:pPr>
        <w:pStyle w:val="ROMANOS"/>
        <w:spacing w:after="0" w:line="240" w:lineRule="exact"/>
        <w:rPr>
          <w:rFonts w:ascii="Calibri" w:hAnsi="Calibri" w:cs="Calibri"/>
          <w:b/>
          <w:bCs/>
          <w:sz w:val="22"/>
          <w:szCs w:val="22"/>
          <w:lang w:val="es-MX"/>
        </w:rPr>
      </w:pPr>
      <w:r>
        <w:rPr>
          <w:rFonts w:ascii="Calibri" w:hAnsi="Calibri" w:cs="Calibri"/>
          <w:b/>
          <w:bCs/>
          <w:sz w:val="22"/>
          <w:szCs w:val="22"/>
          <w:lang w:val="es-MX"/>
        </w:rPr>
        <w:t xml:space="preserve">Pasivos Diferidos </w:t>
      </w:r>
    </w:p>
    <w:p w14:paraId="68B1FA53" w14:textId="77777777" w:rsidR="003722CF" w:rsidRDefault="003722CF">
      <w:pPr>
        <w:pStyle w:val="ROMANOS"/>
        <w:spacing w:after="0" w:line="240" w:lineRule="exact"/>
        <w:rPr>
          <w:rFonts w:ascii="Calibri" w:hAnsi="Calibri" w:cs="Calibri"/>
          <w:sz w:val="22"/>
          <w:szCs w:val="22"/>
          <w:lang w:val="es-MX"/>
        </w:rPr>
      </w:pPr>
    </w:p>
    <w:p w14:paraId="0EDD23B6" w14:textId="77777777" w:rsidR="003722CF" w:rsidRDefault="00411668">
      <w:pPr>
        <w:pStyle w:val="ROMANOS"/>
        <w:spacing w:after="0" w:line="240" w:lineRule="exact"/>
        <w:rPr>
          <w:rFonts w:ascii="Calibri" w:hAnsi="Calibri" w:cs="Calibri"/>
          <w:sz w:val="22"/>
          <w:szCs w:val="22"/>
          <w:lang w:val="es-MX"/>
        </w:rPr>
      </w:pPr>
      <w:r>
        <w:rPr>
          <w:rFonts w:ascii="Calibri" w:hAnsi="Calibri" w:cs="Calibri"/>
          <w:sz w:val="22"/>
          <w:szCs w:val="22"/>
          <w:lang w:val="es-MX"/>
        </w:rPr>
        <w:t>No Aplica</w:t>
      </w:r>
    </w:p>
    <w:p w14:paraId="54AFC3A0" w14:textId="77777777" w:rsidR="003722CF" w:rsidRDefault="003722CF">
      <w:pPr>
        <w:pStyle w:val="ROMANOS"/>
        <w:spacing w:after="0" w:line="240" w:lineRule="exact"/>
        <w:rPr>
          <w:rFonts w:ascii="Calibri" w:hAnsi="Calibri" w:cs="Calibri"/>
          <w:b/>
          <w:bCs/>
          <w:sz w:val="22"/>
          <w:szCs w:val="22"/>
          <w:lang w:val="es-MX"/>
        </w:rPr>
      </w:pPr>
    </w:p>
    <w:p w14:paraId="75F0A80A" w14:textId="77777777" w:rsidR="003722CF" w:rsidRDefault="003722CF">
      <w:pPr>
        <w:pStyle w:val="ROMANOS"/>
        <w:spacing w:after="0" w:line="240" w:lineRule="exact"/>
        <w:rPr>
          <w:rFonts w:ascii="Calibri" w:hAnsi="Calibri" w:cs="Calibri"/>
          <w:b/>
          <w:bCs/>
          <w:sz w:val="22"/>
          <w:szCs w:val="22"/>
          <w:lang w:val="es-MX"/>
        </w:rPr>
      </w:pPr>
    </w:p>
    <w:p w14:paraId="2C6B7C73" w14:textId="77777777" w:rsidR="003722CF" w:rsidRDefault="003722CF">
      <w:pPr>
        <w:pStyle w:val="ROMANOS"/>
        <w:spacing w:after="0" w:line="240" w:lineRule="exact"/>
        <w:rPr>
          <w:rFonts w:ascii="Calibri" w:hAnsi="Calibri" w:cs="Calibri"/>
          <w:b/>
          <w:bCs/>
          <w:sz w:val="22"/>
          <w:szCs w:val="22"/>
          <w:lang w:val="es-MX"/>
        </w:rPr>
      </w:pPr>
    </w:p>
    <w:p w14:paraId="32920226" w14:textId="77777777" w:rsidR="003722CF" w:rsidRDefault="00411668">
      <w:pPr>
        <w:pStyle w:val="ROMANOS"/>
        <w:spacing w:after="0" w:line="240" w:lineRule="exact"/>
        <w:rPr>
          <w:rFonts w:ascii="Calibri" w:hAnsi="Calibri" w:cs="Calibri"/>
          <w:b/>
          <w:bCs/>
          <w:sz w:val="22"/>
          <w:szCs w:val="22"/>
          <w:lang w:val="es-MX"/>
        </w:rPr>
      </w:pPr>
      <w:r>
        <w:rPr>
          <w:rFonts w:ascii="Calibri" w:hAnsi="Calibri" w:cs="Calibri"/>
          <w:b/>
          <w:bCs/>
          <w:sz w:val="22"/>
          <w:szCs w:val="22"/>
          <w:lang w:val="es-MX"/>
        </w:rPr>
        <w:t>Provisiones</w:t>
      </w:r>
    </w:p>
    <w:p w14:paraId="26693264" w14:textId="77777777" w:rsidR="003722CF" w:rsidRDefault="003722CF">
      <w:pPr>
        <w:pStyle w:val="ROMANOS"/>
        <w:spacing w:after="0" w:line="240" w:lineRule="exact"/>
        <w:rPr>
          <w:rFonts w:ascii="Calibri" w:hAnsi="Calibri" w:cs="Calibri"/>
          <w:sz w:val="22"/>
          <w:szCs w:val="22"/>
          <w:lang w:val="es-MX"/>
        </w:rPr>
      </w:pPr>
    </w:p>
    <w:p w14:paraId="2CBEDDDA" w14:textId="77777777" w:rsidR="003722CF" w:rsidRDefault="00411668">
      <w:pPr>
        <w:pStyle w:val="ROMANOS"/>
        <w:spacing w:after="0" w:line="240" w:lineRule="exact"/>
        <w:rPr>
          <w:rFonts w:ascii="Calibri" w:hAnsi="Calibri" w:cs="Calibri"/>
          <w:sz w:val="22"/>
          <w:szCs w:val="22"/>
          <w:lang w:val="es-MX"/>
        </w:rPr>
      </w:pPr>
      <w:r>
        <w:rPr>
          <w:rFonts w:ascii="Calibri" w:hAnsi="Calibri" w:cs="Calibri"/>
          <w:sz w:val="22"/>
          <w:szCs w:val="22"/>
          <w:lang w:val="es-MX"/>
        </w:rPr>
        <w:t>No Aplica</w:t>
      </w:r>
    </w:p>
    <w:p w14:paraId="3151BE87" w14:textId="77777777" w:rsidR="003722CF" w:rsidRDefault="003722CF">
      <w:pPr>
        <w:pStyle w:val="ROMANOS"/>
        <w:spacing w:after="0" w:line="240" w:lineRule="exact"/>
        <w:rPr>
          <w:rFonts w:ascii="Calibri" w:hAnsi="Calibri" w:cs="Calibri"/>
          <w:sz w:val="22"/>
          <w:szCs w:val="22"/>
          <w:lang w:val="es-MX"/>
        </w:rPr>
      </w:pPr>
    </w:p>
    <w:p w14:paraId="2806FBB7" w14:textId="77777777" w:rsidR="003722CF" w:rsidRDefault="003722CF">
      <w:pPr>
        <w:pStyle w:val="ROMANOS"/>
        <w:spacing w:after="0" w:line="240" w:lineRule="exact"/>
        <w:rPr>
          <w:rFonts w:ascii="Calibri" w:hAnsi="Calibri" w:cs="Calibri"/>
          <w:sz w:val="22"/>
          <w:szCs w:val="22"/>
          <w:lang w:val="es-MX"/>
        </w:rPr>
      </w:pPr>
    </w:p>
    <w:p w14:paraId="2EF35793" w14:textId="77777777" w:rsidR="003722CF" w:rsidRDefault="003722CF">
      <w:pPr>
        <w:pStyle w:val="ROMANOS"/>
        <w:spacing w:after="0" w:line="240" w:lineRule="exact"/>
        <w:rPr>
          <w:rFonts w:ascii="Calibri" w:hAnsi="Calibri" w:cs="Calibri"/>
          <w:sz w:val="22"/>
          <w:szCs w:val="22"/>
          <w:lang w:val="es-MX"/>
        </w:rPr>
      </w:pPr>
    </w:p>
    <w:p w14:paraId="48736FCE" w14:textId="77777777" w:rsidR="003722CF" w:rsidRDefault="003722CF">
      <w:pPr>
        <w:pStyle w:val="ROMANOS"/>
        <w:spacing w:after="0" w:line="240" w:lineRule="exact"/>
        <w:rPr>
          <w:rFonts w:ascii="Calibri" w:hAnsi="Calibri" w:cs="Calibri"/>
          <w:sz w:val="22"/>
          <w:szCs w:val="22"/>
          <w:lang w:val="es-MX"/>
        </w:rPr>
      </w:pPr>
    </w:p>
    <w:p w14:paraId="0F94FDAB" w14:textId="77777777" w:rsidR="003722CF" w:rsidRDefault="00411668">
      <w:pPr>
        <w:pStyle w:val="ROMANOS"/>
        <w:spacing w:after="0" w:line="240" w:lineRule="exact"/>
        <w:rPr>
          <w:rFonts w:ascii="Calibri" w:hAnsi="Calibri" w:cs="Calibri"/>
          <w:b/>
          <w:bCs/>
          <w:sz w:val="22"/>
          <w:szCs w:val="22"/>
          <w:lang w:val="es-MX"/>
        </w:rPr>
      </w:pPr>
      <w:r>
        <w:rPr>
          <w:rFonts w:ascii="Calibri" w:hAnsi="Calibri" w:cs="Calibri"/>
          <w:b/>
          <w:bCs/>
          <w:sz w:val="22"/>
          <w:szCs w:val="22"/>
          <w:lang w:val="es-MX"/>
        </w:rPr>
        <w:t>Otros Pasivos a corto y largo plazo que impacten en la información financiera</w:t>
      </w:r>
    </w:p>
    <w:p w14:paraId="61D435B4" w14:textId="77777777" w:rsidR="003722CF" w:rsidRDefault="003722CF">
      <w:pPr>
        <w:pStyle w:val="ROMANOS"/>
        <w:spacing w:after="0" w:line="240" w:lineRule="exact"/>
        <w:rPr>
          <w:rFonts w:ascii="Calibri" w:hAnsi="Calibri" w:cs="Calibri"/>
          <w:sz w:val="22"/>
          <w:szCs w:val="22"/>
          <w:lang w:val="es-MX"/>
        </w:rPr>
      </w:pPr>
    </w:p>
    <w:p w14:paraId="251D1727" w14:textId="77777777" w:rsidR="003722CF" w:rsidRDefault="00411668">
      <w:pPr>
        <w:pStyle w:val="ROMANOS"/>
        <w:spacing w:after="0" w:line="240" w:lineRule="exact"/>
        <w:rPr>
          <w:rFonts w:ascii="Calibri" w:hAnsi="Calibri" w:cs="Calibri"/>
          <w:sz w:val="22"/>
          <w:szCs w:val="22"/>
          <w:lang w:val="es-MX"/>
        </w:rPr>
      </w:pPr>
      <w:r>
        <w:rPr>
          <w:rFonts w:ascii="Calibri" w:hAnsi="Calibri" w:cs="Calibri"/>
          <w:sz w:val="22"/>
          <w:szCs w:val="22"/>
          <w:lang w:val="es-MX"/>
        </w:rPr>
        <w:t>No Aplica</w:t>
      </w:r>
    </w:p>
    <w:p w14:paraId="680E080F" w14:textId="77777777" w:rsidR="003722CF" w:rsidRDefault="003722CF">
      <w:pPr>
        <w:pStyle w:val="INCISO"/>
        <w:spacing w:after="0" w:line="240" w:lineRule="exact"/>
        <w:ind w:left="360"/>
        <w:rPr>
          <w:rFonts w:ascii="Calibri" w:hAnsi="Calibri" w:cs="DIN Pro Regular"/>
          <w:b/>
          <w:smallCaps/>
          <w:sz w:val="20"/>
          <w:szCs w:val="20"/>
        </w:rPr>
      </w:pPr>
    </w:p>
    <w:p w14:paraId="7D581FEE" w14:textId="77777777" w:rsidR="003722CF" w:rsidRDefault="003722CF">
      <w:pPr>
        <w:pStyle w:val="INCISO"/>
        <w:spacing w:after="0" w:line="240" w:lineRule="exact"/>
        <w:ind w:left="360"/>
        <w:rPr>
          <w:rFonts w:ascii="Calibri" w:hAnsi="Calibri" w:cs="DIN Pro Regular"/>
          <w:b/>
          <w:smallCaps/>
          <w:sz w:val="20"/>
          <w:szCs w:val="20"/>
        </w:rPr>
      </w:pPr>
    </w:p>
    <w:p w14:paraId="38CDF0A9" w14:textId="77777777" w:rsidR="003722CF" w:rsidRDefault="003722CF">
      <w:pPr>
        <w:pStyle w:val="INCISO"/>
        <w:spacing w:after="0" w:line="240" w:lineRule="exact"/>
        <w:ind w:left="360"/>
        <w:rPr>
          <w:rFonts w:ascii="Calibri" w:hAnsi="Calibri" w:cs="DIN Pro Regular"/>
          <w:b/>
          <w:smallCaps/>
          <w:sz w:val="20"/>
          <w:szCs w:val="20"/>
        </w:rPr>
      </w:pPr>
    </w:p>
    <w:p w14:paraId="4F965F55" w14:textId="77777777" w:rsidR="003722CF" w:rsidRDefault="003722CF">
      <w:pPr>
        <w:pStyle w:val="INCISO"/>
        <w:spacing w:after="0" w:line="240" w:lineRule="exact"/>
        <w:ind w:left="360"/>
        <w:rPr>
          <w:rFonts w:ascii="Calibri" w:hAnsi="Calibri" w:cs="DIN Pro Regular"/>
          <w:b/>
          <w:smallCaps/>
          <w:sz w:val="20"/>
          <w:szCs w:val="20"/>
        </w:rPr>
      </w:pPr>
    </w:p>
    <w:p w14:paraId="56D414D9" w14:textId="77777777" w:rsidR="003722CF" w:rsidRDefault="003722CF">
      <w:pPr>
        <w:pStyle w:val="INCISO"/>
        <w:spacing w:after="0" w:line="240" w:lineRule="exact"/>
        <w:ind w:left="360"/>
        <w:rPr>
          <w:rFonts w:ascii="Calibri" w:hAnsi="Calibri" w:cs="DIN Pro Regular"/>
          <w:b/>
          <w:smallCaps/>
          <w:sz w:val="20"/>
          <w:szCs w:val="20"/>
        </w:rPr>
      </w:pPr>
    </w:p>
    <w:p w14:paraId="2130A1ED" w14:textId="77777777" w:rsidR="003722CF" w:rsidRDefault="003722CF">
      <w:pPr>
        <w:pStyle w:val="INCISO"/>
        <w:spacing w:after="0" w:line="240" w:lineRule="exact"/>
        <w:ind w:left="360"/>
        <w:rPr>
          <w:rFonts w:ascii="Calibri" w:hAnsi="Calibri" w:cs="DIN Pro Regular"/>
          <w:b/>
          <w:smallCaps/>
          <w:sz w:val="20"/>
          <w:szCs w:val="20"/>
        </w:rPr>
      </w:pPr>
    </w:p>
    <w:p w14:paraId="61C0B373" w14:textId="77777777" w:rsidR="003722CF" w:rsidRDefault="003722CF">
      <w:pPr>
        <w:pStyle w:val="INCISO"/>
        <w:spacing w:after="0" w:line="240" w:lineRule="exact"/>
        <w:ind w:left="360"/>
        <w:rPr>
          <w:rFonts w:ascii="Calibri" w:hAnsi="Calibri" w:cs="DIN Pro Regular"/>
          <w:b/>
          <w:smallCaps/>
          <w:sz w:val="20"/>
          <w:szCs w:val="20"/>
        </w:rPr>
      </w:pPr>
    </w:p>
    <w:p w14:paraId="38B11F04" w14:textId="77777777" w:rsidR="003722CF" w:rsidRDefault="003722CF">
      <w:pPr>
        <w:pStyle w:val="INCISO"/>
        <w:spacing w:after="0" w:line="240" w:lineRule="exact"/>
        <w:ind w:left="360"/>
        <w:rPr>
          <w:rFonts w:ascii="Calibri" w:hAnsi="Calibri" w:cs="DIN Pro Regular"/>
          <w:b/>
          <w:smallCaps/>
          <w:sz w:val="20"/>
          <w:szCs w:val="20"/>
        </w:rPr>
      </w:pPr>
    </w:p>
    <w:p w14:paraId="7DFFA6EE" w14:textId="77777777" w:rsidR="003722CF" w:rsidRDefault="003722CF">
      <w:pPr>
        <w:pStyle w:val="INCISO"/>
        <w:spacing w:after="0" w:line="240" w:lineRule="exact"/>
        <w:ind w:left="360"/>
        <w:rPr>
          <w:rFonts w:ascii="Calibri" w:hAnsi="Calibri" w:cs="DIN Pro Regular"/>
          <w:b/>
          <w:smallCaps/>
          <w:sz w:val="20"/>
          <w:szCs w:val="20"/>
        </w:rPr>
      </w:pPr>
    </w:p>
    <w:p w14:paraId="53B3E76E" w14:textId="77777777" w:rsidR="003722CF" w:rsidRDefault="003722CF">
      <w:pPr>
        <w:pStyle w:val="INCISO"/>
        <w:spacing w:after="0" w:line="240" w:lineRule="exact"/>
        <w:ind w:left="360"/>
        <w:rPr>
          <w:rFonts w:ascii="Calibri" w:hAnsi="Calibri" w:cs="DIN Pro Regular"/>
          <w:b/>
          <w:smallCaps/>
          <w:sz w:val="20"/>
          <w:szCs w:val="20"/>
        </w:rPr>
      </w:pPr>
    </w:p>
    <w:p w14:paraId="37C24140" w14:textId="77777777" w:rsidR="003722CF" w:rsidRDefault="003722CF">
      <w:pPr>
        <w:pStyle w:val="INCISO"/>
        <w:spacing w:after="0" w:line="240" w:lineRule="exact"/>
        <w:ind w:left="360"/>
        <w:rPr>
          <w:rFonts w:ascii="Calibri" w:hAnsi="Calibri" w:cs="DIN Pro Regular"/>
          <w:b/>
          <w:smallCaps/>
          <w:sz w:val="20"/>
          <w:szCs w:val="20"/>
        </w:rPr>
      </w:pPr>
    </w:p>
    <w:p w14:paraId="324E095F" w14:textId="77777777" w:rsidR="003722CF" w:rsidRDefault="003722CF">
      <w:pPr>
        <w:pStyle w:val="INCISO"/>
        <w:spacing w:after="0" w:line="240" w:lineRule="exact"/>
        <w:ind w:left="360"/>
        <w:rPr>
          <w:rFonts w:ascii="Calibri" w:hAnsi="Calibri" w:cs="DIN Pro Regular"/>
          <w:b/>
          <w:smallCaps/>
          <w:sz w:val="20"/>
          <w:szCs w:val="20"/>
        </w:rPr>
      </w:pPr>
    </w:p>
    <w:p w14:paraId="76CA422C" w14:textId="77777777" w:rsidR="003722CF" w:rsidRDefault="003722CF">
      <w:pPr>
        <w:pStyle w:val="INCISO"/>
        <w:spacing w:after="0" w:line="240" w:lineRule="exact"/>
        <w:ind w:left="360"/>
        <w:rPr>
          <w:rFonts w:ascii="Calibri" w:hAnsi="Calibri" w:cs="DIN Pro Regular"/>
          <w:b/>
          <w:smallCaps/>
          <w:sz w:val="20"/>
          <w:szCs w:val="20"/>
        </w:rPr>
      </w:pPr>
    </w:p>
    <w:p w14:paraId="485988D2" w14:textId="77777777" w:rsidR="003722CF" w:rsidRDefault="00411668">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 xml:space="preserve">Notas al Estado de Variación en la </w:t>
      </w:r>
      <w:r>
        <w:rPr>
          <w:rFonts w:ascii="Calibri" w:hAnsi="Calibri" w:cs="DIN Pro Regular"/>
          <w:b/>
          <w:smallCaps/>
          <w:sz w:val="20"/>
          <w:szCs w:val="20"/>
        </w:rPr>
        <w:t>Hacienda Pública</w:t>
      </w:r>
    </w:p>
    <w:p w14:paraId="2DE2BD6D" w14:textId="77777777" w:rsidR="003722CF" w:rsidRDefault="003722CF">
      <w:pPr>
        <w:pStyle w:val="INCISO"/>
        <w:spacing w:after="0" w:line="240" w:lineRule="exact"/>
        <w:ind w:left="360"/>
        <w:rPr>
          <w:rFonts w:ascii="Calibri" w:hAnsi="Calibri" w:cs="DIN Pro Regular"/>
          <w:b/>
          <w:smallCaps/>
          <w:sz w:val="20"/>
          <w:szCs w:val="20"/>
        </w:rPr>
      </w:pPr>
    </w:p>
    <w:p w14:paraId="6E89CFF8" w14:textId="77777777" w:rsidR="003722CF" w:rsidRDefault="00411668">
      <w:pPr>
        <w:tabs>
          <w:tab w:val="left" w:pos="720"/>
        </w:tabs>
        <w:spacing w:line="240" w:lineRule="exact"/>
        <w:ind w:left="709" w:hanging="1"/>
        <w:jc w:val="both"/>
        <w:rPr>
          <w:rFonts w:eastAsia="Times New Roman" w:cs="Calibri"/>
          <w:sz w:val="22"/>
          <w:szCs w:val="22"/>
          <w:lang w:eastAsia="es-ES"/>
        </w:rPr>
      </w:pPr>
      <w:r>
        <w:rPr>
          <w:rFonts w:eastAsia="Times New Roman" w:cs="Calibri"/>
          <w:sz w:val="22"/>
          <w:szCs w:val="22"/>
          <w:lang w:eastAsia="es-ES"/>
        </w:rPr>
        <w:t>El resultado al cierre del ejercicio 2023 es un ahorro de $ 215,382</w:t>
      </w:r>
    </w:p>
    <w:p w14:paraId="37FC40F9" w14:textId="77777777" w:rsidR="003722CF" w:rsidRDefault="003722CF">
      <w:pPr>
        <w:tabs>
          <w:tab w:val="left" w:pos="720"/>
        </w:tabs>
        <w:spacing w:line="240" w:lineRule="exact"/>
        <w:ind w:left="709" w:hanging="1"/>
        <w:jc w:val="both"/>
        <w:rPr>
          <w:rFonts w:eastAsia="Times New Roman" w:cs="Calibri"/>
          <w:sz w:val="22"/>
          <w:szCs w:val="22"/>
          <w:lang w:eastAsia="es-ES"/>
        </w:rPr>
      </w:pPr>
    </w:p>
    <w:p w14:paraId="63556F3D" w14:textId="77777777" w:rsidR="003722CF" w:rsidRDefault="003722CF">
      <w:pPr>
        <w:tabs>
          <w:tab w:val="left" w:pos="720"/>
        </w:tabs>
        <w:spacing w:line="240" w:lineRule="exact"/>
        <w:ind w:left="1140" w:hanging="432"/>
        <w:jc w:val="both"/>
        <w:rPr>
          <w:rFonts w:eastAsia="Times New Roman" w:cs="Calibri"/>
          <w:sz w:val="22"/>
          <w:szCs w:val="22"/>
          <w:lang w:eastAsia="es-ES"/>
        </w:rPr>
      </w:pPr>
    </w:p>
    <w:p w14:paraId="5F996EBE" w14:textId="77777777" w:rsidR="003722CF" w:rsidRDefault="003722CF">
      <w:pPr>
        <w:tabs>
          <w:tab w:val="left" w:pos="720"/>
        </w:tabs>
        <w:spacing w:line="240" w:lineRule="exact"/>
        <w:ind w:left="1140" w:hanging="432"/>
        <w:jc w:val="both"/>
        <w:rPr>
          <w:rFonts w:eastAsia="Times New Roman" w:cs="Calibri"/>
          <w:sz w:val="22"/>
          <w:szCs w:val="22"/>
          <w:lang w:eastAsia="es-ES"/>
        </w:rPr>
      </w:pPr>
    </w:p>
    <w:tbl>
      <w:tblPr>
        <w:tblW w:w="4940" w:type="dxa"/>
        <w:tblInd w:w="2205" w:type="dxa"/>
        <w:tblCellMar>
          <w:left w:w="10" w:type="dxa"/>
          <w:right w:w="10" w:type="dxa"/>
        </w:tblCellMar>
        <w:tblLook w:val="0000" w:firstRow="0" w:lastRow="0" w:firstColumn="0" w:lastColumn="0" w:noHBand="0" w:noVBand="0"/>
      </w:tblPr>
      <w:tblGrid>
        <w:gridCol w:w="3600"/>
        <w:gridCol w:w="1340"/>
      </w:tblGrid>
      <w:tr w:rsidR="003722CF" w14:paraId="5BCC3119" w14:textId="77777777">
        <w:tblPrEx>
          <w:tblCellMar>
            <w:top w:w="0" w:type="dxa"/>
            <w:bottom w:w="0" w:type="dxa"/>
          </w:tblCellMar>
        </w:tblPrEx>
        <w:trPr>
          <w:trHeight w:val="198"/>
        </w:trPr>
        <w:tc>
          <w:tcPr>
            <w:tcW w:w="3600" w:type="dxa"/>
            <w:shd w:val="clear" w:color="auto" w:fill="auto"/>
            <w:noWrap/>
            <w:tcMar>
              <w:top w:w="0" w:type="dxa"/>
              <w:left w:w="70" w:type="dxa"/>
              <w:bottom w:w="0" w:type="dxa"/>
              <w:right w:w="70" w:type="dxa"/>
            </w:tcMar>
            <w:vAlign w:val="bottom"/>
          </w:tcPr>
          <w:p w14:paraId="1C3A6B55" w14:textId="77777777" w:rsidR="003722CF" w:rsidRDefault="003722CF">
            <w:pPr>
              <w:rPr>
                <w:rFonts w:eastAsia="Times New Roman" w:cs="Calibri"/>
                <w:sz w:val="22"/>
                <w:szCs w:val="22"/>
              </w:rPr>
            </w:pPr>
          </w:p>
        </w:tc>
        <w:tc>
          <w:tcPr>
            <w:tcW w:w="1340" w:type="dxa"/>
            <w:shd w:val="clear" w:color="auto" w:fill="auto"/>
            <w:noWrap/>
            <w:tcMar>
              <w:top w:w="0" w:type="dxa"/>
              <w:left w:w="70" w:type="dxa"/>
              <w:bottom w:w="0" w:type="dxa"/>
              <w:right w:w="70" w:type="dxa"/>
            </w:tcMar>
            <w:vAlign w:val="bottom"/>
          </w:tcPr>
          <w:p w14:paraId="08345C79" w14:textId="77777777" w:rsidR="003722CF" w:rsidRDefault="003722CF">
            <w:pPr>
              <w:rPr>
                <w:rFonts w:eastAsia="Times New Roman" w:cs="Calibri"/>
                <w:sz w:val="22"/>
                <w:szCs w:val="22"/>
              </w:rPr>
            </w:pPr>
          </w:p>
        </w:tc>
      </w:tr>
      <w:tr w:rsidR="003722CF" w14:paraId="07C9EE92" w14:textId="77777777">
        <w:tblPrEx>
          <w:tblCellMar>
            <w:top w:w="0" w:type="dxa"/>
            <w:bottom w:w="0" w:type="dxa"/>
          </w:tblCellMar>
        </w:tblPrEx>
        <w:trPr>
          <w:trHeight w:val="315"/>
        </w:trPr>
        <w:tc>
          <w:tcPr>
            <w:tcW w:w="3600"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43846D30" w14:textId="77777777" w:rsidR="003722CF" w:rsidRDefault="00411668">
            <w:pPr>
              <w:jc w:val="center"/>
              <w:rPr>
                <w:rFonts w:eastAsia="Times New Roman" w:cs="Calibri"/>
                <w:color w:val="FFFFFF"/>
                <w:sz w:val="22"/>
                <w:szCs w:val="22"/>
              </w:rPr>
            </w:pPr>
            <w:r>
              <w:rPr>
                <w:rFonts w:eastAsia="Times New Roman" w:cs="Calibri"/>
                <w:color w:val="FFFFFF"/>
                <w:sz w:val="22"/>
                <w:szCs w:val="22"/>
              </w:rPr>
              <w:t>Concepto</w:t>
            </w:r>
          </w:p>
        </w:tc>
        <w:tc>
          <w:tcPr>
            <w:tcW w:w="1340"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bottom"/>
          </w:tcPr>
          <w:p w14:paraId="4A5DB3DC" w14:textId="77777777" w:rsidR="003722CF" w:rsidRDefault="00411668">
            <w:pPr>
              <w:jc w:val="center"/>
              <w:rPr>
                <w:rFonts w:eastAsia="Times New Roman" w:cs="Calibri"/>
                <w:color w:val="FFFFFF"/>
                <w:sz w:val="22"/>
                <w:szCs w:val="22"/>
              </w:rPr>
            </w:pPr>
            <w:r>
              <w:rPr>
                <w:rFonts w:eastAsia="Times New Roman" w:cs="Calibri"/>
                <w:color w:val="FFFFFF"/>
                <w:sz w:val="22"/>
                <w:szCs w:val="22"/>
              </w:rPr>
              <w:t>Importe</w:t>
            </w:r>
          </w:p>
        </w:tc>
      </w:tr>
      <w:tr w:rsidR="003722CF" w14:paraId="3AEEFA6A"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8D1FCE0" w14:textId="77777777" w:rsidR="003722CF" w:rsidRDefault="00411668">
            <w:pPr>
              <w:rPr>
                <w:rFonts w:eastAsia="Times New Roman" w:cs="Calibri"/>
                <w:color w:val="000000"/>
                <w:sz w:val="22"/>
                <w:szCs w:val="22"/>
              </w:rPr>
            </w:pPr>
            <w:r>
              <w:rPr>
                <w:rFonts w:eastAsia="Times New Roman" w:cs="Calibri"/>
                <w:color w:val="000000"/>
                <w:sz w:val="22"/>
                <w:szCs w:val="22"/>
              </w:rPr>
              <w:t>Resultado Generado Ejercicio 2024</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ADF1329" w14:textId="77777777" w:rsidR="003722CF" w:rsidRDefault="00411668">
            <w:pPr>
              <w:jc w:val="right"/>
              <w:rPr>
                <w:rFonts w:eastAsia="Times New Roman" w:cs="Calibri"/>
                <w:color w:val="000000"/>
                <w:sz w:val="22"/>
                <w:szCs w:val="22"/>
              </w:rPr>
            </w:pPr>
            <w:r>
              <w:rPr>
                <w:rFonts w:eastAsia="Times New Roman" w:cs="Calibri"/>
                <w:color w:val="000000"/>
                <w:sz w:val="22"/>
                <w:szCs w:val="22"/>
              </w:rPr>
              <w:t>$2,382,541</w:t>
            </w:r>
          </w:p>
        </w:tc>
      </w:tr>
      <w:tr w:rsidR="003722CF" w14:paraId="588D104F"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D098B45" w14:textId="77777777" w:rsidR="003722CF" w:rsidRDefault="00411668">
            <w:pPr>
              <w:rPr>
                <w:rFonts w:eastAsia="Times New Roman" w:cs="Calibri"/>
                <w:color w:val="000000"/>
                <w:sz w:val="22"/>
                <w:szCs w:val="22"/>
              </w:rPr>
            </w:pPr>
            <w:r>
              <w:rPr>
                <w:rFonts w:eastAsia="Times New Roman" w:cs="Calibri"/>
                <w:color w:val="000000"/>
                <w:sz w:val="22"/>
                <w:szCs w:val="22"/>
              </w:rPr>
              <w:t>Resultados Generados en Eje. anteriores</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230E34E" w14:textId="77777777" w:rsidR="003722CF" w:rsidRDefault="00411668">
            <w:pPr>
              <w:jc w:val="right"/>
              <w:rPr>
                <w:rFonts w:eastAsia="Times New Roman" w:cs="Calibri"/>
                <w:color w:val="000000"/>
                <w:sz w:val="22"/>
                <w:szCs w:val="22"/>
              </w:rPr>
            </w:pPr>
            <w:r>
              <w:rPr>
                <w:rFonts w:eastAsia="Times New Roman" w:cs="Calibri"/>
                <w:color w:val="000000"/>
                <w:sz w:val="22"/>
                <w:szCs w:val="22"/>
              </w:rPr>
              <w:t>($104,501)</w:t>
            </w:r>
          </w:p>
        </w:tc>
      </w:tr>
      <w:tr w:rsidR="003722CF" w14:paraId="566E1C54"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6B792F9" w14:textId="77777777" w:rsidR="003722CF" w:rsidRDefault="00411668">
            <w:pPr>
              <w:rPr>
                <w:rFonts w:eastAsia="Times New Roman" w:cs="Calibri"/>
                <w:color w:val="000000"/>
                <w:sz w:val="22"/>
                <w:szCs w:val="22"/>
              </w:rPr>
            </w:pPr>
            <w:r>
              <w:rPr>
                <w:rFonts w:eastAsia="Times New Roman" w:cs="Calibri"/>
                <w:color w:val="000000"/>
                <w:sz w:val="22"/>
                <w:szCs w:val="22"/>
              </w:rPr>
              <w:t xml:space="preserve">Hacienda Pública /Patrimonio </w:t>
            </w:r>
            <w:r>
              <w:rPr>
                <w:rFonts w:eastAsia="Times New Roman" w:cs="Calibri"/>
                <w:color w:val="000000"/>
                <w:sz w:val="22"/>
                <w:szCs w:val="22"/>
              </w:rPr>
              <w:t>contribuido</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B8E1FFE" w14:textId="77777777" w:rsidR="003722CF" w:rsidRDefault="00411668">
            <w:pPr>
              <w:jc w:val="right"/>
              <w:rPr>
                <w:rFonts w:eastAsia="Times New Roman" w:cs="Calibri"/>
                <w:color w:val="000000"/>
                <w:sz w:val="22"/>
                <w:szCs w:val="22"/>
              </w:rPr>
            </w:pPr>
            <w:r>
              <w:rPr>
                <w:rFonts w:eastAsia="Times New Roman" w:cs="Calibri"/>
                <w:color w:val="000000"/>
                <w:sz w:val="22"/>
                <w:szCs w:val="22"/>
              </w:rPr>
              <w:t>$91,900</w:t>
            </w:r>
          </w:p>
        </w:tc>
      </w:tr>
      <w:tr w:rsidR="003722CF" w14:paraId="41B397BF"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941A02D" w14:textId="77777777" w:rsidR="003722CF" w:rsidRDefault="00411668">
            <w:pPr>
              <w:rPr>
                <w:rFonts w:eastAsia="Times New Roman" w:cs="Calibri"/>
                <w:color w:val="000000"/>
                <w:sz w:val="22"/>
                <w:szCs w:val="22"/>
              </w:rPr>
            </w:pPr>
            <w:r>
              <w:rPr>
                <w:rFonts w:eastAsia="Times New Roman" w:cs="Calibri"/>
                <w:color w:val="000000"/>
                <w:sz w:val="22"/>
                <w:szCs w:val="22"/>
              </w:rPr>
              <w:t> </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5AABA23" w14:textId="77777777" w:rsidR="003722CF" w:rsidRDefault="00411668">
            <w:pPr>
              <w:jc w:val="right"/>
              <w:rPr>
                <w:rFonts w:eastAsia="Times New Roman" w:cs="Calibri"/>
                <w:color w:val="000000"/>
                <w:sz w:val="22"/>
                <w:szCs w:val="22"/>
              </w:rPr>
            </w:pPr>
            <w:r>
              <w:rPr>
                <w:rFonts w:eastAsia="Times New Roman" w:cs="Calibri"/>
                <w:color w:val="000000"/>
                <w:sz w:val="22"/>
                <w:szCs w:val="22"/>
              </w:rPr>
              <w:t> </w:t>
            </w:r>
          </w:p>
        </w:tc>
      </w:tr>
      <w:tr w:rsidR="003722CF" w14:paraId="7B25DD7A" w14:textId="77777777">
        <w:tblPrEx>
          <w:tblCellMar>
            <w:top w:w="0" w:type="dxa"/>
            <w:bottom w:w="0" w:type="dxa"/>
          </w:tblCellMar>
        </w:tblPrEx>
        <w:trPr>
          <w:trHeight w:val="315"/>
        </w:trPr>
        <w:tc>
          <w:tcPr>
            <w:tcW w:w="36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1D15BB9" w14:textId="77777777" w:rsidR="003722CF" w:rsidRDefault="00411668">
            <w:pPr>
              <w:rPr>
                <w:rFonts w:eastAsia="Times New Roman" w:cs="Calibri"/>
                <w:color w:val="000000"/>
                <w:sz w:val="22"/>
                <w:szCs w:val="22"/>
              </w:rPr>
            </w:pPr>
            <w:r>
              <w:rPr>
                <w:rFonts w:eastAsia="Times New Roman" w:cs="Calibri"/>
                <w:color w:val="000000"/>
                <w:sz w:val="22"/>
                <w:szCs w:val="22"/>
              </w:rPr>
              <w:t>Patrimonio Neto Final del Eje 2024</w:t>
            </w:r>
          </w:p>
        </w:tc>
        <w:tc>
          <w:tcPr>
            <w:tcW w:w="134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7B879CE" w14:textId="77777777" w:rsidR="003722CF" w:rsidRDefault="00411668">
            <w:pPr>
              <w:jc w:val="right"/>
              <w:rPr>
                <w:rFonts w:eastAsia="Times New Roman" w:cs="Calibri"/>
                <w:color w:val="000000"/>
                <w:sz w:val="22"/>
                <w:szCs w:val="22"/>
              </w:rPr>
            </w:pPr>
            <w:r>
              <w:rPr>
                <w:rFonts w:eastAsia="Times New Roman" w:cs="Calibri"/>
                <w:color w:val="000000"/>
                <w:sz w:val="22"/>
                <w:szCs w:val="22"/>
              </w:rPr>
              <w:t>$2,493,422</w:t>
            </w:r>
          </w:p>
        </w:tc>
      </w:tr>
    </w:tbl>
    <w:p w14:paraId="76AE8515" w14:textId="77777777" w:rsidR="003722CF" w:rsidRDefault="003722CF">
      <w:pPr>
        <w:pStyle w:val="INCISO"/>
        <w:spacing w:after="0" w:line="240" w:lineRule="exact"/>
        <w:ind w:left="360"/>
        <w:rPr>
          <w:rFonts w:ascii="Calibri" w:hAnsi="Calibri" w:cs="DIN Pro Regular"/>
          <w:b/>
          <w:smallCaps/>
          <w:sz w:val="20"/>
          <w:szCs w:val="20"/>
        </w:rPr>
      </w:pPr>
    </w:p>
    <w:p w14:paraId="203468E6" w14:textId="77777777" w:rsidR="003722CF" w:rsidRDefault="003722CF">
      <w:pPr>
        <w:pStyle w:val="INCISO"/>
        <w:spacing w:after="0" w:line="240" w:lineRule="exact"/>
        <w:ind w:left="360"/>
        <w:rPr>
          <w:rFonts w:ascii="Calibri" w:hAnsi="Calibri" w:cs="DIN Pro Regular"/>
          <w:b/>
          <w:smallCaps/>
          <w:sz w:val="20"/>
          <w:szCs w:val="20"/>
        </w:rPr>
      </w:pPr>
    </w:p>
    <w:p w14:paraId="15A8F32F" w14:textId="77777777" w:rsidR="003722CF" w:rsidRDefault="003722CF">
      <w:pPr>
        <w:pStyle w:val="INCISO"/>
        <w:spacing w:after="0" w:line="240" w:lineRule="exact"/>
        <w:ind w:left="360"/>
        <w:rPr>
          <w:rFonts w:ascii="Calibri" w:hAnsi="Calibri" w:cs="DIN Pro Regular"/>
          <w:b/>
          <w:smallCaps/>
          <w:sz w:val="20"/>
          <w:szCs w:val="20"/>
        </w:rPr>
      </w:pPr>
    </w:p>
    <w:p w14:paraId="0D860B53" w14:textId="77777777" w:rsidR="003722CF" w:rsidRDefault="003722CF">
      <w:pPr>
        <w:pStyle w:val="INCISO"/>
        <w:spacing w:after="0" w:line="240" w:lineRule="exact"/>
        <w:ind w:left="360"/>
        <w:rPr>
          <w:rFonts w:ascii="Calibri" w:hAnsi="Calibri" w:cs="DIN Pro Regular"/>
          <w:b/>
          <w:smallCaps/>
          <w:sz w:val="20"/>
          <w:szCs w:val="20"/>
        </w:rPr>
      </w:pPr>
    </w:p>
    <w:p w14:paraId="6A6D19EF" w14:textId="77777777" w:rsidR="003722CF" w:rsidRDefault="00411668">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688DB29" w14:textId="77777777" w:rsidR="003722CF" w:rsidRDefault="003722CF">
      <w:pPr>
        <w:pStyle w:val="INCISO"/>
        <w:spacing w:after="0" w:line="240" w:lineRule="exact"/>
        <w:ind w:left="360"/>
        <w:rPr>
          <w:rFonts w:ascii="Calibri" w:hAnsi="Calibri" w:cs="DIN Pro Regular"/>
          <w:smallCaps/>
          <w:sz w:val="20"/>
          <w:szCs w:val="20"/>
        </w:rPr>
      </w:pPr>
    </w:p>
    <w:p w14:paraId="7B4C9EF7" w14:textId="77777777" w:rsidR="003722CF" w:rsidRDefault="00411668">
      <w:pPr>
        <w:pStyle w:val="ROMANOS"/>
        <w:spacing w:after="0" w:line="240" w:lineRule="exact"/>
        <w:ind w:left="1140"/>
      </w:pPr>
      <w:r>
        <w:rPr>
          <w:rFonts w:ascii="Calibri" w:hAnsi="Calibri" w:cs="DIN Pro Regular"/>
          <w:b/>
          <w:sz w:val="20"/>
          <w:szCs w:val="20"/>
          <w:lang w:val="es-MX"/>
        </w:rPr>
        <w:t>Efectivo y equivalentes</w:t>
      </w:r>
    </w:p>
    <w:p w14:paraId="457B594C" w14:textId="77777777" w:rsidR="003722CF" w:rsidRDefault="00411668">
      <w:pPr>
        <w:pStyle w:val="ROMANOS"/>
        <w:numPr>
          <w:ilvl w:val="0"/>
          <w:numId w:val="12"/>
        </w:numPr>
        <w:spacing w:after="0" w:line="240" w:lineRule="exact"/>
      </w:pPr>
      <w:r>
        <w:rPr>
          <w:rFonts w:ascii="Calibri" w:hAnsi="Calibri" w:cs="DIN Pro Regular"/>
          <w:sz w:val="20"/>
          <w:szCs w:val="20"/>
          <w:lang w:val="es-MX"/>
        </w:rPr>
        <w:t xml:space="preserve">El análisis de los saldos inicial y final, del Estado de Flujo de Efectivo en la cuenta de efectivo y </w:t>
      </w:r>
      <w:r>
        <w:rPr>
          <w:rFonts w:ascii="Calibri" w:hAnsi="Calibri" w:cs="DIN Pro Regular"/>
          <w:sz w:val="20"/>
          <w:szCs w:val="20"/>
          <w:lang w:val="es-MX"/>
        </w:rPr>
        <w:t>equivalentes:</w:t>
      </w:r>
    </w:p>
    <w:p w14:paraId="281DA448" w14:textId="77777777" w:rsidR="003722CF" w:rsidRDefault="003722CF">
      <w:pPr>
        <w:pStyle w:val="ROMANOS"/>
        <w:spacing w:after="0" w:line="240" w:lineRule="exact"/>
        <w:ind w:left="1140"/>
        <w:rPr>
          <w:rFonts w:ascii="Calibri" w:hAnsi="Calibri" w:cs="DIN Pro Regular"/>
          <w:b/>
          <w:sz w:val="20"/>
          <w:szCs w:val="20"/>
          <w:lang w:val="es-MX"/>
        </w:rPr>
      </w:pPr>
    </w:p>
    <w:p w14:paraId="143438AC" w14:textId="77777777" w:rsidR="003722CF" w:rsidRDefault="003722CF">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3722CF" w14:paraId="44853134"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26EE225" w14:textId="77777777" w:rsidR="003722CF" w:rsidRDefault="003722CF">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2E6801A" w14:textId="77777777" w:rsidR="003722CF" w:rsidRDefault="00411668">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FCD5D68" w14:textId="77777777" w:rsidR="003722CF" w:rsidRDefault="00411668">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3722CF" w14:paraId="660C37F9"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D6A3D" w14:textId="77777777" w:rsidR="003722CF" w:rsidRDefault="00411668">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A1718A"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10,000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8D8AA2"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10,000</w:t>
            </w:r>
          </w:p>
        </w:tc>
      </w:tr>
      <w:tr w:rsidR="003722CF" w14:paraId="71F96A2D"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CC4476" w14:textId="77777777" w:rsidR="003722CF" w:rsidRDefault="00411668">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6B707C"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512,547</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7043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479,311</w:t>
            </w:r>
          </w:p>
        </w:tc>
      </w:tr>
      <w:tr w:rsidR="003722CF" w14:paraId="75BDA05A"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B2308" w14:textId="77777777" w:rsidR="003722CF" w:rsidRDefault="00411668">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2BA5ED"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893B88"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50A96C34"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D95A2"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2221EC"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7C2BCE"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3922010B"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8F616"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F572C0"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3FF18A"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009C0315"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8EDF88"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Depósitos de Fondos de Terceros en Garantía y/o </w:t>
            </w:r>
            <w:r>
              <w:rPr>
                <w:rFonts w:eastAsia="Times New Roman" w:cs="DIN Pro Regular"/>
                <w:sz w:val="20"/>
                <w:szCs w:val="20"/>
                <w:lang w:eastAsia="es-ES"/>
              </w:rPr>
              <w:t>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224AC2"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AD2F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44BD5247"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2EFCB0" w14:textId="77777777" w:rsidR="003722CF" w:rsidRDefault="00411668">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A0F7C2" w14:textId="77777777" w:rsidR="003722CF" w:rsidRDefault="00411668">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4D8A3F" w14:textId="77777777" w:rsidR="003722CF" w:rsidRDefault="00411668">
            <w:pPr>
              <w:pStyle w:val="Standard"/>
              <w:widowControl w:val="0"/>
              <w:jc w:val="right"/>
              <w:rPr>
                <w:rFonts w:cs="DIN Pro Regular"/>
                <w:sz w:val="20"/>
                <w:szCs w:val="20"/>
              </w:rPr>
            </w:pPr>
            <w:r>
              <w:rPr>
                <w:rFonts w:cs="DIN Pro Regular"/>
                <w:sz w:val="20"/>
                <w:szCs w:val="20"/>
              </w:rPr>
              <w:t>0</w:t>
            </w:r>
          </w:p>
        </w:tc>
      </w:tr>
      <w:tr w:rsidR="003722CF" w14:paraId="362FEF4B"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3AE5" w14:textId="77777777" w:rsidR="003722CF" w:rsidRDefault="00411668">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823982"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522,547</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E513A7"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489,311</w:t>
            </w:r>
          </w:p>
        </w:tc>
      </w:tr>
    </w:tbl>
    <w:p w14:paraId="67FBF360" w14:textId="77777777" w:rsidR="003722CF" w:rsidRDefault="003722CF">
      <w:pPr>
        <w:pStyle w:val="ROMANOS"/>
        <w:spacing w:after="0" w:line="240" w:lineRule="exact"/>
        <w:ind w:left="1140"/>
        <w:rPr>
          <w:rFonts w:ascii="Calibri" w:hAnsi="Calibri" w:cs="DIN Pro Regular"/>
          <w:b/>
          <w:sz w:val="20"/>
          <w:szCs w:val="20"/>
          <w:lang w:val="es-MX"/>
        </w:rPr>
      </w:pPr>
    </w:p>
    <w:p w14:paraId="47B48FA1" w14:textId="77777777" w:rsidR="003722CF" w:rsidRDefault="003722CF">
      <w:pPr>
        <w:pStyle w:val="ROMANOS"/>
        <w:spacing w:after="0" w:line="240" w:lineRule="exact"/>
        <w:ind w:left="1140"/>
        <w:rPr>
          <w:rFonts w:ascii="Calibri" w:hAnsi="Calibri" w:cs="DIN Pro Regular"/>
          <w:b/>
          <w:sz w:val="20"/>
          <w:szCs w:val="20"/>
          <w:lang w:val="es-MX"/>
        </w:rPr>
      </w:pPr>
    </w:p>
    <w:p w14:paraId="74F6E096" w14:textId="77777777" w:rsidR="003722CF" w:rsidRDefault="003722CF">
      <w:pPr>
        <w:pStyle w:val="ROMANOS"/>
        <w:spacing w:after="0" w:line="240" w:lineRule="exact"/>
        <w:ind w:left="1140"/>
        <w:rPr>
          <w:rFonts w:ascii="Calibri" w:hAnsi="Calibri" w:cs="DIN Pro Regular"/>
          <w:b/>
          <w:sz w:val="20"/>
          <w:szCs w:val="20"/>
          <w:lang w:val="es-MX"/>
        </w:rPr>
      </w:pPr>
    </w:p>
    <w:p w14:paraId="3E12D72C" w14:textId="77777777" w:rsidR="003722CF" w:rsidRDefault="003722CF">
      <w:pPr>
        <w:pStyle w:val="ROMANOS"/>
        <w:spacing w:after="0" w:line="240" w:lineRule="exact"/>
        <w:ind w:left="1140"/>
        <w:rPr>
          <w:rFonts w:ascii="Calibri" w:hAnsi="Calibri" w:cs="DIN Pro Regular"/>
          <w:b/>
          <w:sz w:val="20"/>
          <w:szCs w:val="20"/>
          <w:lang w:val="es-MX"/>
        </w:rPr>
      </w:pPr>
    </w:p>
    <w:p w14:paraId="73D59669" w14:textId="77777777" w:rsidR="003722CF" w:rsidRDefault="003722CF">
      <w:pPr>
        <w:pStyle w:val="ROMANOS"/>
        <w:spacing w:after="0" w:line="240" w:lineRule="exact"/>
        <w:ind w:left="1140"/>
        <w:rPr>
          <w:rFonts w:ascii="Calibri" w:hAnsi="Calibri" w:cs="DIN Pro Regular"/>
          <w:b/>
          <w:sz w:val="20"/>
          <w:szCs w:val="20"/>
          <w:lang w:val="es-MX"/>
        </w:rPr>
      </w:pPr>
    </w:p>
    <w:p w14:paraId="63F83BC5" w14:textId="77777777" w:rsidR="003722CF" w:rsidRDefault="003722CF">
      <w:pPr>
        <w:pStyle w:val="ROMANOS"/>
        <w:spacing w:after="0" w:line="240" w:lineRule="exact"/>
        <w:ind w:left="1140"/>
        <w:rPr>
          <w:rFonts w:ascii="Calibri" w:hAnsi="Calibri" w:cs="DIN Pro Regular"/>
          <w:b/>
          <w:sz w:val="20"/>
          <w:szCs w:val="20"/>
          <w:lang w:val="es-MX"/>
        </w:rPr>
      </w:pPr>
    </w:p>
    <w:p w14:paraId="4519D7B2" w14:textId="77777777" w:rsidR="003722CF" w:rsidRDefault="003722CF">
      <w:pPr>
        <w:pStyle w:val="ROMANOS"/>
        <w:spacing w:after="0" w:line="240" w:lineRule="exact"/>
        <w:ind w:left="1140"/>
        <w:rPr>
          <w:rFonts w:ascii="Calibri" w:hAnsi="Calibri" w:cs="DIN Pro Regular"/>
          <w:b/>
          <w:sz w:val="20"/>
          <w:szCs w:val="20"/>
          <w:lang w:val="es-MX"/>
        </w:rPr>
      </w:pPr>
    </w:p>
    <w:p w14:paraId="0B74AD6C" w14:textId="77777777" w:rsidR="003722CF" w:rsidRDefault="003722CF">
      <w:pPr>
        <w:pStyle w:val="ROMANOS"/>
        <w:spacing w:after="0" w:line="240" w:lineRule="exact"/>
        <w:ind w:left="1140"/>
        <w:rPr>
          <w:rFonts w:ascii="Calibri" w:hAnsi="Calibri" w:cs="DIN Pro Regular"/>
          <w:b/>
          <w:sz w:val="20"/>
          <w:szCs w:val="20"/>
          <w:lang w:val="es-MX"/>
        </w:rPr>
      </w:pPr>
    </w:p>
    <w:p w14:paraId="162DAEFA" w14:textId="77777777" w:rsidR="003722CF" w:rsidRDefault="00411668">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w:t>
      </w:r>
      <w:r>
        <w:rPr>
          <w:rFonts w:ascii="Calibri" w:hAnsi="Calibri" w:cs="DIN Pro Regular"/>
          <w:sz w:val="20"/>
          <w:szCs w:val="20"/>
          <w:lang w:val="es-MX"/>
        </w:rPr>
        <w:t>el caso:</w:t>
      </w:r>
    </w:p>
    <w:p w14:paraId="719E5CC6" w14:textId="77777777" w:rsidR="003722CF" w:rsidRDefault="003722CF">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000" w:firstRow="0" w:lastRow="0" w:firstColumn="0" w:lastColumn="0" w:noHBand="0" w:noVBand="0"/>
      </w:tblPr>
      <w:tblGrid>
        <w:gridCol w:w="3115"/>
        <w:gridCol w:w="1013"/>
        <w:gridCol w:w="1058"/>
      </w:tblGrid>
      <w:tr w:rsidR="003722CF" w14:paraId="219E604B"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359FB5C" w14:textId="77777777" w:rsidR="003722CF" w:rsidRDefault="00411668">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0CD3C3" w14:textId="77777777" w:rsidR="003722CF" w:rsidRDefault="003722CF">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D24A36D" w14:textId="77777777" w:rsidR="003722CF" w:rsidRDefault="003722CF">
            <w:pPr>
              <w:pStyle w:val="Standard"/>
              <w:widowControl w:val="0"/>
              <w:spacing w:after="0" w:line="224" w:lineRule="exact"/>
              <w:rPr>
                <w:rFonts w:eastAsia="Times New Roman" w:cs="DIN Pro Regular"/>
                <w:b/>
                <w:color w:val="FFFFFF"/>
                <w:sz w:val="20"/>
                <w:szCs w:val="20"/>
                <w:lang w:eastAsia="es-ES"/>
              </w:rPr>
            </w:pPr>
          </w:p>
        </w:tc>
      </w:tr>
      <w:tr w:rsidR="003722CF" w14:paraId="3458040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E0F2F7" w14:textId="77777777" w:rsidR="003722CF" w:rsidRDefault="00411668">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D5BFC6" w14:textId="77777777" w:rsidR="003722CF" w:rsidRDefault="00411668">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E2B0B29" w14:textId="77777777" w:rsidR="003722CF" w:rsidRDefault="00411668">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3722CF" w14:paraId="2587C42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9F5C1B" w14:textId="77777777" w:rsidR="003722CF" w:rsidRDefault="00411668">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9D504D"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E614E"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3722CF" w14:paraId="104F5EA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DE031" w14:textId="77777777" w:rsidR="003722CF" w:rsidRDefault="00411668">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0E9C94"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99BF5E"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7B9E17C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EFF168" w14:textId="77777777" w:rsidR="003722CF" w:rsidRDefault="00411668">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0D057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97622C"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501429B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45AA1"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5CB32"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212EFA"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3251C69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1969E"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4C0144"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96DAF"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4CE6530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B630C"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5389F1"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DFC070"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7A60EA87"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0BA17C" w14:textId="77777777" w:rsidR="003722CF" w:rsidRDefault="00411668">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EF481" w14:textId="77777777" w:rsidR="003722CF" w:rsidRDefault="00411668">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6C644" w14:textId="77777777" w:rsidR="003722CF" w:rsidRDefault="00411668">
            <w:pPr>
              <w:pStyle w:val="Standard"/>
              <w:widowControl w:val="0"/>
              <w:jc w:val="right"/>
              <w:rPr>
                <w:rFonts w:cs="DIN Pro Regular"/>
                <w:sz w:val="20"/>
                <w:szCs w:val="20"/>
              </w:rPr>
            </w:pPr>
            <w:r>
              <w:rPr>
                <w:rFonts w:cs="DIN Pro Regular"/>
                <w:sz w:val="20"/>
                <w:szCs w:val="20"/>
              </w:rPr>
              <w:t>0</w:t>
            </w:r>
          </w:p>
        </w:tc>
      </w:tr>
      <w:tr w:rsidR="003722CF" w14:paraId="032B1CF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123659"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BF789"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13F857"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75B99B6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1FC6E" w14:textId="77777777" w:rsidR="003722CF" w:rsidRDefault="00411668">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3DC840" w14:textId="77777777" w:rsidR="003722CF" w:rsidRDefault="00411668">
            <w:pPr>
              <w:pStyle w:val="Standard"/>
              <w:widowControl w:val="0"/>
              <w:spacing w:after="101" w:line="224" w:lineRule="exact"/>
              <w:jc w:val="right"/>
              <w:rPr>
                <w:rFonts w:eastAsia="Times New Roman" w:cs="DIN Pro Regular"/>
                <w:b/>
                <w:sz w:val="18"/>
                <w:szCs w:val="18"/>
                <w:lang w:eastAsia="es-ES"/>
              </w:rPr>
            </w:pPr>
            <w:r>
              <w:rPr>
                <w:rFonts w:eastAsia="Times New Roman" w:cs="DIN Pro Regular"/>
                <w:b/>
                <w:sz w:val="18"/>
                <w:szCs w:val="18"/>
                <w:lang w:eastAsia="es-ES"/>
              </w:rPr>
              <w:t>2,259,396</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382A40"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54,520</w:t>
            </w:r>
          </w:p>
        </w:tc>
      </w:tr>
      <w:tr w:rsidR="003722CF" w14:paraId="3863A08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8BF3E4"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186FA2" w14:textId="77777777" w:rsidR="003722CF" w:rsidRDefault="00411668">
            <w:pPr>
              <w:pStyle w:val="Standard"/>
              <w:widowControl w:val="0"/>
              <w:spacing w:after="101" w:line="224" w:lineRule="exact"/>
              <w:jc w:val="right"/>
              <w:rPr>
                <w:rFonts w:eastAsia="Times New Roman" w:cs="DIN Pro Regular"/>
                <w:sz w:val="18"/>
                <w:szCs w:val="18"/>
                <w:lang w:eastAsia="es-ES"/>
              </w:rPr>
            </w:pPr>
            <w:r>
              <w:rPr>
                <w:rFonts w:eastAsia="Times New Roman" w:cs="DIN Pro Regular"/>
                <w:sz w:val="18"/>
                <w:szCs w:val="18"/>
                <w:lang w:eastAsia="es-ES"/>
              </w:rPr>
              <w:t>1,542,160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7F72CA"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54,520</w:t>
            </w:r>
          </w:p>
        </w:tc>
      </w:tr>
      <w:tr w:rsidR="003722CF" w14:paraId="5ED2E8F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21928"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Mobiliario y Equipo </w:t>
            </w:r>
            <w:r>
              <w:rPr>
                <w:rFonts w:eastAsia="Times New Roman" w:cs="DIN Pro Regular"/>
                <w:sz w:val="20"/>
                <w:szCs w:val="20"/>
                <w:lang w:eastAsia="es-ES"/>
              </w:rPr>
              <w:t>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5C03A1"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58,000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03E0C5"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1BB0F4C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4122D3"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E1EE97"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8AECF2"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6CC8303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AC4419"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54F0"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532,100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705DB8"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7D2A8B8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EE75B0"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5B45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4011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053B3C2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7680C"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F8294"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14906"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4B79656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071C0"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Colecciones, Obras de Arte y Objetos </w:t>
            </w:r>
            <w:r>
              <w:rPr>
                <w:rFonts w:eastAsia="Times New Roman" w:cs="DIN Pro Regular"/>
                <w:sz w:val="20"/>
                <w:szCs w:val="20"/>
                <w:lang w:eastAsia="es-ES"/>
              </w:rPr>
              <w:t>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89FB3"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3384C5"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26BA272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36F6B"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6174A"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F84D4B"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31F7685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7D45D5" w14:textId="77777777" w:rsidR="003722CF" w:rsidRDefault="00411668">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ECD279" w14:textId="77777777" w:rsidR="003722CF" w:rsidRDefault="00411668">
            <w:pPr>
              <w:pStyle w:val="Standard"/>
              <w:widowControl w:val="0"/>
              <w:spacing w:after="101" w:line="224" w:lineRule="exact"/>
              <w:jc w:val="center"/>
            </w:pPr>
            <w:r>
              <w:rPr>
                <w:rFonts w:eastAsia="Times New Roman" w:cs="DIN Pro Regular"/>
                <w:sz w:val="18"/>
                <w:szCs w:val="18"/>
                <w:lang w:eastAsia="es-ES"/>
              </w:rPr>
              <w:t>1</w:t>
            </w:r>
            <w:r>
              <w:rPr>
                <w:rFonts w:eastAsia="Times New Roman" w:cs="DIN Pro Regular"/>
                <w:sz w:val="20"/>
                <w:szCs w:val="20"/>
                <w:lang w:eastAsia="es-ES"/>
              </w:rPr>
              <w:t>27,136</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3A7C" w14:textId="77777777" w:rsidR="003722CF" w:rsidRDefault="00411668">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722CF" w14:paraId="580ECBD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69808D"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75A9F8" w14:textId="77777777" w:rsidR="003722CF" w:rsidRDefault="00411668">
            <w:pPr>
              <w:pStyle w:val="Standard"/>
              <w:widowControl w:val="0"/>
              <w:spacing w:after="101" w:line="224" w:lineRule="exact"/>
              <w:jc w:val="right"/>
              <w:rPr>
                <w:rFonts w:eastAsia="Times New Roman" w:cs="DIN Pro Regular"/>
                <w:b/>
                <w:sz w:val="18"/>
                <w:szCs w:val="18"/>
                <w:lang w:eastAsia="es-ES"/>
              </w:rPr>
            </w:pPr>
            <w:r>
              <w:rPr>
                <w:rFonts w:eastAsia="Times New Roman" w:cs="DIN Pro Regular"/>
                <w:b/>
                <w:sz w:val="18"/>
                <w:szCs w:val="18"/>
                <w:lang w:eastAsia="es-ES"/>
              </w:rPr>
              <w:t>2,259,396</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06559A" w14:textId="77777777" w:rsidR="003722CF" w:rsidRDefault="00411668">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54,520</w:t>
            </w:r>
          </w:p>
        </w:tc>
      </w:tr>
    </w:tbl>
    <w:p w14:paraId="4AAFABBC" w14:textId="77777777" w:rsidR="003722CF" w:rsidRDefault="003722CF">
      <w:pPr>
        <w:pStyle w:val="ROMANOS"/>
        <w:spacing w:after="0" w:line="240" w:lineRule="exact"/>
        <w:ind w:left="1140"/>
        <w:rPr>
          <w:rFonts w:ascii="Calibri" w:hAnsi="Calibri" w:cs="DIN Pro Regular"/>
          <w:b/>
          <w:sz w:val="20"/>
          <w:szCs w:val="20"/>
          <w:lang w:val="es-MX"/>
        </w:rPr>
      </w:pPr>
    </w:p>
    <w:p w14:paraId="505C2BF4" w14:textId="77777777" w:rsidR="003722CF" w:rsidRDefault="003722CF">
      <w:pPr>
        <w:pStyle w:val="ROMANOS"/>
        <w:spacing w:after="0" w:line="240" w:lineRule="exact"/>
        <w:ind w:left="1140"/>
        <w:rPr>
          <w:rFonts w:ascii="Calibri" w:hAnsi="Calibri" w:cs="DIN Pro Regular"/>
          <w:b/>
          <w:sz w:val="20"/>
          <w:szCs w:val="20"/>
          <w:lang w:val="es-MX"/>
        </w:rPr>
      </w:pPr>
    </w:p>
    <w:p w14:paraId="7B0F159D" w14:textId="77777777" w:rsidR="003722CF" w:rsidRDefault="003722CF">
      <w:pPr>
        <w:pStyle w:val="ROMANOS"/>
        <w:spacing w:after="0" w:line="240" w:lineRule="exact"/>
        <w:ind w:left="1140"/>
        <w:rPr>
          <w:rFonts w:ascii="Calibri" w:hAnsi="Calibri" w:cs="DIN Pro Regular"/>
          <w:b/>
          <w:sz w:val="20"/>
          <w:szCs w:val="20"/>
          <w:lang w:val="es-MX"/>
        </w:rPr>
      </w:pPr>
    </w:p>
    <w:p w14:paraId="0CBD3068" w14:textId="77777777" w:rsidR="003722CF" w:rsidRDefault="003722CF">
      <w:pPr>
        <w:pStyle w:val="ROMANOS"/>
        <w:spacing w:after="0" w:line="240" w:lineRule="exact"/>
        <w:ind w:left="1140"/>
        <w:rPr>
          <w:rFonts w:ascii="Calibri" w:hAnsi="Calibri" w:cs="DIN Pro Regular"/>
          <w:b/>
          <w:sz w:val="20"/>
          <w:szCs w:val="20"/>
          <w:lang w:val="es-MX"/>
        </w:rPr>
      </w:pPr>
    </w:p>
    <w:p w14:paraId="50F6CFBC" w14:textId="77777777" w:rsidR="003722CF" w:rsidRDefault="003722CF">
      <w:pPr>
        <w:pStyle w:val="ROMANOS"/>
        <w:spacing w:after="0" w:line="240" w:lineRule="exact"/>
        <w:ind w:left="1140"/>
        <w:rPr>
          <w:rFonts w:ascii="Calibri" w:hAnsi="Calibri" w:cs="DIN Pro Regular"/>
          <w:b/>
          <w:sz w:val="20"/>
          <w:szCs w:val="20"/>
          <w:lang w:val="es-MX"/>
        </w:rPr>
      </w:pPr>
    </w:p>
    <w:p w14:paraId="278C43DA" w14:textId="77777777" w:rsidR="003722CF" w:rsidRDefault="003722CF">
      <w:pPr>
        <w:pStyle w:val="ROMANOS"/>
        <w:spacing w:after="0" w:line="240" w:lineRule="exact"/>
        <w:ind w:left="1140"/>
        <w:rPr>
          <w:rFonts w:ascii="Calibri" w:hAnsi="Calibri" w:cs="DIN Pro Regular"/>
          <w:b/>
          <w:sz w:val="20"/>
          <w:szCs w:val="20"/>
          <w:lang w:val="es-MX"/>
        </w:rPr>
      </w:pPr>
    </w:p>
    <w:p w14:paraId="4B13D2E5" w14:textId="77777777" w:rsidR="003722CF" w:rsidRDefault="003722CF">
      <w:pPr>
        <w:pStyle w:val="ROMANOS"/>
        <w:spacing w:after="0" w:line="240" w:lineRule="exact"/>
        <w:ind w:left="0" w:firstLine="0"/>
        <w:rPr>
          <w:rFonts w:ascii="Calibri" w:hAnsi="Calibri" w:cs="DIN Pro Regular"/>
          <w:b/>
          <w:sz w:val="20"/>
          <w:szCs w:val="20"/>
          <w:lang w:val="es-MX"/>
        </w:rPr>
      </w:pPr>
    </w:p>
    <w:p w14:paraId="528E66B8" w14:textId="77777777" w:rsidR="003722CF" w:rsidRDefault="003722CF">
      <w:pPr>
        <w:pStyle w:val="ROMANOS"/>
        <w:spacing w:after="0" w:line="240" w:lineRule="exact"/>
        <w:ind w:left="1140"/>
        <w:rPr>
          <w:rFonts w:ascii="Calibri" w:hAnsi="Calibri" w:cs="DIN Pro Regular"/>
          <w:b/>
          <w:sz w:val="20"/>
          <w:szCs w:val="20"/>
          <w:lang w:val="es-MX"/>
        </w:rPr>
      </w:pPr>
    </w:p>
    <w:p w14:paraId="3C077E48" w14:textId="77777777" w:rsidR="003722CF" w:rsidRDefault="003722CF">
      <w:pPr>
        <w:pStyle w:val="ROMANOS"/>
        <w:spacing w:after="0" w:line="240" w:lineRule="exact"/>
        <w:ind w:left="1140"/>
        <w:rPr>
          <w:rFonts w:ascii="Calibri" w:hAnsi="Calibri" w:cs="DIN Pro Regular"/>
          <w:b/>
          <w:sz w:val="20"/>
          <w:szCs w:val="20"/>
          <w:lang w:val="es-MX"/>
        </w:rPr>
      </w:pPr>
    </w:p>
    <w:p w14:paraId="0684570B" w14:textId="77777777" w:rsidR="003722CF" w:rsidRDefault="003722CF">
      <w:pPr>
        <w:pStyle w:val="ROMANOS"/>
        <w:spacing w:after="0" w:line="240" w:lineRule="exact"/>
        <w:ind w:left="1140"/>
        <w:rPr>
          <w:rFonts w:ascii="Calibri" w:hAnsi="Calibri" w:cs="DIN Pro Regular"/>
          <w:b/>
          <w:sz w:val="20"/>
          <w:szCs w:val="20"/>
          <w:lang w:val="es-MX"/>
        </w:rPr>
      </w:pPr>
    </w:p>
    <w:p w14:paraId="1E0BEE08" w14:textId="77777777" w:rsidR="003722CF" w:rsidRDefault="003722CF">
      <w:pPr>
        <w:pStyle w:val="ROMANOS"/>
        <w:spacing w:after="0" w:line="240" w:lineRule="exact"/>
        <w:ind w:left="1140"/>
        <w:rPr>
          <w:rFonts w:ascii="Calibri" w:hAnsi="Calibri" w:cs="DIN Pro Regular"/>
          <w:b/>
          <w:sz w:val="20"/>
          <w:szCs w:val="20"/>
          <w:lang w:val="es-MX"/>
        </w:rPr>
      </w:pPr>
    </w:p>
    <w:p w14:paraId="4AB762C0" w14:textId="77777777" w:rsidR="003722CF" w:rsidRDefault="00411668">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 xml:space="preserve">Conciliación de los Flujos de Efectivo Netos de las Actividades de Operación y la cuenta de Ahorro/Desahorro antes de Rubros </w:t>
      </w:r>
      <w:r>
        <w:rPr>
          <w:rFonts w:ascii="Calibri" w:hAnsi="Calibri" w:cs="DIN Pro Regular"/>
          <w:sz w:val="20"/>
          <w:szCs w:val="20"/>
          <w:lang w:val="es-MX"/>
        </w:rPr>
        <w:t>Extraordinarios:</w:t>
      </w:r>
    </w:p>
    <w:p w14:paraId="78544247" w14:textId="77777777" w:rsidR="003722CF" w:rsidRDefault="003722CF">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3722CF" w14:paraId="44117E8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7F9886" w14:textId="77777777" w:rsidR="003722CF" w:rsidRDefault="003722CF">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0B3AE6" w14:textId="77777777" w:rsidR="003722CF" w:rsidRDefault="00411668">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6DF6AD1" w14:textId="77777777" w:rsidR="003722CF" w:rsidRDefault="00411668">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3722CF" w14:paraId="7A5DE53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311B59" w14:textId="77777777" w:rsidR="003722CF" w:rsidRDefault="00411668">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318A5" w14:textId="77777777" w:rsidR="003722CF" w:rsidRDefault="00411668">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2,382,541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560C3" w14:textId="77777777" w:rsidR="003722CF" w:rsidRDefault="00411668">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145,250</w:t>
            </w:r>
          </w:p>
        </w:tc>
      </w:tr>
      <w:tr w:rsidR="003722CF" w14:paraId="03E3B5F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2E6628"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121953"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24450"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722CF" w14:paraId="3C3803D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C96760"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8FBE1E"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89,844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7D627C"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13,773</w:t>
            </w:r>
          </w:p>
        </w:tc>
      </w:tr>
      <w:tr w:rsidR="003722CF" w14:paraId="6F6E874C"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F926CD"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52676E"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56C272"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722CF" w14:paraId="36AC087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9606C"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050C23"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143,422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F9320"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352,235</w:t>
            </w:r>
          </w:p>
        </w:tc>
      </w:tr>
      <w:tr w:rsidR="003722CF" w14:paraId="0EE1D1CC"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CEA9C3"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53451B"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8ED72D"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722CF" w14:paraId="68FDBB38"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A4552" w14:textId="77777777" w:rsidR="003722CF" w:rsidRDefault="00411668">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8215D5"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8C6B51"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722CF" w14:paraId="1AA17C7D"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44768"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4487B"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(286,844)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CD7F82"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(283,157)</w:t>
            </w:r>
          </w:p>
        </w:tc>
      </w:tr>
      <w:tr w:rsidR="003722CF" w14:paraId="7F27CE58"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318E38" w14:textId="77777777" w:rsidR="003722CF" w:rsidRDefault="00411668">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29C6C5"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(36,331)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B57E6"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722CF" w14:paraId="437DFF14"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40439" w14:textId="77777777" w:rsidR="003722CF" w:rsidRDefault="00411668">
            <w:pPr>
              <w:pStyle w:val="Text"/>
              <w:widowControl w:val="0"/>
              <w:spacing w:after="0" w:line="240" w:lineRule="exact"/>
              <w:ind w:firstLine="0"/>
              <w:rPr>
                <w:rFonts w:ascii="Calibri" w:hAnsi="Calibri" w:cs="DIN Pro Regular"/>
                <w:b/>
                <w:sz w:val="20"/>
              </w:rPr>
            </w:pPr>
            <w:r>
              <w:rPr>
                <w:rFonts w:ascii="Calibri" w:hAnsi="Calibri" w:cs="DIN Pro Regular"/>
                <w:b/>
                <w:sz w:val="20"/>
              </w:rPr>
              <w:t xml:space="preserve">Flujos de </w:t>
            </w:r>
            <w:r>
              <w:rPr>
                <w:rFonts w:ascii="Calibri" w:hAnsi="Calibri" w:cs="DIN Pro Regular"/>
                <w:b/>
                <w:sz w:val="20"/>
              </w:rPr>
              <w:t>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2DB18"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2,292,632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5C0022" w14:textId="77777777" w:rsidR="003722CF" w:rsidRDefault="00411668">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228,111</w:t>
            </w:r>
          </w:p>
        </w:tc>
      </w:tr>
    </w:tbl>
    <w:p w14:paraId="53AF7D4D" w14:textId="77777777" w:rsidR="003722CF" w:rsidRDefault="003722CF">
      <w:pPr>
        <w:pStyle w:val="ROMANOS"/>
        <w:spacing w:after="0" w:line="240" w:lineRule="exact"/>
        <w:ind w:left="1140"/>
        <w:rPr>
          <w:rFonts w:ascii="Calibri" w:hAnsi="Calibri" w:cs="DIN Pro Regular"/>
          <w:b/>
          <w:sz w:val="20"/>
          <w:szCs w:val="20"/>
          <w:lang w:val="es-MX"/>
        </w:rPr>
      </w:pPr>
    </w:p>
    <w:p w14:paraId="0E66E76A" w14:textId="77777777" w:rsidR="003722CF" w:rsidRDefault="003722CF">
      <w:pPr>
        <w:pStyle w:val="ROMANOS"/>
        <w:spacing w:after="0" w:line="240" w:lineRule="exact"/>
        <w:ind w:left="1140"/>
        <w:rPr>
          <w:rFonts w:ascii="Calibri" w:hAnsi="Calibri" w:cs="DIN Pro Regular"/>
          <w:b/>
          <w:sz w:val="20"/>
          <w:szCs w:val="20"/>
          <w:lang w:val="es-MX"/>
        </w:rPr>
      </w:pPr>
    </w:p>
    <w:p w14:paraId="1CC88B53" w14:textId="77777777" w:rsidR="003722CF" w:rsidRDefault="003722CF">
      <w:pPr>
        <w:pStyle w:val="INCISO"/>
        <w:spacing w:after="0" w:line="240" w:lineRule="exact"/>
        <w:ind w:left="360"/>
        <w:rPr>
          <w:rFonts w:ascii="Calibri" w:hAnsi="Calibri" w:cs="DIN Pro Regular"/>
          <w:b/>
          <w:smallCaps/>
          <w:sz w:val="20"/>
          <w:szCs w:val="20"/>
        </w:rPr>
      </w:pPr>
    </w:p>
    <w:p w14:paraId="5495C35F" w14:textId="77777777" w:rsidR="003722CF" w:rsidRDefault="003722CF">
      <w:pPr>
        <w:pStyle w:val="INCISO"/>
        <w:spacing w:after="0" w:line="240" w:lineRule="exact"/>
        <w:ind w:left="360"/>
        <w:rPr>
          <w:rFonts w:ascii="Calibri" w:hAnsi="Calibri" w:cs="DIN Pro Regular"/>
          <w:b/>
          <w:smallCaps/>
          <w:sz w:val="20"/>
          <w:szCs w:val="20"/>
        </w:rPr>
      </w:pPr>
    </w:p>
    <w:p w14:paraId="1074F3A6" w14:textId="77777777" w:rsidR="003722CF" w:rsidRDefault="003722CF">
      <w:pPr>
        <w:pStyle w:val="INCISO"/>
        <w:spacing w:after="0" w:line="240" w:lineRule="exact"/>
        <w:ind w:left="360"/>
        <w:rPr>
          <w:rFonts w:ascii="Calibri" w:hAnsi="Calibri" w:cs="DIN Pro Regular"/>
          <w:b/>
          <w:smallCaps/>
          <w:sz w:val="20"/>
          <w:szCs w:val="20"/>
        </w:rPr>
      </w:pPr>
    </w:p>
    <w:p w14:paraId="71B3DC80" w14:textId="77777777" w:rsidR="003722CF" w:rsidRDefault="003722CF">
      <w:pPr>
        <w:pStyle w:val="INCISO"/>
        <w:spacing w:after="0" w:line="240" w:lineRule="exact"/>
        <w:ind w:left="360"/>
        <w:rPr>
          <w:rFonts w:ascii="Calibri" w:hAnsi="Calibri" w:cs="DIN Pro Regular"/>
          <w:b/>
          <w:smallCaps/>
          <w:sz w:val="20"/>
          <w:szCs w:val="20"/>
        </w:rPr>
      </w:pPr>
    </w:p>
    <w:p w14:paraId="1C1F195B" w14:textId="77777777" w:rsidR="003722CF" w:rsidRDefault="003722CF">
      <w:pPr>
        <w:pStyle w:val="INCISO"/>
        <w:spacing w:after="0" w:line="240" w:lineRule="exact"/>
        <w:ind w:left="360"/>
        <w:rPr>
          <w:rFonts w:ascii="Calibri" w:hAnsi="Calibri" w:cs="DIN Pro Regular"/>
          <w:b/>
          <w:smallCaps/>
          <w:sz w:val="20"/>
          <w:szCs w:val="20"/>
        </w:rPr>
      </w:pPr>
    </w:p>
    <w:p w14:paraId="701C7F76" w14:textId="77777777" w:rsidR="003722CF" w:rsidRDefault="003722CF">
      <w:pPr>
        <w:pStyle w:val="INCISO"/>
        <w:spacing w:after="0" w:line="240" w:lineRule="exact"/>
        <w:ind w:left="360"/>
        <w:rPr>
          <w:rFonts w:ascii="Calibri" w:hAnsi="Calibri" w:cs="DIN Pro Regular"/>
          <w:b/>
          <w:smallCaps/>
          <w:sz w:val="20"/>
          <w:szCs w:val="20"/>
        </w:rPr>
      </w:pPr>
    </w:p>
    <w:p w14:paraId="1052D60B" w14:textId="77777777" w:rsidR="003722CF" w:rsidRDefault="003722CF">
      <w:pPr>
        <w:pStyle w:val="INCISO"/>
        <w:spacing w:after="0" w:line="240" w:lineRule="exact"/>
        <w:ind w:left="360"/>
        <w:rPr>
          <w:rFonts w:ascii="Calibri" w:hAnsi="Calibri" w:cs="DIN Pro Regular"/>
          <w:b/>
          <w:smallCaps/>
          <w:sz w:val="20"/>
          <w:szCs w:val="20"/>
        </w:rPr>
      </w:pPr>
    </w:p>
    <w:p w14:paraId="54EA275B" w14:textId="77777777" w:rsidR="003722CF" w:rsidRDefault="003722CF">
      <w:pPr>
        <w:pStyle w:val="INCISO"/>
        <w:spacing w:after="0" w:line="240" w:lineRule="exact"/>
        <w:ind w:left="360"/>
        <w:rPr>
          <w:rFonts w:ascii="Calibri" w:hAnsi="Calibri" w:cs="DIN Pro Regular"/>
          <w:b/>
          <w:smallCaps/>
          <w:sz w:val="20"/>
          <w:szCs w:val="20"/>
        </w:rPr>
      </w:pPr>
    </w:p>
    <w:p w14:paraId="35F4B336" w14:textId="77777777" w:rsidR="003722CF" w:rsidRDefault="003722CF">
      <w:pPr>
        <w:pStyle w:val="INCISO"/>
        <w:spacing w:after="0" w:line="240" w:lineRule="exact"/>
        <w:ind w:left="360"/>
        <w:rPr>
          <w:rFonts w:ascii="Calibri" w:hAnsi="Calibri" w:cs="DIN Pro Regular"/>
          <w:b/>
          <w:smallCaps/>
          <w:sz w:val="20"/>
          <w:szCs w:val="20"/>
        </w:rPr>
      </w:pPr>
    </w:p>
    <w:p w14:paraId="078C00B4" w14:textId="77777777" w:rsidR="003722CF" w:rsidRDefault="003722CF">
      <w:pPr>
        <w:pStyle w:val="INCISO"/>
        <w:spacing w:after="0" w:line="240" w:lineRule="exact"/>
        <w:ind w:left="360"/>
        <w:rPr>
          <w:rFonts w:ascii="Calibri" w:hAnsi="Calibri" w:cs="DIN Pro Regular"/>
          <w:b/>
          <w:smallCaps/>
          <w:sz w:val="20"/>
          <w:szCs w:val="20"/>
        </w:rPr>
      </w:pPr>
    </w:p>
    <w:p w14:paraId="2103A3F4" w14:textId="77777777" w:rsidR="003722CF" w:rsidRDefault="003722CF">
      <w:pPr>
        <w:pStyle w:val="INCISO"/>
        <w:spacing w:after="0" w:line="240" w:lineRule="exact"/>
        <w:ind w:left="360"/>
        <w:rPr>
          <w:rFonts w:ascii="Calibri" w:hAnsi="Calibri" w:cs="DIN Pro Regular"/>
          <w:b/>
          <w:smallCaps/>
          <w:sz w:val="20"/>
          <w:szCs w:val="20"/>
        </w:rPr>
      </w:pPr>
    </w:p>
    <w:p w14:paraId="23B581B6" w14:textId="77777777" w:rsidR="003722CF" w:rsidRDefault="003722CF">
      <w:pPr>
        <w:pStyle w:val="INCISO"/>
        <w:spacing w:after="0" w:line="240" w:lineRule="exact"/>
        <w:ind w:left="360"/>
        <w:rPr>
          <w:rFonts w:ascii="Calibri" w:hAnsi="Calibri" w:cs="DIN Pro Regular"/>
          <w:b/>
          <w:smallCaps/>
          <w:sz w:val="20"/>
          <w:szCs w:val="20"/>
        </w:rPr>
      </w:pPr>
    </w:p>
    <w:p w14:paraId="053DF432" w14:textId="77777777" w:rsidR="003722CF" w:rsidRDefault="003722CF">
      <w:pPr>
        <w:pStyle w:val="INCISO"/>
        <w:spacing w:after="0" w:line="240" w:lineRule="exact"/>
        <w:ind w:left="360"/>
        <w:rPr>
          <w:rFonts w:ascii="Calibri" w:hAnsi="Calibri" w:cs="DIN Pro Regular"/>
          <w:b/>
          <w:smallCaps/>
          <w:sz w:val="20"/>
          <w:szCs w:val="20"/>
        </w:rPr>
      </w:pPr>
    </w:p>
    <w:p w14:paraId="34CDC3CF" w14:textId="77777777" w:rsidR="003722CF" w:rsidRDefault="003722CF">
      <w:pPr>
        <w:pStyle w:val="INCISO"/>
        <w:spacing w:after="0" w:line="240" w:lineRule="exact"/>
        <w:ind w:left="360"/>
        <w:rPr>
          <w:rFonts w:ascii="Calibri" w:hAnsi="Calibri" w:cs="DIN Pro Regular"/>
          <w:b/>
          <w:smallCaps/>
          <w:sz w:val="20"/>
          <w:szCs w:val="20"/>
        </w:rPr>
      </w:pPr>
    </w:p>
    <w:p w14:paraId="54DDA507" w14:textId="77777777" w:rsidR="003722CF" w:rsidRDefault="003722CF">
      <w:pPr>
        <w:pStyle w:val="INCISO"/>
        <w:spacing w:after="0" w:line="240" w:lineRule="exact"/>
        <w:ind w:left="360"/>
        <w:rPr>
          <w:rFonts w:ascii="Calibri" w:hAnsi="Calibri" w:cs="DIN Pro Regular"/>
          <w:b/>
          <w:smallCaps/>
          <w:sz w:val="20"/>
          <w:szCs w:val="20"/>
        </w:rPr>
      </w:pPr>
    </w:p>
    <w:p w14:paraId="5610ECA9" w14:textId="77777777" w:rsidR="003722CF" w:rsidRDefault="003722CF">
      <w:pPr>
        <w:pStyle w:val="INCISO"/>
        <w:spacing w:after="0" w:line="240" w:lineRule="exact"/>
        <w:ind w:left="360"/>
        <w:rPr>
          <w:rFonts w:ascii="Calibri" w:hAnsi="Calibri" w:cs="DIN Pro Regular"/>
          <w:b/>
          <w:smallCaps/>
          <w:sz w:val="20"/>
          <w:szCs w:val="20"/>
        </w:rPr>
      </w:pPr>
    </w:p>
    <w:p w14:paraId="6253F78B" w14:textId="77777777" w:rsidR="003722CF" w:rsidRDefault="003722CF">
      <w:pPr>
        <w:pStyle w:val="INCISO"/>
        <w:spacing w:after="0" w:line="240" w:lineRule="exact"/>
        <w:ind w:left="360"/>
        <w:rPr>
          <w:rFonts w:ascii="Calibri" w:hAnsi="Calibri" w:cs="DIN Pro Regular"/>
          <w:b/>
          <w:smallCaps/>
          <w:sz w:val="20"/>
          <w:szCs w:val="20"/>
        </w:rPr>
      </w:pPr>
    </w:p>
    <w:p w14:paraId="4A4C7BC4" w14:textId="77777777" w:rsidR="003722CF" w:rsidRDefault="003722CF">
      <w:pPr>
        <w:pStyle w:val="INCISO"/>
        <w:spacing w:after="0" w:line="240" w:lineRule="exact"/>
        <w:ind w:left="360"/>
        <w:rPr>
          <w:rFonts w:ascii="Calibri" w:hAnsi="Calibri" w:cs="DIN Pro Regular"/>
          <w:b/>
          <w:smallCaps/>
          <w:sz w:val="20"/>
          <w:szCs w:val="20"/>
        </w:rPr>
      </w:pPr>
    </w:p>
    <w:p w14:paraId="7334FA19" w14:textId="77777777" w:rsidR="003722CF" w:rsidRDefault="003722CF">
      <w:pPr>
        <w:pStyle w:val="INCISO"/>
        <w:spacing w:after="0" w:line="240" w:lineRule="exact"/>
        <w:ind w:left="360"/>
        <w:rPr>
          <w:rFonts w:ascii="Calibri" w:hAnsi="Calibri" w:cs="DIN Pro Regular"/>
          <w:b/>
          <w:smallCaps/>
          <w:sz w:val="20"/>
          <w:szCs w:val="20"/>
        </w:rPr>
      </w:pPr>
    </w:p>
    <w:p w14:paraId="526B8080" w14:textId="77777777" w:rsidR="003722CF" w:rsidRDefault="003722CF">
      <w:pPr>
        <w:pStyle w:val="INCISO"/>
        <w:spacing w:after="0" w:line="240" w:lineRule="exact"/>
        <w:ind w:left="360"/>
        <w:rPr>
          <w:rFonts w:ascii="Calibri" w:hAnsi="Calibri" w:cs="DIN Pro Regular"/>
          <w:b/>
          <w:smallCaps/>
          <w:sz w:val="20"/>
          <w:szCs w:val="20"/>
        </w:rPr>
      </w:pPr>
    </w:p>
    <w:p w14:paraId="012D8C3D" w14:textId="77777777" w:rsidR="003722CF" w:rsidRDefault="003722CF">
      <w:pPr>
        <w:pStyle w:val="INCISO"/>
        <w:spacing w:after="0" w:line="240" w:lineRule="exact"/>
        <w:ind w:left="360"/>
        <w:rPr>
          <w:rFonts w:ascii="Calibri" w:hAnsi="Calibri" w:cs="DIN Pro Regular"/>
          <w:b/>
          <w:smallCaps/>
          <w:sz w:val="20"/>
          <w:szCs w:val="20"/>
        </w:rPr>
      </w:pPr>
    </w:p>
    <w:p w14:paraId="4B69BC8D" w14:textId="77777777" w:rsidR="003722CF" w:rsidRDefault="003722CF">
      <w:pPr>
        <w:pStyle w:val="INCISO"/>
        <w:spacing w:after="0" w:line="240" w:lineRule="exact"/>
        <w:ind w:left="360"/>
        <w:rPr>
          <w:rFonts w:ascii="Calibri" w:hAnsi="Calibri" w:cs="DIN Pro Regular"/>
          <w:b/>
          <w:smallCaps/>
          <w:sz w:val="20"/>
          <w:szCs w:val="20"/>
        </w:rPr>
      </w:pPr>
    </w:p>
    <w:p w14:paraId="32735680" w14:textId="77777777" w:rsidR="003722CF" w:rsidRDefault="003722CF">
      <w:pPr>
        <w:pStyle w:val="INCISO"/>
        <w:spacing w:after="0" w:line="240" w:lineRule="exact"/>
        <w:ind w:left="360"/>
        <w:rPr>
          <w:rFonts w:ascii="Calibri" w:hAnsi="Calibri" w:cs="DIN Pro Regular"/>
          <w:b/>
          <w:smallCaps/>
          <w:sz w:val="20"/>
          <w:szCs w:val="20"/>
        </w:rPr>
      </w:pPr>
    </w:p>
    <w:p w14:paraId="0DCA3350" w14:textId="77777777" w:rsidR="003722CF" w:rsidRDefault="003722CF">
      <w:pPr>
        <w:pStyle w:val="INCISO"/>
        <w:spacing w:after="0" w:line="240" w:lineRule="exact"/>
        <w:ind w:left="360"/>
        <w:rPr>
          <w:rFonts w:ascii="Calibri" w:hAnsi="Calibri" w:cs="DIN Pro Regular"/>
          <w:b/>
          <w:smallCaps/>
          <w:sz w:val="20"/>
          <w:szCs w:val="20"/>
        </w:rPr>
      </w:pPr>
    </w:p>
    <w:p w14:paraId="211F2A21" w14:textId="77777777" w:rsidR="003722CF" w:rsidRDefault="003722CF">
      <w:pPr>
        <w:pStyle w:val="INCISO"/>
        <w:spacing w:after="0" w:line="240" w:lineRule="exact"/>
        <w:ind w:left="360"/>
        <w:rPr>
          <w:rFonts w:ascii="Calibri" w:hAnsi="Calibri" w:cs="DIN Pro Regular"/>
          <w:b/>
          <w:smallCaps/>
          <w:sz w:val="20"/>
          <w:szCs w:val="20"/>
        </w:rPr>
      </w:pPr>
    </w:p>
    <w:p w14:paraId="439FF1F4" w14:textId="77777777" w:rsidR="003722CF" w:rsidRDefault="003722CF">
      <w:pPr>
        <w:pStyle w:val="INCISO"/>
        <w:spacing w:after="0" w:line="240" w:lineRule="exact"/>
        <w:ind w:left="360"/>
        <w:rPr>
          <w:rFonts w:ascii="Calibri" w:hAnsi="Calibri" w:cs="DIN Pro Regular"/>
          <w:b/>
          <w:smallCaps/>
          <w:sz w:val="20"/>
          <w:szCs w:val="20"/>
        </w:rPr>
      </w:pPr>
    </w:p>
    <w:p w14:paraId="6A11FFCB" w14:textId="77777777" w:rsidR="003722CF" w:rsidRDefault="003722CF">
      <w:pPr>
        <w:pStyle w:val="INCISO"/>
        <w:spacing w:after="0" w:line="240" w:lineRule="exact"/>
        <w:ind w:left="360"/>
        <w:rPr>
          <w:rFonts w:ascii="Calibri" w:hAnsi="Calibri" w:cs="DIN Pro Regular"/>
          <w:b/>
          <w:smallCaps/>
          <w:sz w:val="20"/>
          <w:szCs w:val="20"/>
        </w:rPr>
      </w:pPr>
    </w:p>
    <w:p w14:paraId="4F8F0D00" w14:textId="77777777" w:rsidR="003722CF" w:rsidRDefault="003722CF">
      <w:pPr>
        <w:pStyle w:val="INCISO"/>
        <w:spacing w:after="0" w:line="240" w:lineRule="exact"/>
        <w:ind w:left="360"/>
        <w:rPr>
          <w:rFonts w:ascii="Calibri" w:hAnsi="Calibri" w:cs="DIN Pro Regular"/>
          <w:b/>
          <w:smallCaps/>
          <w:sz w:val="20"/>
          <w:szCs w:val="20"/>
        </w:rPr>
      </w:pPr>
    </w:p>
    <w:p w14:paraId="3DF29550" w14:textId="77777777" w:rsidR="003722CF" w:rsidRDefault="003722CF">
      <w:pPr>
        <w:pStyle w:val="INCISO"/>
        <w:spacing w:after="0" w:line="240" w:lineRule="exact"/>
        <w:ind w:left="360"/>
        <w:rPr>
          <w:rFonts w:ascii="Calibri" w:hAnsi="Calibri" w:cs="DIN Pro Regular"/>
          <w:b/>
          <w:smallCaps/>
          <w:sz w:val="20"/>
          <w:szCs w:val="20"/>
        </w:rPr>
      </w:pPr>
    </w:p>
    <w:p w14:paraId="1E56EF83" w14:textId="77777777" w:rsidR="003722CF" w:rsidRDefault="003722CF">
      <w:pPr>
        <w:pStyle w:val="INCISO"/>
        <w:spacing w:after="0" w:line="240" w:lineRule="exact"/>
        <w:ind w:left="360"/>
        <w:rPr>
          <w:rFonts w:ascii="Calibri" w:hAnsi="Calibri" w:cs="DIN Pro Regular"/>
          <w:b/>
          <w:smallCaps/>
          <w:sz w:val="20"/>
          <w:szCs w:val="20"/>
        </w:rPr>
      </w:pPr>
    </w:p>
    <w:p w14:paraId="082F3914" w14:textId="77777777" w:rsidR="003722CF" w:rsidRDefault="003722CF">
      <w:pPr>
        <w:pStyle w:val="INCISO"/>
        <w:spacing w:after="0" w:line="240" w:lineRule="exact"/>
        <w:ind w:left="360"/>
        <w:rPr>
          <w:rFonts w:ascii="Calibri" w:hAnsi="Calibri" w:cs="DIN Pro Regular"/>
          <w:b/>
          <w:smallCaps/>
          <w:sz w:val="20"/>
          <w:szCs w:val="20"/>
        </w:rPr>
      </w:pPr>
    </w:p>
    <w:p w14:paraId="16AD687E" w14:textId="77777777" w:rsidR="003722CF" w:rsidRDefault="003722CF">
      <w:pPr>
        <w:pStyle w:val="INCISO"/>
        <w:spacing w:after="0" w:line="240" w:lineRule="exact"/>
        <w:ind w:left="360"/>
        <w:rPr>
          <w:rFonts w:ascii="Calibri" w:hAnsi="Calibri" w:cs="DIN Pro Regular"/>
          <w:b/>
          <w:smallCaps/>
          <w:sz w:val="20"/>
          <w:szCs w:val="20"/>
        </w:rPr>
      </w:pPr>
    </w:p>
    <w:p w14:paraId="158E7468" w14:textId="77777777" w:rsidR="003722CF" w:rsidRDefault="003722CF">
      <w:pPr>
        <w:pStyle w:val="INCISO"/>
        <w:spacing w:after="0" w:line="240" w:lineRule="exact"/>
        <w:ind w:left="360"/>
        <w:rPr>
          <w:rFonts w:ascii="Calibri" w:hAnsi="Calibri" w:cs="DIN Pro Regular"/>
          <w:b/>
          <w:smallCaps/>
          <w:sz w:val="20"/>
          <w:szCs w:val="20"/>
        </w:rPr>
      </w:pPr>
    </w:p>
    <w:p w14:paraId="151469F7" w14:textId="77777777" w:rsidR="003722CF" w:rsidRDefault="003722CF">
      <w:pPr>
        <w:pStyle w:val="INCISO"/>
        <w:spacing w:after="0" w:line="240" w:lineRule="exact"/>
        <w:ind w:left="360"/>
        <w:rPr>
          <w:rFonts w:ascii="Calibri" w:hAnsi="Calibri" w:cs="DIN Pro Regular"/>
          <w:b/>
          <w:smallCaps/>
          <w:sz w:val="20"/>
          <w:szCs w:val="20"/>
        </w:rPr>
      </w:pPr>
    </w:p>
    <w:p w14:paraId="4B31D457" w14:textId="77777777" w:rsidR="003722CF" w:rsidRDefault="003722CF">
      <w:pPr>
        <w:pStyle w:val="INCISO"/>
        <w:spacing w:after="0" w:line="240" w:lineRule="exact"/>
        <w:ind w:left="360"/>
        <w:rPr>
          <w:rFonts w:ascii="Calibri" w:hAnsi="Calibri" w:cs="DIN Pro Regular"/>
          <w:b/>
          <w:smallCaps/>
          <w:sz w:val="20"/>
          <w:szCs w:val="20"/>
        </w:rPr>
      </w:pPr>
    </w:p>
    <w:p w14:paraId="51ABDC81" w14:textId="77777777" w:rsidR="003722CF" w:rsidRDefault="00411668">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493724F8" w14:textId="77777777" w:rsidR="003722CF" w:rsidRDefault="003722CF">
      <w:pPr>
        <w:pStyle w:val="INCISO"/>
        <w:spacing w:after="0" w:line="240" w:lineRule="exact"/>
        <w:ind w:left="360"/>
        <w:rPr>
          <w:rFonts w:ascii="Calibri" w:hAnsi="Calibri" w:cs="DIN Pro Regular"/>
          <w:b/>
          <w:smallCaps/>
          <w:sz w:val="20"/>
          <w:szCs w:val="20"/>
        </w:rPr>
      </w:pPr>
    </w:p>
    <w:p w14:paraId="63920B58" w14:textId="77777777" w:rsidR="003722CF" w:rsidRDefault="00411668">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E236280" wp14:editId="5E86B8D1">
                <wp:simplePos x="0" y="0"/>
                <wp:positionH relativeFrom="column">
                  <wp:posOffset>180978</wp:posOffset>
                </wp:positionH>
                <wp:positionV relativeFrom="paragraph">
                  <wp:posOffset>269235</wp:posOffset>
                </wp:positionV>
                <wp:extent cx="5531489" cy="6389370"/>
                <wp:effectExtent l="0" t="0" r="12061" b="11430"/>
                <wp:wrapSquare wrapText="bothSides"/>
                <wp:docPr id="778167023" name="Marco3"/>
                <wp:cNvGraphicFramePr/>
                <a:graphic xmlns:a="http://schemas.openxmlformats.org/drawingml/2006/main">
                  <a:graphicData uri="http://schemas.microsoft.com/office/word/2010/wordprocessingShape">
                    <wps:wsp>
                      <wps:cNvSpPr txBox="1"/>
                      <wps:spPr>
                        <a:xfrm>
                          <a:off x="0" y="0"/>
                          <a:ext cx="5531489" cy="6389370"/>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3722CF" w14:paraId="2A8EDC60"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959A130" w14:textId="77777777" w:rsidR="003722CF" w:rsidRDefault="00411668">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Metropolitano de Planeación del Sur de Tamaulipas</w:t>
                                  </w:r>
                                </w:p>
                              </w:tc>
                              <w:tc>
                                <w:tcPr>
                                  <w:tcW w:w="160" w:type="dxa"/>
                                  <w:shd w:val="clear" w:color="auto" w:fill="auto"/>
                                  <w:tcMar>
                                    <w:top w:w="0" w:type="dxa"/>
                                    <w:left w:w="70" w:type="dxa"/>
                                    <w:bottom w:w="0" w:type="dxa"/>
                                    <w:right w:w="70" w:type="dxa"/>
                                  </w:tcMar>
                                </w:tcPr>
                                <w:p w14:paraId="6E89765E" w14:textId="77777777" w:rsidR="003722CF" w:rsidRDefault="003722CF">
                                  <w:pPr>
                                    <w:pStyle w:val="Standard"/>
                                    <w:widowControl w:val="0"/>
                                  </w:pPr>
                                </w:p>
                              </w:tc>
                            </w:tr>
                            <w:tr w:rsidR="003722CF" w14:paraId="46EE7A5D"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A91BD4"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39D5C66" w14:textId="77777777" w:rsidR="003722CF" w:rsidRDefault="003722CF">
                                  <w:pPr>
                                    <w:pStyle w:val="Standard"/>
                                    <w:widowControl w:val="0"/>
                                  </w:pPr>
                                </w:p>
                              </w:tc>
                            </w:tr>
                            <w:tr w:rsidR="003722CF" w14:paraId="138A1685"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D91C4C"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51F79A2" w14:textId="77777777" w:rsidR="003722CF" w:rsidRDefault="003722CF">
                                  <w:pPr>
                                    <w:pStyle w:val="Standard"/>
                                    <w:widowControl w:val="0"/>
                                  </w:pPr>
                                </w:p>
                              </w:tc>
                            </w:tr>
                            <w:tr w:rsidR="003722CF" w14:paraId="69FC624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38E978D"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058CEA6" w14:textId="77777777" w:rsidR="003722CF" w:rsidRDefault="003722CF">
                                  <w:pPr>
                                    <w:pStyle w:val="Standard"/>
                                    <w:widowControl w:val="0"/>
                                  </w:pPr>
                                </w:p>
                              </w:tc>
                            </w:tr>
                            <w:tr w:rsidR="003722CF" w14:paraId="54DA542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2537C44" w14:textId="77777777" w:rsidR="003722CF" w:rsidRDefault="003722C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7D2F43A"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2F01F66"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0F16D17"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38F2C773" w14:textId="77777777" w:rsidR="003722CF" w:rsidRDefault="003722CF">
                                  <w:pPr>
                                    <w:pStyle w:val="Standard"/>
                                    <w:widowControl w:val="0"/>
                                  </w:pPr>
                                </w:p>
                              </w:tc>
                            </w:tr>
                            <w:tr w:rsidR="003722CF" w14:paraId="21900CD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DC348A"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D86514"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 </w:t>
                                  </w:r>
                                  <w:r>
                                    <w:rPr>
                                      <w:rFonts w:eastAsia="Times New Roman" w:cs="DIN Pro Regular"/>
                                      <w:b/>
                                      <w:color w:val="000000"/>
                                      <w:sz w:val="20"/>
                                      <w:szCs w:val="20"/>
                                      <w:lang w:eastAsia="es-MX"/>
                                    </w:rPr>
                                    <w:t>12,043,193</w:t>
                                  </w:r>
                                </w:p>
                              </w:tc>
                              <w:tc>
                                <w:tcPr>
                                  <w:tcW w:w="160" w:type="dxa"/>
                                  <w:shd w:val="clear" w:color="auto" w:fill="auto"/>
                                  <w:tcMar>
                                    <w:top w:w="0" w:type="dxa"/>
                                    <w:left w:w="70" w:type="dxa"/>
                                    <w:bottom w:w="0" w:type="dxa"/>
                                    <w:right w:w="70" w:type="dxa"/>
                                  </w:tcMar>
                                </w:tcPr>
                                <w:p w14:paraId="00AA8D08"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29F11A70" w14:textId="77777777" w:rsidR="003722CF" w:rsidRDefault="003722CF">
                                  <w:pPr>
                                    <w:pStyle w:val="Standard"/>
                                    <w:widowControl w:val="0"/>
                                  </w:pPr>
                                </w:p>
                              </w:tc>
                            </w:tr>
                            <w:tr w:rsidR="003722CF" w14:paraId="25AD87A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E48498A" w14:textId="77777777" w:rsidR="003722CF" w:rsidRDefault="003722C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639F748"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8D05392"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B22D209"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51E051C3" w14:textId="77777777" w:rsidR="003722CF" w:rsidRDefault="003722CF">
                                  <w:pPr>
                                    <w:pStyle w:val="Standard"/>
                                    <w:widowControl w:val="0"/>
                                  </w:pPr>
                                </w:p>
                              </w:tc>
                            </w:tr>
                            <w:tr w:rsidR="003722CF" w14:paraId="3A3D5B0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D3A2A13"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CDFEA"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w:t>
                                  </w:r>
                                </w:p>
                              </w:tc>
                              <w:tc>
                                <w:tcPr>
                                  <w:tcW w:w="160" w:type="dxa"/>
                                  <w:shd w:val="clear" w:color="auto" w:fill="auto"/>
                                  <w:tcMar>
                                    <w:top w:w="0" w:type="dxa"/>
                                    <w:left w:w="70" w:type="dxa"/>
                                    <w:bottom w:w="0" w:type="dxa"/>
                                    <w:right w:w="70" w:type="dxa"/>
                                  </w:tcMar>
                                </w:tcPr>
                                <w:p w14:paraId="6AD6D2A5"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4E5BFE73" w14:textId="77777777" w:rsidR="003722CF" w:rsidRDefault="003722CF">
                                  <w:pPr>
                                    <w:pStyle w:val="Standard"/>
                                    <w:widowControl w:val="0"/>
                                  </w:pPr>
                                </w:p>
                              </w:tc>
                            </w:tr>
                            <w:tr w:rsidR="003722CF" w14:paraId="5EB1597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D98F1A" w14:textId="77777777" w:rsidR="003722CF" w:rsidRDefault="00411668">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3D2CD"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CAF41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w:t>
                                  </w:r>
                                </w:p>
                              </w:tc>
                              <w:tc>
                                <w:tcPr>
                                  <w:tcW w:w="160" w:type="dxa"/>
                                  <w:shd w:val="clear" w:color="auto" w:fill="auto"/>
                                  <w:tcMar>
                                    <w:top w:w="0" w:type="dxa"/>
                                    <w:left w:w="70" w:type="dxa"/>
                                    <w:bottom w:w="0" w:type="dxa"/>
                                    <w:right w:w="70" w:type="dxa"/>
                                  </w:tcMar>
                                </w:tcPr>
                                <w:p w14:paraId="3A01F1BD"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77A3B706" w14:textId="77777777" w:rsidR="003722CF" w:rsidRDefault="003722CF">
                                  <w:pPr>
                                    <w:pStyle w:val="Standard"/>
                                    <w:widowControl w:val="0"/>
                                  </w:pPr>
                                </w:p>
                              </w:tc>
                            </w:tr>
                            <w:tr w:rsidR="003722CF" w14:paraId="69FC380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C10C0E"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F8644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2BE6E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F4660C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B9D33D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FDDD5A"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18EC1"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6E396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9D4CEF"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63239E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DB39E4"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48B7CB"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FCA06"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B63BDE"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45D060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92A814"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6E3A7"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985616"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2B4A5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8CCF102"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08D49" w14:textId="77777777" w:rsidR="003722CF" w:rsidRDefault="00411668">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3911D2"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E6D792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7C0C05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946A388"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5FC6F07"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03C121F"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8FFA0A"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0D78361D" w14:textId="77777777" w:rsidR="003722CF" w:rsidRDefault="003722CF">
                                  <w:pPr>
                                    <w:pStyle w:val="Standard"/>
                                    <w:widowControl w:val="0"/>
                                  </w:pPr>
                                </w:p>
                              </w:tc>
                            </w:tr>
                            <w:tr w:rsidR="003722CF" w14:paraId="2FA76FE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9FA03A"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283A6"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D114216"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0A21041D" w14:textId="77777777" w:rsidR="003722CF" w:rsidRDefault="003722CF">
                                  <w:pPr>
                                    <w:pStyle w:val="Standard"/>
                                    <w:widowControl w:val="0"/>
                                  </w:pPr>
                                </w:p>
                              </w:tc>
                            </w:tr>
                            <w:tr w:rsidR="003722CF" w14:paraId="7252AE5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7CC091"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F457BC"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D6B81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56025D1"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74977AE6" w14:textId="77777777" w:rsidR="003722CF" w:rsidRDefault="003722CF">
                                  <w:pPr>
                                    <w:pStyle w:val="Standard"/>
                                    <w:widowControl w:val="0"/>
                                  </w:pPr>
                                </w:p>
                              </w:tc>
                            </w:tr>
                            <w:tr w:rsidR="003722CF" w14:paraId="6BC0B56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F6D88E"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DEAC2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7F5BF0"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5F6E520"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366F3A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FCBDEF"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F619A"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01A60"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4A0AF0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12E1A89C"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F9D7D1F" w14:textId="77777777" w:rsidR="003722CF" w:rsidRDefault="003722CF">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7D5DDFB"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2B1F093"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5F67241F" w14:textId="77777777" w:rsidR="003722CF" w:rsidRDefault="003722CF">
                                  <w:pPr>
                                    <w:pStyle w:val="Standard"/>
                                    <w:widowControl w:val="0"/>
                                  </w:pPr>
                                </w:p>
                              </w:tc>
                            </w:tr>
                            <w:tr w:rsidR="003722CF" w14:paraId="40893E39"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60E18FF" w14:textId="77777777" w:rsidR="003722CF" w:rsidRDefault="00411668">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E1F4E9"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$12,043,195</w:t>
                                  </w:r>
                                </w:p>
                              </w:tc>
                              <w:tc>
                                <w:tcPr>
                                  <w:tcW w:w="160" w:type="dxa"/>
                                  <w:shd w:val="clear" w:color="auto" w:fill="auto"/>
                                  <w:tcMar>
                                    <w:top w:w="0" w:type="dxa"/>
                                    <w:left w:w="70" w:type="dxa"/>
                                    <w:bottom w:w="0" w:type="dxa"/>
                                    <w:right w:w="70" w:type="dxa"/>
                                  </w:tcMar>
                                </w:tcPr>
                                <w:p w14:paraId="187D554E"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1B3E4FD4" w14:textId="77777777" w:rsidR="003722CF" w:rsidRDefault="003722CF">
                                  <w:pPr>
                                    <w:pStyle w:val="Standard"/>
                                    <w:widowControl w:val="0"/>
                                  </w:pPr>
                                </w:p>
                              </w:tc>
                            </w:tr>
                          </w:tbl>
                          <w:p w14:paraId="6C24F21D" w14:textId="77777777" w:rsidR="003722CF" w:rsidRDefault="003722CF"/>
                        </w:txbxContent>
                      </wps:txbx>
                      <wps:bodyPr vert="horz" wrap="square" lIns="0" tIns="0" rIns="0" bIns="0" anchor="t" anchorCtr="0" compatLnSpc="0">
                        <a:noAutofit/>
                      </wps:bodyPr>
                    </wps:wsp>
                  </a:graphicData>
                </a:graphic>
              </wp:anchor>
            </w:drawing>
          </mc:Choice>
          <mc:Fallback>
            <w:pict>
              <v:shapetype w14:anchorId="6E236280" id="_x0000_t202" coordsize="21600,21600" o:spt="202" path="m,l,21600r21600,l21600,xe">
                <v:stroke joinstyle="miter"/>
                <v:path gradientshapeok="t" o:connecttype="rect"/>
              </v:shapetype>
              <v:shape id="Marco3" o:spid="_x0000_s1026" type="#_x0000_t202" style="position:absolute;left:0;text-align:left;margin-left:14.25pt;margin-top:21.2pt;width:435.55pt;height:503.1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" filled="f" stroked="f">
                <v:textbox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3722CF" w14:paraId="2A8EDC60"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959A130" w14:textId="77777777" w:rsidR="003722CF" w:rsidRDefault="00411668">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Metropolitano de Planeación del Sur de Tamaulipas</w:t>
                            </w:r>
                          </w:p>
                        </w:tc>
                        <w:tc>
                          <w:tcPr>
                            <w:tcW w:w="160" w:type="dxa"/>
                            <w:shd w:val="clear" w:color="auto" w:fill="auto"/>
                            <w:tcMar>
                              <w:top w:w="0" w:type="dxa"/>
                              <w:left w:w="70" w:type="dxa"/>
                              <w:bottom w:w="0" w:type="dxa"/>
                              <w:right w:w="70" w:type="dxa"/>
                            </w:tcMar>
                          </w:tcPr>
                          <w:p w14:paraId="6E89765E" w14:textId="77777777" w:rsidR="003722CF" w:rsidRDefault="003722CF">
                            <w:pPr>
                              <w:pStyle w:val="Standard"/>
                              <w:widowControl w:val="0"/>
                            </w:pPr>
                          </w:p>
                        </w:tc>
                      </w:tr>
                      <w:tr w:rsidR="003722CF" w14:paraId="46EE7A5D"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A91BD4"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39D5C66" w14:textId="77777777" w:rsidR="003722CF" w:rsidRDefault="003722CF">
                            <w:pPr>
                              <w:pStyle w:val="Standard"/>
                              <w:widowControl w:val="0"/>
                            </w:pPr>
                          </w:p>
                        </w:tc>
                      </w:tr>
                      <w:tr w:rsidR="003722CF" w14:paraId="138A1685"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D91C4C"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51F79A2" w14:textId="77777777" w:rsidR="003722CF" w:rsidRDefault="003722CF">
                            <w:pPr>
                              <w:pStyle w:val="Standard"/>
                              <w:widowControl w:val="0"/>
                            </w:pPr>
                          </w:p>
                        </w:tc>
                      </w:tr>
                      <w:tr w:rsidR="003722CF" w14:paraId="69FC624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38E978D"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058CEA6" w14:textId="77777777" w:rsidR="003722CF" w:rsidRDefault="003722CF">
                            <w:pPr>
                              <w:pStyle w:val="Standard"/>
                              <w:widowControl w:val="0"/>
                            </w:pPr>
                          </w:p>
                        </w:tc>
                      </w:tr>
                      <w:tr w:rsidR="003722CF" w14:paraId="54DA542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2537C44" w14:textId="77777777" w:rsidR="003722CF" w:rsidRDefault="003722C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7D2F43A"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2F01F66"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0F16D17"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38F2C773" w14:textId="77777777" w:rsidR="003722CF" w:rsidRDefault="003722CF">
                            <w:pPr>
                              <w:pStyle w:val="Standard"/>
                              <w:widowControl w:val="0"/>
                            </w:pPr>
                          </w:p>
                        </w:tc>
                      </w:tr>
                      <w:tr w:rsidR="003722CF" w14:paraId="21900CD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DC348A"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D86514"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 </w:t>
                            </w:r>
                            <w:r>
                              <w:rPr>
                                <w:rFonts w:eastAsia="Times New Roman" w:cs="DIN Pro Regular"/>
                                <w:b/>
                                <w:color w:val="000000"/>
                                <w:sz w:val="20"/>
                                <w:szCs w:val="20"/>
                                <w:lang w:eastAsia="es-MX"/>
                              </w:rPr>
                              <w:t>12,043,193</w:t>
                            </w:r>
                          </w:p>
                        </w:tc>
                        <w:tc>
                          <w:tcPr>
                            <w:tcW w:w="160" w:type="dxa"/>
                            <w:shd w:val="clear" w:color="auto" w:fill="auto"/>
                            <w:tcMar>
                              <w:top w:w="0" w:type="dxa"/>
                              <w:left w:w="70" w:type="dxa"/>
                              <w:bottom w:w="0" w:type="dxa"/>
                              <w:right w:w="70" w:type="dxa"/>
                            </w:tcMar>
                          </w:tcPr>
                          <w:p w14:paraId="00AA8D08"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29F11A70" w14:textId="77777777" w:rsidR="003722CF" w:rsidRDefault="003722CF">
                            <w:pPr>
                              <w:pStyle w:val="Standard"/>
                              <w:widowControl w:val="0"/>
                            </w:pPr>
                          </w:p>
                        </w:tc>
                      </w:tr>
                      <w:tr w:rsidR="003722CF" w14:paraId="25AD87A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E48498A" w14:textId="77777777" w:rsidR="003722CF" w:rsidRDefault="003722C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639F748"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8D05392"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B22D209"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51E051C3" w14:textId="77777777" w:rsidR="003722CF" w:rsidRDefault="003722CF">
                            <w:pPr>
                              <w:pStyle w:val="Standard"/>
                              <w:widowControl w:val="0"/>
                            </w:pPr>
                          </w:p>
                        </w:tc>
                      </w:tr>
                      <w:tr w:rsidR="003722CF" w14:paraId="3A3D5B0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D3A2A13"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CDFEA"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w:t>
                            </w:r>
                          </w:p>
                        </w:tc>
                        <w:tc>
                          <w:tcPr>
                            <w:tcW w:w="160" w:type="dxa"/>
                            <w:shd w:val="clear" w:color="auto" w:fill="auto"/>
                            <w:tcMar>
                              <w:top w:w="0" w:type="dxa"/>
                              <w:left w:w="70" w:type="dxa"/>
                              <w:bottom w:w="0" w:type="dxa"/>
                              <w:right w:w="70" w:type="dxa"/>
                            </w:tcMar>
                          </w:tcPr>
                          <w:p w14:paraId="6AD6D2A5"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4E5BFE73" w14:textId="77777777" w:rsidR="003722CF" w:rsidRDefault="003722CF">
                            <w:pPr>
                              <w:pStyle w:val="Standard"/>
                              <w:widowControl w:val="0"/>
                            </w:pPr>
                          </w:p>
                        </w:tc>
                      </w:tr>
                      <w:tr w:rsidR="003722CF" w14:paraId="5EB1597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D98F1A" w14:textId="77777777" w:rsidR="003722CF" w:rsidRDefault="00411668">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3D2CD"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CAF41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w:t>
                            </w:r>
                          </w:p>
                        </w:tc>
                        <w:tc>
                          <w:tcPr>
                            <w:tcW w:w="160" w:type="dxa"/>
                            <w:shd w:val="clear" w:color="auto" w:fill="auto"/>
                            <w:tcMar>
                              <w:top w:w="0" w:type="dxa"/>
                              <w:left w:w="70" w:type="dxa"/>
                              <w:bottom w:w="0" w:type="dxa"/>
                              <w:right w:w="70" w:type="dxa"/>
                            </w:tcMar>
                          </w:tcPr>
                          <w:p w14:paraId="3A01F1BD"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77A3B706" w14:textId="77777777" w:rsidR="003722CF" w:rsidRDefault="003722CF">
                            <w:pPr>
                              <w:pStyle w:val="Standard"/>
                              <w:widowControl w:val="0"/>
                            </w:pPr>
                          </w:p>
                        </w:tc>
                      </w:tr>
                      <w:tr w:rsidR="003722CF" w14:paraId="69FC380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C10C0E"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F8644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2BE6E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F4660C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B9D33D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FDDD5A"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18EC1"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6E396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9D4CEF"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63239E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DB39E4"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48B7CB"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FCA06"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B63BDE"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45D060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92A814" w14:textId="77777777" w:rsidR="003722CF" w:rsidRDefault="00411668">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6E3A7"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985616"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2B4A5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8CCF102"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08D49" w14:textId="77777777" w:rsidR="003722CF" w:rsidRDefault="00411668">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3911D2"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E6D792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7C0C05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946A388"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5FC6F07"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03C121F"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8FFA0A"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0D78361D" w14:textId="77777777" w:rsidR="003722CF" w:rsidRDefault="003722CF">
                            <w:pPr>
                              <w:pStyle w:val="Standard"/>
                              <w:widowControl w:val="0"/>
                            </w:pPr>
                          </w:p>
                        </w:tc>
                      </w:tr>
                      <w:tr w:rsidR="003722CF" w14:paraId="2FA76FE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9FA03A"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283A6"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D114216"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0A21041D" w14:textId="77777777" w:rsidR="003722CF" w:rsidRDefault="003722CF">
                            <w:pPr>
                              <w:pStyle w:val="Standard"/>
                              <w:widowControl w:val="0"/>
                            </w:pPr>
                          </w:p>
                        </w:tc>
                      </w:tr>
                      <w:tr w:rsidR="003722CF" w14:paraId="7252AE5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7CC091"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F457BC"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D6B81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56025D1"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74977AE6" w14:textId="77777777" w:rsidR="003722CF" w:rsidRDefault="003722CF">
                            <w:pPr>
                              <w:pStyle w:val="Standard"/>
                              <w:widowControl w:val="0"/>
                            </w:pPr>
                          </w:p>
                        </w:tc>
                      </w:tr>
                      <w:tr w:rsidR="003722CF" w14:paraId="6BC0B56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F6D88E"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DEAC2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7F5BF0"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5F6E520"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366F3A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FCBDEF" w14:textId="77777777" w:rsidR="003722CF" w:rsidRDefault="00411668">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F619A"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01A60"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4A0AF0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12E1A89C"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F9D7D1F" w14:textId="77777777" w:rsidR="003722CF" w:rsidRDefault="003722CF">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7D5DDFB"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2B1F093"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5F67241F" w14:textId="77777777" w:rsidR="003722CF" w:rsidRDefault="003722CF">
                            <w:pPr>
                              <w:pStyle w:val="Standard"/>
                              <w:widowControl w:val="0"/>
                            </w:pPr>
                          </w:p>
                        </w:tc>
                      </w:tr>
                      <w:tr w:rsidR="003722CF" w14:paraId="40893E39"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60E18FF" w14:textId="77777777" w:rsidR="003722CF" w:rsidRDefault="00411668">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E1F4E9"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$12,043,195</w:t>
                            </w:r>
                          </w:p>
                        </w:tc>
                        <w:tc>
                          <w:tcPr>
                            <w:tcW w:w="160" w:type="dxa"/>
                            <w:shd w:val="clear" w:color="auto" w:fill="auto"/>
                            <w:tcMar>
                              <w:top w:w="0" w:type="dxa"/>
                              <w:left w:w="70" w:type="dxa"/>
                              <w:bottom w:w="0" w:type="dxa"/>
                              <w:right w:w="70" w:type="dxa"/>
                            </w:tcMar>
                          </w:tcPr>
                          <w:p w14:paraId="187D554E"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1B3E4FD4" w14:textId="77777777" w:rsidR="003722CF" w:rsidRDefault="003722CF">
                            <w:pPr>
                              <w:pStyle w:val="Standard"/>
                              <w:widowControl w:val="0"/>
                            </w:pPr>
                          </w:p>
                        </w:tc>
                      </w:tr>
                    </w:tbl>
                    <w:p w14:paraId="6C24F21D" w14:textId="77777777" w:rsidR="003722CF" w:rsidRDefault="003722CF"/>
                  </w:txbxContent>
                </v:textbox>
                <w10:wrap type="square"/>
              </v:shape>
            </w:pict>
          </mc:Fallback>
        </mc:AlternateContent>
      </w:r>
    </w:p>
    <w:p w14:paraId="74CA1338" w14:textId="77777777" w:rsidR="003722CF" w:rsidRDefault="003722CF">
      <w:pPr>
        <w:pStyle w:val="INCISO"/>
        <w:spacing w:after="0" w:line="240" w:lineRule="exact"/>
        <w:ind w:left="360"/>
      </w:pPr>
    </w:p>
    <w:p w14:paraId="07504CE6" w14:textId="77777777" w:rsidR="003722CF" w:rsidRDefault="003722CF">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3722CF" w14:paraId="3962C4D7"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2EA2C948" w14:textId="77777777" w:rsidR="003722CF" w:rsidRDefault="003722CF">
            <w:pPr>
              <w:rPr>
                <w:rFonts w:eastAsia="Times New Roman" w:cs="DIN Pro Regular"/>
                <w:b/>
                <w:bCs/>
                <w:color w:val="FFFFFF"/>
              </w:rPr>
            </w:pPr>
          </w:p>
          <w:p w14:paraId="36108BB3" w14:textId="77777777" w:rsidR="003722CF" w:rsidRDefault="003722CF">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33CC22E0" w14:textId="77777777" w:rsidR="003722CF" w:rsidRDefault="003722CF">
            <w:pPr>
              <w:pStyle w:val="Standard"/>
              <w:widowControl w:val="0"/>
            </w:pPr>
          </w:p>
        </w:tc>
      </w:tr>
      <w:tr w:rsidR="003722CF" w14:paraId="2F057CA9"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D26414D" w14:textId="77777777" w:rsidR="003722CF" w:rsidRDefault="00411668">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Metropolitano de Planeación del Sur de Tamaulipas</w:t>
            </w:r>
          </w:p>
        </w:tc>
        <w:tc>
          <w:tcPr>
            <w:tcW w:w="160" w:type="dxa"/>
            <w:shd w:val="clear" w:color="auto" w:fill="auto"/>
            <w:tcMar>
              <w:top w:w="0" w:type="dxa"/>
              <w:left w:w="70" w:type="dxa"/>
              <w:bottom w:w="0" w:type="dxa"/>
              <w:right w:w="70" w:type="dxa"/>
            </w:tcMar>
          </w:tcPr>
          <w:p w14:paraId="5FA3EE9A" w14:textId="77777777" w:rsidR="003722CF" w:rsidRDefault="003722CF">
            <w:pPr>
              <w:pStyle w:val="Standard"/>
              <w:widowControl w:val="0"/>
            </w:pPr>
          </w:p>
        </w:tc>
      </w:tr>
      <w:tr w:rsidR="003722CF" w14:paraId="68E039D8"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08C3CC2"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Conciliación entre los Egresos </w:t>
            </w:r>
            <w:r>
              <w:rPr>
                <w:rFonts w:eastAsia="Times New Roman" w:cs="DIN Pro Regular"/>
                <w:b/>
                <w:color w:val="FFFFFF"/>
                <w:sz w:val="20"/>
                <w:szCs w:val="20"/>
                <w:lang w:eastAsia="es-MX"/>
              </w:rPr>
              <w:t>Presupuestarios y los Gastos Contables</w:t>
            </w:r>
          </w:p>
        </w:tc>
        <w:tc>
          <w:tcPr>
            <w:tcW w:w="160" w:type="dxa"/>
            <w:shd w:val="clear" w:color="auto" w:fill="auto"/>
            <w:tcMar>
              <w:top w:w="0" w:type="dxa"/>
              <w:left w:w="70" w:type="dxa"/>
              <w:bottom w:w="0" w:type="dxa"/>
              <w:right w:w="70" w:type="dxa"/>
            </w:tcMar>
          </w:tcPr>
          <w:p w14:paraId="1F039E65" w14:textId="77777777" w:rsidR="003722CF" w:rsidRDefault="003722CF">
            <w:pPr>
              <w:pStyle w:val="Standard"/>
              <w:widowControl w:val="0"/>
            </w:pPr>
          </w:p>
        </w:tc>
      </w:tr>
      <w:tr w:rsidR="003722CF" w14:paraId="65FD387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17FECD"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1C96F337" w14:textId="77777777" w:rsidR="003722CF" w:rsidRDefault="003722CF">
            <w:pPr>
              <w:pStyle w:val="Standard"/>
              <w:widowControl w:val="0"/>
            </w:pPr>
          </w:p>
        </w:tc>
      </w:tr>
      <w:tr w:rsidR="003722CF" w14:paraId="2CA9BDE3"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E6BB22D" w14:textId="77777777" w:rsidR="003722CF" w:rsidRDefault="00411668">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49F41BD" w14:textId="77777777" w:rsidR="003722CF" w:rsidRDefault="003722CF">
            <w:pPr>
              <w:pStyle w:val="Standard"/>
              <w:widowControl w:val="0"/>
            </w:pPr>
          </w:p>
        </w:tc>
      </w:tr>
      <w:tr w:rsidR="003722CF" w14:paraId="260F5DCE"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06E67939"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2C52552"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70359BAB"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3A1EA01"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059AFE03" w14:textId="77777777" w:rsidR="003722CF" w:rsidRDefault="003722CF">
            <w:pPr>
              <w:pStyle w:val="Standard"/>
              <w:widowControl w:val="0"/>
            </w:pPr>
          </w:p>
        </w:tc>
      </w:tr>
      <w:tr w:rsidR="003722CF" w14:paraId="523A76AC"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8E81D3"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175B44"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$ 11,830,206</w:t>
            </w:r>
          </w:p>
        </w:tc>
        <w:tc>
          <w:tcPr>
            <w:tcW w:w="160" w:type="dxa"/>
            <w:shd w:val="clear" w:color="auto" w:fill="auto"/>
            <w:tcMar>
              <w:top w:w="0" w:type="dxa"/>
              <w:left w:w="70" w:type="dxa"/>
              <w:bottom w:w="0" w:type="dxa"/>
              <w:right w:w="70" w:type="dxa"/>
            </w:tcMar>
          </w:tcPr>
          <w:p w14:paraId="5F14EA7C"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40748C63" w14:textId="77777777" w:rsidR="003722CF" w:rsidRDefault="003722CF">
            <w:pPr>
              <w:pStyle w:val="Standard"/>
              <w:widowControl w:val="0"/>
            </w:pPr>
          </w:p>
        </w:tc>
      </w:tr>
      <w:tr w:rsidR="003722CF" w14:paraId="56DC1775"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27E793FB"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A24C272"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6F448D71"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3F315F9" w14:textId="77777777" w:rsidR="003722CF" w:rsidRDefault="003722CF">
            <w:pPr>
              <w:pStyle w:val="Standard"/>
              <w:widowControl w:val="0"/>
              <w:spacing w:line="240" w:lineRule="auto"/>
            </w:pPr>
          </w:p>
        </w:tc>
        <w:tc>
          <w:tcPr>
            <w:tcW w:w="160" w:type="dxa"/>
            <w:shd w:val="clear" w:color="auto" w:fill="auto"/>
            <w:tcMar>
              <w:top w:w="0" w:type="dxa"/>
              <w:left w:w="70" w:type="dxa"/>
              <w:bottom w:w="0" w:type="dxa"/>
              <w:right w:w="70" w:type="dxa"/>
            </w:tcMar>
          </w:tcPr>
          <w:p w14:paraId="0F9EB6EB" w14:textId="77777777" w:rsidR="003722CF" w:rsidRDefault="003722CF">
            <w:pPr>
              <w:pStyle w:val="Standard"/>
              <w:widowControl w:val="0"/>
              <w:spacing w:line="240" w:lineRule="auto"/>
            </w:pPr>
          </w:p>
        </w:tc>
      </w:tr>
      <w:tr w:rsidR="003722CF" w14:paraId="1FF278A8"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7CC549"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A95CEE"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$2,259,396</w:t>
            </w:r>
          </w:p>
        </w:tc>
        <w:tc>
          <w:tcPr>
            <w:tcW w:w="160" w:type="dxa"/>
            <w:shd w:val="clear" w:color="auto" w:fill="auto"/>
            <w:tcMar>
              <w:top w:w="0" w:type="dxa"/>
              <w:left w:w="70" w:type="dxa"/>
              <w:bottom w:w="0" w:type="dxa"/>
              <w:right w:w="70" w:type="dxa"/>
            </w:tcMar>
          </w:tcPr>
          <w:p w14:paraId="695F0760"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7DAAE3CF" w14:textId="77777777" w:rsidR="003722CF" w:rsidRDefault="003722CF">
            <w:pPr>
              <w:pStyle w:val="Standard"/>
              <w:widowControl w:val="0"/>
            </w:pPr>
          </w:p>
        </w:tc>
      </w:tr>
      <w:tr w:rsidR="003722CF" w14:paraId="1BDE8A69"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0B93A2"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2B7615"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5DE15E"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59B8F8A"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1D2A804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70997D"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BD24DB"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3BB43B"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D7E30FE"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B3A2D8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86FA62"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4040FF"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0A1D6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$1,542,160</w:t>
            </w:r>
          </w:p>
        </w:tc>
        <w:tc>
          <w:tcPr>
            <w:tcW w:w="320" w:type="dxa"/>
            <w:gridSpan w:val="2"/>
            <w:shd w:val="clear" w:color="auto" w:fill="auto"/>
            <w:tcMar>
              <w:top w:w="0" w:type="dxa"/>
              <w:left w:w="70" w:type="dxa"/>
              <w:bottom w:w="0" w:type="dxa"/>
              <w:right w:w="70" w:type="dxa"/>
            </w:tcMar>
            <w:vAlign w:val="bottom"/>
          </w:tcPr>
          <w:p w14:paraId="3215D932"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4DBE2F4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F17021"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6784E5"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62160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$58,000</w:t>
            </w:r>
          </w:p>
        </w:tc>
        <w:tc>
          <w:tcPr>
            <w:tcW w:w="320" w:type="dxa"/>
            <w:gridSpan w:val="2"/>
            <w:shd w:val="clear" w:color="auto" w:fill="auto"/>
            <w:tcMar>
              <w:top w:w="0" w:type="dxa"/>
              <w:left w:w="70" w:type="dxa"/>
              <w:bottom w:w="0" w:type="dxa"/>
              <w:right w:w="70" w:type="dxa"/>
            </w:tcMar>
            <w:vAlign w:val="bottom"/>
          </w:tcPr>
          <w:p w14:paraId="19F4571A"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23CE20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287E6D"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86E7F2"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Equipo e Instrumental Médico y de </w:t>
            </w:r>
            <w:r>
              <w:rPr>
                <w:rFonts w:eastAsia="Times New Roman" w:cs="DIN Pro Regular"/>
                <w:color w:val="000000"/>
                <w:sz w:val="20"/>
                <w:szCs w:val="20"/>
                <w:lang w:eastAsia="es-MX"/>
              </w:rPr>
              <w:t>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D32A4"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80C7DA5"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DABD2D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B83B80"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CF7B3D"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B78F8D"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$532,100</w:t>
            </w:r>
          </w:p>
        </w:tc>
        <w:tc>
          <w:tcPr>
            <w:tcW w:w="320" w:type="dxa"/>
            <w:gridSpan w:val="2"/>
            <w:shd w:val="clear" w:color="auto" w:fill="auto"/>
            <w:tcMar>
              <w:top w:w="0" w:type="dxa"/>
              <w:left w:w="70" w:type="dxa"/>
              <w:bottom w:w="0" w:type="dxa"/>
              <w:right w:w="70" w:type="dxa"/>
            </w:tcMar>
            <w:vAlign w:val="bottom"/>
          </w:tcPr>
          <w:p w14:paraId="210AFD80"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4053E7A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C47CEB"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F8EBAF"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667C7"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C77F08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68AC4E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E9CAE0"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18E6D7"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5C9C7F"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$26,216</w:t>
            </w:r>
          </w:p>
        </w:tc>
        <w:tc>
          <w:tcPr>
            <w:tcW w:w="320" w:type="dxa"/>
            <w:gridSpan w:val="2"/>
            <w:shd w:val="clear" w:color="auto" w:fill="auto"/>
            <w:tcMar>
              <w:top w:w="0" w:type="dxa"/>
              <w:left w:w="70" w:type="dxa"/>
              <w:bottom w:w="0" w:type="dxa"/>
              <w:right w:w="70" w:type="dxa"/>
            </w:tcMar>
            <w:vAlign w:val="bottom"/>
          </w:tcPr>
          <w:p w14:paraId="1EEC9E8A"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26AC884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B10200"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A68E71"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B37A16"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D5F938F"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58FC81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F4CF87"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A4FAD"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F6D52"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CF1DBF4"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1C38048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FC6A94"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1A780"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3BD6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$100,920</w:t>
            </w:r>
          </w:p>
        </w:tc>
        <w:tc>
          <w:tcPr>
            <w:tcW w:w="320" w:type="dxa"/>
            <w:gridSpan w:val="2"/>
            <w:shd w:val="clear" w:color="auto" w:fill="auto"/>
            <w:tcMar>
              <w:top w:w="0" w:type="dxa"/>
              <w:left w:w="70" w:type="dxa"/>
              <w:bottom w:w="0" w:type="dxa"/>
              <w:right w:w="70" w:type="dxa"/>
            </w:tcMar>
            <w:vAlign w:val="bottom"/>
          </w:tcPr>
          <w:p w14:paraId="2D1510F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235A403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12AF79"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E2752B"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B5E604"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A45D071"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27B5FA2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5F560D"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750E2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AD01C8"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52A02B0"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20AFF4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4A3FFA"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8507D4"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A17B9"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8BCE786"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1339D78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F053E1"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CEE010"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76CA5C"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73E11B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46B956D"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0ECF55"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34AF92"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4036A6" w14:textId="77777777" w:rsidR="003722CF" w:rsidRDefault="00411668">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67D6A80"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7C399B3"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506A23"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49E01"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Inversiones en Fideicomisos. Mandatos y </w:t>
            </w:r>
            <w:r>
              <w:rPr>
                <w:rFonts w:eastAsia="Times New Roman" w:cs="DIN Pro Regular"/>
                <w:color w:val="000000"/>
                <w:sz w:val="20"/>
                <w:szCs w:val="20"/>
                <w:lang w:eastAsia="es-MX"/>
              </w:rPr>
              <w:t>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2E4550"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425C356"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24F1875"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EC689B"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75D075"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CB03A7"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257EDEC"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B4FF58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69E9F1"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409E30"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0148E5"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356282B"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66491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8C23B3"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425F13"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46159A"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0B7632D"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050674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405154" w14:textId="77777777" w:rsidR="003722CF" w:rsidRDefault="00411668">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7CB797" w14:textId="77777777" w:rsidR="003722CF" w:rsidRDefault="003722CF">
            <w:pPr>
              <w:pStyle w:val="Standard"/>
              <w:widowControl w:val="0"/>
              <w:spacing w:after="0" w:line="240" w:lineRule="auto"/>
              <w:jc w:val="both"/>
              <w:rPr>
                <w:rFonts w:eastAsia="Times New Roman" w:cs="DIN Pro Regular"/>
                <w:color w:val="000000"/>
                <w:sz w:val="20"/>
                <w:szCs w:val="20"/>
                <w:lang w:eastAsia="es-MX"/>
              </w:rPr>
            </w:pPr>
          </w:p>
          <w:p w14:paraId="749BFEE8"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1F8F0F6E" w14:textId="77777777" w:rsidR="003722CF" w:rsidRDefault="003722CF">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4FC042"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48F80E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25A32EB"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5797987D"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6DC1D125"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F815B32"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60947696"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A964823"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r>
      <w:tr w:rsidR="003722CF" w14:paraId="1C1C1A01"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496030CB"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0A3CCA45"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59286978"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7E630778"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8226F7F"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r>
      <w:tr w:rsidR="003722CF" w14:paraId="019F6D43"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7D1E5B0C"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1097CE87"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2ADACB90"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26C027D5"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4C4EC06"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r>
      <w:tr w:rsidR="003722CF" w14:paraId="15674555"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5C2F56F7"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1F282158"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6193E337"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0180A24E"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EDF3E56" w14:textId="77777777" w:rsidR="003722CF" w:rsidRDefault="003722CF">
            <w:pPr>
              <w:pStyle w:val="Standard"/>
              <w:widowControl w:val="0"/>
              <w:spacing w:after="0" w:line="240" w:lineRule="auto"/>
              <w:jc w:val="both"/>
              <w:rPr>
                <w:rFonts w:eastAsia="Times New Roman" w:cs="DIN Pro Regular"/>
                <w:bCs/>
                <w:color w:val="000000"/>
                <w:sz w:val="20"/>
                <w:szCs w:val="20"/>
                <w:lang w:eastAsia="es-MX"/>
              </w:rPr>
            </w:pPr>
          </w:p>
        </w:tc>
      </w:tr>
      <w:tr w:rsidR="003722CF" w14:paraId="629B0A3E"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5DB95E3" w14:textId="77777777" w:rsidR="003722CF" w:rsidRDefault="00411668">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1EE4C"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$89,844</w:t>
            </w:r>
          </w:p>
        </w:tc>
        <w:tc>
          <w:tcPr>
            <w:tcW w:w="160" w:type="dxa"/>
            <w:shd w:val="clear" w:color="auto" w:fill="auto"/>
            <w:tcMar>
              <w:top w:w="0" w:type="dxa"/>
              <w:left w:w="70" w:type="dxa"/>
              <w:bottom w:w="0" w:type="dxa"/>
              <w:right w:w="70" w:type="dxa"/>
            </w:tcMar>
          </w:tcPr>
          <w:p w14:paraId="7EEFA25C" w14:textId="77777777" w:rsidR="003722CF" w:rsidRDefault="003722CF">
            <w:pPr>
              <w:pStyle w:val="Standard"/>
              <w:widowControl w:val="0"/>
            </w:pPr>
          </w:p>
        </w:tc>
        <w:tc>
          <w:tcPr>
            <w:tcW w:w="160" w:type="dxa"/>
            <w:shd w:val="clear" w:color="auto" w:fill="auto"/>
            <w:tcMar>
              <w:top w:w="0" w:type="dxa"/>
              <w:left w:w="10" w:type="dxa"/>
              <w:bottom w:w="0" w:type="dxa"/>
              <w:right w:w="10" w:type="dxa"/>
            </w:tcMar>
          </w:tcPr>
          <w:p w14:paraId="4A34B1EF" w14:textId="77777777" w:rsidR="003722CF" w:rsidRDefault="003722CF">
            <w:pPr>
              <w:pStyle w:val="Standard"/>
              <w:widowControl w:val="0"/>
            </w:pPr>
          </w:p>
        </w:tc>
      </w:tr>
      <w:tr w:rsidR="003722CF" w14:paraId="05975014"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E4E65B"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183D"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BC9449"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$89,844</w:t>
            </w:r>
          </w:p>
        </w:tc>
        <w:tc>
          <w:tcPr>
            <w:tcW w:w="320" w:type="dxa"/>
            <w:gridSpan w:val="2"/>
            <w:shd w:val="clear" w:color="auto" w:fill="auto"/>
            <w:tcMar>
              <w:top w:w="0" w:type="dxa"/>
              <w:left w:w="70" w:type="dxa"/>
              <w:bottom w:w="0" w:type="dxa"/>
              <w:right w:w="70" w:type="dxa"/>
            </w:tcMar>
            <w:vAlign w:val="bottom"/>
          </w:tcPr>
          <w:p w14:paraId="209169DF"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3F07240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E7CE5C"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E450A7"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F6D71B"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CA708BD"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63A8202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FD4968"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5C4BF"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897C13"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69B096"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202767E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E5E104"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F62B6B"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ECA753"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BDBF3DE"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551B12B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C939F2"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C0C186"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w:t>
            </w:r>
            <w:r>
              <w:rPr>
                <w:rFonts w:eastAsia="Times New Roman" w:cs="DIN Pro Regular"/>
                <w:color w:val="000000"/>
                <w:sz w:val="20"/>
                <w:szCs w:val="20"/>
                <w:lang w:eastAsia="es-MX"/>
              </w:rPr>
              <w:t>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CCE588"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48E608F"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75C4B24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AA8666"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F2B133"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4C991"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035A9ED"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A1EA80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F91F93" w14:textId="77777777" w:rsidR="003722CF" w:rsidRDefault="00411668">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3CF796" w14:textId="77777777" w:rsidR="003722CF" w:rsidRDefault="00411668">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2FD45" w14:textId="77777777" w:rsidR="003722CF" w:rsidRDefault="00411668">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EB40B9"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07C5E290"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55214F43"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9EAB00D"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3B70E672" w14:textId="77777777" w:rsidR="003722CF" w:rsidRDefault="003722CF">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54589D7" w14:textId="77777777" w:rsidR="003722CF" w:rsidRDefault="003722CF">
            <w:pPr>
              <w:pStyle w:val="Standard"/>
              <w:widowControl w:val="0"/>
              <w:spacing w:after="0" w:line="240" w:lineRule="auto"/>
              <w:rPr>
                <w:rFonts w:eastAsia="Times New Roman" w:cs="DIN Pro Regular"/>
                <w:color w:val="000000"/>
                <w:sz w:val="20"/>
                <w:szCs w:val="20"/>
                <w:lang w:eastAsia="es-MX"/>
              </w:rPr>
            </w:pPr>
          </w:p>
        </w:tc>
      </w:tr>
      <w:tr w:rsidR="003722CF" w14:paraId="4705DC48"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4D915FB1" w14:textId="77777777" w:rsidR="003722CF" w:rsidRDefault="00411668">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10D7AD" w14:textId="77777777" w:rsidR="003722CF" w:rsidRDefault="00411668">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$9,660,654</w:t>
            </w:r>
          </w:p>
        </w:tc>
        <w:tc>
          <w:tcPr>
            <w:tcW w:w="160" w:type="dxa"/>
            <w:shd w:val="clear" w:color="auto" w:fill="auto"/>
            <w:tcMar>
              <w:top w:w="0" w:type="dxa"/>
              <w:left w:w="70" w:type="dxa"/>
              <w:bottom w:w="0" w:type="dxa"/>
              <w:right w:w="70" w:type="dxa"/>
            </w:tcMar>
          </w:tcPr>
          <w:p w14:paraId="6A2EE189" w14:textId="77777777" w:rsidR="003722CF" w:rsidRDefault="003722CF">
            <w:pPr>
              <w:pStyle w:val="Standard"/>
              <w:widowControl w:val="0"/>
            </w:pPr>
          </w:p>
        </w:tc>
        <w:tc>
          <w:tcPr>
            <w:tcW w:w="160" w:type="dxa"/>
            <w:shd w:val="clear" w:color="auto" w:fill="auto"/>
            <w:tcMar>
              <w:top w:w="0" w:type="dxa"/>
              <w:left w:w="70" w:type="dxa"/>
              <w:bottom w:w="0" w:type="dxa"/>
              <w:right w:w="70" w:type="dxa"/>
            </w:tcMar>
          </w:tcPr>
          <w:p w14:paraId="238F2EDF" w14:textId="77777777" w:rsidR="003722CF" w:rsidRDefault="003722CF">
            <w:pPr>
              <w:pStyle w:val="Standard"/>
              <w:widowControl w:val="0"/>
            </w:pPr>
          </w:p>
        </w:tc>
      </w:tr>
    </w:tbl>
    <w:p w14:paraId="46E083A2" w14:textId="77777777" w:rsidR="003722CF" w:rsidRDefault="003722CF">
      <w:pPr>
        <w:pStyle w:val="INCISO"/>
        <w:spacing w:after="0" w:line="240" w:lineRule="exact"/>
        <w:ind w:left="360"/>
        <w:rPr>
          <w:rFonts w:ascii="Calibri" w:hAnsi="Calibri" w:cs="DIN Pro Regular"/>
          <w:b/>
          <w:smallCaps/>
          <w:sz w:val="20"/>
          <w:szCs w:val="20"/>
        </w:rPr>
      </w:pPr>
    </w:p>
    <w:p w14:paraId="2E26B0A6" w14:textId="77777777" w:rsidR="003722CF" w:rsidRDefault="003722CF">
      <w:pPr>
        <w:pStyle w:val="INCISO"/>
        <w:spacing w:after="0" w:line="240" w:lineRule="exact"/>
        <w:ind w:left="360"/>
        <w:rPr>
          <w:rFonts w:ascii="Calibri" w:hAnsi="Calibri" w:cs="DIN Pro Regular"/>
          <w:b/>
          <w:smallCaps/>
          <w:sz w:val="20"/>
          <w:szCs w:val="20"/>
        </w:rPr>
      </w:pPr>
    </w:p>
    <w:p w14:paraId="1D539F22" w14:textId="77777777" w:rsidR="003722CF" w:rsidRDefault="003722CF">
      <w:pPr>
        <w:pStyle w:val="INCISO"/>
        <w:spacing w:after="0" w:line="240" w:lineRule="exact"/>
        <w:ind w:left="360"/>
        <w:rPr>
          <w:rFonts w:ascii="Calibri" w:hAnsi="Calibri" w:cs="DIN Pro Regular"/>
          <w:b/>
          <w:smallCaps/>
          <w:sz w:val="20"/>
          <w:szCs w:val="20"/>
        </w:rPr>
      </w:pPr>
    </w:p>
    <w:p w14:paraId="2C0C9220" w14:textId="77777777" w:rsidR="003722CF" w:rsidRDefault="003722CF">
      <w:pPr>
        <w:pStyle w:val="INCISO"/>
        <w:spacing w:after="0" w:line="240" w:lineRule="exact"/>
        <w:ind w:left="360"/>
        <w:rPr>
          <w:rFonts w:ascii="Calibri" w:hAnsi="Calibri" w:cs="DIN Pro Regular"/>
          <w:b/>
          <w:smallCaps/>
          <w:sz w:val="20"/>
          <w:szCs w:val="20"/>
        </w:rPr>
      </w:pPr>
    </w:p>
    <w:p w14:paraId="794EA6FE" w14:textId="77777777" w:rsidR="003722CF" w:rsidRDefault="003722CF">
      <w:pPr>
        <w:pStyle w:val="Text"/>
        <w:spacing w:after="0" w:line="240" w:lineRule="exact"/>
        <w:ind w:firstLine="0"/>
        <w:rPr>
          <w:rFonts w:ascii="Calibri" w:hAnsi="Calibri" w:cs="DIN Pro Regular"/>
          <w:sz w:val="20"/>
        </w:rPr>
      </w:pPr>
    </w:p>
    <w:p w14:paraId="59696884" w14:textId="77777777" w:rsidR="003722CF" w:rsidRDefault="00411668">
      <w:pPr>
        <w:pStyle w:val="Text"/>
        <w:spacing w:after="0" w:line="240" w:lineRule="exact"/>
        <w:ind w:firstLine="0"/>
      </w:pPr>
      <w:r>
        <w:rPr>
          <w:rFonts w:ascii="Calibri" w:hAnsi="Calibri" w:cs="DIN Pro Regular"/>
          <w:sz w:val="20"/>
        </w:rPr>
        <w:t xml:space="preserve">Bajo protesta de decir verdad declaramos que los Estados Financieros y sus </w:t>
      </w:r>
      <w:r>
        <w:rPr>
          <w:rFonts w:ascii="Calibri" w:hAnsi="Calibri" w:cs="DIN Pro Regular"/>
          <w:sz w:val="20"/>
        </w:rPr>
        <w:t>Notas, son razonablemente correctos y son responsabilidad del emisor</w:t>
      </w:r>
    </w:p>
    <w:p w14:paraId="3BDB6EBD" w14:textId="77777777" w:rsidR="003722CF" w:rsidRDefault="003722CF">
      <w:pPr>
        <w:pStyle w:val="Text"/>
        <w:spacing w:after="0" w:line="240" w:lineRule="exact"/>
        <w:ind w:firstLine="0"/>
        <w:rPr>
          <w:rFonts w:ascii="Calibri" w:hAnsi="Calibri" w:cs="DIN Pro Regular"/>
          <w:b/>
          <w:smallCaps/>
          <w:sz w:val="20"/>
        </w:rPr>
      </w:pPr>
    </w:p>
    <w:p w14:paraId="6C3419E1" w14:textId="77777777" w:rsidR="003722CF" w:rsidRDefault="003722CF">
      <w:pPr>
        <w:pStyle w:val="Text"/>
        <w:spacing w:after="0" w:line="240" w:lineRule="exact"/>
        <w:ind w:firstLine="0"/>
        <w:rPr>
          <w:rFonts w:ascii="Calibri" w:hAnsi="Calibri" w:cs="DIN Pro Regular"/>
          <w:b/>
          <w:smallCaps/>
          <w:sz w:val="20"/>
        </w:rPr>
      </w:pPr>
    </w:p>
    <w:p w14:paraId="25D1C90C" w14:textId="77777777" w:rsidR="003722CF" w:rsidRDefault="003722CF">
      <w:pPr>
        <w:pStyle w:val="Text"/>
        <w:spacing w:after="0" w:line="240" w:lineRule="exact"/>
        <w:ind w:firstLine="0"/>
        <w:rPr>
          <w:rFonts w:ascii="Calibri" w:hAnsi="Calibri" w:cs="DIN Pro Regular"/>
          <w:b/>
          <w:smallCaps/>
          <w:sz w:val="20"/>
          <w:lang w:val="es-MX"/>
        </w:rPr>
      </w:pPr>
    </w:p>
    <w:p w14:paraId="7C1A9205" w14:textId="77777777" w:rsidR="003722CF" w:rsidRDefault="003722CF">
      <w:pPr>
        <w:pStyle w:val="Text"/>
        <w:spacing w:after="0" w:line="240" w:lineRule="exact"/>
        <w:ind w:firstLine="0"/>
        <w:rPr>
          <w:rFonts w:ascii="Calibri" w:hAnsi="Calibri" w:cs="DIN Pro Regular"/>
          <w:b/>
          <w:smallCaps/>
          <w:sz w:val="20"/>
          <w:lang w:val="es-MX"/>
        </w:rPr>
      </w:pPr>
    </w:p>
    <w:p w14:paraId="2260C0A8" w14:textId="77777777" w:rsidR="003722CF" w:rsidRDefault="003722CF">
      <w:pPr>
        <w:pStyle w:val="Text"/>
        <w:spacing w:after="0" w:line="240" w:lineRule="exact"/>
        <w:ind w:firstLine="0"/>
        <w:rPr>
          <w:rFonts w:ascii="Calibri" w:hAnsi="Calibri" w:cs="DIN Pro Regular"/>
          <w:b/>
          <w:smallCaps/>
          <w:sz w:val="20"/>
          <w:lang w:val="es-MX"/>
        </w:rPr>
      </w:pPr>
    </w:p>
    <w:p w14:paraId="74CBA3CD" w14:textId="77777777" w:rsidR="003722CF" w:rsidRDefault="003722CF">
      <w:pPr>
        <w:pStyle w:val="Text"/>
        <w:spacing w:after="0" w:line="240" w:lineRule="exact"/>
        <w:ind w:firstLine="0"/>
        <w:rPr>
          <w:rFonts w:ascii="Calibri" w:hAnsi="Calibri" w:cs="DIN Pro Regular"/>
          <w:b/>
          <w:smallCaps/>
          <w:sz w:val="20"/>
          <w:lang w:val="es-MX"/>
        </w:rPr>
      </w:pPr>
    </w:p>
    <w:p w14:paraId="4357E735" w14:textId="77777777" w:rsidR="003722CF" w:rsidRDefault="003722CF">
      <w:pPr>
        <w:pStyle w:val="Text"/>
        <w:spacing w:after="0" w:line="240" w:lineRule="exact"/>
        <w:ind w:firstLine="0"/>
        <w:rPr>
          <w:rFonts w:ascii="Calibri" w:hAnsi="Calibri" w:cs="DIN Pro Regular"/>
          <w:b/>
          <w:smallCaps/>
          <w:sz w:val="20"/>
          <w:lang w:val="es-MX"/>
        </w:rPr>
      </w:pPr>
    </w:p>
    <w:p w14:paraId="1E4DC049" w14:textId="77777777" w:rsidR="003722CF" w:rsidRDefault="003722CF">
      <w:pPr>
        <w:pStyle w:val="Text"/>
        <w:spacing w:after="0" w:line="240" w:lineRule="exact"/>
        <w:ind w:firstLine="0"/>
        <w:rPr>
          <w:rFonts w:ascii="Calibri" w:hAnsi="Calibri" w:cs="DIN Pro Regular"/>
          <w:b/>
          <w:smallCaps/>
          <w:sz w:val="20"/>
          <w:lang w:val="es-MX"/>
        </w:rPr>
      </w:pPr>
    </w:p>
    <w:p w14:paraId="27D676CE" w14:textId="77777777" w:rsidR="003722CF" w:rsidRDefault="003722CF">
      <w:pPr>
        <w:pStyle w:val="Text"/>
        <w:spacing w:after="0" w:line="240" w:lineRule="exact"/>
        <w:ind w:firstLine="0"/>
        <w:rPr>
          <w:rFonts w:ascii="Calibri" w:hAnsi="Calibri" w:cs="DIN Pro Regular"/>
          <w:b/>
          <w:smallCaps/>
          <w:sz w:val="20"/>
          <w:lang w:val="es-MX"/>
        </w:rPr>
      </w:pPr>
    </w:p>
    <w:p w14:paraId="69987ED8" w14:textId="77777777" w:rsidR="003722CF" w:rsidRDefault="003722CF">
      <w:pPr>
        <w:pStyle w:val="Text"/>
        <w:spacing w:after="0" w:line="240" w:lineRule="exact"/>
        <w:ind w:firstLine="0"/>
        <w:rPr>
          <w:rFonts w:ascii="Calibri" w:hAnsi="Calibri" w:cs="DIN Pro Regular"/>
          <w:b/>
          <w:smallCaps/>
          <w:sz w:val="20"/>
          <w:lang w:val="es-MX"/>
        </w:rPr>
      </w:pPr>
    </w:p>
    <w:p w14:paraId="1A4725A6" w14:textId="77777777" w:rsidR="003722CF" w:rsidRDefault="003722CF">
      <w:pPr>
        <w:pStyle w:val="Text"/>
        <w:spacing w:after="0" w:line="240" w:lineRule="exact"/>
        <w:ind w:firstLine="0"/>
        <w:rPr>
          <w:rFonts w:ascii="Calibri" w:hAnsi="Calibri" w:cs="DIN Pro Regular"/>
          <w:b/>
          <w:smallCaps/>
          <w:sz w:val="20"/>
          <w:lang w:val="es-MX"/>
        </w:rPr>
      </w:pPr>
    </w:p>
    <w:p w14:paraId="367C0A7A" w14:textId="77777777" w:rsidR="003722CF" w:rsidRDefault="003722CF">
      <w:pPr>
        <w:pStyle w:val="Text"/>
        <w:spacing w:after="0" w:line="240" w:lineRule="exact"/>
        <w:ind w:firstLine="0"/>
        <w:rPr>
          <w:rFonts w:ascii="Calibri" w:hAnsi="Calibri" w:cs="DIN Pro Regular"/>
          <w:b/>
          <w:smallCaps/>
          <w:sz w:val="20"/>
          <w:lang w:val="es-MX"/>
        </w:rPr>
      </w:pPr>
    </w:p>
    <w:p w14:paraId="4FAAB480" w14:textId="77777777" w:rsidR="003722CF" w:rsidRDefault="003722CF">
      <w:pPr>
        <w:pStyle w:val="Text"/>
        <w:spacing w:after="0" w:line="240" w:lineRule="exact"/>
        <w:ind w:firstLine="0"/>
        <w:rPr>
          <w:rFonts w:ascii="Calibri" w:hAnsi="Calibri" w:cs="DIN Pro Regular"/>
          <w:b/>
          <w:smallCaps/>
          <w:sz w:val="20"/>
          <w:lang w:val="es-MX"/>
        </w:rPr>
      </w:pPr>
    </w:p>
    <w:p w14:paraId="62DB6598" w14:textId="77777777" w:rsidR="003722CF" w:rsidRDefault="003722CF">
      <w:pPr>
        <w:pStyle w:val="Text"/>
        <w:spacing w:after="0" w:line="240" w:lineRule="exact"/>
        <w:ind w:firstLine="0"/>
        <w:rPr>
          <w:rFonts w:ascii="Calibri" w:hAnsi="Calibri" w:cs="DIN Pro Regular"/>
          <w:b/>
          <w:smallCaps/>
          <w:sz w:val="20"/>
          <w:lang w:val="es-MX"/>
        </w:rPr>
      </w:pPr>
    </w:p>
    <w:p w14:paraId="15D562EB" w14:textId="77777777" w:rsidR="003722CF" w:rsidRDefault="003722CF">
      <w:pPr>
        <w:pStyle w:val="Text"/>
        <w:spacing w:after="0" w:line="240" w:lineRule="exact"/>
        <w:ind w:firstLine="0"/>
        <w:rPr>
          <w:rFonts w:ascii="Calibri" w:hAnsi="Calibri" w:cs="DIN Pro Regular"/>
          <w:b/>
          <w:smallCaps/>
          <w:sz w:val="20"/>
          <w:lang w:val="es-MX"/>
        </w:rPr>
      </w:pPr>
    </w:p>
    <w:p w14:paraId="36409E06" w14:textId="77777777" w:rsidR="003722CF" w:rsidRDefault="003722CF">
      <w:pPr>
        <w:pStyle w:val="Text"/>
        <w:spacing w:after="0" w:line="240" w:lineRule="exact"/>
        <w:ind w:firstLine="0"/>
        <w:rPr>
          <w:rFonts w:ascii="Calibri" w:hAnsi="Calibri" w:cs="DIN Pro Regular"/>
          <w:b/>
          <w:smallCaps/>
          <w:sz w:val="20"/>
          <w:lang w:val="es-MX"/>
        </w:rPr>
      </w:pPr>
    </w:p>
    <w:p w14:paraId="67FB1F0C" w14:textId="77777777" w:rsidR="003722CF" w:rsidRDefault="003722CF">
      <w:pPr>
        <w:pStyle w:val="Text"/>
        <w:spacing w:after="0" w:line="240" w:lineRule="exact"/>
        <w:ind w:firstLine="0"/>
        <w:rPr>
          <w:rFonts w:ascii="Calibri" w:hAnsi="Calibri" w:cs="DIN Pro Regular"/>
          <w:b/>
          <w:smallCaps/>
          <w:sz w:val="20"/>
          <w:lang w:val="es-MX"/>
        </w:rPr>
      </w:pPr>
    </w:p>
    <w:p w14:paraId="27E30B84" w14:textId="77777777" w:rsidR="003722CF" w:rsidRDefault="003722CF">
      <w:pPr>
        <w:pStyle w:val="Text"/>
        <w:spacing w:after="0" w:line="240" w:lineRule="exact"/>
        <w:ind w:firstLine="0"/>
        <w:rPr>
          <w:rFonts w:ascii="Calibri" w:hAnsi="Calibri" w:cs="DIN Pro Regular"/>
          <w:b/>
          <w:smallCaps/>
          <w:sz w:val="20"/>
          <w:lang w:val="es-MX"/>
        </w:rPr>
      </w:pPr>
    </w:p>
    <w:p w14:paraId="4C3D9FF8" w14:textId="77777777" w:rsidR="003722CF" w:rsidRDefault="003722CF">
      <w:pPr>
        <w:pStyle w:val="Text"/>
        <w:spacing w:after="0" w:line="240" w:lineRule="exact"/>
        <w:ind w:firstLine="0"/>
        <w:rPr>
          <w:rFonts w:ascii="Calibri" w:hAnsi="Calibri" w:cs="DIN Pro Regular"/>
          <w:b/>
          <w:smallCaps/>
          <w:sz w:val="20"/>
          <w:lang w:val="es-MX"/>
        </w:rPr>
      </w:pPr>
    </w:p>
    <w:p w14:paraId="732EBED6" w14:textId="77777777" w:rsidR="003722CF" w:rsidRDefault="003722CF">
      <w:pPr>
        <w:pStyle w:val="Text"/>
        <w:spacing w:after="0" w:line="240" w:lineRule="exact"/>
        <w:ind w:firstLine="0"/>
        <w:rPr>
          <w:rFonts w:ascii="Calibri" w:hAnsi="Calibri" w:cs="DIN Pro Regular"/>
          <w:b/>
          <w:smallCaps/>
          <w:sz w:val="20"/>
          <w:lang w:val="es-MX"/>
        </w:rPr>
      </w:pPr>
    </w:p>
    <w:p w14:paraId="635C1E76" w14:textId="77777777" w:rsidR="003722CF" w:rsidRDefault="003722CF">
      <w:pPr>
        <w:pStyle w:val="Text"/>
        <w:spacing w:after="0" w:line="240" w:lineRule="exact"/>
        <w:ind w:firstLine="0"/>
        <w:rPr>
          <w:rFonts w:ascii="Calibri" w:hAnsi="Calibri" w:cs="DIN Pro Regular"/>
          <w:b/>
          <w:smallCaps/>
          <w:sz w:val="20"/>
          <w:lang w:val="es-MX"/>
        </w:rPr>
      </w:pPr>
    </w:p>
    <w:p w14:paraId="6009857C" w14:textId="77777777" w:rsidR="003722CF" w:rsidRDefault="003722CF">
      <w:pPr>
        <w:pStyle w:val="Text"/>
        <w:spacing w:after="0" w:line="240" w:lineRule="exact"/>
        <w:jc w:val="center"/>
        <w:rPr>
          <w:rFonts w:ascii="Calibri" w:hAnsi="Calibri" w:cs="DIN Pro Regular"/>
          <w:b/>
          <w:sz w:val="24"/>
          <w:szCs w:val="24"/>
        </w:rPr>
      </w:pPr>
    </w:p>
    <w:p w14:paraId="6852C01C" w14:textId="77777777" w:rsidR="003722CF" w:rsidRDefault="003722CF">
      <w:pPr>
        <w:pStyle w:val="Text"/>
        <w:spacing w:after="0" w:line="240" w:lineRule="exact"/>
        <w:jc w:val="center"/>
        <w:rPr>
          <w:rFonts w:ascii="Calibri" w:hAnsi="Calibri" w:cs="DIN Pro Regular"/>
          <w:b/>
          <w:sz w:val="24"/>
          <w:szCs w:val="24"/>
        </w:rPr>
      </w:pPr>
    </w:p>
    <w:p w14:paraId="49A0D8C0" w14:textId="77777777" w:rsidR="003722CF" w:rsidRDefault="003722CF">
      <w:pPr>
        <w:pStyle w:val="Text"/>
        <w:spacing w:after="0" w:line="240" w:lineRule="exact"/>
        <w:jc w:val="center"/>
        <w:rPr>
          <w:rFonts w:ascii="Calibri" w:hAnsi="Calibri" w:cs="DIN Pro Regular"/>
          <w:b/>
          <w:sz w:val="24"/>
          <w:szCs w:val="24"/>
        </w:rPr>
      </w:pPr>
    </w:p>
    <w:p w14:paraId="3AA80AC7" w14:textId="77777777" w:rsidR="003722CF" w:rsidRDefault="003722CF">
      <w:pPr>
        <w:pStyle w:val="Text"/>
        <w:spacing w:after="0" w:line="240" w:lineRule="exact"/>
        <w:jc w:val="center"/>
        <w:rPr>
          <w:rFonts w:ascii="Calibri" w:hAnsi="Calibri" w:cs="DIN Pro Regular"/>
          <w:b/>
          <w:sz w:val="24"/>
          <w:szCs w:val="24"/>
        </w:rPr>
      </w:pPr>
    </w:p>
    <w:p w14:paraId="5BB243A4" w14:textId="77777777" w:rsidR="003722CF" w:rsidRDefault="003722CF">
      <w:pPr>
        <w:pStyle w:val="Text"/>
        <w:spacing w:after="0" w:line="240" w:lineRule="exact"/>
        <w:jc w:val="center"/>
        <w:rPr>
          <w:rFonts w:ascii="Calibri" w:hAnsi="Calibri" w:cs="DIN Pro Regular"/>
          <w:b/>
          <w:sz w:val="24"/>
          <w:szCs w:val="24"/>
        </w:rPr>
      </w:pPr>
    </w:p>
    <w:p w14:paraId="60D9D221" w14:textId="77777777" w:rsidR="003722CF" w:rsidRDefault="003722CF">
      <w:pPr>
        <w:pStyle w:val="Text"/>
        <w:spacing w:after="0" w:line="240" w:lineRule="exact"/>
        <w:jc w:val="center"/>
        <w:rPr>
          <w:rFonts w:ascii="Calibri" w:hAnsi="Calibri" w:cs="DIN Pro Regular"/>
          <w:b/>
          <w:sz w:val="24"/>
          <w:szCs w:val="24"/>
        </w:rPr>
      </w:pPr>
    </w:p>
    <w:p w14:paraId="1F5F16E1" w14:textId="77777777" w:rsidR="003722CF" w:rsidRDefault="003722CF">
      <w:pPr>
        <w:pStyle w:val="Text"/>
        <w:spacing w:after="0" w:line="240" w:lineRule="exact"/>
        <w:jc w:val="center"/>
        <w:rPr>
          <w:rFonts w:ascii="Calibri" w:hAnsi="Calibri" w:cs="DIN Pro Regular"/>
          <w:b/>
          <w:sz w:val="24"/>
          <w:szCs w:val="24"/>
        </w:rPr>
      </w:pPr>
    </w:p>
    <w:p w14:paraId="1DFD75E1" w14:textId="77777777" w:rsidR="003722CF" w:rsidRDefault="003722CF">
      <w:pPr>
        <w:pStyle w:val="Text"/>
        <w:spacing w:after="0" w:line="240" w:lineRule="exact"/>
        <w:jc w:val="center"/>
        <w:rPr>
          <w:rFonts w:ascii="Calibri" w:hAnsi="Calibri" w:cs="DIN Pro Regular"/>
          <w:b/>
          <w:sz w:val="24"/>
          <w:szCs w:val="24"/>
        </w:rPr>
      </w:pPr>
    </w:p>
    <w:p w14:paraId="1F9FFECC" w14:textId="77777777" w:rsidR="003722CF" w:rsidRDefault="003722CF">
      <w:pPr>
        <w:pStyle w:val="Text"/>
        <w:spacing w:after="0" w:line="240" w:lineRule="exact"/>
        <w:jc w:val="center"/>
        <w:rPr>
          <w:rFonts w:ascii="Calibri" w:hAnsi="Calibri" w:cs="DIN Pro Regular"/>
          <w:b/>
          <w:sz w:val="24"/>
          <w:szCs w:val="24"/>
        </w:rPr>
      </w:pPr>
    </w:p>
    <w:p w14:paraId="57FEAB94" w14:textId="77777777" w:rsidR="003722CF" w:rsidRDefault="003722CF">
      <w:pPr>
        <w:pStyle w:val="Text"/>
        <w:spacing w:after="0" w:line="240" w:lineRule="exact"/>
        <w:jc w:val="center"/>
        <w:rPr>
          <w:rFonts w:ascii="Calibri" w:hAnsi="Calibri" w:cs="DIN Pro Regular"/>
          <w:b/>
          <w:sz w:val="24"/>
          <w:szCs w:val="24"/>
        </w:rPr>
      </w:pPr>
    </w:p>
    <w:p w14:paraId="600933F1" w14:textId="77777777" w:rsidR="003722CF" w:rsidRDefault="003722CF">
      <w:pPr>
        <w:pStyle w:val="Text"/>
        <w:spacing w:after="0" w:line="240" w:lineRule="exact"/>
        <w:jc w:val="center"/>
        <w:rPr>
          <w:rFonts w:ascii="Calibri" w:hAnsi="Calibri" w:cs="DIN Pro Regular"/>
          <w:b/>
          <w:sz w:val="24"/>
          <w:szCs w:val="24"/>
        </w:rPr>
      </w:pPr>
    </w:p>
    <w:p w14:paraId="5C1A82F6" w14:textId="77777777" w:rsidR="003722CF" w:rsidRDefault="00411668">
      <w:pPr>
        <w:pStyle w:val="Text"/>
        <w:spacing w:after="0" w:line="240" w:lineRule="exact"/>
        <w:jc w:val="center"/>
      </w:pPr>
      <w:r>
        <w:rPr>
          <w:rFonts w:ascii="Calibri" w:hAnsi="Calibri" w:cs="DIN Pro Regular"/>
          <w:b/>
          <w:sz w:val="24"/>
          <w:szCs w:val="24"/>
        </w:rPr>
        <w:t>Cuenta Pública 2024</w:t>
      </w:r>
    </w:p>
    <w:p w14:paraId="001EEC1E" w14:textId="77777777" w:rsidR="003722CF" w:rsidRDefault="003722CF">
      <w:pPr>
        <w:pStyle w:val="Text"/>
        <w:spacing w:after="0" w:line="240" w:lineRule="exact"/>
        <w:jc w:val="center"/>
        <w:rPr>
          <w:rFonts w:ascii="Calibri" w:hAnsi="Calibri" w:cs="DIN Pro Regular"/>
          <w:b/>
          <w:sz w:val="24"/>
          <w:szCs w:val="24"/>
        </w:rPr>
      </w:pPr>
    </w:p>
    <w:p w14:paraId="3D54D8B8" w14:textId="77777777" w:rsidR="003722CF" w:rsidRDefault="00411668">
      <w:pPr>
        <w:pStyle w:val="Text"/>
        <w:spacing w:after="0" w:line="240" w:lineRule="exact"/>
        <w:jc w:val="center"/>
      </w:pPr>
      <w:r>
        <w:rPr>
          <w:rFonts w:ascii="Calibri" w:hAnsi="Calibri" w:cs="DIN Pro Regular"/>
          <w:b/>
          <w:sz w:val="24"/>
          <w:szCs w:val="24"/>
        </w:rPr>
        <w:t>Notas a los Estados Financieros</w:t>
      </w:r>
    </w:p>
    <w:p w14:paraId="7B0AEFEC" w14:textId="77777777" w:rsidR="003722CF" w:rsidRDefault="003722CF">
      <w:pPr>
        <w:pStyle w:val="Text"/>
        <w:spacing w:after="0" w:line="240" w:lineRule="exact"/>
        <w:ind w:firstLine="0"/>
        <w:rPr>
          <w:rFonts w:ascii="Calibri" w:hAnsi="Calibri" w:cs="DIN Pro Regular"/>
          <w:b/>
          <w:smallCaps/>
          <w:sz w:val="20"/>
        </w:rPr>
      </w:pPr>
    </w:p>
    <w:p w14:paraId="6DA31A3B" w14:textId="77777777" w:rsidR="003722CF" w:rsidRDefault="00411668">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532400C" w14:textId="77777777" w:rsidR="003722CF" w:rsidRDefault="003722CF">
      <w:pPr>
        <w:pStyle w:val="Text"/>
        <w:spacing w:after="0" w:line="240" w:lineRule="exact"/>
        <w:rPr>
          <w:rFonts w:ascii="Calibri" w:hAnsi="Calibri" w:cs="DIN Pro Regular"/>
          <w:sz w:val="20"/>
          <w:lang w:val="es-MX"/>
        </w:rPr>
      </w:pPr>
    </w:p>
    <w:p w14:paraId="13CFD485" w14:textId="77777777" w:rsidR="003722CF" w:rsidRDefault="003722CF">
      <w:pPr>
        <w:pStyle w:val="Text"/>
        <w:spacing w:after="0" w:line="240" w:lineRule="exact"/>
        <w:rPr>
          <w:rFonts w:ascii="Calibri" w:hAnsi="Calibri" w:cs="DIN Pro Regular"/>
          <w:sz w:val="20"/>
          <w:lang w:val="es-MX"/>
        </w:rPr>
      </w:pPr>
    </w:p>
    <w:p w14:paraId="2718A2B9" w14:textId="77777777" w:rsidR="003722CF" w:rsidRDefault="00411668">
      <w:pPr>
        <w:pStyle w:val="Text"/>
        <w:spacing w:after="0" w:line="240" w:lineRule="exact"/>
        <w:rPr>
          <w:rFonts w:ascii="Calibri" w:hAnsi="Calibri" w:cs="DIN Pro Regular"/>
          <w:b/>
          <w:sz w:val="22"/>
          <w:szCs w:val="22"/>
        </w:rPr>
      </w:pPr>
      <w:r>
        <w:rPr>
          <w:rFonts w:ascii="Calibri" w:hAnsi="Calibri" w:cs="DIN Pro Regular"/>
          <w:b/>
          <w:sz w:val="22"/>
          <w:szCs w:val="22"/>
        </w:rPr>
        <w:t xml:space="preserve">Cuentas de Orden Contables y </w:t>
      </w:r>
      <w:r>
        <w:rPr>
          <w:rFonts w:ascii="Calibri" w:hAnsi="Calibri" w:cs="DIN Pro Regular"/>
          <w:b/>
          <w:sz w:val="22"/>
          <w:szCs w:val="22"/>
        </w:rPr>
        <w:t xml:space="preserve">Presupuestarias: </w:t>
      </w:r>
    </w:p>
    <w:p w14:paraId="772753B8" w14:textId="77777777" w:rsidR="003722CF" w:rsidRDefault="003722CF">
      <w:pPr>
        <w:pStyle w:val="Text"/>
        <w:spacing w:after="0" w:line="240" w:lineRule="exact"/>
        <w:rPr>
          <w:rFonts w:ascii="Calibri" w:hAnsi="Calibri" w:cs="DIN Pro Regular"/>
          <w:b/>
          <w:sz w:val="22"/>
          <w:szCs w:val="22"/>
        </w:rPr>
      </w:pPr>
    </w:p>
    <w:p w14:paraId="3AC3A2BE" w14:textId="77777777" w:rsidR="003722CF" w:rsidRDefault="00411668">
      <w:pPr>
        <w:pStyle w:val="Text"/>
        <w:spacing w:after="0" w:line="240" w:lineRule="exact"/>
        <w:rPr>
          <w:rFonts w:ascii="Calibri" w:hAnsi="Calibri" w:cs="DIN Pro Regular"/>
          <w:b/>
          <w:sz w:val="22"/>
          <w:szCs w:val="22"/>
        </w:rPr>
      </w:pPr>
      <w:r>
        <w:rPr>
          <w:rFonts w:ascii="Calibri" w:hAnsi="Calibri" w:cs="DIN Pro Regular"/>
          <w:b/>
          <w:sz w:val="22"/>
          <w:szCs w:val="22"/>
        </w:rPr>
        <w:t>Contables:</w:t>
      </w:r>
    </w:p>
    <w:tbl>
      <w:tblPr>
        <w:tblW w:w="6996" w:type="dxa"/>
        <w:tblInd w:w="1124" w:type="dxa"/>
        <w:tblCellMar>
          <w:left w:w="10" w:type="dxa"/>
          <w:right w:w="10" w:type="dxa"/>
        </w:tblCellMar>
        <w:tblLook w:val="0000" w:firstRow="0" w:lastRow="0" w:firstColumn="0" w:lastColumn="0" w:noHBand="0" w:noVBand="0"/>
      </w:tblPr>
      <w:tblGrid>
        <w:gridCol w:w="4596"/>
        <w:gridCol w:w="2400"/>
      </w:tblGrid>
      <w:tr w:rsidR="003722CF" w14:paraId="4B87CEEC" w14:textId="77777777">
        <w:tblPrEx>
          <w:tblCellMar>
            <w:top w:w="0" w:type="dxa"/>
            <w:bottom w:w="0" w:type="dxa"/>
          </w:tblCellMar>
        </w:tblPrEx>
        <w:trPr>
          <w:trHeight w:val="315"/>
        </w:trPr>
        <w:tc>
          <w:tcPr>
            <w:tcW w:w="4596"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E473840" w14:textId="77777777" w:rsidR="003722CF" w:rsidRDefault="00411668">
            <w:pPr>
              <w:widowControl/>
              <w:suppressAutoHyphens w:val="0"/>
              <w:jc w:val="both"/>
              <w:textAlignment w:val="auto"/>
            </w:pPr>
            <w:r>
              <w:rPr>
                <w:rFonts w:cs="DIN Pro Regular"/>
              </w:rPr>
              <w:tab/>
            </w:r>
            <w:r>
              <w:rPr>
                <w:rFonts w:cs="DIN Pro Regular"/>
                <w:sz w:val="22"/>
                <w:szCs w:val="22"/>
                <w:lang w:eastAsia="en-US"/>
              </w:rPr>
              <w:tab/>
            </w:r>
            <w:r>
              <w:rPr>
                <w:rFonts w:eastAsia="Times New Roman" w:cs="DIN Pro Regular"/>
                <w:color w:val="FFFFFF"/>
                <w:sz w:val="22"/>
                <w:szCs w:val="22"/>
              </w:rPr>
              <w:t xml:space="preserve">                              Concepto</w:t>
            </w:r>
          </w:p>
        </w:tc>
        <w:tc>
          <w:tcPr>
            <w:tcW w:w="2400"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0D45D84E" w14:textId="77777777" w:rsidR="003722CF" w:rsidRDefault="00411668">
            <w:pPr>
              <w:widowControl/>
              <w:suppressAutoHyphens w:val="0"/>
              <w:jc w:val="both"/>
              <w:textAlignment w:val="auto"/>
              <w:rPr>
                <w:rFonts w:eastAsia="Times New Roman" w:cs="DIN Pro Regular"/>
                <w:color w:val="FFFFFF"/>
                <w:sz w:val="22"/>
                <w:szCs w:val="22"/>
              </w:rPr>
            </w:pPr>
            <w:r>
              <w:rPr>
                <w:rFonts w:eastAsia="Times New Roman" w:cs="DIN Pro Regular"/>
                <w:color w:val="FFFFFF"/>
                <w:sz w:val="22"/>
                <w:szCs w:val="22"/>
              </w:rPr>
              <w:t> </w:t>
            </w:r>
          </w:p>
        </w:tc>
      </w:tr>
      <w:tr w:rsidR="003722CF" w14:paraId="28B923CA" w14:textId="77777777">
        <w:tblPrEx>
          <w:tblCellMar>
            <w:top w:w="0" w:type="dxa"/>
            <w:bottom w:w="0" w:type="dxa"/>
          </w:tblCellMar>
        </w:tblPrEx>
        <w:trPr>
          <w:trHeight w:val="315"/>
        </w:trPr>
        <w:tc>
          <w:tcPr>
            <w:tcW w:w="459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1A227B" w14:textId="77777777" w:rsidR="003722CF" w:rsidRDefault="00411668">
            <w:pPr>
              <w:widowControl/>
              <w:suppressAutoHyphens w:val="0"/>
              <w:jc w:val="both"/>
              <w:textAlignment w:val="auto"/>
            </w:pPr>
            <w:r>
              <w:rPr>
                <w:rFonts w:eastAsia="Times New Roman" w:cs="DIN Pro Regular"/>
                <w:color w:val="000000"/>
                <w:lang w:val="es-ES"/>
              </w:rPr>
              <w:t>Valores</w:t>
            </w:r>
          </w:p>
        </w:tc>
        <w:tc>
          <w:tcPr>
            <w:tcW w:w="2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A98DFD" w14:textId="77777777" w:rsidR="003722CF" w:rsidRDefault="00411668">
            <w:pPr>
              <w:widowControl/>
              <w:suppressAutoHyphens w:val="0"/>
              <w:jc w:val="right"/>
              <w:textAlignment w:val="auto"/>
            </w:pPr>
            <w:r>
              <w:rPr>
                <w:rFonts w:eastAsia="Times New Roman" w:cs="DIN Pro Regular"/>
                <w:color w:val="000000"/>
                <w:lang w:val="es-ES"/>
              </w:rPr>
              <w:t>No Aplica</w:t>
            </w:r>
          </w:p>
        </w:tc>
      </w:tr>
      <w:tr w:rsidR="003722CF" w14:paraId="2FCF64FE" w14:textId="77777777">
        <w:tblPrEx>
          <w:tblCellMar>
            <w:top w:w="0" w:type="dxa"/>
            <w:bottom w:w="0" w:type="dxa"/>
          </w:tblCellMar>
        </w:tblPrEx>
        <w:trPr>
          <w:trHeight w:val="315"/>
        </w:trPr>
        <w:tc>
          <w:tcPr>
            <w:tcW w:w="459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9EC00B" w14:textId="77777777" w:rsidR="003722CF" w:rsidRDefault="00411668">
            <w:pPr>
              <w:widowControl/>
              <w:suppressAutoHyphens w:val="0"/>
              <w:textAlignment w:val="auto"/>
            </w:pPr>
            <w:r>
              <w:rPr>
                <w:rFonts w:eastAsia="Times New Roman" w:cs="DIN Pro Regular"/>
                <w:color w:val="000000"/>
                <w:lang w:val="es-ES"/>
              </w:rPr>
              <w:t>Emisión de Obligaciones</w:t>
            </w:r>
          </w:p>
        </w:tc>
        <w:tc>
          <w:tcPr>
            <w:tcW w:w="2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3A40A9" w14:textId="77777777" w:rsidR="003722CF" w:rsidRDefault="00411668">
            <w:pPr>
              <w:widowControl/>
              <w:suppressAutoHyphens w:val="0"/>
              <w:jc w:val="right"/>
              <w:textAlignment w:val="auto"/>
            </w:pPr>
            <w:r>
              <w:rPr>
                <w:rFonts w:eastAsia="Times New Roman" w:cs="DIN Pro Regular"/>
                <w:color w:val="000000"/>
                <w:lang w:val="es-ES"/>
              </w:rPr>
              <w:t>No Aplica</w:t>
            </w:r>
          </w:p>
        </w:tc>
      </w:tr>
      <w:tr w:rsidR="003722CF" w14:paraId="403AC778" w14:textId="77777777">
        <w:tblPrEx>
          <w:tblCellMar>
            <w:top w:w="0" w:type="dxa"/>
            <w:bottom w:w="0" w:type="dxa"/>
          </w:tblCellMar>
        </w:tblPrEx>
        <w:trPr>
          <w:trHeight w:val="315"/>
        </w:trPr>
        <w:tc>
          <w:tcPr>
            <w:tcW w:w="459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6236B2" w14:textId="77777777" w:rsidR="003722CF" w:rsidRDefault="00411668">
            <w:pPr>
              <w:widowControl/>
              <w:suppressAutoHyphens w:val="0"/>
              <w:jc w:val="both"/>
              <w:textAlignment w:val="auto"/>
              <w:rPr>
                <w:rFonts w:eastAsia="Times New Roman" w:cs="DIN Pro Regular"/>
                <w:color w:val="000000"/>
              </w:rPr>
            </w:pPr>
            <w:r>
              <w:rPr>
                <w:rFonts w:eastAsia="Times New Roman" w:cs="DIN Pro Regular"/>
                <w:color w:val="000000"/>
              </w:rPr>
              <w:t>Avales y garantías</w:t>
            </w:r>
          </w:p>
        </w:tc>
        <w:tc>
          <w:tcPr>
            <w:tcW w:w="2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D91D03" w14:textId="77777777" w:rsidR="003722CF" w:rsidRDefault="00411668">
            <w:pPr>
              <w:widowControl/>
              <w:suppressAutoHyphens w:val="0"/>
              <w:jc w:val="right"/>
              <w:textAlignment w:val="auto"/>
              <w:rPr>
                <w:rFonts w:eastAsia="Times New Roman" w:cs="DIN Pro Regular"/>
                <w:color w:val="000000"/>
              </w:rPr>
            </w:pPr>
            <w:r>
              <w:rPr>
                <w:rFonts w:eastAsia="Times New Roman" w:cs="DIN Pro Regular"/>
                <w:color w:val="000000"/>
              </w:rPr>
              <w:t>No Aplica</w:t>
            </w:r>
          </w:p>
        </w:tc>
      </w:tr>
      <w:tr w:rsidR="003722CF" w14:paraId="0D16E21E" w14:textId="77777777">
        <w:tblPrEx>
          <w:tblCellMar>
            <w:top w:w="0" w:type="dxa"/>
            <w:bottom w:w="0" w:type="dxa"/>
          </w:tblCellMar>
        </w:tblPrEx>
        <w:trPr>
          <w:trHeight w:val="315"/>
        </w:trPr>
        <w:tc>
          <w:tcPr>
            <w:tcW w:w="459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031618" w14:textId="77777777" w:rsidR="003722CF" w:rsidRDefault="00411668">
            <w:pPr>
              <w:widowControl/>
              <w:suppressAutoHyphens w:val="0"/>
              <w:jc w:val="both"/>
              <w:textAlignment w:val="auto"/>
            </w:pPr>
            <w:r>
              <w:rPr>
                <w:rFonts w:eastAsia="Times New Roman" w:cs="DIN Pro Regular"/>
                <w:color w:val="000000"/>
                <w:lang w:val="es-ES"/>
              </w:rPr>
              <w:t>Juicios</w:t>
            </w:r>
          </w:p>
        </w:tc>
        <w:tc>
          <w:tcPr>
            <w:tcW w:w="2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7365D8" w14:textId="77777777" w:rsidR="003722CF" w:rsidRDefault="00411668">
            <w:pPr>
              <w:widowControl/>
              <w:suppressAutoHyphens w:val="0"/>
              <w:jc w:val="right"/>
              <w:textAlignment w:val="auto"/>
            </w:pPr>
            <w:r>
              <w:rPr>
                <w:rFonts w:eastAsia="Times New Roman" w:cs="DIN Pro Regular"/>
                <w:color w:val="000000"/>
                <w:lang w:val="es-ES"/>
              </w:rPr>
              <w:t>No Aplica</w:t>
            </w:r>
          </w:p>
        </w:tc>
      </w:tr>
    </w:tbl>
    <w:p w14:paraId="41ED59C9" w14:textId="77777777" w:rsidR="003722CF" w:rsidRDefault="003722CF">
      <w:pPr>
        <w:pStyle w:val="Text"/>
        <w:spacing w:after="0" w:line="240" w:lineRule="exact"/>
        <w:ind w:left="2160" w:hanging="540"/>
        <w:rPr>
          <w:rFonts w:ascii="Calibri" w:hAnsi="Calibri" w:cs="DIN Pro Regular"/>
          <w:sz w:val="20"/>
        </w:rPr>
      </w:pPr>
    </w:p>
    <w:p w14:paraId="499A5966" w14:textId="77777777" w:rsidR="003722CF" w:rsidRDefault="00411668">
      <w:pPr>
        <w:pStyle w:val="Text"/>
        <w:spacing w:after="0" w:line="240" w:lineRule="exact"/>
        <w:ind w:firstLine="0"/>
      </w:pPr>
      <w:r>
        <w:rPr>
          <w:rFonts w:ascii="Calibri" w:hAnsi="Calibri" w:cs="DIN Pro Regular"/>
          <w:sz w:val="20"/>
        </w:rPr>
        <w:t xml:space="preserve">          </w:t>
      </w:r>
      <w:r>
        <w:rPr>
          <w:rFonts w:ascii="Calibri" w:hAnsi="Calibri" w:cs="DIN Pro Regular"/>
          <w:b/>
          <w:sz w:val="22"/>
          <w:szCs w:val="22"/>
        </w:rPr>
        <w:t>Presupuestarias:</w:t>
      </w: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3722CF" w14:paraId="44F6CDC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1646EAE"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 xml:space="preserve">Cuentas de Orden Presupuestarias de </w:t>
            </w:r>
            <w:r>
              <w:rPr>
                <w:rFonts w:ascii="Calibri" w:hAnsi="Calibri" w:cs="DIN Pro Regular"/>
                <w:b/>
                <w:bCs/>
                <w:sz w:val="20"/>
              </w:rPr>
              <w:t>Ingresos</w:t>
            </w:r>
          </w:p>
        </w:tc>
      </w:tr>
      <w:tr w:rsidR="003722CF" w14:paraId="08EEFA8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E01F"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F223"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D945"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3722CF" w14:paraId="1858990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7A9C"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98A6"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DFA51"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 xml:space="preserve">  $8,295,570</w:t>
            </w:r>
          </w:p>
        </w:tc>
      </w:tr>
      <w:tr w:rsidR="003722CF" w14:paraId="67D8CA0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1302"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D046D"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9520"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 xml:space="preserve">        $42,937</w:t>
            </w:r>
          </w:p>
        </w:tc>
      </w:tr>
      <w:tr w:rsidR="003722CF" w14:paraId="10B0AFA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8EB3"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B160E"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1DA8"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 xml:space="preserve">  $3,790,560</w:t>
            </w:r>
          </w:p>
        </w:tc>
      </w:tr>
      <w:tr w:rsidR="003722CF" w14:paraId="1B6D816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F8EC"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677A"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82D3"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$12,043,193</w:t>
            </w:r>
          </w:p>
        </w:tc>
      </w:tr>
      <w:tr w:rsidR="003722CF" w14:paraId="10ECAEE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9227"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C96B"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CF340" w14:textId="77777777" w:rsidR="003722CF" w:rsidRDefault="00411668">
            <w:pPr>
              <w:pStyle w:val="Text"/>
              <w:spacing w:after="0" w:line="240" w:lineRule="exact"/>
              <w:ind w:firstLine="0"/>
              <w:rPr>
                <w:rFonts w:ascii="Calibri" w:hAnsi="Calibri" w:cs="DIN Pro Regular"/>
                <w:sz w:val="20"/>
              </w:rPr>
            </w:pPr>
            <w:r>
              <w:rPr>
                <w:rFonts w:ascii="Calibri" w:hAnsi="Calibri" w:cs="DIN Pro Regular"/>
                <w:sz w:val="20"/>
              </w:rPr>
              <w:t>$12,006,864</w:t>
            </w:r>
          </w:p>
        </w:tc>
      </w:tr>
    </w:tbl>
    <w:p w14:paraId="62FD8BEF" w14:textId="77777777" w:rsidR="003722CF" w:rsidRDefault="003722CF">
      <w:pPr>
        <w:pStyle w:val="Text"/>
        <w:spacing w:after="0" w:line="240" w:lineRule="exact"/>
        <w:ind w:firstLine="0"/>
        <w:rPr>
          <w:rFonts w:ascii="Calibri" w:hAnsi="Calibri" w:cs="DIN Pro Regular"/>
          <w:sz w:val="20"/>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3722CF" w14:paraId="53E9431C"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3EE3162" w14:textId="77777777" w:rsidR="003722CF" w:rsidRDefault="00411668">
            <w:pPr>
              <w:pStyle w:val="Text"/>
              <w:spacing w:after="0" w:line="240" w:lineRule="exact"/>
              <w:ind w:firstLine="0"/>
              <w:jc w:val="center"/>
            </w:pPr>
            <w:r>
              <w:rPr>
                <w:rFonts w:ascii="Calibri" w:hAnsi="Calibri" w:cs="DIN Pro Regular"/>
                <w:sz w:val="20"/>
              </w:rPr>
              <w:t xml:space="preserve">         </w:t>
            </w:r>
            <w:r>
              <w:rPr>
                <w:rFonts w:ascii="Calibri" w:hAnsi="Calibri" w:cs="DIN Pro Regular"/>
                <w:b/>
                <w:bCs/>
                <w:sz w:val="20"/>
              </w:rPr>
              <w:t>Cuentas de Orden Presupuestarias de Egresos</w:t>
            </w:r>
          </w:p>
        </w:tc>
      </w:tr>
      <w:tr w:rsidR="003722CF" w14:paraId="74224AB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6017"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0CF"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5F7D" w14:textId="77777777" w:rsidR="003722CF" w:rsidRDefault="00411668">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3722CF" w14:paraId="34F59BB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89D4"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8160"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2746"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 xml:space="preserve">  $8,295,570</w:t>
            </w:r>
          </w:p>
        </w:tc>
      </w:tr>
      <w:tr w:rsidR="003722CF" w14:paraId="54EB757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B6C4"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68E0"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33E4"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 xml:space="preserve">     $255,924</w:t>
            </w:r>
          </w:p>
        </w:tc>
      </w:tr>
      <w:tr w:rsidR="003722CF" w14:paraId="62BA1D1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1712"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057F"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D1EC"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 xml:space="preserve">  $3,790,560</w:t>
            </w:r>
          </w:p>
        </w:tc>
      </w:tr>
      <w:tr w:rsidR="003722CF" w14:paraId="2C0F2ED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A7A02"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6E39"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7631"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$11,830,206</w:t>
            </w:r>
          </w:p>
        </w:tc>
      </w:tr>
      <w:tr w:rsidR="003722CF" w14:paraId="1715594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A286"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DB07"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680B"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$11,830,206</w:t>
            </w:r>
          </w:p>
        </w:tc>
      </w:tr>
      <w:tr w:rsidR="003722CF" w14:paraId="06BF136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F7048"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3526C"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D207"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$11,519,185</w:t>
            </w:r>
          </w:p>
        </w:tc>
      </w:tr>
      <w:tr w:rsidR="003722CF" w14:paraId="770268A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8352" w14:textId="77777777" w:rsidR="003722CF" w:rsidRDefault="00411668">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D023"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7F31" w14:textId="77777777" w:rsidR="003722CF" w:rsidRDefault="00411668">
            <w:pPr>
              <w:pStyle w:val="Text"/>
              <w:spacing w:after="0" w:line="240" w:lineRule="exact"/>
              <w:ind w:firstLine="0"/>
              <w:jc w:val="left"/>
              <w:rPr>
                <w:rFonts w:ascii="Calibri" w:hAnsi="Calibri" w:cs="DIN Pro Regular"/>
                <w:sz w:val="20"/>
              </w:rPr>
            </w:pPr>
            <w:r>
              <w:rPr>
                <w:rFonts w:ascii="Calibri" w:hAnsi="Calibri" w:cs="DIN Pro Regular"/>
                <w:sz w:val="20"/>
              </w:rPr>
              <w:t>$11,519,185</w:t>
            </w:r>
          </w:p>
        </w:tc>
      </w:tr>
    </w:tbl>
    <w:p w14:paraId="327566B9" w14:textId="77777777" w:rsidR="003722CF" w:rsidRDefault="00411668">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5CF28685" w14:textId="77777777" w:rsidR="003722CF" w:rsidRDefault="003722CF">
      <w:pPr>
        <w:pStyle w:val="Text"/>
        <w:spacing w:after="0" w:line="240" w:lineRule="exact"/>
        <w:ind w:left="2160" w:hanging="540"/>
      </w:pPr>
    </w:p>
    <w:p w14:paraId="5F1F88D0" w14:textId="77777777" w:rsidR="003722CF" w:rsidRDefault="003722CF">
      <w:pPr>
        <w:pStyle w:val="Text"/>
        <w:spacing w:after="0" w:line="240" w:lineRule="exact"/>
        <w:ind w:firstLine="0"/>
        <w:rPr>
          <w:rFonts w:ascii="Calibri" w:hAnsi="Calibri" w:cs="DIN Pro Regular"/>
          <w:sz w:val="20"/>
        </w:rPr>
      </w:pPr>
    </w:p>
    <w:p w14:paraId="57D06E00" w14:textId="77777777" w:rsidR="003722CF" w:rsidRDefault="00411668">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218D90D" w14:textId="77777777" w:rsidR="003722CF" w:rsidRDefault="003722CF">
      <w:pPr>
        <w:pStyle w:val="Text"/>
        <w:spacing w:after="0" w:line="240" w:lineRule="exact"/>
        <w:rPr>
          <w:rFonts w:ascii="Calibri" w:hAnsi="Calibri" w:cs="DIN Pro Regular"/>
          <w:sz w:val="20"/>
        </w:rPr>
      </w:pPr>
    </w:p>
    <w:p w14:paraId="3E4BCCDF" w14:textId="77777777" w:rsidR="003722CF" w:rsidRDefault="003722CF">
      <w:pPr>
        <w:pStyle w:val="Text"/>
        <w:spacing w:after="0" w:line="240" w:lineRule="exact"/>
        <w:rPr>
          <w:rFonts w:ascii="Calibri" w:hAnsi="Calibri" w:cs="DIN Pro Regular"/>
          <w:sz w:val="20"/>
        </w:rPr>
      </w:pPr>
    </w:p>
    <w:p w14:paraId="7CFF584E" w14:textId="77777777" w:rsidR="003722CF" w:rsidRDefault="003722CF">
      <w:pPr>
        <w:pStyle w:val="Text"/>
        <w:spacing w:after="0" w:line="240" w:lineRule="exact"/>
        <w:rPr>
          <w:rFonts w:ascii="Calibri" w:hAnsi="Calibri" w:cs="DIN Pro Regular"/>
          <w:sz w:val="20"/>
        </w:rPr>
      </w:pPr>
    </w:p>
    <w:p w14:paraId="6AEBAB9C" w14:textId="77777777" w:rsidR="003722CF" w:rsidRDefault="003722CF">
      <w:pPr>
        <w:pStyle w:val="Standard"/>
        <w:spacing w:after="0" w:line="240" w:lineRule="auto"/>
      </w:pPr>
    </w:p>
    <w:sectPr w:rsidR="003722CF">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0E47" w14:textId="77777777" w:rsidR="00411668" w:rsidRDefault="00411668">
      <w:r>
        <w:separator/>
      </w:r>
    </w:p>
  </w:endnote>
  <w:endnote w:type="continuationSeparator" w:id="0">
    <w:p w14:paraId="62499A97" w14:textId="77777777" w:rsidR="00411668" w:rsidRDefault="0041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2564" w14:textId="77777777" w:rsidR="00411668" w:rsidRDefault="00411668">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6815EF03" wp14:editId="2C7F43D2">
              <wp:simplePos x="0" y="0"/>
              <wp:positionH relativeFrom="column">
                <wp:posOffset>4315</wp:posOffset>
              </wp:positionH>
              <wp:positionV relativeFrom="paragraph">
                <wp:posOffset>-55796</wp:posOffset>
              </wp:positionV>
              <wp:extent cx="6191888" cy="0"/>
              <wp:effectExtent l="0" t="0" r="0" b="0"/>
              <wp:wrapNone/>
              <wp:docPr id="159529095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214705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3540" w14:textId="77777777" w:rsidR="00411668" w:rsidRDefault="00411668">
      <w:r>
        <w:rPr>
          <w:color w:val="000000"/>
        </w:rPr>
        <w:separator/>
      </w:r>
    </w:p>
  </w:footnote>
  <w:footnote w:type="continuationSeparator" w:id="0">
    <w:p w14:paraId="5DBE4B71" w14:textId="77777777" w:rsidR="00411668" w:rsidRDefault="0041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A9D7" w14:textId="77777777" w:rsidR="00411668" w:rsidRDefault="00411668">
    <w:pPr>
      <w:pStyle w:val="Encabezado"/>
      <w:tabs>
        <w:tab w:val="clear" w:pos="8838"/>
        <w:tab w:val="left" w:pos="7965"/>
      </w:tabs>
    </w:pPr>
    <w:r>
      <w:rPr>
        <w:noProof/>
      </w:rPr>
      <mc:AlternateContent>
        <mc:Choice Requires="wps">
          <w:drawing>
            <wp:anchor distT="0" distB="0" distL="114300" distR="114300" simplePos="0" relativeHeight="251661312" behindDoc="0" locked="0" layoutInCell="1" allowOverlap="1" wp14:anchorId="267327F4" wp14:editId="2AD08EF6">
              <wp:simplePos x="0" y="0"/>
              <wp:positionH relativeFrom="margin">
                <wp:posOffset>4612635</wp:posOffset>
              </wp:positionH>
              <wp:positionV relativeFrom="paragraph">
                <wp:posOffset>325755</wp:posOffset>
              </wp:positionV>
              <wp:extent cx="1473839" cy="295278"/>
              <wp:effectExtent l="0" t="0" r="0" b="9522"/>
              <wp:wrapSquare wrapText="bothSides"/>
              <wp:docPr id="79814362" name="Cuadro de texto 2"/>
              <wp:cNvGraphicFramePr/>
              <a:graphic xmlns:a="http://schemas.openxmlformats.org/drawingml/2006/main">
                <a:graphicData uri="http://schemas.microsoft.com/office/word/2010/wordprocessingShape">
                  <wps:wsp>
                    <wps:cNvSpPr txBox="1"/>
                    <wps:spPr>
                      <a:xfrm>
                        <a:off x="0" y="0"/>
                        <a:ext cx="1473839" cy="295278"/>
                      </a:xfrm>
                      <a:prstGeom prst="rect">
                        <a:avLst/>
                      </a:prstGeom>
                      <a:solidFill>
                        <a:srgbClr val="FFFFFF"/>
                      </a:solidFill>
                      <a:ln>
                        <a:noFill/>
                        <a:prstDash/>
                      </a:ln>
                    </wps:spPr>
                    <wps:txbx>
                      <w:txbxContent>
                        <w:p w14:paraId="78A5B4AE" w14:textId="77777777" w:rsidR="00411668" w:rsidRDefault="00411668">
                          <w:pPr>
                            <w:jc w:val="center"/>
                          </w:pPr>
                          <w:r>
                            <w:rPr>
                              <w:noProof/>
                            </w:rPr>
                            <w:drawing>
                              <wp:inline distT="0" distB="0" distL="0" distR="0" wp14:anchorId="3A8F36C2" wp14:editId="233484EC">
                                <wp:extent cx="1005300" cy="272116"/>
                                <wp:effectExtent l="0" t="0" r="4350" b="0"/>
                                <wp:docPr id="1577937758"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05300" cy="272116"/>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267327F4" id="_x0000_t202" coordsize="21600,21600" o:spt="202" path="m,l,21600r21600,l21600,xe">
              <v:stroke joinstyle="miter"/>
              <v:path gradientshapeok="t" o:connecttype="rect"/>
            </v:shapetype>
            <v:shape id="Cuadro de texto 2" o:spid="_x0000_s1027" type="#_x0000_t202" style="position:absolute;margin-left:363.2pt;margin-top:25.65pt;width:116.05pt;height:23.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" stroked="f">
              <v:textbox>
                <w:txbxContent>
                  <w:p w14:paraId="78A5B4AE" w14:textId="77777777" w:rsidR="00411668" w:rsidRDefault="00411668">
                    <w:pPr>
                      <w:jc w:val="center"/>
                    </w:pPr>
                    <w:r>
                      <w:rPr>
                        <w:noProof/>
                      </w:rPr>
                      <w:drawing>
                        <wp:inline distT="0" distB="0" distL="0" distR="0" wp14:anchorId="3A8F36C2" wp14:editId="233484EC">
                          <wp:extent cx="1005300" cy="272116"/>
                          <wp:effectExtent l="0" t="0" r="4350" b="0"/>
                          <wp:docPr id="1577937758"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05300" cy="272116"/>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1E094C9C" wp14:editId="65CCBCF5">
          <wp:simplePos x="0" y="0"/>
          <wp:positionH relativeFrom="column">
            <wp:posOffset>-294007</wp:posOffset>
          </wp:positionH>
          <wp:positionV relativeFrom="paragraph">
            <wp:posOffset>52706</wp:posOffset>
          </wp:positionV>
          <wp:extent cx="1798323" cy="568327"/>
          <wp:effectExtent l="0" t="0" r="0" b="3173"/>
          <wp:wrapTopAndBottom/>
          <wp:docPr id="36068954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3DF86BA1" w14:textId="77777777" w:rsidR="00411668" w:rsidRDefault="00411668">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7A79FD5C" wp14:editId="34F9A404">
              <wp:simplePos x="0" y="0"/>
              <wp:positionH relativeFrom="column">
                <wp:posOffset>33174</wp:posOffset>
              </wp:positionH>
              <wp:positionV relativeFrom="paragraph">
                <wp:posOffset>293586</wp:posOffset>
              </wp:positionV>
              <wp:extent cx="6191887" cy="0"/>
              <wp:effectExtent l="0" t="0" r="0" b="0"/>
              <wp:wrapNone/>
              <wp:docPr id="164111086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215BD59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Instituto Metropolitano de Planeación del Sur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72F"/>
    <w:multiLevelType w:val="multilevel"/>
    <w:tmpl w:val="E2963736"/>
    <w:styleLink w:val="WWNum1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DF933DF"/>
    <w:multiLevelType w:val="multilevel"/>
    <w:tmpl w:val="6B04147A"/>
    <w:lvl w:ilvl="0">
      <w:numFmt w:val="bullet"/>
      <w:lvlText w:val=""/>
      <w:lvlJc w:val="left"/>
      <w:pPr>
        <w:ind w:left="1352"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1F5241F0"/>
    <w:multiLevelType w:val="multilevel"/>
    <w:tmpl w:val="995277CE"/>
    <w:styleLink w:val="WWNum1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9FE30A0"/>
    <w:multiLevelType w:val="multilevel"/>
    <w:tmpl w:val="3706403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3CF95BDF"/>
    <w:multiLevelType w:val="multilevel"/>
    <w:tmpl w:val="8CDC681A"/>
    <w:styleLink w:val="WWNum1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FC800C9"/>
    <w:multiLevelType w:val="multilevel"/>
    <w:tmpl w:val="8B584DF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51B12E13"/>
    <w:multiLevelType w:val="multilevel"/>
    <w:tmpl w:val="BBECE9A0"/>
    <w:styleLink w:val="WWNum1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682C212B"/>
    <w:multiLevelType w:val="multilevel"/>
    <w:tmpl w:val="6CC8CF3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68BD742F"/>
    <w:multiLevelType w:val="multilevel"/>
    <w:tmpl w:val="DB80737A"/>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69442AF2"/>
    <w:multiLevelType w:val="multilevel"/>
    <w:tmpl w:val="6F3492A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BB2242C"/>
    <w:multiLevelType w:val="multilevel"/>
    <w:tmpl w:val="CDD4B8E6"/>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59094225">
    <w:abstractNumId w:val="9"/>
  </w:num>
  <w:num w:numId="2" w16cid:durableId="1087193171">
    <w:abstractNumId w:val="8"/>
  </w:num>
  <w:num w:numId="3" w16cid:durableId="321470577">
    <w:abstractNumId w:val="7"/>
  </w:num>
  <w:num w:numId="4" w16cid:durableId="1904830552">
    <w:abstractNumId w:val="10"/>
  </w:num>
  <w:num w:numId="5" w16cid:durableId="158817053">
    <w:abstractNumId w:val="4"/>
  </w:num>
  <w:num w:numId="6" w16cid:durableId="1115247251">
    <w:abstractNumId w:val="2"/>
  </w:num>
  <w:num w:numId="7" w16cid:durableId="833956184">
    <w:abstractNumId w:val="0"/>
  </w:num>
  <w:num w:numId="8" w16cid:durableId="541406405">
    <w:abstractNumId w:val="6"/>
  </w:num>
  <w:num w:numId="9" w16cid:durableId="1743717351">
    <w:abstractNumId w:val="5"/>
  </w:num>
  <w:num w:numId="10" w16cid:durableId="1422877204">
    <w:abstractNumId w:val="3"/>
  </w:num>
  <w:num w:numId="11" w16cid:durableId="1865512630">
    <w:abstractNumId w:val="1"/>
  </w:num>
  <w:num w:numId="12" w16cid:durableId="181109636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722CF"/>
    <w:rsid w:val="003722CF"/>
    <w:rsid w:val="00411668"/>
    <w:rsid w:val="00653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42B59"/>
  <w15:docId w15:val="{AA5C021E-0FFD-48A5-A603-93228408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11">
    <w:name w:val="WWNum11"/>
    <w:basedOn w:val="Sinlista"/>
    <w:pPr>
      <w:numPr>
        <w:numId w:val="5"/>
      </w:numPr>
    </w:pPr>
  </w:style>
  <w:style w:type="numbering" w:customStyle="1" w:styleId="WWNum12">
    <w:name w:val="WWNum12"/>
    <w:basedOn w:val="Sinlista"/>
    <w:pPr>
      <w:numPr>
        <w:numId w:val="6"/>
      </w:numPr>
    </w:pPr>
  </w:style>
  <w:style w:type="numbering" w:customStyle="1" w:styleId="WWNum13">
    <w:name w:val="WWNum13"/>
    <w:basedOn w:val="Sinlista"/>
    <w:pPr>
      <w:numPr>
        <w:numId w:val="7"/>
      </w:numPr>
    </w:pPr>
  </w:style>
  <w:style w:type="numbering" w:customStyle="1" w:styleId="WWNum14">
    <w:name w:val="WWNum14"/>
    <w:basedOn w:val="Sinlist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3408</Words>
  <Characters>18748</Characters>
  <Application>Microsoft Office Word</Application>
  <DocSecurity>0</DocSecurity>
  <Lines>156</Lines>
  <Paragraphs>44</Paragraphs>
  <ScaleCrop>false</ScaleCrop>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2</cp:revision>
  <cp:lastPrinted>2024-09-11T18:36:00Z</cp:lastPrinted>
  <dcterms:created xsi:type="dcterms:W3CDTF">2025-03-12T23:15:00Z</dcterms:created>
  <dcterms:modified xsi:type="dcterms:W3CDTF">2025-03-12T23:15:00Z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