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0D01" w14:textId="77777777" w:rsidR="007F258B" w:rsidRDefault="007F258B">
      <w:pPr>
        <w:pStyle w:val="Text"/>
      </w:pPr>
    </w:p>
    <w:p w14:paraId="17ABBD1A" w14:textId="77777777" w:rsidR="007F258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32824AD7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B7DDD04" w14:textId="77777777" w:rsidR="007F258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3694C429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04362D58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2D763148" w14:textId="77777777" w:rsidR="007F258B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2A4D665B" w14:textId="77777777" w:rsidR="007F258B" w:rsidRDefault="007F258B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765C8AAB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Autorización e Historia</w:t>
      </w:r>
    </w:p>
    <w:p w14:paraId="5740CB9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BD02BDC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Mediante Decreto Gubernamental publicado con fecha 02 de agosto de 2017 en el Periódico Oficial del Estado de Tamaulipas, se crea la Comisión de Caza y Pesca Deportiva de Tamaulipas</w:t>
      </w:r>
    </w:p>
    <w:p w14:paraId="2C2F915B" w14:textId="77777777" w:rsidR="007F258B" w:rsidRDefault="00000000">
      <w:pPr>
        <w:pStyle w:val="Text"/>
        <w:spacing w:line="240" w:lineRule="exact"/>
        <w:ind w:firstLine="0"/>
      </w:pPr>
      <w:r>
        <w:rPr>
          <w:rFonts w:cs="Arial"/>
          <w:sz w:val="20"/>
        </w:rPr>
        <w:t xml:space="preserve">La </w:t>
      </w:r>
      <w:r>
        <w:rPr>
          <w:rFonts w:cs="Arial"/>
          <w:i/>
          <w:sz w:val="20"/>
        </w:rPr>
        <w:t>Comisión de Caza y Pesca Deportiva de Tamaulipas</w:t>
      </w:r>
      <w:r>
        <w:rPr>
          <w:rFonts w:cs="Arial"/>
          <w:sz w:val="20"/>
        </w:rPr>
        <w:t xml:space="preserve"> es un Organismo Público Descentralizado del Gobierno del Estado, con personalidad jurídica y patrimonio propios, con domicilio en ciudad Victoria, Tamaulipas, sectorizado a la Secretaría de Desarrollo Urbano y Medio Ambiente.</w:t>
      </w:r>
    </w:p>
    <w:p w14:paraId="37E82268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F7CBB28" w14:textId="77777777" w:rsidR="007F258B" w:rsidRDefault="007F258B">
      <w:pPr>
        <w:pStyle w:val="Text"/>
        <w:spacing w:after="0" w:line="240" w:lineRule="exact"/>
      </w:pPr>
    </w:p>
    <w:p w14:paraId="4F24E365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Panorama Económico y Financiero</w:t>
      </w:r>
    </w:p>
    <w:p w14:paraId="553468D1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6A5EC92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De conformidad con el Decreto CXLVIII-Extraordinario No. 37 se expide el Presupuesto de Egresos Autorizado del Estado de Tamaulipas para el ejercicio 2024 y publicado el 23 de diciembre del 2023, en el cual se asigna a la Comisión de Caza y Pesca Deportiva de Tamaulipas la cantidad de $14’504,274</w:t>
      </w:r>
    </w:p>
    <w:p w14:paraId="3671844B" w14:textId="77777777" w:rsidR="007F258B" w:rsidRDefault="00000000">
      <w:r>
        <w:rPr>
          <w:rFonts w:ascii="Arial" w:hAnsi="Arial" w:cs="Arial"/>
        </w:rPr>
        <w:t xml:space="preserve">Al cierre del ejercicio 2024, la Comisión tiene ampliaciones presupuestales de ingresos por un total de </w:t>
      </w:r>
      <w:r>
        <w:t>$20´354,325</w:t>
      </w:r>
      <w:r>
        <w:rPr>
          <w:rFonts w:ascii="Arial" w:hAnsi="Arial" w:cs="Arial"/>
        </w:rPr>
        <w:t xml:space="preserve">, las cuales son destinadas a proyectos productivos específicos para la promoción de la caza y pesca deportiva. </w:t>
      </w:r>
    </w:p>
    <w:p w14:paraId="3BECF043" w14:textId="77777777" w:rsidR="007F258B" w:rsidRDefault="007F258B">
      <w:pPr>
        <w:pStyle w:val="Text"/>
        <w:spacing w:after="0" w:line="240" w:lineRule="exact"/>
        <w:rPr>
          <w:rFonts w:ascii="Calibri" w:hAnsi="Calibri" w:cs="Calibri"/>
          <w:sz w:val="20"/>
          <w:lang w:val="es-MX"/>
        </w:rPr>
      </w:pPr>
    </w:p>
    <w:p w14:paraId="0BCA0AF7" w14:textId="77777777" w:rsidR="007F258B" w:rsidRDefault="007F258B">
      <w:pPr>
        <w:pStyle w:val="Text"/>
        <w:spacing w:after="0" w:line="240" w:lineRule="exact"/>
      </w:pPr>
    </w:p>
    <w:p w14:paraId="61136A4A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Organización y Objeto Social</w:t>
      </w:r>
    </w:p>
    <w:p w14:paraId="40E17A71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523078F" w14:textId="77777777" w:rsidR="007F258B" w:rsidRDefault="00000000">
      <w:pPr>
        <w:pStyle w:val="Text"/>
        <w:numPr>
          <w:ilvl w:val="0"/>
          <w:numId w:val="7"/>
        </w:numPr>
        <w:spacing w:line="240" w:lineRule="exact"/>
        <w:rPr>
          <w:rFonts w:cs="Arial"/>
          <w:i/>
          <w:sz w:val="20"/>
        </w:rPr>
      </w:pPr>
      <w:r>
        <w:rPr>
          <w:rFonts w:cs="Arial"/>
          <w:i/>
          <w:sz w:val="20"/>
        </w:rPr>
        <w:t>Objeto Social</w:t>
      </w:r>
    </w:p>
    <w:p w14:paraId="4BE5CFDE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La Comisión de Caza y Pesca Deportiva de Tamaulipas, tiene como objeto social, formular y conducir la política pública estatal en materia de aprovechamiento sostenible de la vida silvestre y pesca deportiva, promover el establecimiento de las condiciones adecuadas para el desarrollo de mercados basados en criterios de sustentabilidad y estimular el logro de objetivos de conservación y aprovechamiento en el ámbito de su jurisdicción territorial.</w:t>
      </w:r>
    </w:p>
    <w:p w14:paraId="4A644619" w14:textId="77777777" w:rsidR="007F258B" w:rsidRDefault="007F258B">
      <w:pPr>
        <w:pStyle w:val="Text"/>
        <w:spacing w:line="240" w:lineRule="exact"/>
        <w:rPr>
          <w:rFonts w:cs="DIN Pro Regular"/>
          <w:sz w:val="20"/>
        </w:rPr>
      </w:pPr>
    </w:p>
    <w:p w14:paraId="03E20DBE" w14:textId="77777777" w:rsidR="007F258B" w:rsidRDefault="00000000">
      <w:pPr>
        <w:pStyle w:val="Text"/>
        <w:numPr>
          <w:ilvl w:val="0"/>
          <w:numId w:val="6"/>
        </w:numPr>
        <w:spacing w:line="240" w:lineRule="exact"/>
        <w:rPr>
          <w:rFonts w:cs="DIN Pro Regular"/>
          <w:i/>
          <w:sz w:val="20"/>
        </w:rPr>
      </w:pPr>
      <w:r>
        <w:rPr>
          <w:rFonts w:cs="DIN Pro Regular"/>
          <w:i/>
          <w:sz w:val="20"/>
        </w:rPr>
        <w:t>Principal actividad</w:t>
      </w:r>
    </w:p>
    <w:p w14:paraId="1235F1A4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Establecer condiciones que garanticen el manejo y aprovechamiento sustentable en materia de vida silvestre y pesca deportiva, regulando su aprovechamiento adecuado y sostenible, evitando con ello la sobreexplotación.</w:t>
      </w:r>
    </w:p>
    <w:p w14:paraId="3A83DC39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Promover e incentivar la práctica de la caza y pesca deportiva en Tamaulipas entre cazadores y pescadores deportivos nacionales y extranjeros, que permita derrama económica para nuestro Estado, a través de la promoción de los distintos campos cinegéticos y de pesca deportiva con que cuenta Tamaulipas, así como con la organización de eventos y torneos relativos a estos temas</w:t>
      </w:r>
    </w:p>
    <w:p w14:paraId="6FA440A9" w14:textId="77777777" w:rsidR="007F258B" w:rsidRDefault="007F258B">
      <w:pPr>
        <w:pStyle w:val="Text"/>
        <w:spacing w:line="240" w:lineRule="exact"/>
        <w:rPr>
          <w:rFonts w:cs="DIN Pro Regular"/>
          <w:sz w:val="20"/>
        </w:rPr>
      </w:pPr>
    </w:p>
    <w:p w14:paraId="0B5177F4" w14:textId="77777777" w:rsidR="007F258B" w:rsidRDefault="00000000">
      <w:pPr>
        <w:pStyle w:val="Text"/>
        <w:numPr>
          <w:ilvl w:val="0"/>
          <w:numId w:val="6"/>
        </w:numPr>
        <w:spacing w:line="240" w:lineRule="exact"/>
        <w:rPr>
          <w:rFonts w:cs="DIN Pro Regular"/>
          <w:i/>
          <w:sz w:val="20"/>
        </w:rPr>
      </w:pPr>
      <w:r>
        <w:rPr>
          <w:rFonts w:cs="DIN Pro Regular"/>
          <w:i/>
          <w:sz w:val="20"/>
        </w:rPr>
        <w:t>Ejercicio fiscal.</w:t>
      </w:r>
    </w:p>
    <w:p w14:paraId="4F737620" w14:textId="77777777" w:rsidR="007F258B" w:rsidRDefault="00000000">
      <w:pPr>
        <w:pStyle w:val="Text"/>
        <w:spacing w:line="240" w:lineRule="exact"/>
        <w:ind w:firstLine="0"/>
      </w:pPr>
      <w:r>
        <w:rPr>
          <w:rFonts w:cs="Arial"/>
          <w:sz w:val="20"/>
        </w:rPr>
        <w:t xml:space="preserve">Las notas a los estados financieros corresponden </w:t>
      </w:r>
      <w:r>
        <w:rPr>
          <w:sz w:val="20"/>
        </w:rPr>
        <w:t>al periodo del ejercicio fiscal 2024.</w:t>
      </w:r>
    </w:p>
    <w:p w14:paraId="1B878318" w14:textId="77777777" w:rsidR="007F258B" w:rsidRDefault="007F258B">
      <w:pPr>
        <w:pStyle w:val="Text"/>
        <w:spacing w:line="240" w:lineRule="exact"/>
        <w:rPr>
          <w:rFonts w:cs="DIN Pro Regular"/>
          <w:sz w:val="20"/>
        </w:rPr>
      </w:pPr>
    </w:p>
    <w:p w14:paraId="38BCDE8D" w14:textId="77777777" w:rsidR="007F258B" w:rsidRDefault="00000000">
      <w:pPr>
        <w:pStyle w:val="Text"/>
        <w:numPr>
          <w:ilvl w:val="0"/>
          <w:numId w:val="6"/>
        </w:numPr>
        <w:spacing w:line="240" w:lineRule="exact"/>
        <w:rPr>
          <w:rFonts w:cs="Arial"/>
          <w:i/>
          <w:sz w:val="20"/>
        </w:rPr>
      </w:pPr>
      <w:r>
        <w:rPr>
          <w:rFonts w:cs="Arial"/>
          <w:i/>
          <w:sz w:val="20"/>
        </w:rPr>
        <w:t>Régimen jurídico</w:t>
      </w:r>
    </w:p>
    <w:p w14:paraId="40B28EDB" w14:textId="77777777" w:rsidR="007F258B" w:rsidRDefault="007F258B">
      <w:pPr>
        <w:pStyle w:val="Text"/>
        <w:spacing w:line="240" w:lineRule="exact"/>
        <w:rPr>
          <w:rFonts w:cs="Arial"/>
          <w:i/>
          <w:sz w:val="20"/>
        </w:rPr>
      </w:pPr>
    </w:p>
    <w:p w14:paraId="1D1F33EA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La Comisión de Caza y Pesca Deportiva de Tamaulipas es un Organismo Público Descentralizado del Gobierno del Estado, con personalidad jurídica y patrimonio propio, sectorizado a la Secretaría de Desarrollo Urbano y Medio Ambiente.</w:t>
      </w:r>
    </w:p>
    <w:p w14:paraId="51174F01" w14:textId="77777777" w:rsidR="007F258B" w:rsidRDefault="007F258B">
      <w:pPr>
        <w:pStyle w:val="Text"/>
        <w:spacing w:line="240" w:lineRule="exact"/>
        <w:rPr>
          <w:rFonts w:cs="Arial"/>
          <w:sz w:val="20"/>
        </w:rPr>
      </w:pPr>
    </w:p>
    <w:p w14:paraId="063EBFA5" w14:textId="77777777" w:rsidR="007F258B" w:rsidRDefault="00000000">
      <w:pPr>
        <w:pStyle w:val="Text"/>
        <w:numPr>
          <w:ilvl w:val="0"/>
          <w:numId w:val="6"/>
        </w:numPr>
        <w:spacing w:line="240" w:lineRule="exact"/>
        <w:rPr>
          <w:rFonts w:cs="Arial"/>
          <w:i/>
          <w:sz w:val="20"/>
        </w:rPr>
      </w:pPr>
      <w:r>
        <w:rPr>
          <w:rFonts w:cs="Arial"/>
          <w:i/>
          <w:sz w:val="20"/>
        </w:rPr>
        <w:t>Régimen fiscal.</w:t>
      </w:r>
    </w:p>
    <w:p w14:paraId="304ACE18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De conformidad con la Ley del Impuesto sobre la Renta la Comisión está sujeta al régimen de Personas Morales con fines no lucrativos y se encuentra obligado a enterar el ISR retenido a quienes haga pagos por sueldos y salarios, y a Personas bajo el Régimen de Simplificado de Confianza y Honorarios.</w:t>
      </w:r>
    </w:p>
    <w:p w14:paraId="40D14E8D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Con respecto a los impuestos locales la Comisión es sujeto del Impuesto sobre las Remuneraciones al Trabajo Personal Subordinado que establece la Ley de Hacienda del Estado de Tamaulipas. </w:t>
      </w:r>
    </w:p>
    <w:p w14:paraId="38BF5D47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Además, el Ente deberá cumplir con la obligación de presentar declaraciones, avisos, solicitudes y expedir constancias cuando así lo exijan las disposiciones fiscales.</w:t>
      </w:r>
    </w:p>
    <w:p w14:paraId="206A2F68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Las obligaciones de la Comisión en materia de seguridad social respecto de sus empleados se establecen en la Ley del Trabajo de los Servidores Públicos del Estado de Tamaulipas y en la Ley del Instituto de Previsión y Seguridad Social del Estado de Tamaulipas.</w:t>
      </w:r>
    </w:p>
    <w:p w14:paraId="24A96E9E" w14:textId="77777777" w:rsidR="007F258B" w:rsidRDefault="007F258B">
      <w:pPr>
        <w:pStyle w:val="Text"/>
        <w:spacing w:line="240" w:lineRule="exact"/>
        <w:rPr>
          <w:rFonts w:cs="Arial"/>
          <w:sz w:val="20"/>
        </w:rPr>
      </w:pPr>
    </w:p>
    <w:p w14:paraId="130561F7" w14:textId="77777777" w:rsidR="007F258B" w:rsidRDefault="00000000">
      <w:pPr>
        <w:pStyle w:val="Text"/>
        <w:numPr>
          <w:ilvl w:val="0"/>
          <w:numId w:val="6"/>
        </w:numPr>
        <w:spacing w:line="240" w:lineRule="exact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Estructura organizacional </w:t>
      </w:r>
    </w:p>
    <w:p w14:paraId="508C0DE8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Para el desempeño de sus funciones, la Comisión contará con Un Vocal Ejecutivo; Una Junta de Gobierno; y Un Comisario.</w:t>
      </w:r>
    </w:p>
    <w:p w14:paraId="27FE5A92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La estructura administrativa del Organismo será determinada por el Ejecutivo del Estado, con base en la propuesta que presente el Vocal Ejecutivo. </w:t>
      </w:r>
    </w:p>
    <w:p w14:paraId="63E54BFC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Dicha estructura fue modificada mediante Decreto en Periódico Oficial, Tomo CXLIX </w:t>
      </w:r>
      <w:proofErr w:type="spellStart"/>
      <w:r>
        <w:rPr>
          <w:rFonts w:cs="Arial"/>
          <w:sz w:val="20"/>
        </w:rPr>
        <w:t>Num</w:t>
      </w:r>
      <w:proofErr w:type="spellEnd"/>
      <w:r>
        <w:rPr>
          <w:rFonts w:cs="Arial"/>
          <w:sz w:val="20"/>
        </w:rPr>
        <w:t xml:space="preserve"> 128, del 23 de octubre de 2024, quedando como sigue:</w:t>
      </w:r>
    </w:p>
    <w:p w14:paraId="6EA0DE2F" w14:textId="77777777" w:rsidR="007F258B" w:rsidRDefault="007F258B">
      <w:pPr>
        <w:pStyle w:val="Text"/>
        <w:spacing w:line="240" w:lineRule="exact"/>
      </w:pPr>
    </w:p>
    <w:p w14:paraId="2C789089" w14:textId="77777777" w:rsidR="007F258B" w:rsidRDefault="00000000">
      <w:pPr>
        <w:pStyle w:val="Text"/>
        <w:spacing w:line="240" w:lineRule="exact"/>
      </w:pPr>
      <w:r>
        <w:rPr>
          <w:rFonts w:cs="DIN Pro Regular"/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3F17578A" wp14:editId="7D861BED">
            <wp:simplePos x="0" y="0"/>
            <wp:positionH relativeFrom="column">
              <wp:posOffset>32653</wp:posOffset>
            </wp:positionH>
            <wp:positionV relativeFrom="paragraph">
              <wp:posOffset>6711</wp:posOffset>
            </wp:positionV>
            <wp:extent cx="5943600" cy="2373626"/>
            <wp:effectExtent l="0" t="0" r="0" b="7624"/>
            <wp:wrapNone/>
            <wp:docPr id="195919037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36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4D9B22" w14:textId="77777777" w:rsidR="007F258B" w:rsidRDefault="007F258B">
      <w:pPr>
        <w:pStyle w:val="Text"/>
        <w:spacing w:line="240" w:lineRule="exact"/>
        <w:rPr>
          <w:rFonts w:cs="DIN Pro Regular"/>
        </w:rPr>
      </w:pPr>
    </w:p>
    <w:p w14:paraId="44452624" w14:textId="77777777" w:rsidR="007F258B" w:rsidRDefault="007F258B">
      <w:pPr>
        <w:pStyle w:val="Text"/>
        <w:spacing w:line="240" w:lineRule="exact"/>
        <w:rPr>
          <w:rFonts w:cs="DIN Pro Regular"/>
        </w:rPr>
      </w:pPr>
    </w:p>
    <w:p w14:paraId="2BD51529" w14:textId="77777777" w:rsidR="007F258B" w:rsidRDefault="007F258B">
      <w:pPr>
        <w:pStyle w:val="Text"/>
        <w:spacing w:line="240" w:lineRule="exact"/>
        <w:rPr>
          <w:rFonts w:cs="DIN Pro Regular"/>
        </w:rPr>
      </w:pPr>
    </w:p>
    <w:p w14:paraId="289996D2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73BB05C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7E98A7F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572F225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5C03E45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B21CC2F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AA30F4E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C8EC9E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CE5517A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473A0FF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2F40ADC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7518AEA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E4B098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FBA3832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60AA510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14:paraId="416B3AEB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9C0169F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Los Estados Financieros al 31 de diciembre de 2024 fueron preparados de acuerdo con la Normatividad emitida por el Consejo Nacional de Armonización Contable (CONAC) y el Consejo de Armonización Contable del Estado de Tamaulipas (CACET) vigente a esa fecha.</w:t>
      </w:r>
    </w:p>
    <w:p w14:paraId="6930B603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CC392A5" w14:textId="77777777" w:rsidR="007F258B" w:rsidRDefault="007F258B">
      <w:pPr>
        <w:pStyle w:val="Text"/>
        <w:spacing w:after="0" w:line="240" w:lineRule="exact"/>
      </w:pPr>
    </w:p>
    <w:p w14:paraId="45DD7997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Políticas de Contabilidad Significativas</w:t>
      </w:r>
    </w:p>
    <w:p w14:paraId="5C8E71CB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FB04DB7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Con la implementación del Sistema Automatizado de Administración y Contabilidad Gubernamental (SAACG.Net), el registro contable y la afectación presupuestal de las transacciones que realiza la Comisión, se generan de manera automática y por única vez para cada uno de los momentos contables del presupuesto a partir de los procesos administrativos que implican transacciones presupuestarias de conformidad a lo establecido en la Ley General de Contabilidad Gubernamental y los Lineamientos emitidos por el Consejo Nacional de Armonización Contable (CONAC) y el Consejo de Armonización Contable del Estado de Tamaulipas (CACET).</w:t>
      </w:r>
    </w:p>
    <w:p w14:paraId="09A23E93" w14:textId="77777777" w:rsidR="007F258B" w:rsidRDefault="007F258B">
      <w:pPr>
        <w:pStyle w:val="Text"/>
        <w:spacing w:after="0" w:line="240" w:lineRule="exact"/>
        <w:rPr>
          <w:rFonts w:cs="Arial"/>
          <w:sz w:val="20"/>
          <w:lang w:val="es-MX"/>
        </w:rPr>
      </w:pPr>
    </w:p>
    <w:p w14:paraId="30473FC1" w14:textId="77777777" w:rsidR="007F258B" w:rsidRDefault="007F258B">
      <w:pPr>
        <w:pStyle w:val="Text"/>
        <w:spacing w:after="0" w:line="240" w:lineRule="exact"/>
      </w:pPr>
    </w:p>
    <w:p w14:paraId="3865AB5A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Posición en Moneda Extranjera y Protección por Riesgo Cambiario</w:t>
      </w:r>
    </w:p>
    <w:p w14:paraId="2F6B662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63B94F4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Actualmente el Ente no tiene activos, ni pasivos registrados en moneda extranjera.</w:t>
      </w:r>
    </w:p>
    <w:p w14:paraId="76CE2EDA" w14:textId="77777777" w:rsidR="007F258B" w:rsidRDefault="007F258B">
      <w:pPr>
        <w:pStyle w:val="Text"/>
        <w:spacing w:after="0" w:line="240" w:lineRule="exact"/>
        <w:rPr>
          <w:rFonts w:cs="Arial"/>
          <w:sz w:val="20"/>
          <w:lang w:val="es-MX"/>
        </w:rPr>
      </w:pPr>
    </w:p>
    <w:p w14:paraId="5EE855B5" w14:textId="77777777" w:rsidR="007F258B" w:rsidRDefault="007F258B">
      <w:pPr>
        <w:pStyle w:val="Text"/>
        <w:spacing w:after="0" w:line="240" w:lineRule="exact"/>
      </w:pPr>
    </w:p>
    <w:p w14:paraId="122CEBFB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Analítico del Activo</w:t>
      </w:r>
    </w:p>
    <w:p w14:paraId="6065ACE3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7A65CDA" w14:textId="77777777" w:rsidR="007F258B" w:rsidRDefault="00000000">
      <w:pPr>
        <w:pStyle w:val="Text"/>
        <w:spacing w:line="240" w:lineRule="exact"/>
        <w:ind w:firstLine="0"/>
      </w:pPr>
      <w:r>
        <w:rPr>
          <w:rFonts w:cs="Arial"/>
          <w:sz w:val="20"/>
        </w:rPr>
        <w:t xml:space="preserve">La Comisión adquirió los siguientes activos durante el ejercicio 2024: </w:t>
      </w:r>
      <w:proofErr w:type="spellStart"/>
      <w:r>
        <w:rPr>
          <w:rFonts w:cs="Arial"/>
          <w:sz w:val="20"/>
          <w:lang w:val="es-MX"/>
        </w:rPr>
        <w:t>Drone</w:t>
      </w:r>
      <w:proofErr w:type="spellEnd"/>
      <w:r>
        <w:rPr>
          <w:rFonts w:cs="Arial"/>
          <w:sz w:val="20"/>
          <w:lang w:val="es-MX"/>
        </w:rPr>
        <w:t xml:space="preserve"> Mini plegable con cámara de video 4k, Camioneta Chevrolet pick up doble cabina Mod 2024 S10 Max 4x4, Aveo Sedan FLT Plus Mod 2024, Camioneta cabina regular Mod 2024 S10,</w:t>
      </w:r>
      <w:r>
        <w:rPr>
          <w:rFonts w:cs="Arial"/>
          <w:sz w:val="20"/>
        </w:rPr>
        <w:t xml:space="preserve"> Camioneta Urvan 14 pasajeros, 9 Cámaras de rastreo </w:t>
      </w:r>
      <w:proofErr w:type="spellStart"/>
      <w:r>
        <w:rPr>
          <w:rFonts w:cs="Arial"/>
          <w:sz w:val="20"/>
        </w:rPr>
        <w:t>Mca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Stealth</w:t>
      </w:r>
      <w:proofErr w:type="spellEnd"/>
      <w:r>
        <w:rPr>
          <w:rFonts w:cs="Arial"/>
          <w:sz w:val="20"/>
        </w:rPr>
        <w:t xml:space="preserve"> Cam y 9 Cámaras de seguimiento de 16 MTC100X y un Programa Compaq I Nominas.</w:t>
      </w:r>
    </w:p>
    <w:p w14:paraId="0444EF9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3A91A66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9669604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Fideicomisos, Mandatos y Análogos</w:t>
      </w:r>
    </w:p>
    <w:p w14:paraId="1F9604ED" w14:textId="77777777" w:rsidR="007F258B" w:rsidRDefault="007F258B">
      <w:pPr>
        <w:ind w:left="288"/>
        <w:jc w:val="both"/>
      </w:pPr>
    </w:p>
    <w:p w14:paraId="5947BA09" w14:textId="77777777" w:rsidR="007F258B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Ente no realizó contratos de esta naturaleza.</w:t>
      </w:r>
    </w:p>
    <w:p w14:paraId="2FB8BF1E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D889F30" w14:textId="77777777" w:rsidR="007F258B" w:rsidRDefault="007F258B">
      <w:pPr>
        <w:pStyle w:val="Text"/>
        <w:spacing w:after="0" w:line="240" w:lineRule="exact"/>
      </w:pPr>
    </w:p>
    <w:p w14:paraId="5D4FE49B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de la Recaudación</w:t>
      </w:r>
    </w:p>
    <w:p w14:paraId="5D01E4E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CB8310A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Al 31 de diciembre de 2024 los ingresos recaudados del total de Ingresos Estimados y sus Modificaciones por Transferencias Internas y Asignaciones del Sector Público e Ingresos Financieros ascienden a $34´775,167, teniendo pendiente por recaudar $83,716. </w:t>
      </w:r>
    </w:p>
    <w:p w14:paraId="313E176A" w14:textId="77777777" w:rsidR="007F258B" w:rsidRDefault="007F258B">
      <w:pPr>
        <w:pStyle w:val="Text"/>
        <w:spacing w:line="240" w:lineRule="exact"/>
        <w:ind w:firstLine="0"/>
        <w:rPr>
          <w:rFonts w:cs="Arial"/>
          <w:sz w:val="20"/>
        </w:rPr>
      </w:pPr>
    </w:p>
    <w:tbl>
      <w:tblPr>
        <w:tblW w:w="7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1275"/>
        <w:gridCol w:w="1276"/>
        <w:gridCol w:w="1276"/>
      </w:tblGrid>
      <w:tr w:rsidR="007F258B" w14:paraId="1F19E6D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FBA0" w14:textId="77777777" w:rsidR="007F258B" w:rsidRDefault="007F258B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F2DA" w14:textId="77777777" w:rsidR="007F258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Devengado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8B36" w14:textId="77777777" w:rsidR="007F258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Recaudado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34D52" w14:textId="77777777" w:rsidR="007F258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Pendiente</w:t>
            </w:r>
          </w:p>
        </w:tc>
      </w:tr>
      <w:tr w:rsidR="007F258B" w14:paraId="1D2D0B3C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3B04" w14:textId="77777777" w:rsidR="007F258B" w:rsidRDefault="00000000">
            <w:pPr>
              <w:pStyle w:val="Standard"/>
              <w:widowControl w:val="0"/>
              <w:spacing w:after="101" w:line="224" w:lineRule="exac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Transferencias Internas y </w:t>
            </w:r>
            <w:proofErr w:type="spellStart"/>
            <w:r>
              <w:rPr>
                <w:rFonts w:cs="Calibri"/>
                <w:sz w:val="18"/>
                <w:szCs w:val="18"/>
              </w:rPr>
              <w:t>Asig</w:t>
            </w:r>
            <w:proofErr w:type="spellEnd"/>
            <w:r>
              <w:rPr>
                <w:rFonts w:cs="Calibri"/>
                <w:sz w:val="18"/>
                <w:szCs w:val="18"/>
              </w:rPr>
              <w:t>. del Sector Público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E6CA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34,855,905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A129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34,772,189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E6A33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83,716</w:t>
            </w:r>
          </w:p>
        </w:tc>
      </w:tr>
      <w:tr w:rsidR="007F258B" w14:paraId="0C1A3977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B511" w14:textId="77777777" w:rsidR="007F258B" w:rsidRDefault="00000000">
            <w:pPr>
              <w:pStyle w:val="Standard"/>
              <w:widowControl w:val="0"/>
              <w:spacing w:after="101" w:line="224" w:lineRule="exact"/>
            </w:pPr>
            <w:r>
              <w:rPr>
                <w:rFonts w:cs="Arial"/>
                <w:sz w:val="18"/>
                <w:szCs w:val="18"/>
              </w:rPr>
              <w:t xml:space="preserve">Ingresos Financieros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36D4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1AD7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169F1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F258B" w14:paraId="29571549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47D2" w14:textId="77777777" w:rsidR="007F258B" w:rsidRDefault="00000000">
            <w:pPr>
              <w:pStyle w:val="Standard"/>
              <w:widowControl w:val="0"/>
              <w:spacing w:after="101" w:line="224" w:lineRule="exact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 xml:space="preserve">Total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28F7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$34´858,883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783B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$34,775,167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82383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$83,716</w:t>
            </w:r>
          </w:p>
        </w:tc>
      </w:tr>
    </w:tbl>
    <w:p w14:paraId="0CD849F2" w14:textId="77777777" w:rsidR="007F258B" w:rsidRDefault="007F258B">
      <w:pPr>
        <w:pStyle w:val="Text"/>
        <w:spacing w:after="0" w:line="240" w:lineRule="exact"/>
        <w:rPr>
          <w:rFonts w:cs="Arial"/>
          <w:sz w:val="20"/>
        </w:rPr>
      </w:pPr>
    </w:p>
    <w:p w14:paraId="609973C5" w14:textId="77777777" w:rsidR="007F258B" w:rsidRDefault="007F258B">
      <w:pPr>
        <w:pStyle w:val="Text"/>
        <w:spacing w:after="0" w:line="240" w:lineRule="exact"/>
        <w:rPr>
          <w:rFonts w:cs="Arial"/>
          <w:sz w:val="20"/>
        </w:rPr>
      </w:pPr>
    </w:p>
    <w:p w14:paraId="79FB48DF" w14:textId="77777777" w:rsidR="007F258B" w:rsidRDefault="007F258B">
      <w:pPr>
        <w:pStyle w:val="Text"/>
        <w:spacing w:after="0" w:line="240" w:lineRule="exact"/>
        <w:rPr>
          <w:rFonts w:cs="Arial"/>
          <w:sz w:val="20"/>
        </w:rPr>
      </w:pPr>
    </w:p>
    <w:p w14:paraId="382779F7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sobre la Deuda y el Reporte Analítico de la Deuda</w:t>
      </w:r>
    </w:p>
    <w:p w14:paraId="5D7EC262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2F418A5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La Comisión no tiene contratada Deuda Pública. Al finalizar el 4to. trimestre de 2024, cuenta con un pasivo integrado por Aportaciones de seguridad social, Retenciones y Contribuciones, y Proveedores pendientes de pagar al Corto Plazo.</w:t>
      </w:r>
    </w:p>
    <w:p w14:paraId="49625320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C1BBCA7" w14:textId="77777777" w:rsidR="007F258B" w:rsidRDefault="007F258B">
      <w:pPr>
        <w:pStyle w:val="Text"/>
        <w:spacing w:after="0" w:line="240" w:lineRule="exact"/>
      </w:pPr>
    </w:p>
    <w:p w14:paraId="2F213E31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Calificaciones otorgadas</w:t>
      </w:r>
    </w:p>
    <w:p w14:paraId="295BAA61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CA41724" w14:textId="77777777" w:rsidR="007F258B" w:rsidRDefault="00000000">
      <w:pPr>
        <w:pStyle w:val="Text"/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El Ente no realizó transacciones financieras que hubieran requerido alguna calificación crediticia.</w:t>
      </w:r>
    </w:p>
    <w:p w14:paraId="7E1899F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0D87DEB" w14:textId="77777777" w:rsidR="007F258B" w:rsidRDefault="007F258B">
      <w:pPr>
        <w:pStyle w:val="Text"/>
        <w:spacing w:after="0" w:line="240" w:lineRule="exact"/>
      </w:pPr>
    </w:p>
    <w:p w14:paraId="5C634F5A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Proceso de Mejora</w:t>
      </w:r>
    </w:p>
    <w:p w14:paraId="68E80543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81EC5D1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Con la finalidad de lograr objetivos institucionales y salvaguardar los recursos públicos, se están realizando mejoras a las políticas y procedimientos establecidos que ayudaran a fortalecer el sistema de control interno de la Comisión.</w:t>
      </w:r>
    </w:p>
    <w:p w14:paraId="3F979AAC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61597B8" w14:textId="77777777" w:rsidR="007F258B" w:rsidRDefault="007F258B">
      <w:pPr>
        <w:pStyle w:val="Text"/>
        <w:spacing w:after="0" w:line="240" w:lineRule="exact"/>
      </w:pPr>
    </w:p>
    <w:p w14:paraId="756A4283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por Segmentos</w:t>
      </w:r>
    </w:p>
    <w:p w14:paraId="08867F2C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AC97DE6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La Comisión no integra de manera segmentada la información financiera.</w:t>
      </w:r>
    </w:p>
    <w:p w14:paraId="0EEF9BE7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93C9B00" w14:textId="77777777" w:rsidR="007F258B" w:rsidRDefault="007F258B">
      <w:pPr>
        <w:pStyle w:val="Text"/>
        <w:spacing w:after="0" w:line="240" w:lineRule="exact"/>
      </w:pPr>
    </w:p>
    <w:p w14:paraId="45131DAD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Eventos Posteriores al Cierre</w:t>
      </w:r>
    </w:p>
    <w:p w14:paraId="0966450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373B6FA" w14:textId="77777777" w:rsidR="007F258B" w:rsidRDefault="00000000">
      <w:pPr>
        <w:pStyle w:val="Text"/>
        <w:spacing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No se tiene conocimiento de algún evento posterior que afecte la información contenida en los Estados Financieros.</w:t>
      </w:r>
    </w:p>
    <w:p w14:paraId="793F5196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D29CD40" w14:textId="77777777" w:rsidR="007F258B" w:rsidRDefault="007F258B">
      <w:pPr>
        <w:pStyle w:val="Text"/>
        <w:spacing w:after="0" w:line="240" w:lineRule="exact"/>
      </w:pPr>
    </w:p>
    <w:p w14:paraId="17B3B724" w14:textId="77777777" w:rsidR="007F258B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Partes Relacionadas</w:t>
      </w:r>
    </w:p>
    <w:p w14:paraId="64859DF8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50A0E47" w14:textId="77777777" w:rsidR="007F258B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no tiene partes relacionadas que influyan en la toma de decisiones financieras y operativas.</w:t>
      </w:r>
    </w:p>
    <w:p w14:paraId="1DD2BC2C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889998F" w14:textId="77777777" w:rsidR="007F258B" w:rsidRDefault="007F258B">
      <w:pPr>
        <w:pStyle w:val="Text"/>
        <w:spacing w:after="0" w:line="240" w:lineRule="exact"/>
      </w:pPr>
    </w:p>
    <w:p w14:paraId="11D4D7EC" w14:textId="77777777" w:rsidR="007F258B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 xml:space="preserve">16.   </w:t>
      </w:r>
      <w:r>
        <w:t xml:space="preserve"> </w:t>
      </w:r>
      <w:r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14:paraId="2D6C2B76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9CC2695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7F0FE5E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35B26A1" w14:textId="77777777" w:rsidR="007F258B" w:rsidRDefault="00000000">
      <w:pPr>
        <w:pStyle w:val="Text"/>
        <w:spacing w:after="0" w:line="240" w:lineRule="exact"/>
        <w:ind w:firstLine="0"/>
        <w:rPr>
          <w:rFonts w:cs="Arial"/>
          <w:sz w:val="20"/>
        </w:rPr>
      </w:pPr>
      <w:r>
        <w:rPr>
          <w:rFonts w:cs="Arial"/>
          <w:sz w:val="20"/>
        </w:rPr>
        <w:t>Bajo protesta de decir verdad declaramos que los Estados Financieros y sus Notas, son razonablemente correctos y son responsabilidad del emisor</w:t>
      </w:r>
    </w:p>
    <w:p w14:paraId="2AE5B718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9ADEDEF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08DB7FA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7D7B69B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9852868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446BFE4A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7E0734EC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75862BFB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37522BE7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666B1029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3457ED88" w14:textId="77777777" w:rsidR="007F258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C403ED1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7B6AB8C" w14:textId="77777777" w:rsidR="007F258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75DFE89B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29EB7ED7" w14:textId="77777777" w:rsidR="007F258B" w:rsidRDefault="00000000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4A6DD3C0" w14:textId="77777777" w:rsidR="007F258B" w:rsidRDefault="007F258B">
      <w:pPr>
        <w:pStyle w:val="Text"/>
        <w:spacing w:after="0" w:line="240" w:lineRule="exact"/>
        <w:jc w:val="center"/>
      </w:pPr>
    </w:p>
    <w:p w14:paraId="726137D3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16A79A02" w14:textId="77777777" w:rsidR="007F258B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36CBF80C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9F7BC7A" w14:textId="77777777" w:rsidR="007F258B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Ingresos y Otros Beneficios:</w:t>
      </w:r>
    </w:p>
    <w:p w14:paraId="40065F2D" w14:textId="77777777" w:rsidR="007F258B" w:rsidRDefault="007F258B">
      <w:pPr>
        <w:pStyle w:val="ROMANOS"/>
        <w:spacing w:after="0" w:line="240" w:lineRule="exact"/>
        <w:ind w:left="1140"/>
      </w:pPr>
    </w:p>
    <w:p w14:paraId="4F7E066E" w14:textId="77777777" w:rsidR="007F258B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el Decreto CXLVIII-Extraordinario No. 37 se expide el Presupuesto de Egresos Autorizado del Estado de Tamaulipas para el ejercicio 2024 y publicado el 23 de diciembre de 2023, en el cual se asigna a la Comisión de Caza y Pesca Deportiva de Tamaulipas la cantidad de $14’504,274. </w:t>
      </w:r>
    </w:p>
    <w:p w14:paraId="30C995EF" w14:textId="77777777" w:rsidR="007F258B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Los ingresos devengados del Ente al término del ejercicio 2024 se integran de las Transferencias Internas y Asignaciones del Sector Público por $ 34´855,905 y $2,978 por Ingresos Financieros.</w:t>
      </w:r>
    </w:p>
    <w:p w14:paraId="4089C1D9" w14:textId="77777777" w:rsidR="007F258B" w:rsidRDefault="007F258B">
      <w:pPr>
        <w:pStyle w:val="ROMANOS"/>
        <w:spacing w:after="0" w:line="240" w:lineRule="exact"/>
        <w:ind w:left="1140"/>
      </w:pPr>
    </w:p>
    <w:p w14:paraId="7FDE7B5E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52FC7AD" w14:textId="77777777" w:rsidR="007F258B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650BFB82" w14:textId="77777777" w:rsidR="007F258B" w:rsidRDefault="007F258B">
      <w:pPr>
        <w:pStyle w:val="ROMANOS"/>
        <w:spacing w:after="0" w:line="240" w:lineRule="exact"/>
        <w:ind w:left="1140"/>
      </w:pPr>
    </w:p>
    <w:p w14:paraId="17BC84E5" w14:textId="77777777" w:rsidR="007F258B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concepto de Gastos y Otras Pérdidas del Estado de Actividades correspondiente al término del ejercicio 2024, se presenta a continuación desglosado por Rubro:</w:t>
      </w:r>
    </w:p>
    <w:p w14:paraId="3642F06D" w14:textId="77777777" w:rsidR="007F258B" w:rsidRDefault="007F258B">
      <w:pPr>
        <w:jc w:val="both"/>
        <w:rPr>
          <w:rFonts w:ascii="Arial" w:hAnsi="Arial" w:cs="Arial"/>
        </w:rPr>
      </w:pPr>
    </w:p>
    <w:tbl>
      <w:tblPr>
        <w:tblW w:w="6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0"/>
        <w:gridCol w:w="1472"/>
      </w:tblGrid>
      <w:tr w:rsidR="007F258B" w14:paraId="45E838A3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5805" w14:textId="77777777" w:rsidR="007F258B" w:rsidRDefault="00000000">
            <w:pPr>
              <w:jc w:val="center"/>
            </w:pPr>
            <w:r>
              <w:rPr>
                <w:rFonts w:ascii="Arial" w:eastAsia="Times New Roman" w:hAnsi="Arial" w:cs="Arial"/>
                <w:b/>
                <w:lang w:eastAsia="es-ES"/>
              </w:rPr>
              <w:t>Grupo / Rubro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8A29" w14:textId="77777777" w:rsidR="007F258B" w:rsidRDefault="00000000">
            <w:pPr>
              <w:jc w:val="center"/>
              <w:rPr>
                <w:rFonts w:ascii="Arial" w:eastAsia="Times New Roman" w:hAnsi="Arial" w:cs="Arial"/>
                <w:b/>
                <w:color w:val="FFFFFF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eastAsia="es-ES"/>
              </w:rPr>
              <w:t>Importe</w:t>
            </w:r>
          </w:p>
        </w:tc>
      </w:tr>
      <w:tr w:rsidR="007F258B" w14:paraId="7454AF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94B6" w14:textId="77777777" w:rsidR="007F258B" w:rsidRDefault="00000000">
            <w:pPr>
              <w:jc w:val="both"/>
              <w:rPr>
                <w:rFonts w:eastAsia="Times New Roman" w:cs="Calibri"/>
                <w:b/>
                <w:lang w:eastAsia="es-ES"/>
              </w:rPr>
            </w:pPr>
            <w:r>
              <w:rPr>
                <w:rFonts w:eastAsia="Times New Roman" w:cs="Calibri"/>
                <w:b/>
                <w:lang w:eastAsia="es-ES"/>
              </w:rPr>
              <w:t>Gastos de Funcionamiento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FF9B" w14:textId="77777777" w:rsidR="007F258B" w:rsidRDefault="007F258B">
            <w:pPr>
              <w:jc w:val="right"/>
            </w:pPr>
          </w:p>
        </w:tc>
      </w:tr>
      <w:tr w:rsidR="007F258B" w14:paraId="4AA42B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0AE4" w14:textId="77777777" w:rsidR="007F258B" w:rsidRDefault="00000000">
            <w:pPr>
              <w:jc w:val="both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 xml:space="preserve">     Servicios Personales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B25B" w14:textId="77777777" w:rsidR="007F258B" w:rsidRDefault="00000000">
            <w:pPr>
              <w:jc w:val="right"/>
            </w:pPr>
            <w:r>
              <w:t>15´344,712</w:t>
            </w:r>
          </w:p>
        </w:tc>
      </w:tr>
      <w:tr w:rsidR="007F258B" w14:paraId="346BBB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0EF4" w14:textId="77777777" w:rsidR="007F258B" w:rsidRDefault="00000000">
            <w:pPr>
              <w:jc w:val="both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 xml:space="preserve">     Materiales y Suministros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5E77" w14:textId="77777777" w:rsidR="007F258B" w:rsidRDefault="00000000">
            <w:pPr>
              <w:jc w:val="right"/>
            </w:pPr>
            <w:r>
              <w:t>4´272,799</w:t>
            </w:r>
          </w:p>
        </w:tc>
      </w:tr>
      <w:tr w:rsidR="007F258B" w14:paraId="1823BE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7217" w14:textId="77777777" w:rsidR="007F258B" w:rsidRDefault="00000000">
            <w:pPr>
              <w:jc w:val="both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 xml:space="preserve">     Servicios Generales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99F2" w14:textId="77777777" w:rsidR="007F258B" w:rsidRDefault="00000000">
            <w:pPr>
              <w:jc w:val="right"/>
            </w:pPr>
            <w:r>
              <w:t>10´225,624</w:t>
            </w:r>
          </w:p>
        </w:tc>
      </w:tr>
      <w:tr w:rsidR="007F258B" w14:paraId="0AF96B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36E" w14:textId="77777777" w:rsidR="007F258B" w:rsidRDefault="00000000">
            <w:pPr>
              <w:jc w:val="both"/>
              <w:rPr>
                <w:rFonts w:eastAsia="Times New Roman" w:cs="Calibri"/>
                <w:b/>
                <w:lang w:eastAsia="es-ES"/>
              </w:rPr>
            </w:pPr>
            <w:r>
              <w:rPr>
                <w:rFonts w:eastAsia="Times New Roman" w:cs="Calibri"/>
                <w:b/>
                <w:lang w:eastAsia="es-ES"/>
              </w:rPr>
              <w:t>Otros Gastos y Pérdidas Extraordinarias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9E01" w14:textId="77777777" w:rsidR="007F258B" w:rsidRDefault="007F258B">
            <w:pPr>
              <w:jc w:val="right"/>
            </w:pPr>
          </w:p>
        </w:tc>
      </w:tr>
      <w:tr w:rsidR="007F258B" w14:paraId="720628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21C5" w14:textId="77777777" w:rsidR="007F258B" w:rsidRDefault="00000000">
            <w:pPr>
              <w:jc w:val="both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 xml:space="preserve">      Estimaciones, Depreciaciones, Deterioros, </w:t>
            </w:r>
            <w:proofErr w:type="spellStart"/>
            <w:r>
              <w:rPr>
                <w:rFonts w:eastAsia="Times New Roman" w:cs="Calibri"/>
                <w:lang w:eastAsia="es-ES"/>
              </w:rPr>
              <w:t>Obs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045" w14:textId="77777777" w:rsidR="007F258B" w:rsidRDefault="00000000">
            <w:pPr>
              <w:jc w:val="right"/>
            </w:pPr>
            <w:r>
              <w:t>738,409</w:t>
            </w:r>
          </w:p>
        </w:tc>
      </w:tr>
      <w:tr w:rsidR="007F258B" w14:paraId="1BC22D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E03D" w14:textId="77777777" w:rsidR="007F258B" w:rsidRDefault="00000000">
            <w:pPr>
              <w:jc w:val="both"/>
              <w:rPr>
                <w:rFonts w:eastAsia="Times New Roman" w:cs="Calibri"/>
                <w:b/>
                <w:lang w:eastAsia="es-ES"/>
              </w:rPr>
            </w:pPr>
            <w:r>
              <w:rPr>
                <w:rFonts w:eastAsia="Times New Roman" w:cs="Calibri"/>
                <w:b/>
                <w:lang w:eastAsia="es-ES"/>
              </w:rPr>
              <w:t>Transferencias, Asignaciones, Sub. y Otras A.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88DC" w14:textId="77777777" w:rsidR="007F258B" w:rsidRDefault="007F258B">
            <w:pPr>
              <w:jc w:val="right"/>
            </w:pPr>
          </w:p>
        </w:tc>
      </w:tr>
      <w:tr w:rsidR="007F258B" w14:paraId="4E1F93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D435" w14:textId="77777777" w:rsidR="007F258B" w:rsidRDefault="00000000">
            <w:pPr>
              <w:jc w:val="both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 xml:space="preserve">       Ayudas Sociales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AF7A" w14:textId="77777777" w:rsidR="007F258B" w:rsidRDefault="00000000">
            <w:pPr>
              <w:jc w:val="right"/>
            </w:pPr>
            <w:r>
              <w:t>2´713,110</w:t>
            </w:r>
          </w:p>
        </w:tc>
      </w:tr>
      <w:tr w:rsidR="007F258B" w14:paraId="2BC7CF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50DC" w14:textId="77777777" w:rsidR="007F258B" w:rsidRDefault="00000000">
            <w:pPr>
              <w:jc w:val="both"/>
              <w:rPr>
                <w:rFonts w:eastAsia="Times New Roman" w:cs="Calibri"/>
                <w:b/>
                <w:lang w:eastAsia="es-ES"/>
              </w:rPr>
            </w:pPr>
            <w:proofErr w:type="gramStart"/>
            <w:r>
              <w:rPr>
                <w:rFonts w:eastAsia="Times New Roman" w:cs="Calibri"/>
                <w:b/>
                <w:lang w:eastAsia="es-ES"/>
              </w:rPr>
              <w:t>Total</w:t>
            </w:r>
            <w:proofErr w:type="gramEnd"/>
            <w:r>
              <w:rPr>
                <w:rFonts w:eastAsia="Times New Roman" w:cs="Calibri"/>
                <w:b/>
                <w:lang w:eastAsia="es-ES"/>
              </w:rPr>
              <w:t xml:space="preserve"> Gastos y Otras Pérdidas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DCF7" w14:textId="77777777" w:rsidR="007F258B" w:rsidRDefault="00000000">
            <w:pPr>
              <w:jc w:val="right"/>
            </w:pPr>
            <w:r>
              <w:t>$33´294,654</w:t>
            </w:r>
          </w:p>
        </w:tc>
      </w:tr>
    </w:tbl>
    <w:p w14:paraId="2B7B4CFA" w14:textId="77777777" w:rsidR="007F258B" w:rsidRDefault="007F258B">
      <w:pPr>
        <w:jc w:val="both"/>
      </w:pPr>
    </w:p>
    <w:p w14:paraId="3444EF6F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53A23C48" w14:textId="77777777" w:rsidR="007F258B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11EF7086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9BC7A68" w14:textId="77777777" w:rsidR="007F258B" w:rsidRDefault="00000000">
      <w:pPr>
        <w:pStyle w:val="Text"/>
        <w:spacing w:after="80" w:line="203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3EB0A453" w14:textId="77777777" w:rsidR="007F258B" w:rsidRDefault="007F258B">
      <w:pPr>
        <w:pStyle w:val="Text"/>
        <w:spacing w:after="80" w:line="203" w:lineRule="exact"/>
        <w:rPr>
          <w:rFonts w:ascii="Calibri" w:hAnsi="Calibri" w:cs="DIN Pro Regular"/>
          <w:b/>
          <w:sz w:val="20"/>
          <w:lang w:val="es-MX"/>
        </w:rPr>
      </w:pPr>
    </w:p>
    <w:p w14:paraId="199CD501" w14:textId="77777777" w:rsidR="007F258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$3,721,838</w:t>
      </w:r>
    </w:p>
    <w:p w14:paraId="30A43A77" w14:textId="77777777" w:rsidR="007F258B" w:rsidRDefault="007F258B">
      <w:pPr>
        <w:pStyle w:val="Text"/>
        <w:spacing w:after="0" w:line="100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tbl>
      <w:tblPr>
        <w:tblW w:w="8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1418"/>
        <w:gridCol w:w="1417"/>
      </w:tblGrid>
      <w:tr w:rsidR="007F258B" w14:paraId="3750A462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BC6D" w14:textId="77777777" w:rsidR="007F258B" w:rsidRDefault="00000000">
            <w:pPr>
              <w:jc w:val="center"/>
            </w:pPr>
            <w:r>
              <w:rPr>
                <w:rFonts w:eastAsia="Times New Roman" w:cs="Calibri"/>
                <w:b/>
                <w:lang w:eastAsia="es-ES"/>
              </w:rPr>
              <w:t>Cuenta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693B" w14:textId="77777777" w:rsidR="007F258B" w:rsidRDefault="00000000">
            <w:pPr>
              <w:jc w:val="center"/>
              <w:rPr>
                <w:rFonts w:eastAsia="Times New Roman" w:cs="DIN Pro Regular"/>
                <w:b/>
                <w:color w:val="FFFFFF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lang w:eastAsia="es-ES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C8CA" w14:textId="77777777" w:rsidR="007F258B" w:rsidRDefault="00000000">
            <w:pPr>
              <w:jc w:val="center"/>
              <w:rPr>
                <w:rFonts w:eastAsia="Times New Roman" w:cs="DIN Pro Regular"/>
                <w:b/>
                <w:color w:val="FFFFFF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lang w:eastAsia="es-ES"/>
              </w:rPr>
              <w:t>2023</w:t>
            </w:r>
          </w:p>
        </w:tc>
      </w:tr>
      <w:tr w:rsidR="007F258B" w14:paraId="1AE7B0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0384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Efectivo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B678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F96D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F258B" w14:paraId="4903BF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B947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Bancos/Tesorería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C4FE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3´721,838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02D7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3´675,361</w:t>
            </w:r>
          </w:p>
        </w:tc>
      </w:tr>
      <w:tr w:rsidR="007F258B" w14:paraId="0A8DFF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0A71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Bancos/Dependencias y Otros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705D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550E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F258B" w14:paraId="33E924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5102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Inversiones Temporales (hasta 3 meses)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7884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420A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F258B" w14:paraId="163521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2C1B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Fondos con afectación específica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D4C3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0538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F258B" w14:paraId="2CF627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710B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Depósitos de fondos de terceros en Garantía y/o Admón.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7DA0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39AA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F258B" w14:paraId="1A9BA9F1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92C4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Otros Efectivos y Equivalentes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5B40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450C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F258B" w14:paraId="2B716B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338D" w14:textId="77777777" w:rsidR="007F258B" w:rsidRDefault="00000000">
            <w:pPr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Total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de Efectivo y Equivalentes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A07C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$ 3´721,838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7CFB" w14:textId="77777777" w:rsidR="007F258B" w:rsidRDefault="00000000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$ 3´675,361</w:t>
            </w:r>
          </w:p>
        </w:tc>
      </w:tr>
    </w:tbl>
    <w:p w14:paraId="3924783D" w14:textId="77777777" w:rsidR="007F258B" w:rsidRDefault="007F258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7257D93" w14:textId="77777777" w:rsidR="007F258B" w:rsidRDefault="007F258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044F39D6" w14:textId="77777777" w:rsidR="007F258B" w:rsidRDefault="00000000">
      <w:pPr>
        <w:pStyle w:val="Text"/>
        <w:numPr>
          <w:ilvl w:val="0"/>
          <w:numId w:val="8"/>
        </w:numPr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Bancos / Tesorería</w:t>
      </w:r>
      <w:r>
        <w:rPr>
          <w:rFonts w:ascii="Calibri" w:hAnsi="Calibri" w:cs="DIN Pro Regular"/>
          <w:sz w:val="20"/>
          <w:lang w:val="es-MX"/>
        </w:rPr>
        <w:tab/>
        <w:t>$ 3´721,838</w:t>
      </w:r>
    </w:p>
    <w:p w14:paraId="6E6A7A84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tbl>
      <w:tblPr>
        <w:tblW w:w="65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3253"/>
        <w:gridCol w:w="1418"/>
      </w:tblGrid>
      <w:tr w:rsidR="007F258B" w14:paraId="367ECFAD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B0781" w14:textId="77777777" w:rsidR="007F258B" w:rsidRDefault="00000000">
            <w:pPr>
              <w:widowControl/>
              <w:suppressAutoHyphens w:val="0"/>
              <w:spacing w:line="14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Cuenta</w:t>
            </w:r>
          </w:p>
        </w:tc>
        <w:tc>
          <w:tcPr>
            <w:tcW w:w="3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B828F" w14:textId="77777777" w:rsidR="007F258B" w:rsidRDefault="00000000">
            <w:pPr>
              <w:widowControl/>
              <w:suppressAutoHyphens w:val="0"/>
              <w:spacing w:line="14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Banco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C5F40" w14:textId="77777777" w:rsidR="007F258B" w:rsidRDefault="00000000">
            <w:pPr>
              <w:widowControl/>
              <w:suppressAutoHyphens w:val="0"/>
              <w:spacing w:line="140" w:lineRule="atLeas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5335F924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1E6E1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1223081667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2713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Banco Mercantil del Norte, SA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EB582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15,121 </w:t>
            </w:r>
          </w:p>
        </w:tc>
      </w:tr>
      <w:tr w:rsidR="007F258B" w14:paraId="36786D25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3CDC4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1256580458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9C36E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Banco Mercantil del Norte, SA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B03AA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496,732 </w:t>
            </w:r>
          </w:p>
        </w:tc>
      </w:tr>
      <w:tr w:rsidR="007F258B" w14:paraId="64837F2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FFCDB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114200594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44449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BBVA Bancomer,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C7F7B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964,505 </w:t>
            </w:r>
          </w:p>
        </w:tc>
      </w:tr>
      <w:tr w:rsidR="007F258B" w14:paraId="1F8ABC0E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1E38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122155443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3264E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BBVA Bancomer,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1843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6,857 </w:t>
            </w:r>
          </w:p>
        </w:tc>
      </w:tr>
      <w:tr w:rsidR="007F258B" w14:paraId="63C42705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18CA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122210746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CBD99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BBVA Bancomer,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2639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36,430 </w:t>
            </w:r>
          </w:p>
        </w:tc>
      </w:tr>
      <w:tr w:rsidR="007F258B" w14:paraId="1D5987D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9D25D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123403084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83B0A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BBVA Bancomer,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DAED9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1 </w:t>
            </w:r>
          </w:p>
        </w:tc>
      </w:tr>
      <w:tr w:rsidR="007F258B" w14:paraId="3F58070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DD246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123549887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8889F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BBVA Bancomer,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DF049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15,007 </w:t>
            </w:r>
          </w:p>
        </w:tc>
      </w:tr>
      <w:tr w:rsidR="007F258B" w14:paraId="3690E52B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2373D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123736180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DF2A1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BBVA Bancomer,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1F1AB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42,002 </w:t>
            </w:r>
          </w:p>
        </w:tc>
      </w:tr>
      <w:tr w:rsidR="007F258B" w14:paraId="42F24BEF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4775D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123844595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41554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BBVA Bancomer,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3431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2 </w:t>
            </w:r>
          </w:p>
        </w:tc>
      </w:tr>
      <w:tr w:rsidR="007F258B" w14:paraId="7E6A3B7E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7E398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18000130642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31AE8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Banco Santander (México),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C0435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1,694,477 </w:t>
            </w:r>
          </w:p>
        </w:tc>
      </w:tr>
      <w:tr w:rsidR="007F258B" w14:paraId="61D8EB5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95399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18000154266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8F41D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Banco Santander (México),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9ED14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12,315 </w:t>
            </w:r>
          </w:p>
        </w:tc>
      </w:tr>
      <w:tr w:rsidR="007F258B" w14:paraId="502F1C8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A131E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1800024962-8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58EA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BDBE0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637C0599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6666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18000266928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40EFC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F938A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1 </w:t>
            </w:r>
          </w:p>
        </w:tc>
      </w:tr>
      <w:tr w:rsidR="007F258B" w14:paraId="3B06A86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FB113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18000266840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EE5C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D0BB3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1 </w:t>
            </w:r>
          </w:p>
        </w:tc>
      </w:tr>
      <w:tr w:rsidR="007F258B" w14:paraId="09C63DF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7FB46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18000267587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F5D35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79D9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3,707 </w:t>
            </w:r>
          </w:p>
        </w:tc>
      </w:tr>
      <w:tr w:rsidR="007F258B" w14:paraId="6FBCE07D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413D6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18000276972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9A9D1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4B628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12,612 </w:t>
            </w:r>
          </w:p>
        </w:tc>
      </w:tr>
      <w:tr w:rsidR="007F258B" w14:paraId="1130D772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D11F3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1800000010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65889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F87FD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1 </w:t>
            </w:r>
          </w:p>
        </w:tc>
      </w:tr>
      <w:tr w:rsidR="007F258B" w14:paraId="053DF041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DE6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18000287485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29CF1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B9CDF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2 </w:t>
            </w:r>
          </w:p>
        </w:tc>
      </w:tr>
      <w:tr w:rsidR="007F258B" w14:paraId="1706EBBA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6ADE7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18000287835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A4AEA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8BE3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340 </w:t>
            </w:r>
          </w:p>
        </w:tc>
      </w:tr>
      <w:tr w:rsidR="007F258B" w14:paraId="5F6C0F1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DEFA5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18000287849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F8C2C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137F2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74,507 </w:t>
            </w:r>
          </w:p>
        </w:tc>
      </w:tr>
      <w:tr w:rsidR="007F258B" w14:paraId="33A1D2EA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BBD78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18000289088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095D0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11A6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2,000 </w:t>
            </w:r>
          </w:p>
        </w:tc>
      </w:tr>
      <w:tr w:rsidR="007F258B" w14:paraId="5CFEC14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52B08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18000292803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0AB72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E1094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67,785 </w:t>
            </w:r>
          </w:p>
        </w:tc>
      </w:tr>
      <w:tr w:rsidR="007F258B" w14:paraId="26C6FD4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98D85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18000292791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70129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42D34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13,401 </w:t>
            </w:r>
          </w:p>
        </w:tc>
      </w:tr>
      <w:tr w:rsidR="007F258B" w14:paraId="4DFAA52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F8162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180002946051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3585B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6709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12,400 </w:t>
            </w:r>
          </w:p>
        </w:tc>
      </w:tr>
      <w:tr w:rsidR="007F258B" w14:paraId="001BBC3F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E9DB0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18000297217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43E95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A534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415C6C6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17635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18000300941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0A760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1C0C1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7B03F612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77F6A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18000302851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FD0BC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7A439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329D33B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408C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18000302834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2687A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FF83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5907554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58EE7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18000306208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2031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 xml:space="preserve">Banco Santander (México), </w:t>
            </w: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7BD55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4520F664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02259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70146928178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26CB9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Banco Nacional de México,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1DE7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251,632 </w:t>
            </w:r>
          </w:p>
        </w:tc>
      </w:tr>
      <w:tr w:rsidR="007F258B" w14:paraId="2BE749D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92EC6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70170728600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4309B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Banco Nacional de México,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97983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55B2177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8A03C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70170815775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8038C" w14:textId="77777777" w:rsidR="007F258B" w:rsidRDefault="00000000">
            <w:pPr>
              <w:widowControl/>
              <w:suppressAutoHyphens w:val="0"/>
              <w:spacing w:line="140" w:lineRule="atLeas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Banco Nacional de México, S.A.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D0553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0   </w:t>
            </w:r>
          </w:p>
        </w:tc>
      </w:tr>
      <w:tr w:rsidR="007F258B" w14:paraId="36D0FFC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B3A06" w14:textId="77777777" w:rsidR="007F258B" w:rsidRDefault="00000000">
            <w:pPr>
              <w:widowControl/>
              <w:suppressAutoHyphens w:val="0"/>
              <w:spacing w:line="140" w:lineRule="atLeast"/>
              <w:jc w:val="right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3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DD370" w14:textId="77777777" w:rsidR="007F258B" w:rsidRDefault="00000000">
            <w:pPr>
              <w:widowControl/>
              <w:suppressAutoHyphens w:val="0"/>
              <w:spacing w:line="14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57908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$3,721,838 </w:t>
            </w:r>
          </w:p>
        </w:tc>
      </w:tr>
    </w:tbl>
    <w:p w14:paraId="0AF2116D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3932DAF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04C570F" w14:textId="77777777" w:rsidR="007F258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 xml:space="preserve">     $269,732</w:t>
      </w:r>
    </w:p>
    <w:p w14:paraId="4BB4B50A" w14:textId="77777777" w:rsidR="007F258B" w:rsidRDefault="007F258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E920B42" w14:textId="77777777" w:rsidR="007F258B" w:rsidRDefault="00000000">
      <w:pPr>
        <w:pStyle w:val="Prrafodelista"/>
        <w:numPr>
          <w:ilvl w:val="0"/>
          <w:numId w:val="9"/>
        </w:numPr>
        <w:tabs>
          <w:tab w:val="left" w:pos="8222"/>
        </w:tabs>
        <w:suppressAutoHyphens w:val="0"/>
        <w:spacing w:after="0" w:line="240" w:lineRule="auto"/>
        <w:ind w:left="113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Cuentas por cobrar a Corto Plazo                                                              $ 83,716.00</w:t>
      </w:r>
    </w:p>
    <w:p w14:paraId="73C6DFE1" w14:textId="77777777" w:rsidR="007F258B" w:rsidRDefault="00000000">
      <w:pPr>
        <w:ind w:left="1134"/>
        <w:jc w:val="both"/>
      </w:pPr>
      <w:r>
        <w:rPr>
          <w:rFonts w:ascii="Arial" w:hAnsi="Arial" w:cs="Arial"/>
          <w:color w:val="000000"/>
        </w:rPr>
        <w:t>El saldo de esta cuenta corresponde a el recibo de caja 265/2024 a cargo de la Secretaría de Finanzas, correspondiente a la solicitud del Capítulo 3000 ISN de diciembre de 2024</w:t>
      </w:r>
      <w:r>
        <w:rPr>
          <w:color w:val="000000"/>
        </w:rPr>
        <w:t xml:space="preserve">. </w:t>
      </w:r>
    </w:p>
    <w:p w14:paraId="2F87B326" w14:textId="77777777" w:rsidR="007F258B" w:rsidRDefault="007F258B">
      <w:pPr>
        <w:jc w:val="both"/>
        <w:rPr>
          <w:color w:val="000000"/>
        </w:rPr>
      </w:pPr>
    </w:p>
    <w:p w14:paraId="03F08EC0" w14:textId="77777777" w:rsidR="007F258B" w:rsidRDefault="007F258B">
      <w:pPr>
        <w:jc w:val="both"/>
        <w:rPr>
          <w:color w:val="000000"/>
        </w:rPr>
      </w:pPr>
    </w:p>
    <w:p w14:paraId="3EA11C57" w14:textId="77777777" w:rsidR="007F258B" w:rsidRDefault="00000000">
      <w:pPr>
        <w:pStyle w:val="Prrafodelista"/>
        <w:numPr>
          <w:ilvl w:val="0"/>
          <w:numId w:val="9"/>
        </w:numPr>
        <w:tabs>
          <w:tab w:val="left" w:pos="8222"/>
        </w:tabs>
        <w:suppressAutoHyphens w:val="0"/>
        <w:spacing w:after="0" w:line="240" w:lineRule="auto"/>
        <w:ind w:left="113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Deudores Diversos por Cobrar a Corto Plazo                                                     $186,016</w:t>
      </w:r>
    </w:p>
    <w:p w14:paraId="45C8FF1C" w14:textId="77777777" w:rsidR="007F258B" w:rsidRDefault="0000000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El saldo de esta cuenta se integra al 31 de diciembre de 2024, de la siguiente manera:</w:t>
      </w:r>
    </w:p>
    <w:p w14:paraId="4AEFB647" w14:textId="77777777" w:rsidR="007F258B" w:rsidRDefault="007F258B">
      <w:pPr>
        <w:ind w:left="1134"/>
        <w:jc w:val="both"/>
        <w:rPr>
          <w:rFonts w:ascii="Arial" w:hAnsi="Arial" w:cs="Arial"/>
        </w:rPr>
      </w:pPr>
    </w:p>
    <w:tbl>
      <w:tblPr>
        <w:tblW w:w="45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1300"/>
      </w:tblGrid>
      <w:tr w:rsidR="007F258B" w14:paraId="30F96254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0AB37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Banco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54CA1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2ED95E8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DFFF0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Secretaría de Finanzas de Tamaulipas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088B4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137,229 </w:t>
            </w:r>
          </w:p>
        </w:tc>
      </w:tr>
      <w:tr w:rsidR="007F258B" w14:paraId="1DBA0B42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FB31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Anabel Martínez Rivera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06FB3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47,641 </w:t>
            </w:r>
          </w:p>
        </w:tc>
      </w:tr>
      <w:tr w:rsidR="007F258B" w14:paraId="7BFE49C1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EA5AB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Rafael Alejandro de la Fuente Alonso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378F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</w:tr>
      <w:tr w:rsidR="007F258B" w14:paraId="1D8C5C4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06507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Edson Luis Ramírez de los Santos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09762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1,146 </w:t>
            </w:r>
          </w:p>
        </w:tc>
      </w:tr>
      <w:tr w:rsidR="007F258B" w14:paraId="460853B5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CC2D2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AC083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$ 186,016 </w:t>
            </w:r>
          </w:p>
        </w:tc>
      </w:tr>
    </w:tbl>
    <w:p w14:paraId="488012BB" w14:textId="77777777" w:rsidR="007F258B" w:rsidRDefault="007F258B">
      <w:pPr>
        <w:jc w:val="both"/>
        <w:rPr>
          <w:rFonts w:cs="Calibri"/>
        </w:rPr>
      </w:pPr>
    </w:p>
    <w:p w14:paraId="745B70D0" w14:textId="77777777" w:rsidR="007F258B" w:rsidRDefault="007F258B">
      <w:pPr>
        <w:jc w:val="both"/>
        <w:rPr>
          <w:rFonts w:cs="Calibri"/>
        </w:rPr>
      </w:pPr>
    </w:p>
    <w:p w14:paraId="7303D671" w14:textId="77777777" w:rsidR="007F258B" w:rsidRDefault="00000000">
      <w:pPr>
        <w:ind w:firstLine="624"/>
        <w:jc w:val="both"/>
        <w:rPr>
          <w:rFonts w:cs="DIN Pro Regular"/>
          <w:b/>
        </w:rPr>
      </w:pPr>
      <w:r>
        <w:rPr>
          <w:rFonts w:cs="DIN Pro Regular"/>
          <w:b/>
        </w:rPr>
        <w:t xml:space="preserve">Inventarios    </w:t>
      </w:r>
      <w:r>
        <w:rPr>
          <w:rFonts w:cs="DIN Pro Regular"/>
          <w:b/>
        </w:rPr>
        <w:tab/>
      </w:r>
      <w:r>
        <w:rPr>
          <w:rFonts w:cs="DIN Pro Regular"/>
          <w:b/>
        </w:rPr>
        <w:tab/>
        <w:t>No aplica</w:t>
      </w:r>
    </w:p>
    <w:p w14:paraId="7546A90E" w14:textId="77777777" w:rsidR="007F258B" w:rsidRDefault="00000000">
      <w:pPr>
        <w:ind w:firstLine="624"/>
        <w:jc w:val="both"/>
        <w:rPr>
          <w:rFonts w:cs="DIN Pro Regular"/>
          <w:b/>
        </w:rPr>
      </w:pPr>
      <w:r>
        <w:rPr>
          <w:rFonts w:cs="DIN Pro Regular"/>
          <w:b/>
        </w:rPr>
        <w:t xml:space="preserve">Almacenes   </w:t>
      </w:r>
      <w:r>
        <w:rPr>
          <w:rFonts w:cs="DIN Pro Regular"/>
          <w:b/>
        </w:rPr>
        <w:tab/>
      </w:r>
      <w:r>
        <w:rPr>
          <w:rFonts w:cs="DIN Pro Regular"/>
          <w:b/>
        </w:rPr>
        <w:tab/>
        <w:t>No aplica</w:t>
      </w:r>
    </w:p>
    <w:p w14:paraId="32D06F9A" w14:textId="77777777" w:rsidR="007F258B" w:rsidRDefault="00000000">
      <w:pPr>
        <w:ind w:firstLine="624"/>
        <w:jc w:val="both"/>
        <w:rPr>
          <w:rFonts w:cs="DIN Pro Regular"/>
          <w:b/>
        </w:rPr>
      </w:pPr>
      <w:r>
        <w:rPr>
          <w:rFonts w:cs="DIN Pro Regular"/>
          <w:b/>
        </w:rPr>
        <w:t xml:space="preserve">Inversiones Financieras </w:t>
      </w:r>
      <w:r>
        <w:rPr>
          <w:rFonts w:cs="DIN Pro Regular"/>
          <w:b/>
        </w:rPr>
        <w:tab/>
        <w:t>No aplica</w:t>
      </w:r>
    </w:p>
    <w:p w14:paraId="015647FB" w14:textId="77777777" w:rsidR="007F258B" w:rsidRDefault="007F258B">
      <w:pPr>
        <w:jc w:val="both"/>
        <w:rPr>
          <w:b/>
        </w:rPr>
      </w:pPr>
    </w:p>
    <w:p w14:paraId="66142446" w14:textId="77777777" w:rsidR="007F258B" w:rsidRDefault="007F258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2DC08532" w14:textId="77777777" w:rsidR="007F258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Bienes Muebles, Inmuebles e Intangibles   </w:t>
      </w:r>
      <w:r>
        <w:rPr>
          <w:rFonts w:ascii="Calibri" w:hAnsi="Calibri" w:cs="DIN Pro Regular"/>
          <w:b/>
          <w:sz w:val="20"/>
          <w:lang w:val="es-MX"/>
        </w:rPr>
        <w:tab/>
        <w:t xml:space="preserve">     $5´207,239</w:t>
      </w:r>
    </w:p>
    <w:p w14:paraId="4DC2A674" w14:textId="77777777" w:rsidR="007F258B" w:rsidRDefault="007F258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tbl>
      <w:tblPr>
        <w:tblW w:w="49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8"/>
        <w:gridCol w:w="1134"/>
      </w:tblGrid>
      <w:tr w:rsidR="007F258B" w14:paraId="56B3A9B9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8A16F" w14:textId="77777777" w:rsidR="007F258B" w:rsidRDefault="0000000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5EB61" w14:textId="77777777" w:rsidR="007F258B" w:rsidRDefault="0000000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2DE9D41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314F8" w14:textId="77777777" w:rsidR="007F258B" w:rsidRDefault="00000000">
            <w:pPr>
              <w:widowControl/>
              <w:suppressAutoHyphens w:val="0"/>
              <w:spacing w:line="24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Mobiliario y Equipo de Administración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8441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1´668,308 </w:t>
            </w:r>
          </w:p>
        </w:tc>
      </w:tr>
      <w:tr w:rsidR="007F258B" w14:paraId="341D4A13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6219" w14:textId="77777777" w:rsidR="007F258B" w:rsidRDefault="00000000">
            <w:pPr>
              <w:widowControl/>
              <w:suppressAutoHyphens w:val="0"/>
              <w:spacing w:line="240" w:lineRule="atLeast"/>
              <w:textAlignment w:val="auto"/>
            </w:pPr>
            <w:r>
              <w:rPr>
                <w:color w:val="000000"/>
                <w:sz w:val="18"/>
                <w:szCs w:val="18"/>
              </w:rPr>
              <w:t>Mobiliario y Equipo Educacional y Rec.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260EE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255,438</w:t>
            </w:r>
          </w:p>
        </w:tc>
      </w:tr>
      <w:tr w:rsidR="007F258B" w14:paraId="163DB224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F9CE8" w14:textId="77777777" w:rsidR="007F258B" w:rsidRDefault="00000000">
            <w:pPr>
              <w:widowControl/>
              <w:suppressAutoHyphens w:val="0"/>
              <w:spacing w:line="240" w:lineRule="atLeast"/>
              <w:textAlignment w:val="auto"/>
            </w:pPr>
            <w:r>
              <w:rPr>
                <w:color w:val="000000"/>
                <w:sz w:val="18"/>
                <w:szCs w:val="18"/>
              </w:rPr>
              <w:t>Maquinaria, Otros Equipos y Herramientas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3609A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43,168</w:t>
            </w:r>
          </w:p>
        </w:tc>
      </w:tr>
      <w:tr w:rsidR="007F258B" w14:paraId="55D2ADB4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7B969" w14:textId="77777777" w:rsidR="007F258B" w:rsidRDefault="00000000">
            <w:pPr>
              <w:widowControl/>
              <w:suppressAutoHyphens w:val="0"/>
              <w:spacing w:line="240" w:lineRule="atLeas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Vehículos y Equipo de Transporte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0E308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3´185,500</w:t>
            </w:r>
          </w:p>
        </w:tc>
      </w:tr>
      <w:tr w:rsidR="007F258B" w14:paraId="29D9E1C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EBFB7" w14:textId="77777777" w:rsidR="007F258B" w:rsidRDefault="00000000">
            <w:pPr>
              <w:widowControl/>
              <w:suppressAutoHyphens w:val="0"/>
              <w:spacing w:line="240" w:lineRule="atLeas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D837B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54,825</w:t>
            </w:r>
          </w:p>
        </w:tc>
      </w:tr>
      <w:tr w:rsidR="007F258B" w14:paraId="4472AF4D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72579" w14:textId="77777777" w:rsidR="007F258B" w:rsidRDefault="0000000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563CE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$5´207,239</w:t>
            </w:r>
          </w:p>
        </w:tc>
      </w:tr>
    </w:tbl>
    <w:p w14:paraId="7EBBF22A" w14:textId="77777777" w:rsidR="007F258B" w:rsidRDefault="007F258B">
      <w:pPr>
        <w:pStyle w:val="Text"/>
        <w:spacing w:after="80" w:line="203" w:lineRule="exact"/>
        <w:ind w:left="624" w:firstLine="0"/>
      </w:pPr>
    </w:p>
    <w:p w14:paraId="0B462342" w14:textId="77777777" w:rsidR="007F258B" w:rsidRDefault="007F258B">
      <w:pPr>
        <w:pStyle w:val="Text"/>
        <w:spacing w:after="80" w:line="203" w:lineRule="exact"/>
        <w:ind w:left="624" w:firstLine="0"/>
      </w:pPr>
    </w:p>
    <w:p w14:paraId="1CC340F8" w14:textId="77777777" w:rsidR="007F258B" w:rsidRDefault="00000000">
      <w:pPr>
        <w:pStyle w:val="Prrafodelista"/>
        <w:numPr>
          <w:ilvl w:val="0"/>
          <w:numId w:val="10"/>
        </w:numPr>
        <w:tabs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Mobiliario y Equipo de Administración                                                                     $ 1´668,308</w:t>
      </w:r>
    </w:p>
    <w:p w14:paraId="09A02118" w14:textId="77777777" w:rsidR="007F258B" w:rsidRDefault="00000000">
      <w:pPr>
        <w:tabs>
          <w:tab w:val="left" w:pos="1134"/>
          <w:tab w:val="left" w:pos="8505"/>
        </w:tabs>
        <w:jc w:val="both"/>
      </w:pPr>
      <w:r>
        <w:rPr>
          <w:rFonts w:ascii="Arial" w:hAnsi="Arial" w:cs="Arial"/>
          <w:color w:val="000000"/>
        </w:rPr>
        <w:tab/>
        <w:t xml:space="preserve">La cuenta de </w:t>
      </w:r>
      <w:r>
        <w:rPr>
          <w:rFonts w:ascii="Arial" w:hAnsi="Arial" w:cs="Arial"/>
        </w:rPr>
        <w:t>Mobiliario y Equipo de Administración se integra de la siguiente manera:</w:t>
      </w:r>
    </w:p>
    <w:p w14:paraId="5F2255A2" w14:textId="77777777" w:rsidR="007F258B" w:rsidRDefault="007F258B">
      <w:pPr>
        <w:tabs>
          <w:tab w:val="left" w:pos="1134"/>
          <w:tab w:val="left" w:pos="8505"/>
        </w:tabs>
        <w:jc w:val="both"/>
      </w:pPr>
    </w:p>
    <w:p w14:paraId="433BFF5E" w14:textId="77777777" w:rsidR="007F258B" w:rsidRDefault="007F258B">
      <w:pPr>
        <w:tabs>
          <w:tab w:val="left" w:pos="1134"/>
          <w:tab w:val="left" w:pos="8505"/>
        </w:tabs>
        <w:spacing w:line="120" w:lineRule="atLeast"/>
        <w:jc w:val="both"/>
        <w:rPr>
          <w:rFonts w:ascii="Arial" w:hAnsi="Arial" w:cs="Arial"/>
          <w:sz w:val="10"/>
          <w:szCs w:val="10"/>
        </w:rPr>
      </w:pPr>
    </w:p>
    <w:tbl>
      <w:tblPr>
        <w:tblW w:w="48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2"/>
        <w:gridCol w:w="1188"/>
      </w:tblGrid>
      <w:tr w:rsidR="007F258B" w14:paraId="5250D5E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098FB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9BB3C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0A195E2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9282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Muebles de oficina y estantería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03B8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3,799 </w:t>
            </w:r>
          </w:p>
        </w:tc>
      </w:tr>
      <w:tr w:rsidR="007F258B" w14:paraId="40C3FA1B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DC50E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Eq</w:t>
            </w:r>
            <w:proofErr w:type="spellEnd"/>
            <w:r>
              <w:rPr>
                <w:sz w:val="18"/>
                <w:szCs w:val="18"/>
              </w:rPr>
              <w:t xml:space="preserve">. de cómputo y de tecnologías de la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D571D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1´559,663</w:t>
            </w:r>
          </w:p>
        </w:tc>
      </w:tr>
      <w:tr w:rsidR="007F258B" w14:paraId="098A478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EC057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mobiliarios y equipos de administración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59DFB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104,846</w:t>
            </w:r>
          </w:p>
        </w:tc>
      </w:tr>
      <w:tr w:rsidR="007F258B" w14:paraId="53864F2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6D95E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DB504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$ 1´668,308 </w:t>
            </w:r>
          </w:p>
        </w:tc>
      </w:tr>
    </w:tbl>
    <w:p w14:paraId="62977497" w14:textId="77777777" w:rsidR="007F258B" w:rsidRDefault="007F258B">
      <w:pPr>
        <w:tabs>
          <w:tab w:val="left" w:pos="1134"/>
          <w:tab w:val="left" w:pos="8505"/>
        </w:tabs>
        <w:spacing w:line="120" w:lineRule="atLeast"/>
        <w:jc w:val="both"/>
        <w:rPr>
          <w:rFonts w:ascii="Arial" w:hAnsi="Arial" w:cs="Arial"/>
        </w:rPr>
      </w:pPr>
    </w:p>
    <w:p w14:paraId="6760B47F" w14:textId="77777777" w:rsidR="007F258B" w:rsidRDefault="007F258B">
      <w:pPr>
        <w:tabs>
          <w:tab w:val="left" w:pos="1134"/>
          <w:tab w:val="left" w:pos="8505"/>
        </w:tabs>
        <w:spacing w:line="120" w:lineRule="atLeast"/>
        <w:jc w:val="both"/>
        <w:rPr>
          <w:rFonts w:ascii="Arial" w:hAnsi="Arial" w:cs="Arial"/>
        </w:rPr>
      </w:pPr>
    </w:p>
    <w:p w14:paraId="03F95EB5" w14:textId="77777777" w:rsidR="007F258B" w:rsidRDefault="00000000">
      <w:pPr>
        <w:pStyle w:val="Prrafodelista"/>
        <w:numPr>
          <w:ilvl w:val="0"/>
          <w:numId w:val="10"/>
        </w:numPr>
        <w:tabs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rPr>
          <w:color w:val="000000"/>
          <w:sz w:val="20"/>
          <w:szCs w:val="20"/>
        </w:rPr>
        <w:t>Mobiliario y Equipo Educacional y Recreativo</w:t>
      </w:r>
      <w:r>
        <w:rPr>
          <w:color w:val="FFFFFF"/>
          <w:sz w:val="20"/>
          <w:szCs w:val="20"/>
        </w:rPr>
        <w:t>……………</w:t>
      </w:r>
      <w:proofErr w:type="gramStart"/>
      <w:r>
        <w:rPr>
          <w:color w:val="FFFFFF"/>
          <w:sz w:val="20"/>
          <w:szCs w:val="20"/>
        </w:rPr>
        <w:t>…….</w:t>
      </w:r>
      <w:proofErr w:type="gramEnd"/>
      <w:r>
        <w:rPr>
          <w:color w:val="FFFFFF"/>
          <w:sz w:val="20"/>
          <w:szCs w:val="20"/>
        </w:rPr>
        <w:t xml:space="preserve">.….………………             </w:t>
      </w:r>
      <w:r>
        <w:rPr>
          <w:sz w:val="20"/>
          <w:szCs w:val="20"/>
        </w:rPr>
        <w:t xml:space="preserve">  $ 255,438</w:t>
      </w:r>
    </w:p>
    <w:p w14:paraId="10B2EED1" w14:textId="77777777" w:rsidR="007F258B" w:rsidRDefault="00000000">
      <w:pPr>
        <w:tabs>
          <w:tab w:val="left" w:pos="1134"/>
          <w:tab w:val="left" w:pos="8505"/>
        </w:tabs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Comisión adquirió un dron mini por $34,568 y 9 cámaras de rastreo y 9 cámaras de seguimiento, por $64,999, quedando integrada la cuenta al 31 de diciembre como sigue:</w:t>
      </w:r>
    </w:p>
    <w:p w14:paraId="3B809015" w14:textId="77777777" w:rsidR="007F258B" w:rsidRDefault="007F258B">
      <w:pPr>
        <w:tabs>
          <w:tab w:val="left" w:pos="1134"/>
          <w:tab w:val="left" w:pos="8505"/>
        </w:tabs>
        <w:spacing w:line="180" w:lineRule="atLeast"/>
        <w:jc w:val="both"/>
        <w:rPr>
          <w:rFonts w:ascii="Arial" w:hAnsi="Arial" w:cs="Arial"/>
          <w:color w:val="000000"/>
          <w:sz w:val="10"/>
          <w:szCs w:val="10"/>
        </w:rPr>
      </w:pPr>
    </w:p>
    <w:tbl>
      <w:tblPr>
        <w:tblW w:w="45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2"/>
        <w:gridCol w:w="958"/>
      </w:tblGrid>
      <w:tr w:rsidR="007F258B" w14:paraId="78439493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44C65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9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3A591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4287CFCE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7B0A1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Equipos y aparatos audiovisuales</w:t>
            </w:r>
          </w:p>
        </w:tc>
        <w:tc>
          <w:tcPr>
            <w:tcW w:w="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FF99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15,079 </w:t>
            </w:r>
          </w:p>
        </w:tc>
      </w:tr>
      <w:tr w:rsidR="007F258B" w14:paraId="7E66088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BEE85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Cámaras fotográficas y de video</w:t>
            </w:r>
          </w:p>
        </w:tc>
        <w:tc>
          <w:tcPr>
            <w:tcW w:w="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A589A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240,359</w:t>
            </w:r>
          </w:p>
        </w:tc>
      </w:tr>
      <w:tr w:rsidR="007F258B" w14:paraId="34B1DE5A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2E5B0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24A1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$ 255,438</w:t>
            </w:r>
          </w:p>
        </w:tc>
      </w:tr>
    </w:tbl>
    <w:p w14:paraId="26ABF5CB" w14:textId="77777777" w:rsidR="007F258B" w:rsidRDefault="007F258B">
      <w:pPr>
        <w:tabs>
          <w:tab w:val="left" w:pos="1134"/>
          <w:tab w:val="left" w:pos="8505"/>
        </w:tabs>
        <w:jc w:val="both"/>
        <w:rPr>
          <w:rFonts w:ascii="Arial" w:hAnsi="Arial" w:cs="Arial"/>
          <w:color w:val="000000"/>
        </w:rPr>
      </w:pPr>
    </w:p>
    <w:p w14:paraId="2E013115" w14:textId="77777777" w:rsidR="007F258B" w:rsidRDefault="007F258B">
      <w:pPr>
        <w:tabs>
          <w:tab w:val="left" w:pos="1134"/>
          <w:tab w:val="left" w:pos="8505"/>
        </w:tabs>
        <w:jc w:val="both"/>
        <w:rPr>
          <w:rFonts w:ascii="Arial" w:hAnsi="Arial" w:cs="Arial"/>
          <w:color w:val="000000"/>
        </w:rPr>
      </w:pPr>
    </w:p>
    <w:p w14:paraId="7EC4BF47" w14:textId="77777777" w:rsidR="007F258B" w:rsidRDefault="00000000">
      <w:pPr>
        <w:pStyle w:val="Prrafodelista"/>
        <w:numPr>
          <w:ilvl w:val="0"/>
          <w:numId w:val="10"/>
        </w:numPr>
        <w:tabs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rPr>
          <w:color w:val="000000"/>
          <w:sz w:val="20"/>
          <w:szCs w:val="20"/>
        </w:rPr>
        <w:t>Maquinaria, Otros Equipos y Herramientas</w:t>
      </w:r>
      <w:r>
        <w:rPr>
          <w:color w:val="FFFFFF"/>
          <w:sz w:val="20"/>
          <w:szCs w:val="20"/>
        </w:rPr>
        <w:t>……………………</w:t>
      </w:r>
      <w:proofErr w:type="gramStart"/>
      <w:r>
        <w:rPr>
          <w:color w:val="FFFFFF"/>
          <w:sz w:val="20"/>
          <w:szCs w:val="20"/>
        </w:rPr>
        <w:t>…….</w:t>
      </w:r>
      <w:proofErr w:type="gramEnd"/>
      <w:r>
        <w:rPr>
          <w:color w:val="FFFFFF"/>
          <w:sz w:val="20"/>
          <w:szCs w:val="20"/>
        </w:rPr>
        <w:t xml:space="preserve">……….…..         …    </w:t>
      </w:r>
      <w:r>
        <w:rPr>
          <w:sz w:val="20"/>
          <w:szCs w:val="20"/>
        </w:rPr>
        <w:t xml:space="preserve">    $ 43,168</w:t>
      </w:r>
    </w:p>
    <w:p w14:paraId="5CEB0007" w14:textId="77777777" w:rsidR="007F258B" w:rsidRDefault="00000000">
      <w:pPr>
        <w:tabs>
          <w:tab w:val="left" w:pos="1134"/>
          <w:tab w:val="left" w:pos="8505"/>
        </w:tabs>
        <w:ind w:left="1134"/>
        <w:jc w:val="both"/>
      </w:pPr>
      <w:r>
        <w:rPr>
          <w:rFonts w:ascii="Arial" w:hAnsi="Arial" w:cs="Arial"/>
          <w:color w:val="000000"/>
        </w:rPr>
        <w:t xml:space="preserve">La cuenta de </w:t>
      </w:r>
      <w:r>
        <w:rPr>
          <w:rFonts w:ascii="Arial" w:hAnsi="Arial" w:cs="Arial"/>
        </w:rPr>
        <w:t>Maquinaria, Otros Equipos y Herramientas se integra como sigue:</w:t>
      </w:r>
    </w:p>
    <w:p w14:paraId="3E6CE27C" w14:textId="77777777" w:rsidR="007F258B" w:rsidRDefault="007F258B">
      <w:pPr>
        <w:tabs>
          <w:tab w:val="left" w:pos="1134"/>
          <w:tab w:val="left" w:pos="8505"/>
        </w:tabs>
        <w:spacing w:line="120" w:lineRule="atLeast"/>
        <w:jc w:val="both"/>
        <w:rPr>
          <w:rFonts w:ascii="Arial" w:hAnsi="Arial" w:cs="Arial"/>
        </w:rPr>
      </w:pPr>
    </w:p>
    <w:tbl>
      <w:tblPr>
        <w:tblW w:w="45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2"/>
        <w:gridCol w:w="958"/>
      </w:tblGrid>
      <w:tr w:rsidR="007F258B" w14:paraId="7190010B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995FF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9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C4782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0BA46FFE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4F364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Sistemas de A.C., Calefacción y de </w:t>
            </w:r>
            <w:proofErr w:type="spellStart"/>
            <w:r>
              <w:rPr>
                <w:sz w:val="18"/>
                <w:szCs w:val="18"/>
              </w:rPr>
              <w:t>Refrig</w:t>
            </w:r>
            <w:proofErr w:type="spellEnd"/>
          </w:p>
        </w:tc>
        <w:tc>
          <w:tcPr>
            <w:tcW w:w="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A087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13,170</w:t>
            </w:r>
          </w:p>
        </w:tc>
      </w:tr>
      <w:tr w:rsidR="007F258B" w14:paraId="063A39F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908D0" w14:textId="77777777" w:rsidR="007F258B" w:rsidRDefault="00000000">
            <w:pPr>
              <w:widowControl/>
              <w:suppressAutoHyphens w:val="0"/>
              <w:spacing w:line="12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equipos.</w:t>
            </w:r>
          </w:p>
        </w:tc>
        <w:tc>
          <w:tcPr>
            <w:tcW w:w="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3ED7A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29,998</w:t>
            </w:r>
          </w:p>
        </w:tc>
      </w:tr>
      <w:tr w:rsidR="007F258B" w14:paraId="6D8E682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E67A4" w14:textId="77777777" w:rsidR="007F258B" w:rsidRDefault="00000000">
            <w:pPr>
              <w:widowControl/>
              <w:suppressAutoHyphens w:val="0"/>
              <w:spacing w:line="120" w:lineRule="atLeas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AA6D1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$ 43,168</w:t>
            </w:r>
          </w:p>
        </w:tc>
      </w:tr>
    </w:tbl>
    <w:p w14:paraId="0B3EBB46" w14:textId="77777777" w:rsidR="007F258B" w:rsidRDefault="007F258B">
      <w:pPr>
        <w:tabs>
          <w:tab w:val="left" w:pos="8222"/>
          <w:tab w:val="left" w:pos="8505"/>
        </w:tabs>
        <w:jc w:val="both"/>
        <w:rPr>
          <w:color w:val="000000"/>
        </w:rPr>
      </w:pPr>
    </w:p>
    <w:p w14:paraId="00A31FE9" w14:textId="77777777" w:rsidR="007F258B" w:rsidRDefault="007F258B">
      <w:pPr>
        <w:tabs>
          <w:tab w:val="left" w:pos="8222"/>
          <w:tab w:val="left" w:pos="8505"/>
        </w:tabs>
        <w:jc w:val="both"/>
        <w:rPr>
          <w:color w:val="000000"/>
        </w:rPr>
      </w:pPr>
    </w:p>
    <w:p w14:paraId="0D0BD8F5" w14:textId="77777777" w:rsidR="007F258B" w:rsidRDefault="00000000">
      <w:pPr>
        <w:pStyle w:val="Prrafodelista"/>
        <w:numPr>
          <w:ilvl w:val="0"/>
          <w:numId w:val="10"/>
        </w:numPr>
        <w:tabs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rPr>
          <w:color w:val="000000"/>
          <w:sz w:val="20"/>
          <w:szCs w:val="20"/>
        </w:rPr>
        <w:t xml:space="preserve">Vehículos y Equipo de Transporte                                                                              </w:t>
      </w:r>
      <w:r>
        <w:rPr>
          <w:sz w:val="20"/>
          <w:szCs w:val="20"/>
        </w:rPr>
        <w:t>$3´185,500</w:t>
      </w:r>
    </w:p>
    <w:p w14:paraId="1A8EE209" w14:textId="77777777" w:rsidR="007F258B" w:rsidRDefault="00000000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rPr>
          <w:rFonts w:ascii="Arial" w:hAnsi="Arial" w:cs="Arial"/>
          <w:color w:val="000000"/>
          <w:sz w:val="20"/>
        </w:rPr>
        <w:t xml:space="preserve">La Comisión adquirió una </w:t>
      </w:r>
      <w:r>
        <w:rPr>
          <w:rFonts w:ascii="Arial" w:hAnsi="Arial" w:cs="Arial"/>
          <w:sz w:val="20"/>
        </w:rPr>
        <w:t>Camioneta Chevrolet pick up doble cabina Mod 2024 S10 Max,4 X4, un Aveo Sedan FLT Plus Mod 2024, Camioneta cabina regular Mod 2024 S10 Max y</w:t>
      </w:r>
      <w:r>
        <w:rPr>
          <w:rFonts w:ascii="Arial" w:hAnsi="Arial" w:cs="Arial"/>
          <w:color w:val="000000"/>
          <w:sz w:val="20"/>
        </w:rPr>
        <w:t xml:space="preserve"> Urban 14 pasajeros TM AA Nissan Mo</w:t>
      </w:r>
      <w:r>
        <w:rPr>
          <w:rFonts w:ascii="Arial" w:hAnsi="Arial" w:cs="Arial"/>
          <w:sz w:val="20"/>
        </w:rPr>
        <w:t>d 2024</w:t>
      </w:r>
      <w:r>
        <w:rPr>
          <w:rFonts w:ascii="Arial" w:hAnsi="Arial" w:cs="Arial"/>
          <w:color w:val="000000"/>
          <w:sz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El saldo queda integrado, como sigue:</w:t>
      </w:r>
    </w:p>
    <w:p w14:paraId="768226A1" w14:textId="77777777" w:rsidR="007F258B" w:rsidRDefault="007F258B">
      <w:pPr>
        <w:pStyle w:val="Texto"/>
        <w:tabs>
          <w:tab w:val="left" w:pos="426"/>
        </w:tabs>
        <w:spacing w:after="0" w:line="240" w:lineRule="auto"/>
        <w:ind w:firstLine="0"/>
        <w:rPr>
          <w:color w:val="000000"/>
          <w:sz w:val="20"/>
          <w:lang w:val="es-MX"/>
        </w:rPr>
      </w:pPr>
    </w:p>
    <w:tbl>
      <w:tblPr>
        <w:tblW w:w="56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1134"/>
      </w:tblGrid>
      <w:tr w:rsidR="007F258B" w14:paraId="737C0CE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0EF40" w14:textId="77777777" w:rsidR="007F258B" w:rsidRDefault="00000000">
            <w:pPr>
              <w:widowControl/>
              <w:suppressAutoHyphens w:val="0"/>
              <w:spacing w:line="14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5D1D" w14:textId="77777777" w:rsidR="007F258B" w:rsidRDefault="00000000">
            <w:pPr>
              <w:widowControl/>
              <w:suppressAutoHyphens w:val="0"/>
              <w:spacing w:line="140" w:lineRule="exac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1626BDC3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8055B" w14:textId="77777777" w:rsidR="007F258B" w:rsidRDefault="00000000">
            <w:pPr>
              <w:widowControl/>
              <w:suppressAutoHyphens w:val="0"/>
              <w:spacing w:line="14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Camioneta </w:t>
            </w:r>
            <w:proofErr w:type="spellStart"/>
            <w:r>
              <w:rPr>
                <w:color w:val="000000"/>
                <w:sz w:val="18"/>
                <w:szCs w:val="18"/>
              </w:rPr>
              <w:t>Ram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2023 1500 </w:t>
            </w:r>
            <w:proofErr w:type="spellStart"/>
            <w:r>
              <w:rPr>
                <w:color w:val="000000"/>
                <w:sz w:val="18"/>
                <w:szCs w:val="18"/>
              </w:rPr>
              <w:t>Mild-Hybrid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Brighorn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V6 Crem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2759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964,900  </w:t>
            </w:r>
          </w:p>
        </w:tc>
      </w:tr>
      <w:tr w:rsidR="007F258B" w14:paraId="1B57A33F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A9E61" w14:textId="77777777" w:rsidR="007F258B" w:rsidRDefault="00000000">
            <w:pPr>
              <w:widowControl/>
              <w:suppressAutoHyphens w:val="0"/>
              <w:spacing w:line="14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>Camioneta Chevrolet pick up doble cabina, Mod 2024 S10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E673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647,900</w:t>
            </w:r>
          </w:p>
        </w:tc>
      </w:tr>
      <w:tr w:rsidR="007F258B" w14:paraId="09734CAD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E56B8" w14:textId="77777777" w:rsidR="007F258B" w:rsidRDefault="00000000">
            <w:pPr>
              <w:widowControl/>
              <w:suppressAutoHyphens w:val="0"/>
              <w:spacing w:line="1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Aveo Sedan FLT Plus Mod 2024 Ext. color blanco 4 </w:t>
            </w:r>
            <w:proofErr w:type="spellStart"/>
            <w:r>
              <w:rPr>
                <w:sz w:val="18"/>
                <w:szCs w:val="18"/>
              </w:rPr>
              <w:t>cil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1987B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347,900</w:t>
            </w:r>
          </w:p>
        </w:tc>
      </w:tr>
      <w:tr w:rsidR="007F258B" w14:paraId="1172BE3B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13FD9" w14:textId="77777777" w:rsidR="007F258B" w:rsidRDefault="00000000">
            <w:pPr>
              <w:widowControl/>
              <w:suppressAutoHyphens w:val="0"/>
              <w:spacing w:line="1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Camioneta cabina regular Mod 2024 S10 Max </w:t>
            </w:r>
            <w:proofErr w:type="spellStart"/>
            <w:r>
              <w:rPr>
                <w:sz w:val="18"/>
                <w:szCs w:val="18"/>
              </w:rPr>
              <w:t>paq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3EBD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427,900</w:t>
            </w:r>
          </w:p>
        </w:tc>
      </w:tr>
      <w:tr w:rsidR="007F258B" w14:paraId="63A8F4C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885F7" w14:textId="77777777" w:rsidR="007F258B" w:rsidRDefault="00000000">
            <w:pPr>
              <w:widowControl/>
              <w:suppressAutoHyphens w:val="0"/>
              <w:spacing w:line="1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Camioneta Urvan 14 pasajeros TM AA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85F33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796,900</w:t>
            </w:r>
          </w:p>
        </w:tc>
      </w:tr>
      <w:tr w:rsidR="007F258B" w14:paraId="2FF1105F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35A8C" w14:textId="77777777" w:rsidR="007F258B" w:rsidRDefault="00000000">
            <w:pPr>
              <w:widowControl/>
              <w:suppressAutoHyphens w:val="0"/>
              <w:spacing w:line="14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880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$ 3´185,500</w:t>
            </w:r>
          </w:p>
        </w:tc>
      </w:tr>
    </w:tbl>
    <w:p w14:paraId="4E0DE873" w14:textId="77777777" w:rsidR="007F258B" w:rsidRDefault="007F258B">
      <w:pPr>
        <w:pStyle w:val="Texto"/>
        <w:tabs>
          <w:tab w:val="left" w:pos="426"/>
        </w:tabs>
        <w:spacing w:after="0" w:line="240" w:lineRule="auto"/>
        <w:ind w:firstLine="0"/>
        <w:rPr>
          <w:sz w:val="20"/>
          <w:lang w:val="es-MX"/>
        </w:rPr>
      </w:pPr>
    </w:p>
    <w:p w14:paraId="069B58C0" w14:textId="77777777" w:rsidR="007F258B" w:rsidRDefault="007F258B">
      <w:pPr>
        <w:pStyle w:val="Texto"/>
        <w:tabs>
          <w:tab w:val="left" w:pos="426"/>
        </w:tabs>
        <w:spacing w:after="0" w:line="240" w:lineRule="auto"/>
        <w:ind w:firstLine="0"/>
        <w:rPr>
          <w:sz w:val="20"/>
          <w:lang w:val="es-MX"/>
        </w:rPr>
      </w:pPr>
    </w:p>
    <w:p w14:paraId="10A8707B" w14:textId="77777777" w:rsidR="007F258B" w:rsidRDefault="007F258B">
      <w:pPr>
        <w:tabs>
          <w:tab w:val="left" w:pos="8222"/>
          <w:tab w:val="left" w:pos="8505"/>
        </w:tabs>
        <w:suppressAutoHyphens w:val="0"/>
        <w:jc w:val="both"/>
        <w:textAlignment w:val="auto"/>
        <w:rPr>
          <w:vanish/>
        </w:rPr>
      </w:pPr>
    </w:p>
    <w:p w14:paraId="28EFD10A" w14:textId="77777777" w:rsidR="007F258B" w:rsidRDefault="00000000">
      <w:pPr>
        <w:pStyle w:val="Prrafodelista"/>
        <w:numPr>
          <w:ilvl w:val="0"/>
          <w:numId w:val="11"/>
        </w:numPr>
        <w:tabs>
          <w:tab w:val="left" w:pos="-125"/>
          <w:tab w:val="left" w:pos="158"/>
        </w:tabs>
        <w:suppressAutoHyphens w:val="0"/>
        <w:spacing w:after="0"/>
        <w:jc w:val="both"/>
        <w:textAlignment w:val="auto"/>
      </w:pPr>
      <w:r>
        <w:rPr>
          <w:rFonts w:cs="Calibri"/>
          <w:sz w:val="20"/>
          <w:szCs w:val="20"/>
        </w:rPr>
        <w:t>Software</w:t>
      </w:r>
      <w:r>
        <w:rPr>
          <w:rFonts w:cs="Calibri"/>
          <w:color w:val="FFFFFF"/>
          <w:sz w:val="20"/>
          <w:szCs w:val="20"/>
        </w:rPr>
        <w:t>………………………………</w:t>
      </w:r>
      <w:proofErr w:type="gramStart"/>
      <w:r>
        <w:rPr>
          <w:rFonts w:cs="Calibri"/>
          <w:color w:val="FFFFFF"/>
          <w:sz w:val="20"/>
          <w:szCs w:val="20"/>
        </w:rPr>
        <w:t>…….</w:t>
      </w:r>
      <w:proofErr w:type="gramEnd"/>
      <w:r>
        <w:rPr>
          <w:rFonts w:cs="Calibri"/>
          <w:color w:val="FFFFFF"/>
          <w:sz w:val="20"/>
          <w:szCs w:val="20"/>
        </w:rPr>
        <w:t xml:space="preserve">…………..………………….……                 …              </w:t>
      </w:r>
      <w:r>
        <w:rPr>
          <w:sz w:val="20"/>
          <w:szCs w:val="20"/>
        </w:rPr>
        <w:t>$54,825</w:t>
      </w:r>
    </w:p>
    <w:p w14:paraId="13332282" w14:textId="77777777" w:rsidR="007F258B" w:rsidRDefault="00000000">
      <w:pPr>
        <w:pStyle w:val="Prrafodelista"/>
        <w:tabs>
          <w:tab w:val="left" w:pos="8222"/>
          <w:tab w:val="left" w:pos="8505"/>
        </w:tabs>
        <w:suppressAutoHyphens w:val="0"/>
        <w:spacing w:after="0"/>
        <w:ind w:left="1211"/>
        <w:jc w:val="both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La Comisión adquirió un programa Compaq I Nóminas, por un importe de $14,825. </w:t>
      </w:r>
      <w:r>
        <w:rPr>
          <w:rFonts w:ascii="Arial" w:hAnsi="Arial" w:cs="Arial"/>
          <w:sz w:val="20"/>
          <w:szCs w:val="20"/>
        </w:rPr>
        <w:t xml:space="preserve">El saldo de la cuenta representa el </w:t>
      </w:r>
      <w:r>
        <w:rPr>
          <w:rFonts w:ascii="Arial" w:hAnsi="Arial" w:cs="Arial"/>
          <w:sz w:val="20"/>
          <w:szCs w:val="20"/>
          <w:lang w:eastAsia="es-MX"/>
        </w:rPr>
        <w:t>monto de los programas informáticos utilizados por la Comisión.</w:t>
      </w:r>
    </w:p>
    <w:p w14:paraId="2BBF9FB5" w14:textId="77777777" w:rsidR="007F258B" w:rsidRDefault="007F258B">
      <w:pPr>
        <w:pStyle w:val="Text"/>
        <w:spacing w:after="80" w:line="203" w:lineRule="exact"/>
        <w:ind w:left="624" w:firstLine="0"/>
        <w:rPr>
          <w:sz w:val="20"/>
        </w:rPr>
      </w:pPr>
    </w:p>
    <w:p w14:paraId="715EAB5B" w14:textId="77777777" w:rsidR="007F258B" w:rsidRDefault="007F258B">
      <w:pPr>
        <w:pStyle w:val="Text"/>
        <w:spacing w:after="80" w:line="203" w:lineRule="exact"/>
        <w:ind w:left="624" w:firstLine="0"/>
        <w:rPr>
          <w:sz w:val="20"/>
        </w:rPr>
      </w:pPr>
    </w:p>
    <w:p w14:paraId="57E0C2A2" w14:textId="77777777" w:rsidR="007F258B" w:rsidRDefault="007F258B">
      <w:pPr>
        <w:pStyle w:val="Text"/>
        <w:spacing w:after="80" w:line="203" w:lineRule="exact"/>
        <w:ind w:left="624" w:firstLine="0"/>
        <w:rPr>
          <w:sz w:val="20"/>
        </w:rPr>
      </w:pPr>
    </w:p>
    <w:p w14:paraId="6497B55D" w14:textId="77777777" w:rsidR="007F258B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Cs/>
          <w:sz w:val="20"/>
          <w:lang w:val="es-MX"/>
        </w:rPr>
        <w:t xml:space="preserve">Depreciación y Amortización Acumulada </w:t>
      </w:r>
      <w:r>
        <w:rPr>
          <w:rFonts w:ascii="Calibri" w:hAnsi="Calibri" w:cs="DIN Pro Regular"/>
          <w:bCs/>
          <w:sz w:val="20"/>
          <w:lang w:val="es-MX"/>
        </w:rPr>
        <w:tab/>
      </w:r>
      <w:r>
        <w:rPr>
          <w:rFonts w:ascii="Calibri" w:hAnsi="Calibri" w:cs="DIN Pro Regular"/>
          <w:bCs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t xml:space="preserve">   </w:t>
      </w:r>
      <w:r>
        <w:rPr>
          <w:rFonts w:cs="Arial"/>
          <w:sz w:val="20"/>
        </w:rPr>
        <w:t>$ 1,816,345</w:t>
      </w:r>
    </w:p>
    <w:p w14:paraId="2B159BEF" w14:textId="77777777" w:rsidR="007F258B" w:rsidRDefault="007F258B">
      <w:pPr>
        <w:pStyle w:val="Text"/>
        <w:spacing w:after="80" w:line="203" w:lineRule="exact"/>
        <w:ind w:left="624" w:firstLine="0"/>
      </w:pPr>
    </w:p>
    <w:p w14:paraId="770BEFEB" w14:textId="77777777" w:rsidR="007F258B" w:rsidRDefault="00000000">
      <w:pPr>
        <w:pStyle w:val="Prrafodelista"/>
        <w:numPr>
          <w:ilvl w:val="0"/>
          <w:numId w:val="12"/>
        </w:numPr>
        <w:tabs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rPr>
          <w:rFonts w:ascii="Arial" w:hAnsi="Arial" w:cs="Arial"/>
          <w:sz w:val="20"/>
          <w:szCs w:val="20"/>
        </w:rPr>
        <w:t>Depreciación Acumulada de Bienes Muebles</w:t>
      </w:r>
      <w:r>
        <w:rPr>
          <w:rFonts w:ascii="Arial" w:hAnsi="Arial" w:cs="Arial"/>
          <w:color w:val="FFFFFF"/>
          <w:sz w:val="20"/>
          <w:szCs w:val="20"/>
        </w:rPr>
        <w:t>………………</w:t>
      </w:r>
      <w:proofErr w:type="gramStart"/>
      <w:r>
        <w:rPr>
          <w:rFonts w:ascii="Arial" w:hAnsi="Arial" w:cs="Arial"/>
          <w:color w:val="FFFFF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FFFFFF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$1´776,346</w:t>
      </w:r>
    </w:p>
    <w:p w14:paraId="2000113F" w14:textId="77777777" w:rsidR="007F258B" w:rsidRDefault="00000000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rPr>
          <w:rFonts w:ascii="Arial" w:hAnsi="Arial" w:cs="Arial"/>
          <w:sz w:val="20"/>
          <w:szCs w:val="20"/>
        </w:rPr>
        <w:t>El saldo de esta cuenta se integra de la siguiente manera:</w:t>
      </w:r>
    </w:p>
    <w:p w14:paraId="3DA24F91" w14:textId="77777777" w:rsidR="007F258B" w:rsidRDefault="007F258B">
      <w:pPr>
        <w:tabs>
          <w:tab w:val="left" w:pos="8222"/>
          <w:tab w:val="left" w:pos="8505"/>
        </w:tabs>
        <w:jc w:val="both"/>
      </w:pPr>
    </w:p>
    <w:tbl>
      <w:tblPr>
        <w:tblW w:w="7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1365"/>
        <w:gridCol w:w="1417"/>
      </w:tblGrid>
      <w:tr w:rsidR="007F258B" w14:paraId="33A0F5C5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3190" w14:textId="77777777" w:rsidR="007F258B" w:rsidRDefault="00000000">
            <w:pPr>
              <w:spacing w:line="200" w:lineRule="exact"/>
              <w:jc w:val="center"/>
            </w:pPr>
            <w:r>
              <w:rPr>
                <w:rFonts w:eastAsia="Times New Roman" w:cs="Calibri"/>
                <w:b/>
                <w:lang w:eastAsia="es-ES"/>
              </w:rPr>
              <w:t>Rubro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2A85" w14:textId="77777777" w:rsidR="007F258B" w:rsidRDefault="00000000">
            <w:pPr>
              <w:spacing w:line="200" w:lineRule="exact"/>
              <w:jc w:val="center"/>
              <w:rPr>
                <w:rFonts w:eastAsia="Times New Roman" w:cs="DIN Pro Regular"/>
                <w:b/>
                <w:color w:val="FFFFFF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lang w:eastAsia="es-ES"/>
              </w:rPr>
              <w:t>Tasa aplicada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F58C" w14:textId="77777777" w:rsidR="007F258B" w:rsidRDefault="00000000">
            <w:pPr>
              <w:spacing w:line="200" w:lineRule="exact"/>
              <w:jc w:val="center"/>
              <w:rPr>
                <w:rFonts w:eastAsia="Times New Roman" w:cs="DIN Pro Regular"/>
                <w:b/>
                <w:color w:val="FFFFFF"/>
                <w:lang w:eastAsia="es-ES"/>
              </w:rPr>
            </w:pPr>
            <w:proofErr w:type="spellStart"/>
            <w:r>
              <w:rPr>
                <w:rFonts w:eastAsia="Times New Roman" w:cs="DIN Pro Regular"/>
                <w:b/>
                <w:color w:val="FFFFFF"/>
                <w:lang w:eastAsia="es-ES"/>
              </w:rPr>
              <w:t>Dep</w:t>
            </w:r>
            <w:proofErr w:type="spellEnd"/>
            <w:r>
              <w:rPr>
                <w:rFonts w:eastAsia="Times New Roman" w:cs="DIN Pro Regular"/>
                <w:b/>
                <w:color w:val="FFFFFF"/>
                <w:lang w:eastAsia="es-ES"/>
              </w:rPr>
              <w:t xml:space="preserve">. </w:t>
            </w:r>
            <w:proofErr w:type="spellStart"/>
            <w:r>
              <w:rPr>
                <w:rFonts w:eastAsia="Times New Roman" w:cs="DIN Pro Regular"/>
                <w:b/>
                <w:color w:val="FFFFFF"/>
                <w:lang w:eastAsia="es-ES"/>
              </w:rPr>
              <w:t>Acum</w:t>
            </w:r>
            <w:proofErr w:type="spellEnd"/>
          </w:p>
        </w:tc>
      </w:tr>
      <w:tr w:rsidR="007F258B" w14:paraId="6CB22C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4E6C" w14:textId="77777777" w:rsidR="007F258B" w:rsidRDefault="00000000">
            <w:pPr>
              <w:spacing w:line="200" w:lineRule="exact"/>
              <w:jc w:val="both"/>
            </w:pPr>
            <w:r>
              <w:rPr>
                <w:rFonts w:cs="DIN Pro Regular"/>
                <w:b/>
                <w:sz w:val="18"/>
                <w:szCs w:val="18"/>
              </w:rPr>
              <w:t>Mobiliario y Equipo de Administración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667D" w14:textId="77777777" w:rsidR="007F258B" w:rsidRDefault="007F258B">
            <w:pPr>
              <w:spacing w:line="200" w:lineRule="exact"/>
              <w:jc w:val="right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C0C5" w14:textId="77777777" w:rsidR="007F258B" w:rsidRDefault="007F258B">
            <w:pPr>
              <w:spacing w:line="200" w:lineRule="exact"/>
              <w:jc w:val="right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</w:p>
        </w:tc>
      </w:tr>
      <w:tr w:rsidR="007F258B" w14:paraId="07617A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F30C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Muebles de oficina y estantería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DBD1" w14:textId="77777777" w:rsidR="007F258B" w:rsidRDefault="00000000">
            <w:pPr>
              <w:spacing w:line="20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10 %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AD34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1,140</w:t>
            </w:r>
          </w:p>
        </w:tc>
      </w:tr>
      <w:tr w:rsidR="007F258B" w14:paraId="4C7B7E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068E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Equipo de cómputo y tecnologías de la información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4CBA" w14:textId="77777777" w:rsidR="007F258B" w:rsidRDefault="00000000">
            <w:pPr>
              <w:spacing w:line="20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33 %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5EE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1´133,540</w:t>
            </w:r>
          </w:p>
        </w:tc>
      </w:tr>
      <w:tr w:rsidR="007F258B" w14:paraId="520EA4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A981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Otros mobiliarios y equipos de administración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9846" w14:textId="77777777" w:rsidR="007F258B" w:rsidRDefault="00000000">
            <w:pPr>
              <w:spacing w:line="20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10 %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8A2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44,750</w:t>
            </w:r>
          </w:p>
        </w:tc>
      </w:tr>
      <w:tr w:rsidR="007F258B" w14:paraId="6DB07E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DA7D" w14:textId="77777777" w:rsidR="007F258B" w:rsidRDefault="00000000">
            <w:pPr>
              <w:spacing w:line="200" w:lineRule="exact"/>
              <w:jc w:val="both"/>
            </w:pPr>
            <w:r>
              <w:rPr>
                <w:rFonts w:cs="DIN Pro Regular"/>
                <w:b/>
                <w:sz w:val="18"/>
                <w:szCs w:val="18"/>
              </w:rPr>
              <w:t>Mobiliario y Equipo Educacional y Recreativo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A228" w14:textId="77777777" w:rsidR="007F258B" w:rsidRDefault="007F258B">
            <w:pPr>
              <w:spacing w:line="20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D3F0" w14:textId="77777777" w:rsidR="007F258B" w:rsidRDefault="007F258B">
            <w:pPr>
              <w:jc w:val="right"/>
              <w:rPr>
                <w:sz w:val="18"/>
                <w:szCs w:val="18"/>
              </w:rPr>
            </w:pPr>
          </w:p>
        </w:tc>
      </w:tr>
      <w:tr w:rsidR="007F258B" w14:paraId="786A82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EB6E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Equipos y aparatos audiovisuales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9422" w14:textId="77777777" w:rsidR="007F258B" w:rsidRDefault="00000000">
            <w:pPr>
              <w:spacing w:line="20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33 %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A688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15,077</w:t>
            </w:r>
          </w:p>
        </w:tc>
      </w:tr>
      <w:tr w:rsidR="007F258B" w14:paraId="275AFCEC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5333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Cámaras fotográficas y de video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982D" w14:textId="77777777" w:rsidR="007F258B" w:rsidRDefault="00000000">
            <w:pPr>
              <w:spacing w:line="200" w:lineRule="exact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DIN Pro Regular"/>
                <w:sz w:val="18"/>
                <w:szCs w:val="18"/>
              </w:rPr>
              <w:t>33 %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EF95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147,505</w:t>
            </w:r>
          </w:p>
        </w:tc>
      </w:tr>
      <w:tr w:rsidR="007F258B" w14:paraId="5416733D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C2BF" w14:textId="77777777" w:rsidR="007F258B" w:rsidRDefault="00000000">
            <w:pPr>
              <w:spacing w:line="200" w:lineRule="exact"/>
              <w:jc w:val="both"/>
            </w:pPr>
            <w:r>
              <w:rPr>
                <w:rFonts w:cs="DIN Pro Regular"/>
                <w:b/>
                <w:sz w:val="18"/>
                <w:szCs w:val="18"/>
              </w:rPr>
              <w:t>Vehículos y equipo de transporte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117F" w14:textId="77777777" w:rsidR="007F258B" w:rsidRDefault="007F258B">
            <w:pPr>
              <w:spacing w:line="200" w:lineRule="exact"/>
              <w:jc w:val="right"/>
              <w:rPr>
                <w:rFonts w:cs="DIN Pro Regula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157E" w14:textId="77777777" w:rsidR="007F258B" w:rsidRDefault="007F258B">
            <w:pPr>
              <w:jc w:val="right"/>
              <w:rPr>
                <w:sz w:val="18"/>
                <w:szCs w:val="18"/>
              </w:rPr>
            </w:pPr>
          </w:p>
        </w:tc>
      </w:tr>
      <w:tr w:rsidR="007F258B" w14:paraId="35037784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DDB9" w14:textId="77777777" w:rsidR="007F258B" w:rsidRDefault="00000000">
            <w:pPr>
              <w:spacing w:line="200" w:lineRule="exact"/>
              <w:jc w:val="both"/>
            </w:pPr>
            <w:r>
              <w:rPr>
                <w:rFonts w:cs="DIN Pro Regular"/>
                <w:bCs/>
                <w:sz w:val="18"/>
                <w:szCs w:val="18"/>
              </w:rPr>
              <w:t>Vehículos y equipo de transporte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F7FF" w14:textId="77777777" w:rsidR="007F258B" w:rsidRDefault="00000000">
            <w:pPr>
              <w:spacing w:line="200" w:lineRule="exact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DIN Pro Regular"/>
                <w:sz w:val="18"/>
                <w:szCs w:val="18"/>
              </w:rPr>
              <w:t>25%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B9CA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420,507</w:t>
            </w:r>
          </w:p>
        </w:tc>
      </w:tr>
      <w:tr w:rsidR="007F258B" w14:paraId="7313DF6F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C39D" w14:textId="77777777" w:rsidR="007F258B" w:rsidRDefault="00000000">
            <w:pPr>
              <w:spacing w:line="200" w:lineRule="exact"/>
              <w:jc w:val="both"/>
            </w:pPr>
            <w:r>
              <w:rPr>
                <w:rFonts w:cs="DIN Pro Regular"/>
                <w:b/>
                <w:sz w:val="18"/>
                <w:szCs w:val="18"/>
              </w:rPr>
              <w:t>Maquinaria, Otros Equipos y Herramientas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54DF" w14:textId="77777777" w:rsidR="007F258B" w:rsidRDefault="007F258B">
            <w:pPr>
              <w:spacing w:line="200" w:lineRule="exact"/>
              <w:jc w:val="right"/>
              <w:rPr>
                <w:rFonts w:cs="DIN Pro Regula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CBFF" w14:textId="77777777" w:rsidR="007F258B" w:rsidRDefault="007F258B">
            <w:pPr>
              <w:jc w:val="right"/>
              <w:rPr>
                <w:sz w:val="18"/>
                <w:szCs w:val="18"/>
              </w:rPr>
            </w:pPr>
          </w:p>
        </w:tc>
      </w:tr>
      <w:tr w:rsidR="007F258B" w14:paraId="1A5462CA" w14:textId="77777777">
        <w:tblPrEx>
          <w:tblCellMar>
            <w:top w:w="0" w:type="dxa"/>
            <w:bottom w:w="0" w:type="dxa"/>
          </w:tblCellMar>
        </w:tblPrEx>
        <w:trPr>
          <w:cantSplit/>
          <w:trHeight w:val="87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9172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 xml:space="preserve">Sistemas de Aire </w:t>
            </w:r>
            <w:proofErr w:type="spellStart"/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Acond</w:t>
            </w:r>
            <w:proofErr w:type="spellEnd"/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 xml:space="preserve">., Calefacción y de </w:t>
            </w:r>
            <w:proofErr w:type="spellStart"/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Refriger</w:t>
            </w:r>
            <w:proofErr w:type="spellEnd"/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A073" w14:textId="77777777" w:rsidR="007F258B" w:rsidRDefault="00000000">
            <w:pPr>
              <w:spacing w:line="200" w:lineRule="exact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DIN Pro Regular"/>
                <w:sz w:val="18"/>
                <w:szCs w:val="18"/>
              </w:rPr>
              <w:t>10 %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340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4,827</w:t>
            </w:r>
          </w:p>
        </w:tc>
      </w:tr>
      <w:tr w:rsidR="007F258B" w14:paraId="2C592365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9C3A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Otros Equipos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236D" w14:textId="77777777" w:rsidR="007F258B" w:rsidRDefault="00000000">
            <w:pPr>
              <w:spacing w:line="200" w:lineRule="exact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DIN Pro Regular"/>
                <w:sz w:val="18"/>
                <w:szCs w:val="18"/>
              </w:rPr>
              <w:t>10 %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FBF0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7F258B" w14:paraId="0C3F4B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A13F" w14:textId="77777777" w:rsidR="007F258B" w:rsidRDefault="00000000">
            <w:pPr>
              <w:spacing w:line="200" w:lineRule="exact"/>
              <w:jc w:val="both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 xml:space="preserve"> depreciación acumulada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D9A2" w14:textId="77777777" w:rsidR="007F258B" w:rsidRDefault="007F258B">
            <w:pPr>
              <w:spacing w:line="20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FD7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$1´776,346</w:t>
            </w:r>
          </w:p>
        </w:tc>
      </w:tr>
    </w:tbl>
    <w:p w14:paraId="73412679" w14:textId="77777777" w:rsidR="007F258B" w:rsidRDefault="007F258B">
      <w:pPr>
        <w:tabs>
          <w:tab w:val="left" w:pos="8222"/>
          <w:tab w:val="left" w:pos="8505"/>
        </w:tabs>
        <w:jc w:val="both"/>
      </w:pPr>
    </w:p>
    <w:p w14:paraId="256DE526" w14:textId="77777777" w:rsidR="007F258B" w:rsidRDefault="007F258B">
      <w:pPr>
        <w:tabs>
          <w:tab w:val="left" w:pos="8222"/>
          <w:tab w:val="left" w:pos="8505"/>
        </w:tabs>
        <w:jc w:val="both"/>
      </w:pPr>
    </w:p>
    <w:p w14:paraId="03FC9995" w14:textId="77777777" w:rsidR="007F258B" w:rsidRDefault="00000000">
      <w:pPr>
        <w:pStyle w:val="Prrafodelista"/>
        <w:numPr>
          <w:ilvl w:val="0"/>
          <w:numId w:val="12"/>
        </w:numPr>
        <w:tabs>
          <w:tab w:val="left" w:pos="2272"/>
          <w:tab w:val="left" w:pos="2555"/>
        </w:tabs>
        <w:suppressAutoHyphens w:val="0"/>
        <w:spacing w:after="0" w:line="240" w:lineRule="auto"/>
        <w:jc w:val="both"/>
        <w:textAlignment w:val="auto"/>
      </w:pPr>
      <w:r>
        <w:rPr>
          <w:sz w:val="20"/>
        </w:rPr>
        <w:t xml:space="preserve">Amortización </w:t>
      </w:r>
      <w:r>
        <w:rPr>
          <w:sz w:val="20"/>
          <w:szCs w:val="20"/>
        </w:rPr>
        <w:t>acumulada de Bienes Intangible                                                            $ 39,999</w:t>
      </w:r>
    </w:p>
    <w:p w14:paraId="0C9C9424" w14:textId="77777777" w:rsidR="007F258B" w:rsidRDefault="00000000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070"/>
        <w:jc w:val="both"/>
        <w:textAlignment w:val="auto"/>
      </w:pPr>
      <w:r>
        <w:t>El saldo de esta cuenta se integra de la siguiente manera:</w:t>
      </w:r>
    </w:p>
    <w:p w14:paraId="6DEBE697" w14:textId="77777777" w:rsidR="007F258B" w:rsidRDefault="007F258B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070"/>
        <w:jc w:val="both"/>
        <w:textAlignment w:val="auto"/>
      </w:pPr>
    </w:p>
    <w:tbl>
      <w:tblPr>
        <w:tblW w:w="7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1365"/>
        <w:gridCol w:w="1417"/>
      </w:tblGrid>
      <w:tr w:rsidR="007F258B" w14:paraId="64913C12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33EE" w14:textId="77777777" w:rsidR="007F258B" w:rsidRDefault="00000000">
            <w:pPr>
              <w:spacing w:line="240" w:lineRule="exact"/>
              <w:jc w:val="center"/>
            </w:pPr>
            <w:r>
              <w:rPr>
                <w:rFonts w:eastAsia="Times New Roman" w:cs="Calibri"/>
                <w:b/>
                <w:lang w:eastAsia="es-ES"/>
              </w:rPr>
              <w:t>Rubro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FBB7" w14:textId="77777777" w:rsidR="007F258B" w:rsidRDefault="00000000">
            <w:pPr>
              <w:spacing w:line="240" w:lineRule="exact"/>
              <w:jc w:val="center"/>
              <w:rPr>
                <w:rFonts w:eastAsia="Times New Roman" w:cs="DIN Pro Regular"/>
                <w:b/>
                <w:color w:val="FFFFFF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lang w:eastAsia="es-ES"/>
              </w:rPr>
              <w:t>Tasa Aplicada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758B" w14:textId="77777777" w:rsidR="007F258B" w:rsidRDefault="00000000">
            <w:pPr>
              <w:spacing w:line="240" w:lineRule="exact"/>
              <w:jc w:val="center"/>
              <w:rPr>
                <w:rFonts w:eastAsia="Times New Roman" w:cs="DIN Pro Regular"/>
                <w:b/>
                <w:color w:val="FFFFFF"/>
                <w:lang w:eastAsia="es-ES"/>
              </w:rPr>
            </w:pPr>
            <w:proofErr w:type="spellStart"/>
            <w:r>
              <w:rPr>
                <w:rFonts w:eastAsia="Times New Roman" w:cs="DIN Pro Regular"/>
                <w:b/>
                <w:color w:val="FFFFFF"/>
                <w:lang w:eastAsia="es-ES"/>
              </w:rPr>
              <w:t>Amort</w:t>
            </w:r>
            <w:proofErr w:type="spellEnd"/>
            <w:r>
              <w:rPr>
                <w:rFonts w:eastAsia="Times New Roman" w:cs="DIN Pro Regular"/>
                <w:b/>
                <w:color w:val="FFFFFF"/>
                <w:lang w:eastAsia="es-ES"/>
              </w:rPr>
              <w:t xml:space="preserve">. </w:t>
            </w:r>
            <w:proofErr w:type="spellStart"/>
            <w:r>
              <w:rPr>
                <w:rFonts w:eastAsia="Times New Roman" w:cs="DIN Pro Regular"/>
                <w:b/>
                <w:color w:val="FFFFFF"/>
                <w:lang w:eastAsia="es-ES"/>
              </w:rPr>
              <w:t>Acum</w:t>
            </w:r>
            <w:proofErr w:type="spellEnd"/>
            <w:r>
              <w:rPr>
                <w:rFonts w:eastAsia="Times New Roman" w:cs="DIN Pro Regular"/>
                <w:b/>
                <w:color w:val="FFFFFF"/>
                <w:lang w:eastAsia="es-ES"/>
              </w:rPr>
              <w:t xml:space="preserve">. </w:t>
            </w:r>
          </w:p>
        </w:tc>
      </w:tr>
      <w:tr w:rsidR="007F258B" w14:paraId="34C2E2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7201" w14:textId="77777777" w:rsidR="007F258B" w:rsidRDefault="00000000">
            <w:pPr>
              <w:spacing w:line="240" w:lineRule="exact"/>
              <w:jc w:val="both"/>
            </w:pPr>
            <w:r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66AE" w14:textId="77777777" w:rsidR="007F258B" w:rsidRDefault="007F258B">
            <w:pPr>
              <w:spacing w:line="240" w:lineRule="exact"/>
              <w:jc w:val="right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04A4" w14:textId="77777777" w:rsidR="007F258B" w:rsidRDefault="007F258B">
            <w:pPr>
              <w:spacing w:line="240" w:lineRule="exact"/>
              <w:jc w:val="right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</w:p>
        </w:tc>
      </w:tr>
      <w:tr w:rsidR="007F258B" w14:paraId="04F060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3516" w14:textId="77777777" w:rsidR="007F258B" w:rsidRDefault="00000000">
            <w:pPr>
              <w:spacing w:line="240" w:lineRule="exact"/>
              <w:jc w:val="both"/>
              <w:rPr>
                <w:rFonts w:cs="DIN Pro Regular"/>
                <w:bCs/>
                <w:sz w:val="18"/>
                <w:szCs w:val="18"/>
              </w:rPr>
            </w:pPr>
            <w:r>
              <w:rPr>
                <w:rFonts w:cs="DIN Pro Regular"/>
                <w:bCs/>
                <w:sz w:val="18"/>
                <w:szCs w:val="18"/>
              </w:rPr>
              <w:t>Software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64D0" w14:textId="77777777" w:rsidR="007F258B" w:rsidRDefault="00000000">
            <w:pPr>
              <w:spacing w:line="240" w:lineRule="exact"/>
              <w:jc w:val="right"/>
              <w:rPr>
                <w:rFonts w:eastAsia="Times New Roman" w:cs="DIN Pro Regular"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bCs/>
                <w:sz w:val="18"/>
                <w:szCs w:val="18"/>
                <w:lang w:eastAsia="es-ES"/>
              </w:rPr>
              <w:t>33.3%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2E8B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39,999</w:t>
            </w:r>
          </w:p>
        </w:tc>
      </w:tr>
      <w:tr w:rsidR="007F258B" w14:paraId="2CE4DE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304A" w14:textId="77777777" w:rsidR="007F258B" w:rsidRDefault="00000000">
            <w:pPr>
              <w:spacing w:line="240" w:lineRule="exact"/>
              <w:jc w:val="both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 xml:space="preserve"> amortización acumulada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3EA2" w14:textId="77777777" w:rsidR="007F258B" w:rsidRDefault="007F258B">
            <w:pPr>
              <w:spacing w:line="24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85B9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$ 39,999</w:t>
            </w:r>
          </w:p>
        </w:tc>
      </w:tr>
    </w:tbl>
    <w:p w14:paraId="63471AF4" w14:textId="77777777" w:rsidR="007F258B" w:rsidRDefault="007F258B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070"/>
        <w:jc w:val="both"/>
        <w:textAlignment w:val="auto"/>
        <w:rPr>
          <w:sz w:val="20"/>
        </w:rPr>
      </w:pPr>
    </w:p>
    <w:p w14:paraId="39E1EBD7" w14:textId="77777777" w:rsidR="007F258B" w:rsidRDefault="007F258B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070"/>
        <w:jc w:val="both"/>
        <w:textAlignment w:val="auto"/>
        <w:rPr>
          <w:sz w:val="20"/>
        </w:rPr>
      </w:pPr>
    </w:p>
    <w:p w14:paraId="2B2171D8" w14:textId="77777777" w:rsidR="007F258B" w:rsidRDefault="007F258B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070"/>
        <w:jc w:val="both"/>
        <w:textAlignment w:val="auto"/>
        <w:rPr>
          <w:sz w:val="20"/>
        </w:rPr>
      </w:pPr>
    </w:p>
    <w:p w14:paraId="3D194409" w14:textId="77777777" w:rsidR="007F258B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No aplica</w:t>
      </w:r>
    </w:p>
    <w:p w14:paraId="0D53DB93" w14:textId="77777777" w:rsidR="007F258B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Otros Activos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No aplica</w:t>
      </w:r>
    </w:p>
    <w:p w14:paraId="651B42C2" w14:textId="77777777" w:rsidR="007F258B" w:rsidRDefault="007F258B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070"/>
        <w:jc w:val="both"/>
        <w:textAlignment w:val="auto"/>
        <w:rPr>
          <w:sz w:val="20"/>
        </w:rPr>
      </w:pPr>
    </w:p>
    <w:p w14:paraId="61DCFAB2" w14:textId="77777777" w:rsidR="007F258B" w:rsidRDefault="007F258B">
      <w:pPr>
        <w:pStyle w:val="Prrafodelista"/>
        <w:tabs>
          <w:tab w:val="left" w:pos="8222"/>
          <w:tab w:val="left" w:pos="8505"/>
        </w:tabs>
        <w:suppressAutoHyphens w:val="0"/>
        <w:spacing w:after="0" w:line="240" w:lineRule="auto"/>
        <w:ind w:left="1070"/>
        <w:jc w:val="both"/>
        <w:textAlignment w:val="auto"/>
        <w:rPr>
          <w:sz w:val="20"/>
        </w:rPr>
      </w:pPr>
    </w:p>
    <w:p w14:paraId="758A5FEB" w14:textId="77777777" w:rsidR="007F258B" w:rsidRDefault="00000000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588EB1BB" w14:textId="77777777" w:rsidR="007F258B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75453A68" w14:textId="77777777" w:rsidR="007F258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Cuentas por pagar a corto plazo</w:t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  <w:t>$568,651</w:t>
      </w:r>
    </w:p>
    <w:p w14:paraId="7BDEA210" w14:textId="77777777" w:rsidR="007F258B" w:rsidRDefault="007F258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26FC2A70" w14:textId="77777777" w:rsidR="007F258B" w:rsidRDefault="00000000">
      <w:pPr>
        <w:pStyle w:val="ROMANOS"/>
        <w:spacing w:after="0" w:line="240" w:lineRule="exac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El saldo de las Cuentas por pagar se encuentra integrado como sigue:</w:t>
      </w:r>
    </w:p>
    <w:p w14:paraId="32F4D072" w14:textId="77777777" w:rsidR="007F258B" w:rsidRDefault="007F258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tbl>
      <w:tblPr>
        <w:tblW w:w="59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1276"/>
      </w:tblGrid>
      <w:tr w:rsidR="007F258B" w14:paraId="62E033F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D835F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5CB2C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1721303E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69AE4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sz w:val="18"/>
                <w:szCs w:val="18"/>
              </w:rPr>
              <w:t>Servicios Personales por pagar a Corto Plazo</w:t>
            </w:r>
            <w:r>
              <w:rPr>
                <w:color w:val="FFFFFF"/>
                <w:sz w:val="18"/>
                <w:szCs w:val="18"/>
              </w:rPr>
              <w:t xml:space="preserve">…                                                             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108F4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34,038 </w:t>
            </w:r>
          </w:p>
        </w:tc>
      </w:tr>
      <w:tr w:rsidR="007F258B" w14:paraId="2E69C35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6574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Proveedores por pagar a Corto Plazo                                                                                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5166B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107,963</w:t>
            </w:r>
          </w:p>
        </w:tc>
      </w:tr>
      <w:tr w:rsidR="007F258B" w14:paraId="26F3FFA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7AA7D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Retenciones y Contribuciones por pagar a Corto Plazo                                                     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434A2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426,650</w:t>
            </w:r>
          </w:p>
        </w:tc>
      </w:tr>
      <w:tr w:rsidR="007F258B" w14:paraId="09859DA0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434A2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Otras cuentas por pagar a Corto Plazo                                                                             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4322C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F258B" w14:paraId="0996A397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CBC38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D99EB" w14:textId="77777777" w:rsidR="007F258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$568,651</w:t>
            </w:r>
          </w:p>
        </w:tc>
      </w:tr>
    </w:tbl>
    <w:p w14:paraId="730E9BD0" w14:textId="77777777" w:rsidR="007F258B" w:rsidRDefault="007F258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127C711A" w14:textId="77777777" w:rsidR="007F258B" w:rsidRDefault="007F258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4B0BB3B5" w14:textId="77777777" w:rsidR="007F258B" w:rsidRDefault="00000000">
      <w:pPr>
        <w:pStyle w:val="Prrafodelista"/>
        <w:numPr>
          <w:ilvl w:val="0"/>
          <w:numId w:val="13"/>
        </w:numPr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rPr>
          <w:sz w:val="20"/>
          <w:szCs w:val="20"/>
        </w:rPr>
        <w:t>Servicios Personales por pagar a Corto Plazo</w:t>
      </w:r>
      <w:r>
        <w:rPr>
          <w:color w:val="FFFFFF"/>
          <w:sz w:val="20"/>
          <w:szCs w:val="20"/>
        </w:rPr>
        <w:t xml:space="preserve">…                                                           </w:t>
      </w:r>
      <w:r>
        <w:rPr>
          <w:i/>
          <w:color w:val="FFFFFF"/>
          <w:sz w:val="20"/>
          <w:szCs w:val="20"/>
        </w:rPr>
        <w:t>…</w:t>
      </w:r>
      <w:r>
        <w:rPr>
          <w:i/>
          <w:sz w:val="20"/>
          <w:szCs w:val="20"/>
        </w:rPr>
        <w:t>$ 34,038</w:t>
      </w:r>
    </w:p>
    <w:p w14:paraId="1AFA089D" w14:textId="77777777" w:rsidR="007F258B" w:rsidRDefault="00000000">
      <w:pPr>
        <w:pStyle w:val="Prrafodelista"/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t xml:space="preserve">El saldo de la cuenta corresponde a las aportaciones patronales pendientes de enterar al IPSSET al </w:t>
      </w:r>
      <w:r>
        <w:rPr>
          <w:rFonts w:cs="Calibri"/>
        </w:rPr>
        <w:t xml:space="preserve">31 de diciembre de </w:t>
      </w:r>
      <w:proofErr w:type="gramStart"/>
      <w:r>
        <w:rPr>
          <w:rFonts w:cs="Calibri"/>
        </w:rPr>
        <w:t>2024</w:t>
      </w:r>
      <w:r>
        <w:t>,  por</w:t>
      </w:r>
      <w:proofErr w:type="gramEnd"/>
      <w:r>
        <w:t xml:space="preserve"> el importe de $34,038.</w:t>
      </w:r>
    </w:p>
    <w:p w14:paraId="05292B0E" w14:textId="77777777" w:rsidR="007F258B" w:rsidRDefault="007F258B">
      <w:pPr>
        <w:tabs>
          <w:tab w:val="left" w:pos="1276"/>
          <w:tab w:val="left" w:pos="8222"/>
          <w:tab w:val="left" w:pos="8505"/>
        </w:tabs>
        <w:jc w:val="both"/>
      </w:pPr>
    </w:p>
    <w:p w14:paraId="17657E85" w14:textId="77777777" w:rsidR="007F258B" w:rsidRDefault="007F258B">
      <w:pPr>
        <w:tabs>
          <w:tab w:val="left" w:pos="1276"/>
          <w:tab w:val="left" w:pos="8222"/>
          <w:tab w:val="left" w:pos="8505"/>
        </w:tabs>
        <w:jc w:val="both"/>
      </w:pPr>
    </w:p>
    <w:p w14:paraId="2BB38444" w14:textId="77777777" w:rsidR="007F258B" w:rsidRDefault="00000000">
      <w:pPr>
        <w:pStyle w:val="Prrafodelista"/>
        <w:numPr>
          <w:ilvl w:val="0"/>
          <w:numId w:val="13"/>
        </w:numPr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Proveedores por pagar a Corto Plazo                                                                                $107,963</w:t>
      </w:r>
    </w:p>
    <w:p w14:paraId="20E5F747" w14:textId="77777777" w:rsidR="007F258B" w:rsidRDefault="00000000">
      <w:pPr>
        <w:pStyle w:val="Prrafodelista"/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  <w:r>
        <w:t>La cuenta de Proveedores por pagar a Corto Plazo se integra de la siguiente manera:</w:t>
      </w:r>
    </w:p>
    <w:p w14:paraId="314C18B7" w14:textId="77777777" w:rsidR="007F258B" w:rsidRDefault="007F258B">
      <w:pPr>
        <w:pStyle w:val="Prrafodelista"/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</w:p>
    <w:tbl>
      <w:tblPr>
        <w:tblW w:w="59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1276"/>
      </w:tblGrid>
      <w:tr w:rsidR="007F258B" w14:paraId="21717063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CE79E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E68A6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1DEA6E45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155C4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Eloy Edgardo Cantú Pérez              /   </w:t>
            </w:r>
            <w:proofErr w:type="spellStart"/>
            <w:r>
              <w:rPr>
                <w:color w:val="000000"/>
                <w:sz w:val="18"/>
                <w:szCs w:val="18"/>
              </w:rPr>
              <w:t>Fact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 5026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404D7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</w:pPr>
            <w:r>
              <w:rPr>
                <w:color w:val="000000"/>
                <w:sz w:val="18"/>
                <w:szCs w:val="18"/>
              </w:rPr>
              <w:t>$ 6,247</w:t>
            </w:r>
          </w:p>
        </w:tc>
      </w:tr>
      <w:tr w:rsidR="007F258B" w14:paraId="50A9E940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50F74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Sandoval Rangel y Asociados S.C. 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 </w:t>
            </w:r>
            <w:proofErr w:type="spellStart"/>
            <w:r>
              <w:rPr>
                <w:color w:val="000000"/>
                <w:sz w:val="18"/>
                <w:szCs w:val="18"/>
              </w:rPr>
              <w:t>Fact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378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EAC70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  18,000</w:t>
            </w:r>
          </w:p>
        </w:tc>
      </w:tr>
      <w:tr w:rsidR="007F258B" w14:paraId="291E045E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62EAC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ISN 3% / Sec. de Finanzas del </w:t>
            </w:r>
            <w:proofErr w:type="spellStart"/>
            <w:r>
              <w:rPr>
                <w:color w:val="000000"/>
                <w:sz w:val="18"/>
                <w:szCs w:val="18"/>
              </w:rPr>
              <w:t>Gob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del Edo de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Tam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/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ISN Dic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92E9C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</w:pPr>
            <w:r>
              <w:rPr>
                <w:color w:val="000000"/>
                <w:sz w:val="18"/>
                <w:szCs w:val="18"/>
              </w:rPr>
              <w:t>83,716</w:t>
            </w:r>
          </w:p>
        </w:tc>
      </w:tr>
      <w:tr w:rsidR="007F258B" w14:paraId="51A14C0A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A60FD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Otras cuentas por pagar a Corto Plazo                                                                             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7B7C1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4A4C7E60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F0F2C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5E844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$107,963</w:t>
            </w:r>
          </w:p>
        </w:tc>
      </w:tr>
    </w:tbl>
    <w:p w14:paraId="73990482" w14:textId="77777777" w:rsidR="007F258B" w:rsidRDefault="007F258B">
      <w:pPr>
        <w:pStyle w:val="Prrafodelista"/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  <w:rPr>
          <w:sz w:val="18"/>
          <w:szCs w:val="18"/>
        </w:rPr>
      </w:pPr>
    </w:p>
    <w:p w14:paraId="504EF50C" w14:textId="77777777" w:rsidR="007F258B" w:rsidRDefault="007F258B">
      <w:pPr>
        <w:pStyle w:val="Prrafodelista"/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134"/>
        <w:jc w:val="both"/>
        <w:textAlignment w:val="auto"/>
      </w:pPr>
    </w:p>
    <w:p w14:paraId="001BB716" w14:textId="77777777" w:rsidR="007F258B" w:rsidRDefault="00000000">
      <w:pPr>
        <w:pStyle w:val="Prrafodelista"/>
        <w:numPr>
          <w:ilvl w:val="0"/>
          <w:numId w:val="13"/>
        </w:numPr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2410" w:hanging="1559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Retenciones y Contribuciones por pagar a Corto Plazo                                                   $426,650</w:t>
      </w:r>
    </w:p>
    <w:p w14:paraId="424B85C8" w14:textId="77777777" w:rsidR="007F258B" w:rsidRDefault="00000000">
      <w:pPr>
        <w:tabs>
          <w:tab w:val="left" w:pos="1276"/>
          <w:tab w:val="left" w:pos="8222"/>
          <w:tab w:val="left" w:pos="8505"/>
        </w:tabs>
        <w:jc w:val="both"/>
      </w:pPr>
      <w:r>
        <w:tab/>
        <w:t>La cuenta Retenciones y Contribuciones por pagar se integra de la siguiente manera:</w:t>
      </w:r>
    </w:p>
    <w:p w14:paraId="66582BBD" w14:textId="77777777" w:rsidR="007F258B" w:rsidRDefault="007F258B">
      <w:pPr>
        <w:jc w:val="both"/>
      </w:pPr>
    </w:p>
    <w:p w14:paraId="5F92D0F8" w14:textId="77777777" w:rsidR="007F258B" w:rsidRDefault="007F258B">
      <w:pPr>
        <w:jc w:val="both"/>
      </w:pPr>
    </w:p>
    <w:tbl>
      <w:tblPr>
        <w:tblW w:w="59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1276"/>
      </w:tblGrid>
      <w:tr w:rsidR="007F258B" w14:paraId="0E4A13E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795BC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80665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color w:val="FFFFFF"/>
              </w:rPr>
            </w:pPr>
            <w:r>
              <w:rPr>
                <w:rFonts w:eastAsia="Times New Roman" w:cs="Calibri"/>
                <w:color w:val="FFFFFF"/>
              </w:rPr>
              <w:t xml:space="preserve"> Importe  </w:t>
            </w:r>
          </w:p>
        </w:tc>
      </w:tr>
      <w:tr w:rsidR="007F258B" w14:paraId="18EBB30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A5C22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>Impuesto sobre nóminas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D6EAD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                0</w:t>
            </w:r>
          </w:p>
        </w:tc>
      </w:tr>
      <w:tr w:rsidR="007F258B" w14:paraId="19CD00E2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FAE4B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Retenciones de I.S.R. sobre Sueldos y Salarios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472B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</w:pPr>
            <w:r>
              <w:rPr>
                <w:color w:val="000000"/>
                <w:sz w:val="18"/>
                <w:szCs w:val="18"/>
              </w:rPr>
              <w:t>397,880</w:t>
            </w:r>
          </w:p>
        </w:tc>
      </w:tr>
      <w:tr w:rsidR="007F258B" w14:paraId="6622A182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7A3C8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>Retenciones de I.S.R. por Servicios Profesionales Independientes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32D04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           28,608</w:t>
            </w:r>
          </w:p>
        </w:tc>
      </w:tr>
      <w:tr w:rsidR="007F258B" w14:paraId="1282659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AD4C4" w14:textId="77777777" w:rsidR="007F258B" w:rsidRDefault="00000000">
            <w:pPr>
              <w:widowControl/>
              <w:suppressAutoHyphens w:val="0"/>
              <w:spacing w:after="100" w:line="160" w:lineRule="exact"/>
              <w:textAlignment w:val="auto"/>
            </w:pPr>
            <w:r>
              <w:rPr>
                <w:color w:val="000000"/>
                <w:sz w:val="18"/>
                <w:szCs w:val="18"/>
              </w:rPr>
              <w:t>Impuesto retenido a RESICO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13A32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162 </w:t>
            </w:r>
          </w:p>
        </w:tc>
      </w:tr>
      <w:tr w:rsidR="007F258B" w14:paraId="3DC699A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FE1AB" w14:textId="77777777" w:rsidR="007F258B" w:rsidRDefault="00000000">
            <w:pPr>
              <w:widowControl/>
              <w:suppressAutoHyphens w:val="0"/>
              <w:spacing w:after="100" w:line="160" w:lineRule="exact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11D1C" w14:textId="77777777" w:rsidR="007F258B" w:rsidRDefault="00000000">
            <w:pPr>
              <w:widowControl/>
              <w:suppressAutoHyphens w:val="0"/>
              <w:spacing w:after="100" w:line="160" w:lineRule="exact"/>
              <w:jc w:val="right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$426,650</w:t>
            </w:r>
          </w:p>
        </w:tc>
      </w:tr>
    </w:tbl>
    <w:p w14:paraId="07019DBF" w14:textId="77777777" w:rsidR="007F258B" w:rsidRDefault="007F258B">
      <w:pPr>
        <w:jc w:val="both"/>
      </w:pPr>
    </w:p>
    <w:p w14:paraId="640D6873" w14:textId="77777777" w:rsidR="007F258B" w:rsidRDefault="007F258B">
      <w:pPr>
        <w:tabs>
          <w:tab w:val="left" w:pos="7938"/>
          <w:tab w:val="left" w:pos="8222"/>
          <w:tab w:val="left" w:pos="8364"/>
        </w:tabs>
        <w:jc w:val="both"/>
        <w:rPr>
          <w:b/>
        </w:rPr>
      </w:pPr>
    </w:p>
    <w:p w14:paraId="716CE93A" w14:textId="77777777" w:rsidR="007F258B" w:rsidRDefault="00000000">
      <w:pPr>
        <w:pStyle w:val="Prrafodelista"/>
        <w:numPr>
          <w:ilvl w:val="0"/>
          <w:numId w:val="14"/>
        </w:numPr>
        <w:tabs>
          <w:tab w:val="left" w:pos="1276"/>
          <w:tab w:val="left" w:pos="8222"/>
          <w:tab w:val="left" w:pos="8505"/>
        </w:tabs>
        <w:suppressAutoHyphens w:val="0"/>
        <w:spacing w:after="0" w:line="240" w:lineRule="auto"/>
        <w:ind w:left="127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Otras cuentas por pagar a Corto Plazo                                                                                  $       0</w:t>
      </w:r>
    </w:p>
    <w:p w14:paraId="7A3C5406" w14:textId="77777777" w:rsidR="007F258B" w:rsidRDefault="00000000">
      <w:pPr>
        <w:tabs>
          <w:tab w:val="left" w:pos="1276"/>
          <w:tab w:val="left" w:pos="8222"/>
          <w:tab w:val="left" w:pos="8505"/>
        </w:tabs>
        <w:ind w:left="1276"/>
        <w:jc w:val="both"/>
      </w:pPr>
      <w:r>
        <w:t xml:space="preserve">El saldo de la cuenta Otras cuentas por pagar a corto plazo al 31 de diciembre de 2024, se integra </w:t>
      </w:r>
    </w:p>
    <w:p w14:paraId="7770510E" w14:textId="77777777" w:rsidR="007F258B" w:rsidRDefault="00000000">
      <w:pPr>
        <w:tabs>
          <w:tab w:val="left" w:pos="1276"/>
          <w:tab w:val="left" w:pos="8222"/>
          <w:tab w:val="left" w:pos="8505"/>
        </w:tabs>
        <w:ind w:left="1276"/>
        <w:jc w:val="both"/>
      </w:pPr>
      <w:r>
        <w:t>con el saldo a cargo de Daniel Josías Sandoval Sánchez.</w:t>
      </w:r>
    </w:p>
    <w:p w14:paraId="2AE26F10" w14:textId="77777777" w:rsidR="007F258B" w:rsidRDefault="007F258B">
      <w:pPr>
        <w:tabs>
          <w:tab w:val="left" w:pos="7938"/>
          <w:tab w:val="left" w:pos="8222"/>
          <w:tab w:val="left" w:pos="8364"/>
        </w:tabs>
        <w:jc w:val="both"/>
        <w:rPr>
          <w:b/>
        </w:rPr>
      </w:pPr>
    </w:p>
    <w:p w14:paraId="4BCB7EB8" w14:textId="77777777" w:rsidR="007F258B" w:rsidRDefault="007F258B">
      <w:pPr>
        <w:tabs>
          <w:tab w:val="left" w:pos="7938"/>
          <w:tab w:val="left" w:pos="8222"/>
          <w:tab w:val="left" w:pos="8364"/>
        </w:tabs>
        <w:jc w:val="both"/>
        <w:rPr>
          <w:b/>
        </w:rPr>
      </w:pPr>
    </w:p>
    <w:p w14:paraId="58C944BD" w14:textId="77777777" w:rsidR="007F258B" w:rsidRDefault="007F258B">
      <w:pPr>
        <w:tabs>
          <w:tab w:val="left" w:pos="7938"/>
          <w:tab w:val="left" w:pos="8222"/>
          <w:tab w:val="left" w:pos="8364"/>
        </w:tabs>
        <w:jc w:val="both"/>
        <w:rPr>
          <w:b/>
        </w:rPr>
      </w:pPr>
    </w:p>
    <w:p w14:paraId="3C5EF614" w14:textId="77777777" w:rsidR="007F258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Fondos y Bienes de Terceros en Garantía y/o Administración a Corto y Largo Plazo.   </w:t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  <w:t>No aplica</w:t>
      </w:r>
    </w:p>
    <w:p w14:paraId="22133AEE" w14:textId="77777777" w:rsidR="007F258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  <w:t>No aplica</w:t>
      </w:r>
    </w:p>
    <w:p w14:paraId="56C871E2" w14:textId="77777777" w:rsidR="007F258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  <w:t>No aplica</w:t>
      </w:r>
    </w:p>
    <w:p w14:paraId="62C5D87F" w14:textId="77777777" w:rsidR="007F258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Otros Pasivos a corto y largo plazo que impacten en la información financiera.</w:t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ab/>
        <w:t>No aplica</w:t>
      </w:r>
    </w:p>
    <w:p w14:paraId="5B0F6178" w14:textId="77777777" w:rsidR="007F258B" w:rsidRDefault="007F258B">
      <w:pPr>
        <w:tabs>
          <w:tab w:val="left" w:pos="7938"/>
          <w:tab w:val="left" w:pos="8222"/>
          <w:tab w:val="left" w:pos="8364"/>
        </w:tabs>
        <w:jc w:val="both"/>
        <w:rPr>
          <w:b/>
        </w:rPr>
      </w:pPr>
    </w:p>
    <w:p w14:paraId="781B108E" w14:textId="77777777" w:rsidR="007F258B" w:rsidRDefault="007F258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4157213B" w14:textId="77777777" w:rsidR="007F258B" w:rsidRDefault="007F258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46A2A1D6" w14:textId="77777777" w:rsidR="007F258B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68275A91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8CA65FC" w14:textId="77777777" w:rsidR="007F258B" w:rsidRDefault="00000000">
      <w:pPr>
        <w:pStyle w:val="INCISO"/>
        <w:spacing w:after="0" w:line="240" w:lineRule="exact"/>
        <w:ind w:left="360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principal variación al 31 de diciembre de 2024 reflejada en el Estado de Variaciones al Patrimonio es de $1´488,600. Dicha variación se integra como sigue:</w:t>
      </w:r>
    </w:p>
    <w:p w14:paraId="17B75150" w14:textId="77777777" w:rsidR="007F258B" w:rsidRDefault="007F258B">
      <w:pPr>
        <w:pStyle w:val="INCISO"/>
        <w:spacing w:after="0" w:line="240" w:lineRule="exact"/>
        <w:ind w:left="360" w:firstLine="0"/>
        <w:rPr>
          <w:rFonts w:ascii="Calibri" w:hAnsi="Calibri" w:cs="DIN Pro Regular"/>
          <w:sz w:val="20"/>
          <w:szCs w:val="20"/>
          <w:lang w:val="es-MX"/>
        </w:rPr>
      </w:pPr>
    </w:p>
    <w:p w14:paraId="6EB71897" w14:textId="77777777" w:rsidR="007F258B" w:rsidRDefault="00000000">
      <w:pPr>
        <w:pStyle w:val="INCISO"/>
        <w:spacing w:after="0" w:line="240" w:lineRule="exact"/>
        <w:ind w:left="360" w:firstLine="0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(</w:t>
      </w:r>
      <w:proofErr w:type="spellStart"/>
      <w:proofErr w:type="gramStart"/>
      <w:r>
        <w:rPr>
          <w:rFonts w:ascii="Calibri" w:hAnsi="Calibri" w:cs="DIN Pro Regular"/>
          <w:b/>
          <w:bCs/>
          <w:sz w:val="20"/>
          <w:szCs w:val="20"/>
          <w:lang w:val="es-MX"/>
        </w:rPr>
        <w:t>Aum</w:t>
      </w:r>
      <w:proofErr w:type="spellEnd"/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)</w:t>
      </w:r>
      <w:proofErr w:type="gramEnd"/>
      <w:r>
        <w:rPr>
          <w:rFonts w:ascii="Calibri" w:hAnsi="Calibri" w:cs="DIN Pro Regular"/>
          <w:sz w:val="20"/>
          <w:szCs w:val="20"/>
          <w:lang w:val="es-MX"/>
        </w:rPr>
        <w:tab/>
        <w:t>$1´564,229</w:t>
      </w:r>
      <w:r>
        <w:rPr>
          <w:rFonts w:ascii="Calibri" w:hAnsi="Calibri" w:cs="DIN Pro Regular"/>
          <w:sz w:val="20"/>
          <w:szCs w:val="20"/>
          <w:lang w:val="es-MX"/>
        </w:rPr>
        <w:tab/>
        <w:t>Resultado del periodo</w:t>
      </w:r>
    </w:p>
    <w:p w14:paraId="01375158" w14:textId="77777777" w:rsidR="007F258B" w:rsidRDefault="00000000">
      <w:pPr>
        <w:pStyle w:val="INCISO"/>
        <w:spacing w:after="0" w:line="240" w:lineRule="exact"/>
        <w:ind w:left="360" w:firstLine="0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(</w:t>
      </w:r>
      <w:proofErr w:type="spellStart"/>
      <w:r>
        <w:rPr>
          <w:rFonts w:ascii="Calibri" w:hAnsi="Calibri" w:cs="DIN Pro Regular"/>
          <w:b/>
          <w:bCs/>
          <w:sz w:val="20"/>
          <w:szCs w:val="20"/>
          <w:lang w:val="es-MX"/>
        </w:rPr>
        <w:t>Dism</w:t>
      </w:r>
      <w:proofErr w:type="spellEnd"/>
      <w:r>
        <w:rPr>
          <w:rFonts w:ascii="Calibri" w:hAnsi="Calibri" w:cs="DIN Pro Regular"/>
          <w:b/>
          <w:bCs/>
          <w:sz w:val="20"/>
          <w:szCs w:val="20"/>
          <w:lang w:val="es-MX"/>
        </w:rPr>
        <w:t>)</w:t>
      </w:r>
      <w:r>
        <w:rPr>
          <w:rFonts w:ascii="Calibri" w:hAnsi="Calibri" w:cs="DIN Pro Regular"/>
          <w:sz w:val="20"/>
          <w:szCs w:val="20"/>
          <w:lang w:val="es-MX"/>
        </w:rPr>
        <w:tab/>
        <w:t>$      75,729</w:t>
      </w:r>
      <w:r>
        <w:rPr>
          <w:rFonts w:ascii="Calibri" w:hAnsi="Calibri" w:cs="DIN Pro Regular"/>
          <w:sz w:val="20"/>
          <w:szCs w:val="20"/>
          <w:lang w:val="es-MX"/>
        </w:rPr>
        <w:tab/>
      </w:r>
      <w:r>
        <w:rPr>
          <w:rFonts w:ascii="Calibri" w:hAnsi="Calibri"/>
          <w:sz w:val="20"/>
          <w:szCs w:val="20"/>
          <w:lang w:val="es-MX"/>
        </w:rPr>
        <w:t xml:space="preserve">Reintegros a Sec. de Finanzas, remanentes de </w:t>
      </w:r>
      <w:proofErr w:type="spellStart"/>
      <w:r>
        <w:rPr>
          <w:rFonts w:ascii="Calibri" w:hAnsi="Calibri"/>
          <w:sz w:val="20"/>
          <w:szCs w:val="20"/>
          <w:lang w:val="es-MX"/>
        </w:rPr>
        <w:t>ctas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. bancarias de 2023      </w:t>
      </w:r>
    </w:p>
    <w:p w14:paraId="42385371" w14:textId="77777777" w:rsidR="007F258B" w:rsidRDefault="00000000">
      <w:pPr>
        <w:pStyle w:val="INCISO"/>
        <w:spacing w:after="0" w:line="240" w:lineRule="exact"/>
        <w:ind w:left="360" w:firstLine="0"/>
      </w:pPr>
      <w:r>
        <w:rPr>
          <w:rFonts w:ascii="Calibri" w:hAnsi="Calibri"/>
          <w:b/>
          <w:bCs/>
          <w:sz w:val="20"/>
          <w:szCs w:val="20"/>
          <w:lang w:val="es-MX"/>
        </w:rPr>
        <w:t>(</w:t>
      </w:r>
      <w:proofErr w:type="spellStart"/>
      <w:proofErr w:type="gramStart"/>
      <w:r>
        <w:rPr>
          <w:rFonts w:ascii="Calibri" w:hAnsi="Calibri"/>
          <w:b/>
          <w:bCs/>
          <w:sz w:val="20"/>
          <w:szCs w:val="20"/>
          <w:lang w:val="es-MX"/>
        </w:rPr>
        <w:t>Aum</w:t>
      </w:r>
      <w:proofErr w:type="spellEnd"/>
      <w:r>
        <w:rPr>
          <w:rFonts w:ascii="Calibri" w:hAnsi="Calibri"/>
          <w:b/>
          <w:bCs/>
          <w:sz w:val="20"/>
          <w:szCs w:val="20"/>
          <w:lang w:val="es-MX"/>
        </w:rPr>
        <w:t xml:space="preserve">  )</w:t>
      </w:r>
      <w:proofErr w:type="gramEnd"/>
      <w:r>
        <w:rPr>
          <w:rFonts w:ascii="Calibri" w:hAnsi="Calibri"/>
          <w:sz w:val="20"/>
          <w:szCs w:val="20"/>
          <w:lang w:val="es-MX"/>
        </w:rPr>
        <w:tab/>
        <w:t>$            100</w:t>
      </w:r>
      <w:r>
        <w:rPr>
          <w:rFonts w:ascii="Calibri" w:hAnsi="Calibri"/>
          <w:sz w:val="20"/>
          <w:szCs w:val="20"/>
          <w:lang w:val="es-MX"/>
        </w:rPr>
        <w:tab/>
      </w:r>
      <w:r>
        <w:rPr>
          <w:rFonts w:ascii="Calibri" w:hAnsi="Calibri"/>
          <w:iCs/>
          <w:sz w:val="20"/>
          <w:szCs w:val="20"/>
          <w:lang w:val="es-MX"/>
        </w:rPr>
        <w:t>Reintegro a la Comisión, de Viáticos del 2023 por observación del O.I.C</w:t>
      </w:r>
    </w:p>
    <w:p w14:paraId="05E5F1EB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17E7778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BBA3226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122C9CD" w14:textId="77777777" w:rsidR="007F258B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6EA489D2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39484104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23F2F685" w14:textId="77777777" w:rsidR="007F258B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3AE80B68" w14:textId="77777777" w:rsidR="007F258B" w:rsidRDefault="00000000">
      <w:pPr>
        <w:pStyle w:val="ROMANOS"/>
        <w:numPr>
          <w:ilvl w:val="0"/>
          <w:numId w:val="3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730A6C5F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0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1276"/>
        <w:gridCol w:w="1276"/>
      </w:tblGrid>
      <w:tr w:rsidR="007F258B" w14:paraId="02E43A5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5F50" w14:textId="77777777" w:rsidR="007F258B" w:rsidRDefault="007F258B">
            <w:pPr>
              <w:pStyle w:val="Standard"/>
              <w:widowControl w:val="0"/>
              <w:spacing w:after="0" w:line="160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61FF" w14:textId="77777777" w:rsidR="007F258B" w:rsidRDefault="00000000">
            <w:pPr>
              <w:pStyle w:val="Standard"/>
              <w:widowControl w:val="0"/>
              <w:spacing w:after="0" w:line="160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6B2" w14:textId="77777777" w:rsidR="007F258B" w:rsidRDefault="00000000">
            <w:pPr>
              <w:pStyle w:val="Standard"/>
              <w:widowControl w:val="0"/>
              <w:spacing w:after="0" w:line="160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7F258B" w14:paraId="42C5901F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B50E" w14:textId="77777777" w:rsidR="007F258B" w:rsidRDefault="00000000">
            <w:pPr>
              <w:pStyle w:val="Standard"/>
              <w:widowControl w:val="0"/>
              <w:spacing w:after="0" w:line="160" w:lineRule="exact"/>
              <w:jc w:val="both"/>
              <w:rPr>
                <w:rFonts w:cs="DIN Pro Regular"/>
                <w:sz w:val="18"/>
                <w:szCs w:val="18"/>
              </w:rPr>
            </w:pPr>
            <w:r>
              <w:rPr>
                <w:rFonts w:cs="DIN Pro Regular"/>
                <w:sz w:val="18"/>
                <w:szCs w:val="18"/>
              </w:rPr>
              <w:t>Efectivo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9116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CFE6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</w:tr>
      <w:tr w:rsidR="007F258B" w14:paraId="1EA7894E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C416" w14:textId="77777777" w:rsidR="007F258B" w:rsidRDefault="00000000">
            <w:pPr>
              <w:pStyle w:val="Standard"/>
              <w:widowControl w:val="0"/>
              <w:spacing w:after="0" w:line="160" w:lineRule="exact"/>
              <w:jc w:val="both"/>
              <w:rPr>
                <w:rFonts w:cs="DIN Pro Regular"/>
                <w:sz w:val="18"/>
                <w:szCs w:val="18"/>
              </w:rPr>
            </w:pPr>
            <w:r>
              <w:rPr>
                <w:rFonts w:cs="DIN Pro Regular"/>
                <w:sz w:val="18"/>
                <w:szCs w:val="18"/>
              </w:rPr>
              <w:t>Bancos/Tesorería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D21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3´721,838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8C5C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3,675,361</w:t>
            </w:r>
          </w:p>
        </w:tc>
      </w:tr>
      <w:tr w:rsidR="007F258B" w14:paraId="5557E4D7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2DAF" w14:textId="77777777" w:rsidR="007F258B" w:rsidRDefault="00000000">
            <w:pPr>
              <w:pStyle w:val="Standard"/>
              <w:widowControl w:val="0"/>
              <w:spacing w:after="0" w:line="160" w:lineRule="exact"/>
              <w:jc w:val="both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Inversiones Temporales (hasta 3 meses)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5CD5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0B15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</w:tr>
      <w:tr w:rsidR="007F258B" w14:paraId="24AD9E79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FF7F" w14:textId="77777777" w:rsidR="007F258B" w:rsidRDefault="00000000">
            <w:pPr>
              <w:pStyle w:val="Standard"/>
              <w:widowControl w:val="0"/>
              <w:spacing w:after="0" w:line="160" w:lineRule="exact"/>
              <w:jc w:val="both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7A7D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CE99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</w:tr>
      <w:tr w:rsidR="007F258B" w14:paraId="4CB40F09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4819" w14:textId="77777777" w:rsidR="007F258B" w:rsidRDefault="00000000">
            <w:pPr>
              <w:pStyle w:val="Standard"/>
              <w:widowControl w:val="0"/>
              <w:spacing w:after="0" w:line="160" w:lineRule="exact"/>
              <w:jc w:val="both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Depósitos de Fondos de Terceros en Garantía y/o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AD23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18D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</w:tr>
      <w:tr w:rsidR="007F258B" w14:paraId="1FAE7685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AAAE" w14:textId="77777777" w:rsidR="007F258B" w:rsidRDefault="00000000">
            <w:pPr>
              <w:pStyle w:val="Standard"/>
              <w:widowControl w:val="0"/>
              <w:spacing w:after="0" w:line="160" w:lineRule="exact"/>
              <w:jc w:val="both"/>
            </w:pPr>
            <w:r>
              <w:rPr>
                <w:rFonts w:cs="DIN Pro Regular"/>
                <w:sz w:val="18"/>
                <w:szCs w:val="18"/>
              </w:rPr>
              <w:t>Otros Efectivos y Equivalentes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A9F4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E031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</w:pPr>
            <w:r>
              <w:rPr>
                <w:rFonts w:eastAsia="Times New Roman" w:cs="DIN Pro Regular"/>
                <w:sz w:val="18"/>
                <w:szCs w:val="18"/>
                <w:lang w:eastAsia="es-ES"/>
              </w:rPr>
              <w:t>0</w:t>
            </w:r>
          </w:p>
        </w:tc>
      </w:tr>
      <w:tr w:rsidR="007F258B" w14:paraId="4181BD01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8112" w14:textId="77777777" w:rsidR="007F258B" w:rsidRDefault="00000000">
            <w:pPr>
              <w:pStyle w:val="Standard"/>
              <w:widowControl w:val="0"/>
              <w:spacing w:after="0" w:line="160" w:lineRule="exact"/>
              <w:jc w:val="both"/>
              <w:rPr>
                <w:rFonts w:eastAsia="Times New Roman" w:cs="DIN Pro Regular"/>
                <w:b/>
                <w:sz w:val="18"/>
                <w:szCs w:val="18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18"/>
                <w:szCs w:val="18"/>
                <w:lang w:eastAsia="es-ES"/>
              </w:rPr>
              <w:t xml:space="preserve"> de Efectivo y Equivalentes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3E39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b/>
                <w:bCs/>
                <w:sz w:val="18"/>
                <w:szCs w:val="18"/>
                <w:lang w:eastAsia="es-ES"/>
              </w:rPr>
              <w:t>$3´721,838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CA67" w14:textId="77777777" w:rsidR="007F258B" w:rsidRDefault="00000000">
            <w:pPr>
              <w:pStyle w:val="Standard"/>
              <w:widowControl w:val="0"/>
              <w:spacing w:after="0" w:line="160" w:lineRule="exact"/>
              <w:jc w:val="right"/>
              <w:rPr>
                <w:rFonts w:eastAsia="Times New Roman" w:cs="DIN Pro Regular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DIN Pro Regular"/>
                <w:b/>
                <w:bCs/>
                <w:sz w:val="18"/>
                <w:szCs w:val="18"/>
                <w:lang w:eastAsia="es-ES"/>
              </w:rPr>
              <w:t>$3,675,361</w:t>
            </w:r>
          </w:p>
        </w:tc>
      </w:tr>
    </w:tbl>
    <w:p w14:paraId="293CB9FD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9B7E499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EC97236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12F5709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02AD0CF" w14:textId="77777777" w:rsidR="007F258B" w:rsidRDefault="00000000">
      <w:pPr>
        <w:pStyle w:val="ROMANOS"/>
        <w:spacing w:after="0" w:line="240" w:lineRule="exact"/>
      </w:pPr>
      <w:r>
        <w:rPr>
          <w:rFonts w:ascii="Calibri" w:hAnsi="Calibri" w:cs="DIN Pro Regular"/>
          <w:b/>
          <w:sz w:val="20"/>
          <w:szCs w:val="20"/>
          <w:lang w:val="es-MX"/>
        </w:rPr>
        <w:t>2</w:t>
      </w:r>
      <w:r>
        <w:rPr>
          <w:rFonts w:ascii="Calibri" w:hAnsi="Calibri" w:cs="DIN Pro Regular"/>
          <w:b/>
          <w:sz w:val="20"/>
          <w:szCs w:val="20"/>
          <w:lang w:val="es-MX"/>
        </w:rPr>
        <w:tab/>
      </w:r>
      <w:r>
        <w:rPr>
          <w:rFonts w:ascii="Calibri" w:hAnsi="Calibri" w:cs="DIN Pro Regular"/>
          <w:sz w:val="20"/>
          <w:szCs w:val="20"/>
          <w:lang w:val="es-MX"/>
        </w:rPr>
        <w:t xml:space="preserve"> </w:t>
      </w:r>
      <w:proofErr w:type="gramStart"/>
      <w:r>
        <w:rPr>
          <w:rFonts w:ascii="Calibri" w:hAnsi="Calibri" w:cs="DIN Pro Regular"/>
          <w:sz w:val="20"/>
          <w:szCs w:val="20"/>
          <w:lang w:val="es-MX"/>
        </w:rPr>
        <w:t>Adquisiciones</w:t>
      </w:r>
      <w:proofErr w:type="gramEnd"/>
      <w:r>
        <w:rPr>
          <w:rFonts w:ascii="Calibri" w:hAnsi="Calibri" w:cs="DIN Pro Regular"/>
          <w:sz w:val="20"/>
          <w:szCs w:val="20"/>
          <w:lang w:val="es-MX"/>
        </w:rPr>
        <w:t xml:space="preserve"> de bienes muebles e inmuebles por un importe total de $2,334,992 pagado con</w:t>
      </w:r>
    </w:p>
    <w:p w14:paraId="25995531" w14:textId="77777777" w:rsidR="007F258B" w:rsidRDefault="00000000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Recurso Estatal, dentro del cual $697,283 fue con Ingreso Propio de la Comisión. </w:t>
      </w:r>
    </w:p>
    <w:p w14:paraId="0665F0ED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5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3"/>
        <w:gridCol w:w="1134"/>
        <w:gridCol w:w="1276"/>
      </w:tblGrid>
      <w:tr w:rsidR="007F258B" w14:paraId="4AEEEEB1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6973" w14:textId="77777777" w:rsidR="007F258B" w:rsidRDefault="00000000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20D6" w14:textId="77777777" w:rsidR="007F258B" w:rsidRDefault="007F258B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BD8E" w14:textId="77777777" w:rsidR="007F258B" w:rsidRDefault="007F258B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7F258B" w14:paraId="283CEB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CAC0" w14:textId="77777777" w:rsidR="007F258B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0869" w14:textId="77777777" w:rsidR="007F258B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63C1" w14:textId="77777777" w:rsidR="007F258B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7F258B" w14:paraId="769B2E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BE00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EA8F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A49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7F258B" w14:paraId="401F54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5FCC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DC12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528B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6E5AA7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CB41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2719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C38C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305B57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BB8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32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0186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50F770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2998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9306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08C0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52B72A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4F9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54C7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4BB5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19EFAA0E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A955" w14:textId="77777777" w:rsidR="007F258B" w:rsidRDefault="00000000">
            <w:pPr>
              <w:pStyle w:val="Standard"/>
              <w:widowControl w:val="0"/>
              <w:spacing w:after="0" w:line="200" w:lineRule="exac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06E2" w14:textId="77777777" w:rsidR="007F258B" w:rsidRDefault="00000000">
            <w:pPr>
              <w:pStyle w:val="Standard"/>
              <w:widowControl w:val="0"/>
              <w:spacing w:after="0" w:line="200" w:lineRule="exact"/>
              <w:jc w:val="right"/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E03E" w14:textId="77777777" w:rsidR="007F258B" w:rsidRDefault="00000000">
            <w:pPr>
              <w:pStyle w:val="Standard"/>
              <w:widowControl w:val="0"/>
              <w:spacing w:after="0" w:line="200" w:lineRule="exact"/>
              <w:jc w:val="right"/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29E094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948F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F1A3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E331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115759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EFC8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98D6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00AA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7F258B" w14:paraId="66BF87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BCD0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5706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4463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661,297</w:t>
            </w:r>
          </w:p>
        </w:tc>
      </w:tr>
      <w:tr w:rsidR="007F258B" w14:paraId="0E2DF6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C9D1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4D76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99,567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8F57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125486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4D17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310B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23A1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169180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F08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9C42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2,220,600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6E77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964,900</w:t>
            </w:r>
          </w:p>
        </w:tc>
      </w:tr>
      <w:tr w:rsidR="007F258B" w14:paraId="65EC9B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9431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0141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F235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3B739D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B73B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3BC9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5055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5B089B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A2F0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C33B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7371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0E599D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3C3A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7C9A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D96B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0768E4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5FEE" w14:textId="77777777" w:rsidR="007F258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E3F0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14,825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23B0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7F258B" w14:paraId="72FC05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A866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2966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$2,334,992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E773" w14:textId="77777777" w:rsidR="007F258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$ 1´626,197</w:t>
            </w:r>
          </w:p>
        </w:tc>
      </w:tr>
    </w:tbl>
    <w:p w14:paraId="4979B604" w14:textId="77777777" w:rsidR="007F258B" w:rsidRDefault="007F258B">
      <w:pPr>
        <w:pStyle w:val="ROMANOS"/>
        <w:spacing w:after="0" w:line="240" w:lineRule="exact"/>
        <w:ind w:left="1140"/>
      </w:pPr>
    </w:p>
    <w:p w14:paraId="5D48A346" w14:textId="77777777" w:rsidR="007F258B" w:rsidRDefault="007F258B">
      <w:pPr>
        <w:pStyle w:val="ROMANOS"/>
        <w:spacing w:after="0" w:line="240" w:lineRule="exact"/>
        <w:ind w:left="1140"/>
      </w:pPr>
    </w:p>
    <w:p w14:paraId="46AC9CE1" w14:textId="77777777" w:rsidR="007F258B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670B4585" w14:textId="77777777" w:rsidR="007F258B" w:rsidRDefault="007F258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9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1253"/>
        <w:gridCol w:w="1134"/>
      </w:tblGrid>
      <w:tr w:rsidR="007F258B" w14:paraId="61614D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DABB" w14:textId="77777777" w:rsidR="007F258B" w:rsidRDefault="007F258B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027E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44FC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7F258B" w14:paraId="22FF64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5B1A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DC12" w14:textId="77777777" w:rsidR="007F258B" w:rsidRDefault="00000000">
            <w:pPr>
              <w:jc w:val="right"/>
            </w:pPr>
            <w:r>
              <w:t>1´564,229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8078" w14:textId="77777777" w:rsidR="007F258B" w:rsidRDefault="00000000">
            <w:pPr>
              <w:jc w:val="right"/>
            </w:pPr>
            <w:r>
              <w:t>2´990,021</w:t>
            </w:r>
          </w:p>
        </w:tc>
      </w:tr>
      <w:tr w:rsidR="007F258B" w14:paraId="1796DC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5A3A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Rectificación de resultado de ejercicios anteriores. Reintegro a Finanzas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3364" w14:textId="77777777" w:rsidR="007F258B" w:rsidRDefault="00000000">
            <w:pPr>
              <w:jc w:val="right"/>
            </w:pPr>
            <w:r>
              <w:t>-75,629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78BE" w14:textId="77777777" w:rsidR="007F258B" w:rsidRDefault="00000000">
            <w:pPr>
              <w:jc w:val="right"/>
            </w:pPr>
            <w:r>
              <w:t>-885,288</w:t>
            </w:r>
          </w:p>
        </w:tc>
      </w:tr>
      <w:tr w:rsidR="007F258B" w14:paraId="3869F7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AA67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F00E" w14:textId="77777777" w:rsidR="007F258B" w:rsidRDefault="00000000">
            <w:pPr>
              <w:jc w:val="right"/>
            </w:pPr>
            <w:r>
              <w:t>738,409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4398" w14:textId="77777777" w:rsidR="007F258B" w:rsidRDefault="00000000">
            <w:pPr>
              <w:jc w:val="right"/>
            </w:pPr>
            <w:r>
              <w:t>282,660</w:t>
            </w:r>
          </w:p>
        </w:tc>
      </w:tr>
      <w:tr w:rsidR="007F258B" w14:paraId="075E49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4A49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AAA2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FA11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04EF59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44BC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B052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1353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68D8B193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2BDE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E4AD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9297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7EACD073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4505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AAE2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6050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43D1DD02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C17D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C00A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FB20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511E8D11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5C28" w14:textId="77777777" w:rsidR="007F258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60D7" w14:textId="77777777" w:rsidR="007F258B" w:rsidRDefault="00000000">
            <w:pPr>
              <w:jc w:val="right"/>
            </w:pPr>
            <w:r>
              <w:t>$ 2,227,009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110A" w14:textId="77777777" w:rsidR="007F258B" w:rsidRDefault="00000000">
            <w:pPr>
              <w:jc w:val="right"/>
            </w:pPr>
            <w:r>
              <w:t>2´387,393</w:t>
            </w:r>
          </w:p>
        </w:tc>
      </w:tr>
    </w:tbl>
    <w:p w14:paraId="1C169640" w14:textId="77777777" w:rsidR="007F258B" w:rsidRDefault="007F258B">
      <w:pPr>
        <w:rPr>
          <w:rFonts w:ascii="Arial" w:eastAsia="Times New Roman" w:hAnsi="Arial"/>
          <w:vanish/>
          <w:sz w:val="18"/>
          <w:lang w:val="es-ES" w:eastAsia="es-ES"/>
        </w:rPr>
      </w:pPr>
    </w:p>
    <w:p w14:paraId="298EDD42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68CAF5CE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4D44CEF4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63C44ECA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tbl>
      <w:tblPr>
        <w:tblW w:w="75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4774"/>
        <w:gridCol w:w="1984"/>
        <w:gridCol w:w="160"/>
      </w:tblGrid>
      <w:tr w:rsidR="007F258B" w14:paraId="7AB36CBA" w14:textId="7777777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36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F87A7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  <w:t>Comisión de Caza y Pesca Deportiva de Tamaulipas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3FD90" w14:textId="77777777" w:rsidR="007F258B" w:rsidRDefault="007F258B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F258B" w14:paraId="36C96180" w14:textId="77777777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736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F1F98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BE627" w14:textId="77777777" w:rsidR="007F258B" w:rsidRDefault="007F258B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</w:p>
        </w:tc>
      </w:tr>
      <w:tr w:rsidR="007F258B" w14:paraId="1A8FEA0F" w14:textId="77777777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736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44BD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 xml:space="preserve"> al 31 de Diciembre del 2024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FED50" w14:textId="77777777" w:rsidR="007F258B" w:rsidRDefault="007F258B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</w:p>
        </w:tc>
      </w:tr>
      <w:tr w:rsidR="007F258B" w14:paraId="5C8DF34B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73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30CAE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A30C6" w14:textId="77777777" w:rsidR="007F258B" w:rsidRDefault="007F258B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</w:p>
        </w:tc>
      </w:tr>
      <w:tr w:rsidR="007F258B" w14:paraId="08FC88A0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B7C81" w14:textId="77777777" w:rsidR="007F258B" w:rsidRDefault="007F258B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44F28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D99C1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745B" w14:textId="77777777" w:rsidR="007F258B" w:rsidRDefault="007F258B">
            <w:pPr>
              <w:pStyle w:val="Standard"/>
              <w:widowControl w:val="0"/>
            </w:pPr>
          </w:p>
        </w:tc>
      </w:tr>
      <w:tr w:rsidR="007F258B" w14:paraId="577FA0EA" w14:textId="77777777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21320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>1.- Ingresos Presupuestarios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4AAE2" w14:textId="77777777" w:rsidR="007F258B" w:rsidRDefault="00000000">
            <w:pPr>
              <w:jc w:val="right"/>
            </w:pPr>
            <w:r>
              <w:t>$ 34,858,599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C8E66" w14:textId="77777777" w:rsidR="007F258B" w:rsidRDefault="007F258B">
            <w:pPr>
              <w:jc w:val="right"/>
            </w:pPr>
          </w:p>
        </w:tc>
      </w:tr>
      <w:tr w:rsidR="007F258B" w14:paraId="7B34AAF2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D243F" w14:textId="77777777" w:rsidR="007F258B" w:rsidRDefault="007F258B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46CA9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97F30" w14:textId="77777777" w:rsidR="007F258B" w:rsidRDefault="007F258B">
            <w:pPr>
              <w:jc w:val="right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2E94" w14:textId="77777777" w:rsidR="007F258B" w:rsidRDefault="007F258B">
            <w:pPr>
              <w:jc w:val="right"/>
            </w:pPr>
          </w:p>
        </w:tc>
      </w:tr>
      <w:tr w:rsidR="007F258B" w14:paraId="73616640" w14:textId="77777777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EF52F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>2.- Más ingresos contables no presupuestarios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0DBE0" w14:textId="77777777" w:rsidR="007F258B" w:rsidRDefault="00000000">
            <w:pPr>
              <w:jc w:val="right"/>
            </w:pPr>
            <w:r>
              <w:t>284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FE502" w14:textId="77777777" w:rsidR="007F258B" w:rsidRDefault="007F258B">
            <w:pPr>
              <w:jc w:val="right"/>
            </w:pPr>
          </w:p>
        </w:tc>
      </w:tr>
      <w:tr w:rsidR="007F258B" w14:paraId="6380C633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8DFF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2</w:t>
            </w:r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>.</w:t>
            </w: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06D71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360FE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CBB0D" w14:textId="77777777" w:rsidR="007F258B" w:rsidRDefault="007F258B">
            <w:pPr>
              <w:jc w:val="right"/>
            </w:pPr>
          </w:p>
        </w:tc>
      </w:tr>
      <w:tr w:rsidR="007F258B" w14:paraId="39E635C6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0829E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FDD68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Incremento por Variación de Inventarios.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DE236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BD5D0" w14:textId="77777777" w:rsidR="007F258B" w:rsidRDefault="007F258B">
            <w:pPr>
              <w:jc w:val="right"/>
            </w:pPr>
          </w:p>
        </w:tc>
      </w:tr>
      <w:tr w:rsidR="007F258B" w14:paraId="609EC814" w14:textId="7777777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9C306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B8BB4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Disminución del Exceso de Estimaciones por Pérdidas o Deterioro u Obsolescencia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B6004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F5B4F" w14:textId="77777777" w:rsidR="007F258B" w:rsidRDefault="007F258B">
            <w:pPr>
              <w:jc w:val="right"/>
            </w:pPr>
          </w:p>
        </w:tc>
      </w:tr>
      <w:tr w:rsidR="007F258B" w14:paraId="62F3429D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E9423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5D9A2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Disminución del Exceso de Provisiones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AEA4C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B6CA0" w14:textId="77777777" w:rsidR="007F258B" w:rsidRDefault="007F258B">
            <w:pPr>
              <w:jc w:val="right"/>
            </w:pPr>
          </w:p>
        </w:tc>
      </w:tr>
      <w:tr w:rsidR="007F258B" w14:paraId="3DA6A4CC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F710E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0EEC4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4B664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5BDFE" w14:textId="77777777" w:rsidR="007F258B" w:rsidRDefault="007F258B">
            <w:pPr>
              <w:jc w:val="right"/>
            </w:pPr>
          </w:p>
        </w:tc>
      </w:tr>
      <w:tr w:rsidR="007F258B" w14:paraId="40E99F75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CF2B0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 xml:space="preserve">  2.6      Otros Ingresos Contables No Presupuestarios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715D7" w14:textId="77777777" w:rsidR="007F258B" w:rsidRDefault="00000000">
            <w:pPr>
              <w:jc w:val="right"/>
            </w:pPr>
            <w:r>
              <w:t>284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DB305" w14:textId="77777777" w:rsidR="007F258B" w:rsidRDefault="007F258B">
            <w:pPr>
              <w:jc w:val="right"/>
            </w:pPr>
          </w:p>
        </w:tc>
      </w:tr>
      <w:tr w:rsidR="007F258B" w14:paraId="5B6CE208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720C5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47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11A88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39BA3" w14:textId="77777777" w:rsidR="007F258B" w:rsidRDefault="007F258B">
            <w:pPr>
              <w:jc w:val="right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699F3" w14:textId="77777777" w:rsidR="007F258B" w:rsidRDefault="007F258B">
            <w:pPr>
              <w:jc w:val="right"/>
            </w:pPr>
          </w:p>
        </w:tc>
      </w:tr>
      <w:tr w:rsidR="007F258B" w14:paraId="2710BF1A" w14:textId="77777777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362D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MX"/>
              </w:rPr>
              <w:t>3.- Menos ingresos presupuestarios no contables.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3646B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03152" w14:textId="77777777" w:rsidR="007F258B" w:rsidRDefault="007F258B">
            <w:pPr>
              <w:jc w:val="right"/>
            </w:pPr>
          </w:p>
        </w:tc>
      </w:tr>
      <w:tr w:rsidR="007F258B" w14:paraId="772714C4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017A5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EE8D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A0B8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D724F" w14:textId="77777777" w:rsidR="007F258B" w:rsidRDefault="007F258B">
            <w:pPr>
              <w:jc w:val="right"/>
            </w:pPr>
          </w:p>
        </w:tc>
      </w:tr>
      <w:tr w:rsidR="007F258B" w14:paraId="34630F2C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49BC4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86BB9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9508E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421D8" w14:textId="77777777" w:rsidR="007F258B" w:rsidRDefault="007F258B">
            <w:pPr>
              <w:jc w:val="right"/>
            </w:pPr>
          </w:p>
        </w:tc>
      </w:tr>
      <w:tr w:rsidR="007F258B" w14:paraId="0FB94BEB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9CB32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4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5308E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sz w:val="20"/>
                <w:szCs w:val="20"/>
                <w:lang w:eastAsia="es-MX"/>
              </w:rPr>
              <w:t>Otros Ingresos Presupuestarios No Contables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486EF" w14:textId="77777777" w:rsidR="007F258B" w:rsidRDefault="00000000">
            <w:pPr>
              <w:jc w:val="right"/>
            </w:pPr>
            <w:r>
              <w:t>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96660" w14:textId="77777777" w:rsidR="007F258B" w:rsidRDefault="007F258B">
            <w:pPr>
              <w:jc w:val="right"/>
            </w:pPr>
          </w:p>
        </w:tc>
      </w:tr>
      <w:tr w:rsidR="007F258B" w14:paraId="48176501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37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1E15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8EFCF" w14:textId="77777777" w:rsidR="007F258B" w:rsidRDefault="007F258B">
            <w:pPr>
              <w:jc w:val="right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4AC6B" w14:textId="77777777" w:rsidR="007F258B" w:rsidRDefault="007F258B">
            <w:pPr>
              <w:jc w:val="right"/>
            </w:pPr>
          </w:p>
        </w:tc>
      </w:tr>
      <w:tr w:rsidR="007F258B" w14:paraId="510A8647" w14:textId="77777777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B2ED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bCs/>
                <w:sz w:val="20"/>
                <w:szCs w:val="20"/>
                <w:lang w:eastAsia="es-MX"/>
              </w:rPr>
              <w:t xml:space="preserve"> de Ingresos Contables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F0697" w14:textId="77777777" w:rsidR="007F258B" w:rsidRDefault="00000000">
            <w:pPr>
              <w:jc w:val="right"/>
            </w:pPr>
            <w:r>
              <w:t>$34´858,883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C9630" w14:textId="77777777" w:rsidR="007F258B" w:rsidRDefault="007F258B">
            <w:pPr>
              <w:jc w:val="right"/>
            </w:pPr>
          </w:p>
        </w:tc>
      </w:tr>
    </w:tbl>
    <w:p w14:paraId="1BCE3FA4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526C34FE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1C39D9E1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72684BE6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2634BB7B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50091A26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 w:eastAsia="es-MX"/>
        </w:rPr>
      </w:pPr>
    </w:p>
    <w:p w14:paraId="083D140D" w14:textId="77777777" w:rsidR="007F258B" w:rsidRDefault="007F258B"/>
    <w:p w14:paraId="2A36EDF2" w14:textId="77777777" w:rsidR="007F258B" w:rsidRDefault="007F258B"/>
    <w:p w14:paraId="185331BC" w14:textId="77777777" w:rsidR="007F258B" w:rsidRDefault="007F258B"/>
    <w:p w14:paraId="4AA7C473" w14:textId="77777777" w:rsidR="007F258B" w:rsidRDefault="007F258B"/>
    <w:p w14:paraId="212850BD" w14:textId="77777777" w:rsidR="007F258B" w:rsidRDefault="007F258B"/>
    <w:p w14:paraId="22AE17C9" w14:textId="77777777" w:rsidR="007F258B" w:rsidRDefault="007F258B"/>
    <w:p w14:paraId="0BD34B8C" w14:textId="77777777" w:rsidR="007F258B" w:rsidRDefault="007F258B"/>
    <w:p w14:paraId="4405DEF3" w14:textId="77777777" w:rsidR="007F258B" w:rsidRDefault="007F258B"/>
    <w:p w14:paraId="3046E6BF" w14:textId="77777777" w:rsidR="007F258B" w:rsidRDefault="007F258B"/>
    <w:p w14:paraId="2B0EF864" w14:textId="77777777" w:rsidR="007F258B" w:rsidRDefault="007F258B"/>
    <w:p w14:paraId="785BE758" w14:textId="77777777" w:rsidR="007F258B" w:rsidRDefault="007F258B"/>
    <w:p w14:paraId="78C7250F" w14:textId="77777777" w:rsidR="007F258B" w:rsidRDefault="007F258B">
      <w:pPr>
        <w:tabs>
          <w:tab w:val="left" w:pos="8385"/>
        </w:tabs>
      </w:pPr>
    </w:p>
    <w:p w14:paraId="0AE5A7AA" w14:textId="77777777" w:rsidR="007F258B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  <w:lang w:val="es-MX" w:eastAsia="es-MX"/>
        </w:rPr>
        <w:t xml:space="preserve"> </w:t>
      </w:r>
      <w:r>
        <w:rPr>
          <w:rFonts w:ascii="Calibri" w:hAnsi="Calibri" w:cs="DIN Pro Regular"/>
          <w:b/>
          <w:smallCap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1CEA484A" wp14:editId="62E3F5A7">
                <wp:simplePos x="0" y="0"/>
                <wp:positionH relativeFrom="column">
                  <wp:posOffset>279404</wp:posOffset>
                </wp:positionH>
                <wp:positionV relativeFrom="paragraph">
                  <wp:posOffset>200025</wp:posOffset>
                </wp:positionV>
                <wp:extent cx="5448937" cy="6221733"/>
                <wp:effectExtent l="0" t="0" r="18413" b="7617"/>
                <wp:wrapSquare wrapText="bothSides"/>
                <wp:docPr id="222052201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937" cy="62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7AB426" w14:textId="77777777" w:rsidR="007F258B" w:rsidRDefault="007F258B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A484A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left:0;text-align:left;margin-left:22pt;margin-top:15.75pt;width:429.05pt;height:489.9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" filled="f" stroked="f">
                <v:textbox inset="0,0,0,0">
                  <w:txbxContent>
                    <w:p w14:paraId="0E7AB426" w14:textId="77777777" w:rsidR="007F258B" w:rsidRDefault="007F258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contables:</w:t>
      </w:r>
    </w:p>
    <w:tbl>
      <w:tblPr>
        <w:tblW w:w="63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3299"/>
        <w:gridCol w:w="2126"/>
      </w:tblGrid>
      <w:tr w:rsidR="007F258B" w14:paraId="5631C7F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379" w:type="dxa"/>
            <w:gridSpan w:val="3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75DD7F0" w14:textId="77777777" w:rsidR="007F258B" w:rsidRDefault="007F258B">
            <w:pPr>
              <w:rPr>
                <w:rFonts w:eastAsia="Times New Roman" w:cs="DIN Pro Regular"/>
                <w:b/>
                <w:bCs/>
                <w:color w:val="FFFFFF"/>
                <w:sz w:val="4"/>
                <w:szCs w:val="4"/>
              </w:rPr>
            </w:pPr>
          </w:p>
        </w:tc>
      </w:tr>
      <w:tr w:rsidR="007F258B" w14:paraId="683413F5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37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1F86C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DIN Pro Regular"/>
                <w:sz w:val="20"/>
                <w:szCs w:val="20"/>
              </w:rPr>
              <w:t xml:space="preserve">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Comisión de Caza y Pesca Deportiva de Tamaulipas</w:t>
            </w:r>
          </w:p>
        </w:tc>
      </w:tr>
      <w:tr w:rsidR="007F258B" w14:paraId="4D3828E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37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E9E35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</w:tr>
      <w:tr w:rsidR="007F258B" w14:paraId="181EBAA3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37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6E57C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 al 31 de Diciembre del 2024</w:t>
            </w:r>
          </w:p>
        </w:tc>
      </w:tr>
      <w:tr w:rsidR="007F258B" w14:paraId="63795812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6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CAF7" w14:textId="77777777" w:rsidR="007F258B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7F258B" w14:paraId="0830ACF7" w14:textId="77777777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48B92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2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B427F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2CF89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0"/>
                <w:szCs w:val="10"/>
                <w:lang w:eastAsia="es-MX"/>
              </w:rPr>
            </w:pPr>
          </w:p>
        </w:tc>
      </w:tr>
      <w:tr w:rsidR="007F258B" w14:paraId="6FAFD48B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82C50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8D5D4" w14:textId="77777777" w:rsidR="007F258B" w:rsidRDefault="00000000">
            <w:pPr>
              <w:jc w:val="right"/>
            </w:pPr>
            <w:r>
              <w:t>$ 34,891,237</w:t>
            </w:r>
          </w:p>
        </w:tc>
      </w:tr>
      <w:tr w:rsidR="007F258B" w14:paraId="18AF0A37" w14:textId="77777777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9D0FB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30A06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43DAE" w14:textId="77777777" w:rsidR="007F258B" w:rsidRDefault="007F258B">
            <w:pPr>
              <w:jc w:val="right"/>
            </w:pPr>
          </w:p>
        </w:tc>
      </w:tr>
      <w:tr w:rsidR="007F258B" w14:paraId="5A7051D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796D5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21B5C" w14:textId="77777777" w:rsidR="007F258B" w:rsidRDefault="00000000">
            <w:pPr>
              <w:jc w:val="right"/>
            </w:pPr>
            <w:r>
              <w:t>$ 2´334,992</w:t>
            </w:r>
          </w:p>
        </w:tc>
      </w:tr>
      <w:tr w:rsidR="007F258B" w14:paraId="2FEE45A0" w14:textId="77777777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F9E03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D9FD2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9271D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50557A2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1C68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A9DE8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8BE32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23B7A72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CED68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C9F8D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1A5EF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593C81F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366A4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909F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A04F2" w14:textId="77777777" w:rsidR="007F258B" w:rsidRDefault="00000000">
            <w:pPr>
              <w:jc w:val="right"/>
            </w:pPr>
            <w:r>
              <w:t>99,567</w:t>
            </w:r>
          </w:p>
        </w:tc>
      </w:tr>
      <w:tr w:rsidR="007F258B" w14:paraId="137A7CE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1E614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4337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7C196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14C596E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547A2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9FCC7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3197D" w14:textId="77777777" w:rsidR="007F258B" w:rsidRDefault="00000000">
            <w:pPr>
              <w:jc w:val="right"/>
            </w:pPr>
            <w:r>
              <w:t>2,220,600</w:t>
            </w:r>
          </w:p>
        </w:tc>
      </w:tr>
      <w:tr w:rsidR="007F258B" w14:paraId="571DDF9E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B8C49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1C155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2BA9D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710781B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88E49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750D9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75DD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05B13B27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9236D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0D881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E806A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3AE3CC5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6F612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B0582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EEE2C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11F5B68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26AC9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78AA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FA04E" w14:textId="77777777" w:rsidR="007F258B" w:rsidRDefault="00000000">
            <w:pPr>
              <w:jc w:val="right"/>
            </w:pPr>
            <w:r>
              <w:t>14,825</w:t>
            </w:r>
          </w:p>
        </w:tc>
      </w:tr>
      <w:tr w:rsidR="007F258B" w14:paraId="7B27285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9CAF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FA32A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367F0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3FEC494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AC3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61034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85A48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2771184E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33F4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003AC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9DF1C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307416E7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E27BA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6D7A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CB7CE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02DCEC1E" w14:textId="77777777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F772E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C02B1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01831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1D6124EF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AE5F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5B908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85993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7522331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2B812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C5CCF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5BF8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3DF3400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E5504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050B3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49921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2D4B2C2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6F55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AEB37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E86EE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64905E4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9D040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6F94C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6AE79" w14:textId="77777777" w:rsidR="007F258B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F258B" w14:paraId="455A418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EA40A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7D4F8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246216EC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621613A1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03FBF4AA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73E5C3D2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5096339E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2D4716A2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1B3BFD5A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31785" w14:textId="77777777" w:rsidR="007F258B" w:rsidRDefault="007F258B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7F258B" w14:paraId="2E1A0D8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FB2D4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C3500" w14:textId="77777777" w:rsidR="007F258B" w:rsidRDefault="00000000">
            <w:pPr>
              <w:jc w:val="right"/>
            </w:pPr>
            <w:r>
              <w:t>$ 738,409</w:t>
            </w:r>
          </w:p>
        </w:tc>
      </w:tr>
      <w:tr w:rsidR="007F258B" w14:paraId="16FAF98C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4D2CC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7BA25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CF5B6" w14:textId="77777777" w:rsidR="007F258B" w:rsidRDefault="00000000">
            <w:pPr>
              <w:jc w:val="right"/>
            </w:pPr>
            <w:r>
              <w:t>738,409</w:t>
            </w:r>
          </w:p>
        </w:tc>
      </w:tr>
      <w:tr w:rsidR="007F258B" w14:paraId="604245A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42CB4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3BBC0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67DBB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57160CF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5EB08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67EED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02EF4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39FB942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D81FC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050E1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B814A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0E3792C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06735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131B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A4CA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4A7D488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6BB62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F3EF8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F9BEA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68E80C6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4723B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F1FB2" w14:textId="77777777" w:rsidR="007F258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FB678" w14:textId="77777777" w:rsidR="007F258B" w:rsidRDefault="00000000">
            <w:pPr>
              <w:jc w:val="right"/>
            </w:pPr>
            <w:r>
              <w:t>0</w:t>
            </w:r>
          </w:p>
        </w:tc>
      </w:tr>
      <w:tr w:rsidR="007F258B" w14:paraId="453BDB32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FEFEF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45F9E" w14:textId="77777777" w:rsidR="007F258B" w:rsidRDefault="007F258B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5084A" w14:textId="77777777" w:rsidR="007F258B" w:rsidRDefault="007F258B">
            <w:pPr>
              <w:jc w:val="right"/>
            </w:pPr>
          </w:p>
        </w:tc>
      </w:tr>
      <w:tr w:rsidR="007F258B" w14:paraId="60BE6FE8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4DE9D" w14:textId="77777777" w:rsidR="007F258B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CF184" w14:textId="77777777" w:rsidR="007F258B" w:rsidRDefault="00000000">
            <w:pPr>
              <w:jc w:val="right"/>
            </w:pPr>
            <w:r>
              <w:t>$ 33´294,654</w:t>
            </w:r>
          </w:p>
          <w:p w14:paraId="2AFA55E8" w14:textId="77777777" w:rsidR="007F258B" w:rsidRDefault="007F258B">
            <w:pPr>
              <w:jc w:val="right"/>
            </w:pPr>
          </w:p>
        </w:tc>
      </w:tr>
    </w:tbl>
    <w:p w14:paraId="04D81431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08B4768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A3F560C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AD4C82D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0103A91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9A3ACCE" w14:textId="77777777" w:rsidR="007F258B" w:rsidRDefault="007F258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7295CC4" w14:textId="77777777" w:rsidR="007F258B" w:rsidRDefault="007F258B">
      <w:pPr>
        <w:pStyle w:val="Standard"/>
        <w:spacing w:after="0"/>
        <w:rPr>
          <w:rFonts w:cs="DIN Pro Regular"/>
          <w:sz w:val="20"/>
          <w:szCs w:val="20"/>
        </w:rPr>
      </w:pPr>
    </w:p>
    <w:p w14:paraId="28D87D7B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452ACF4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2C1DB3E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204A1C2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6BE46DA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CB0D596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6FEC4C4" w14:textId="77777777" w:rsidR="007F258B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6CF74FD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FC7C2F5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0D8F21ED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7152A4F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204EECC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249B045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FFC2EB1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8981E28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0EC9C6EA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6DE0C570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63034FFF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1120E2A6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35A3BB32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65512C2D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618B155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C57F4CE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5573E1B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EF65F49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CB24652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E406040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6B95462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EE72B56" w14:textId="77777777" w:rsidR="007F258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45766645" w14:textId="77777777" w:rsidR="007F258B" w:rsidRDefault="007F258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A3E51B6" w14:textId="77777777" w:rsidR="007F258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73D19B7D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4B470B96" w14:textId="77777777" w:rsidR="007F258B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7F945906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9282BB8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5222B75" w14:textId="77777777" w:rsidR="007F258B" w:rsidRDefault="00000000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5AE9D37C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57632DC9" w14:textId="77777777" w:rsidR="007F258B" w:rsidRDefault="007F258B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12E06DE3" w14:textId="77777777" w:rsidR="007F258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Presupuestarias:</w:t>
      </w:r>
    </w:p>
    <w:p w14:paraId="46E4463A" w14:textId="77777777" w:rsidR="007F258B" w:rsidRDefault="007F258B">
      <w:pPr>
        <w:pStyle w:val="Text"/>
        <w:spacing w:after="0" w:line="240" w:lineRule="exact"/>
        <w:ind w:left="540" w:hanging="540"/>
      </w:pPr>
    </w:p>
    <w:tbl>
      <w:tblPr>
        <w:tblW w:w="75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559"/>
      </w:tblGrid>
      <w:tr w:rsidR="007F258B" w14:paraId="0E53E0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F1B7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7F258B" w14:paraId="728069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4B50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0CAF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807F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7F258B" w14:paraId="0E6593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9852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66B7" w14:textId="77777777" w:rsidR="007F258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6E06" w14:textId="77777777" w:rsidR="007F258B" w:rsidRDefault="00000000">
            <w:r>
              <w:t>14´504,274</w:t>
            </w:r>
          </w:p>
        </w:tc>
      </w:tr>
      <w:tr w:rsidR="007F258B" w14:paraId="77F1E1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2BC0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66C0" w14:textId="77777777" w:rsidR="007F258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B335" w14:textId="77777777" w:rsidR="007F258B" w:rsidRDefault="00000000">
            <w:r>
              <w:t xml:space="preserve">                   0</w:t>
            </w:r>
          </w:p>
        </w:tc>
      </w:tr>
      <w:tr w:rsidR="007F258B" w14:paraId="573927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593C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16C2" w14:textId="77777777" w:rsidR="007F258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E0A7" w14:textId="77777777" w:rsidR="007F258B" w:rsidRDefault="00000000">
            <w:r>
              <w:t xml:space="preserve"> 20´354,325</w:t>
            </w:r>
          </w:p>
        </w:tc>
      </w:tr>
      <w:tr w:rsidR="007F258B" w14:paraId="54F0A7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F793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AD07" w14:textId="77777777" w:rsidR="007F258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AB3A" w14:textId="77777777" w:rsidR="007F258B" w:rsidRDefault="00000000">
            <w:r>
              <w:t xml:space="preserve">  34´858,599</w:t>
            </w:r>
          </w:p>
        </w:tc>
      </w:tr>
      <w:tr w:rsidR="007F258B" w14:paraId="5AEBCC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E63B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41F9" w14:textId="77777777" w:rsidR="007F258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AD71" w14:textId="77777777" w:rsidR="007F258B" w:rsidRDefault="00000000">
            <w:r>
              <w:t xml:space="preserve"> 34´774,883</w:t>
            </w:r>
          </w:p>
        </w:tc>
      </w:tr>
    </w:tbl>
    <w:p w14:paraId="23206F58" w14:textId="77777777" w:rsidR="007F258B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2E5C4A01" w14:textId="77777777" w:rsidR="007F258B" w:rsidRDefault="007F258B">
      <w:pPr>
        <w:pStyle w:val="Text"/>
        <w:spacing w:after="0" w:line="240" w:lineRule="exact"/>
        <w:ind w:left="540" w:hanging="540"/>
      </w:pPr>
    </w:p>
    <w:tbl>
      <w:tblPr>
        <w:tblW w:w="75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559"/>
      </w:tblGrid>
      <w:tr w:rsidR="007F258B" w14:paraId="17456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C355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7F258B" w14:paraId="3C72E1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20BF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3314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4B20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7F258B" w14:paraId="312D94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1FB1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7B5A" w14:textId="77777777" w:rsidR="007F258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126C" w14:textId="77777777" w:rsidR="007F258B" w:rsidRDefault="00000000">
            <w:r>
              <w:t>14´504,274</w:t>
            </w:r>
          </w:p>
        </w:tc>
      </w:tr>
      <w:tr w:rsidR="007F258B" w14:paraId="3AA37C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0F81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AC0C" w14:textId="77777777" w:rsidR="007F258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F637" w14:textId="77777777" w:rsidR="007F258B" w:rsidRDefault="00000000">
            <w:r>
              <w:t xml:space="preserve">   3´265,878</w:t>
            </w:r>
          </w:p>
        </w:tc>
      </w:tr>
      <w:tr w:rsidR="007F258B" w14:paraId="4435A8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4019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D793" w14:textId="77777777" w:rsidR="007F258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E9BC" w14:textId="77777777" w:rsidR="007F258B" w:rsidRDefault="00000000">
            <w:r>
              <w:t xml:space="preserve"> 23´652,841</w:t>
            </w:r>
          </w:p>
        </w:tc>
      </w:tr>
      <w:tr w:rsidR="007F258B" w14:paraId="1CBE7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348F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36BB" w14:textId="77777777" w:rsidR="007F258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632C" w14:textId="77777777" w:rsidR="007F258B" w:rsidRDefault="00000000">
            <w:r>
              <w:t xml:space="preserve"> 34´891,237</w:t>
            </w:r>
          </w:p>
        </w:tc>
      </w:tr>
      <w:tr w:rsidR="007F258B" w14:paraId="09D805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A426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287D" w14:textId="77777777" w:rsidR="007F258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FF5A" w14:textId="77777777" w:rsidR="007F258B" w:rsidRDefault="00000000">
            <w:r>
              <w:t xml:space="preserve"> 34´891,237</w:t>
            </w:r>
          </w:p>
        </w:tc>
      </w:tr>
      <w:tr w:rsidR="007F258B" w14:paraId="75B7EF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D0C1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453E" w14:textId="77777777" w:rsidR="007F258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4027" w14:textId="77777777" w:rsidR="007F258B" w:rsidRDefault="00000000">
            <w:r>
              <w:t xml:space="preserve"> 34´,783,275</w:t>
            </w:r>
          </w:p>
        </w:tc>
      </w:tr>
      <w:tr w:rsidR="007F258B" w14:paraId="5D2DB4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AC26" w14:textId="77777777" w:rsidR="007F258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0BB1" w14:textId="77777777" w:rsidR="007F258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4FA2" w14:textId="77777777" w:rsidR="007F258B" w:rsidRDefault="00000000">
            <w:r>
              <w:t xml:space="preserve"> 34´783,275</w:t>
            </w:r>
          </w:p>
        </w:tc>
      </w:tr>
    </w:tbl>
    <w:p w14:paraId="3D7334C6" w14:textId="77777777" w:rsidR="007F258B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07BC5D56" w14:textId="77777777" w:rsidR="007F258B" w:rsidRDefault="00000000">
      <w:r>
        <w:t>La diferencia reflejada entre las ampliaciones al presupuesto de Ingresos y Egresos corresponde a una ampliación realizada por remanentes en cuentas bancarias de Ingresos Propios del año 2023, por la cantidad de $3´298,516</w:t>
      </w:r>
    </w:p>
    <w:p w14:paraId="605551B4" w14:textId="77777777" w:rsidR="007F258B" w:rsidRDefault="007F258B"/>
    <w:p w14:paraId="442C5FB3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56032C9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6894448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B0D29FD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310B2B7" w14:textId="77777777" w:rsidR="007F258B" w:rsidRDefault="007F258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2A4EE38" w14:textId="77777777" w:rsidR="007F258B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C53CF16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563C3251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5E633786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1F55F150" w14:textId="77777777" w:rsidR="007F258B" w:rsidRDefault="007F258B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sectPr w:rsidR="007F258B">
      <w:headerReference w:type="default" r:id="rId8"/>
      <w:footerReference w:type="default" r:id="rId9"/>
      <w:pgSz w:w="12240" w:h="15840"/>
      <w:pgMar w:top="1701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C2F3" w14:textId="77777777" w:rsidR="002042A7" w:rsidRDefault="002042A7">
      <w:r>
        <w:separator/>
      </w:r>
    </w:p>
  </w:endnote>
  <w:endnote w:type="continuationSeparator" w:id="0">
    <w:p w14:paraId="1E776E6D" w14:textId="77777777" w:rsidR="002042A7" w:rsidRDefault="0020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Encode Sans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9512" w14:textId="77777777" w:rsidR="00000000" w:rsidRDefault="00000000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68444A" wp14:editId="0410AAF2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1188672817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FFCA2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1B94" w14:textId="77777777" w:rsidR="002042A7" w:rsidRDefault="002042A7">
      <w:r>
        <w:rPr>
          <w:color w:val="000000"/>
        </w:rPr>
        <w:separator/>
      </w:r>
    </w:p>
  </w:footnote>
  <w:footnote w:type="continuationSeparator" w:id="0">
    <w:p w14:paraId="278489AB" w14:textId="77777777" w:rsidR="002042A7" w:rsidRDefault="0020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95BF" w14:textId="77777777" w:rsidR="00000000" w:rsidRDefault="00000000">
    <w:pPr>
      <w:pStyle w:val="Encabezado"/>
      <w:tabs>
        <w:tab w:val="clear" w:pos="8838"/>
        <w:tab w:val="left" w:pos="79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9DFEB" wp14:editId="045018C9">
              <wp:simplePos x="0" y="0"/>
              <wp:positionH relativeFrom="margin">
                <wp:posOffset>3762371</wp:posOffset>
              </wp:positionH>
              <wp:positionV relativeFrom="paragraph">
                <wp:posOffset>-116842</wp:posOffset>
              </wp:positionV>
              <wp:extent cx="2752728" cy="875666"/>
              <wp:effectExtent l="0" t="0" r="9522" b="634"/>
              <wp:wrapNone/>
              <wp:docPr id="98617214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8" cy="875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5F70C5D" w14:textId="77777777" w:rsidR="00000000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44ABFC" wp14:editId="1F869679">
                                <wp:extent cx="1592519" cy="707791"/>
                                <wp:effectExtent l="0" t="0" r="7681" b="0"/>
                                <wp:docPr id="1007168895" name="Imagen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2519" cy="707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9DF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96.25pt;margin-top:-9.2pt;width:216.75pt;height:68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" stroked="f">
              <v:textbox>
                <w:txbxContent>
                  <w:p w14:paraId="15F70C5D" w14:textId="77777777" w:rsidR="00000000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44ABFC" wp14:editId="1F869679">
                          <wp:extent cx="1592519" cy="707791"/>
                          <wp:effectExtent l="0" t="0" r="7681" b="0"/>
                          <wp:docPr id="1007168895" name="Imagen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2519" cy="7077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FD38567" wp14:editId="40B1849A">
          <wp:simplePos x="0" y="0"/>
          <wp:positionH relativeFrom="column">
            <wp:posOffset>-294007</wp:posOffset>
          </wp:positionH>
          <wp:positionV relativeFrom="paragraph">
            <wp:posOffset>52706</wp:posOffset>
          </wp:positionV>
          <wp:extent cx="1798323" cy="568327"/>
          <wp:effectExtent l="0" t="0" r="0" b="3173"/>
          <wp:wrapTopAndBottom/>
          <wp:docPr id="30258249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3" cy="568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365A8C4" w14:textId="77777777" w:rsidR="00000000" w:rsidRDefault="00000000">
    <w:pPr>
      <w:pStyle w:val="Encabezado"/>
      <w:tabs>
        <w:tab w:val="clear" w:pos="8838"/>
        <w:tab w:val="left" w:pos="7965"/>
      </w:tabs>
      <w:jc w:val="center"/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38ED05" wp14:editId="23E9DA4B">
              <wp:simplePos x="0" y="0"/>
              <wp:positionH relativeFrom="column">
                <wp:posOffset>33174</wp:posOffset>
              </wp:positionH>
              <wp:positionV relativeFrom="paragraph">
                <wp:posOffset>293586</wp:posOffset>
              </wp:positionV>
              <wp:extent cx="6191887" cy="0"/>
              <wp:effectExtent l="0" t="0" r="0" b="0"/>
              <wp:wrapNone/>
              <wp:docPr id="1823931315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76EFB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.6pt;margin-top:23.1pt;width:487.5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oP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" strokecolor="#bc955c" strokeweight=".70992mm">
              <v:stroke joinstyle="miter"/>
            </v:shape>
          </w:pict>
        </mc:Fallback>
      </mc:AlternateContent>
    </w:r>
    <w:r>
      <w:rPr>
        <w:rFonts w:ascii="Encode Sans" w:hAnsi="Encode Sans" w:cs="Arial"/>
        <w:b/>
        <w:sz w:val="24"/>
        <w:szCs w:val="24"/>
      </w:rPr>
      <w:t xml:space="preserve">Comisión de Caza y Pesca Deportiva de Tamaulipas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7724"/>
    <w:multiLevelType w:val="multilevel"/>
    <w:tmpl w:val="E054BA88"/>
    <w:lvl w:ilvl="0">
      <w:start w:val="1"/>
      <w:numFmt w:val="lowerLetter"/>
      <w:lvlText w:val="%1)"/>
      <w:lvlJc w:val="left"/>
      <w:pPr>
        <w:ind w:left="1211" w:hanging="360"/>
      </w:pPr>
      <w:rPr>
        <w:b/>
        <w:color w:val="000000"/>
        <w:sz w:val="2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Arial" w:hAnsi="Arial" w:cs="Arial"/>
        <w:b w:val="0"/>
        <w:bCs/>
        <w:color w:val="00000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4E7"/>
    <w:multiLevelType w:val="multilevel"/>
    <w:tmpl w:val="64940BC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2997534F"/>
    <w:multiLevelType w:val="multilevel"/>
    <w:tmpl w:val="8070C73E"/>
    <w:lvl w:ilvl="0">
      <w:start w:val="1"/>
      <w:numFmt w:val="lowerLetter"/>
      <w:lvlText w:val="%1)"/>
      <w:lvlJc w:val="left"/>
      <w:pPr>
        <w:ind w:left="2496" w:hanging="360"/>
      </w:pPr>
      <w:rPr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3163"/>
    <w:multiLevelType w:val="multilevel"/>
    <w:tmpl w:val="DDD281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4A21"/>
    <w:multiLevelType w:val="multilevel"/>
    <w:tmpl w:val="30800AB8"/>
    <w:lvl w:ilvl="0">
      <w:start w:val="5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A50BCC"/>
    <w:multiLevelType w:val="multilevel"/>
    <w:tmpl w:val="837A7A3C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 w15:restartNumberingAfterBreak="0">
    <w:nsid w:val="3B0F651B"/>
    <w:multiLevelType w:val="multilevel"/>
    <w:tmpl w:val="F2A6901C"/>
    <w:lvl w:ilvl="0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/>
        <w:b w:val="0"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55" w:hanging="360"/>
      </w:pPr>
    </w:lvl>
    <w:lvl w:ilvl="2">
      <w:start w:val="1"/>
      <w:numFmt w:val="lowerRoman"/>
      <w:lvlText w:val="%3."/>
      <w:lvlJc w:val="right"/>
      <w:pPr>
        <w:ind w:left="875" w:hanging="180"/>
      </w:pPr>
    </w:lvl>
    <w:lvl w:ilvl="3">
      <w:start w:val="1"/>
      <w:numFmt w:val="decimal"/>
      <w:lvlText w:val="%4."/>
      <w:lvlJc w:val="left"/>
      <w:pPr>
        <w:ind w:left="1595" w:hanging="360"/>
      </w:pPr>
    </w:lvl>
    <w:lvl w:ilvl="4">
      <w:start w:val="1"/>
      <w:numFmt w:val="lowerLetter"/>
      <w:lvlText w:val="%5."/>
      <w:lvlJc w:val="left"/>
      <w:pPr>
        <w:ind w:left="2315" w:hanging="360"/>
      </w:pPr>
    </w:lvl>
    <w:lvl w:ilvl="5">
      <w:start w:val="1"/>
      <w:numFmt w:val="lowerRoman"/>
      <w:lvlText w:val="%6."/>
      <w:lvlJc w:val="right"/>
      <w:pPr>
        <w:ind w:left="3035" w:hanging="180"/>
      </w:pPr>
    </w:lvl>
    <w:lvl w:ilvl="6">
      <w:start w:val="1"/>
      <w:numFmt w:val="decimal"/>
      <w:lvlText w:val="%7."/>
      <w:lvlJc w:val="left"/>
      <w:pPr>
        <w:ind w:left="3755" w:hanging="360"/>
      </w:pPr>
    </w:lvl>
    <w:lvl w:ilvl="7">
      <w:start w:val="1"/>
      <w:numFmt w:val="lowerLetter"/>
      <w:lvlText w:val="%8."/>
      <w:lvlJc w:val="left"/>
      <w:pPr>
        <w:ind w:left="4475" w:hanging="360"/>
      </w:pPr>
    </w:lvl>
    <w:lvl w:ilvl="8">
      <w:start w:val="1"/>
      <w:numFmt w:val="lowerRoman"/>
      <w:lvlText w:val="%9."/>
      <w:lvlJc w:val="right"/>
      <w:pPr>
        <w:ind w:left="5195" w:hanging="180"/>
      </w:pPr>
    </w:lvl>
  </w:abstractNum>
  <w:abstractNum w:abstractNumId="7" w15:restartNumberingAfterBreak="0">
    <w:nsid w:val="460B6501"/>
    <w:multiLevelType w:val="multilevel"/>
    <w:tmpl w:val="3EACD2A0"/>
    <w:lvl w:ilvl="0">
      <w:start w:val="1"/>
      <w:numFmt w:val="decimal"/>
      <w:lvlText w:val="%1."/>
      <w:lvlJc w:val="left"/>
      <w:pPr>
        <w:ind w:left="708" w:hanging="420"/>
      </w:p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FC43510"/>
    <w:multiLevelType w:val="multilevel"/>
    <w:tmpl w:val="E2A8C4A6"/>
    <w:lvl w:ilvl="0">
      <w:start w:val="1"/>
      <w:numFmt w:val="lowerLetter"/>
      <w:lvlText w:val="%1)"/>
      <w:lvlJc w:val="left"/>
      <w:pPr>
        <w:ind w:left="1128" w:hanging="4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9E482E"/>
    <w:multiLevelType w:val="multilevel"/>
    <w:tmpl w:val="9F86679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78EA0217"/>
    <w:multiLevelType w:val="multilevel"/>
    <w:tmpl w:val="D41CC272"/>
    <w:lvl w:ilvl="0">
      <w:start w:val="5"/>
      <w:numFmt w:val="lowerLetter"/>
      <w:lvlText w:val="%1)"/>
      <w:lvlJc w:val="left"/>
      <w:pPr>
        <w:ind w:left="2496" w:hanging="360"/>
      </w:pPr>
      <w:rPr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64691"/>
    <w:multiLevelType w:val="multilevel"/>
    <w:tmpl w:val="B23658C0"/>
    <w:lvl w:ilvl="0">
      <w:start w:val="1"/>
      <w:numFmt w:val="lowerLetter"/>
      <w:lvlText w:val="%1)"/>
      <w:lvlJc w:val="left"/>
      <w:pPr>
        <w:ind w:left="1070" w:hanging="360"/>
      </w:pPr>
      <w:rPr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3659C"/>
    <w:multiLevelType w:val="multilevel"/>
    <w:tmpl w:val="A33E252A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39562516">
    <w:abstractNumId w:val="1"/>
  </w:num>
  <w:num w:numId="2" w16cid:durableId="489322531">
    <w:abstractNumId w:val="9"/>
  </w:num>
  <w:num w:numId="3" w16cid:durableId="1491213463">
    <w:abstractNumId w:val="5"/>
  </w:num>
  <w:num w:numId="4" w16cid:durableId="2127579192">
    <w:abstractNumId w:val="12"/>
  </w:num>
  <w:num w:numId="5" w16cid:durableId="2065327183">
    <w:abstractNumId w:val="7"/>
  </w:num>
  <w:num w:numId="6" w16cid:durableId="1646740070">
    <w:abstractNumId w:val="3"/>
  </w:num>
  <w:num w:numId="7" w16cid:durableId="194738777">
    <w:abstractNumId w:val="3"/>
    <w:lvlOverride w:ilvl="0">
      <w:startOverride w:val="1"/>
    </w:lvlOverride>
  </w:num>
  <w:num w:numId="8" w16cid:durableId="1145391800">
    <w:abstractNumId w:val="8"/>
  </w:num>
  <w:num w:numId="9" w16cid:durableId="220945334">
    <w:abstractNumId w:val="6"/>
  </w:num>
  <w:num w:numId="10" w16cid:durableId="1044674986">
    <w:abstractNumId w:val="0"/>
  </w:num>
  <w:num w:numId="11" w16cid:durableId="1231621120">
    <w:abstractNumId w:val="4"/>
  </w:num>
  <w:num w:numId="12" w16cid:durableId="256988293">
    <w:abstractNumId w:val="11"/>
  </w:num>
  <w:num w:numId="13" w16cid:durableId="381950710">
    <w:abstractNumId w:val="2"/>
  </w:num>
  <w:num w:numId="14" w16cid:durableId="214662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258B"/>
    <w:rsid w:val="002042A7"/>
    <w:rsid w:val="00413B31"/>
    <w:rsid w:val="007F258B"/>
    <w:rsid w:val="00E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57EF"/>
  <w15:docId w15:val="{1DCC4765-56F1-4F1E-80C9-D68CEF1E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3836</Words>
  <Characters>21101</Characters>
  <Application>Microsoft Office Word</Application>
  <DocSecurity>0</DocSecurity>
  <Lines>175</Lines>
  <Paragraphs>49</Paragraphs>
  <ScaleCrop>false</ScaleCrop>
  <Company/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 Tamaulipas</cp:lastModifiedBy>
  <cp:revision>2</cp:revision>
  <cp:lastPrinted>2025-01-21T16:05:00Z</cp:lastPrinted>
  <dcterms:created xsi:type="dcterms:W3CDTF">2025-03-11T20:13:00Z</dcterms:created>
  <dcterms:modified xsi:type="dcterms:W3CDTF">2025-03-11T20:13:00Z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