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B350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CF9EC83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AF33F5F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70D2FAFF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8F40085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73C4E021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62D74ED1" w14:textId="77777777" w:rsidR="000D37B7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78F79970" w14:textId="77777777" w:rsidR="000D37B7" w:rsidRDefault="000D37B7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4DC66502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4F1DD95D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Desde el Decreto de Creación de la Comisión Estatal de Conciliación y Arbitraje Médico publicado en el Periódico  Oficial del Estado el 25 de octubre del 2000. El 15 de diciembre del 2010 se publica en el Periódico Oficial el Decreto N° LX-1847 por el medio del cual se Promulga la LEY DE CONCILIACION Y ARBITRAJE MEDICO PARA EL ESTADO DE TAMAULIPAS y en el Art. 19 de esta ley da sustento a la creación del ORGANISMO PUBLICO DESCENTRALIZADO: COMISION ESTATAL DE CONCILIACION Y ARBITRAJE MEDICO, sectorizado a la Secretaria de Salud.</w:t>
      </w:r>
    </w:p>
    <w:p w14:paraId="4728A43E" w14:textId="77777777" w:rsidR="000D37B7" w:rsidRDefault="00000000">
      <w:pPr>
        <w:pStyle w:val="Text"/>
        <w:spacing w:after="0" w:line="240" w:lineRule="exact"/>
        <w:ind w:left="708" w:firstLine="0"/>
      </w:pPr>
      <w:r>
        <w:rPr>
          <w:rFonts w:ascii="Calibri" w:hAnsi="Calibri" w:cs="Calibri"/>
          <w:sz w:val="20"/>
        </w:rPr>
        <w:t>Esta misma ley le da a la Comisión Plena Autonomía Técnica para emitir sus resoluciones y contara con sus recursos humanos, financieros y materiales que autorice el presupuesto de egresos el cual, a la fecha no está totalmente formalizado.</w:t>
      </w:r>
    </w:p>
    <w:p w14:paraId="7D31C818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9D63E4C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2B20D3EF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servicio que se presta a la población es gratuito, desde su creación, la comisión no cuenta con presupuesto propio que ejercer.</w:t>
      </w:r>
    </w:p>
    <w:p w14:paraId="256F4813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392CC8FC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06273B59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Resolver los conflictos derivados de las relaciones entre los  usuario y prestadores de los servicios de salud, tanto en el sector público  como privado, en el ámbito de competencia estatal,  actuando en un marco de imparcialidad, objetividad, confidencialidad y respeto,  mediante los mecanismos de orientación, asesoría, gestión , conciliación y  arbitraje médico.</w:t>
      </w:r>
    </w:p>
    <w:p w14:paraId="2A1C89F8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23E5B142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3DCDF35D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Comisión, no cuenta con Sistema de Contabilidad sin embargo  la Información se  presenta ante las Instancias correspondientes  para cumplir con la normatividad actualmente,  CONAC, ASE y Secretaria de Finanzas.</w:t>
      </w:r>
    </w:p>
    <w:p w14:paraId="20FE0E14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4D6EE032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319BAA38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cumple con la normatividad establecida entregando la información solicitada por las Instituciones Hacendarias y Organismos de Control, esta Comisión no cuenta con un Sistema de Contabilidad, por no contar con recursos propios.</w:t>
      </w:r>
    </w:p>
    <w:p w14:paraId="3BDDE7D5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4B13A6C7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4BF1F64F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no cuenta con recurso propio, ni cuentas Bancarias que maneje u opere para su operación administrativa.</w:t>
      </w:r>
    </w:p>
    <w:p w14:paraId="1C83229F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6DD3F325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7723B3EC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no cuenta con Contabilidad, ni con Patrimonio.  Por lo tanto no Realiza Reporte Analítico de Activo.</w:t>
      </w:r>
    </w:p>
    <w:p w14:paraId="2FBA4AB7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18D10A33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26811774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no cuenta ni maneja este tipo de instrumentos.</w:t>
      </w:r>
    </w:p>
    <w:p w14:paraId="416D7736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1F8323B1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04FD0550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Los servicios de la Comisión son gratuitos, por lo tanto no recaudamos ingresos.</w:t>
      </w:r>
    </w:p>
    <w:p w14:paraId="79C17087" w14:textId="77777777" w:rsidR="000D37B7" w:rsidRDefault="000D37B7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D06DA2A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5AEC3F1E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no cuenta con Deuda.</w:t>
      </w:r>
    </w:p>
    <w:p w14:paraId="343E5524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5655077D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170D3635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información Contable de la Comisión Estatal de Conciliación y Arbitraje Médico que se presenta en forma trimestral y anualmente a las instituciones que regulan la normatividades administrativas y contables que emiten los dictámenes y resultados de su presentación de acuerdo a las leyes y normas que las rigen. Las mismas en su totalidad han sido entregadas en tiempo y forma.</w:t>
      </w:r>
    </w:p>
    <w:p w14:paraId="70E54307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26495117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Proceso de Mejora</w:t>
      </w:r>
    </w:p>
    <w:p w14:paraId="65B8A869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Actualmente estamos coordinados con Contraloría Gubernamental de  este proceso, realizándose  avances significativos  a la fecha.</w:t>
      </w:r>
    </w:p>
    <w:p w14:paraId="7821A1CD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3D4937A0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por Segmentos</w:t>
      </w:r>
    </w:p>
    <w:p w14:paraId="3CE7BC3C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contamos con Contabilidad por tal motivo no se presenta este tipo de información.</w:t>
      </w:r>
    </w:p>
    <w:p w14:paraId="212D0BBC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5827FF24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1173EBBC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no cuenta con eventos posterior al cierre, ya que no cuenta con Contabilidad y no maneja recursos propios.</w:t>
      </w:r>
    </w:p>
    <w:p w14:paraId="2727551A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2AF89D10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1EAE47C1" w14:textId="77777777" w:rsidR="000D37B7" w:rsidRDefault="00000000">
      <w:pPr>
        <w:pStyle w:val="Text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Secretaria de Salud de Tamaulipas, Órgano de Control Interno de la Secretaria, Auditoria Superior del Estado y Secretaria Estatal de Finanzas.</w:t>
      </w:r>
    </w:p>
    <w:p w14:paraId="1F0381E5" w14:textId="77777777" w:rsidR="000D37B7" w:rsidRDefault="000D37B7">
      <w:pPr>
        <w:pStyle w:val="Text"/>
        <w:spacing w:after="0" w:line="240" w:lineRule="exact"/>
        <w:ind w:left="708" w:firstLine="0"/>
        <w:rPr>
          <w:sz w:val="20"/>
        </w:rPr>
      </w:pPr>
    </w:p>
    <w:p w14:paraId="649AEC4E" w14:textId="77777777" w:rsidR="000D37B7" w:rsidRDefault="00000000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26685C6E" w14:textId="77777777" w:rsidR="000D37B7" w:rsidRDefault="00000000">
      <w:pPr>
        <w:pStyle w:val="Prrafodelista"/>
        <w:ind w:left="708"/>
        <w:rPr>
          <w:sz w:val="20"/>
          <w:szCs w:val="20"/>
        </w:rPr>
      </w:pPr>
      <w:r>
        <w:rPr>
          <w:sz w:val="20"/>
          <w:szCs w:val="20"/>
        </w:rPr>
        <w:t>Desde su publicación en el Decreto de Creación publicado en el Diario Oficial del Estado el 25 de octubre del 2000, la Comisión Estatal de Conciliación y Arbitraje Médico no ha contado con Contabilidad propia, la información que se presenta ante la Auditoria Superior del Estado ha sido de Cumplimento.</w:t>
      </w:r>
    </w:p>
    <w:p w14:paraId="0CAEB79D" w14:textId="77777777" w:rsidR="000D37B7" w:rsidRDefault="000D37B7">
      <w:pPr>
        <w:pStyle w:val="Text"/>
        <w:spacing w:after="0" w:line="240" w:lineRule="exact"/>
        <w:ind w:left="708" w:firstLine="0"/>
      </w:pPr>
    </w:p>
    <w:p w14:paraId="25C6B8BC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3A9CEB3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46B9107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DA797E1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17A6084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ED57043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D4078AF" w14:textId="77777777" w:rsidR="000D37B7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D6289D9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84F0D1E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BB71615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9D709D4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9A100ED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0AD6821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57808045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7C5BF70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84E2CDC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6A1BF9D1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E4BB78B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9CD298F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EC03986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F6BBD13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33412AE4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66172E04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224D2A58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055E321C" w14:textId="77777777" w:rsidR="000D37B7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09B5223C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4EF04E8" w14:textId="77777777" w:rsidR="000D37B7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609BF918" w14:textId="77777777" w:rsidR="000D37B7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5AAFEC21" w14:textId="77777777" w:rsidR="000D37B7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2A0282BC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D5E2A7B" w14:textId="77777777" w:rsidR="000D37B7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609095C3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25CE34F4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72D249AE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08619EA3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240F8199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01EB8EC5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44D0DA48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1B52D746" w14:textId="77777777" w:rsidR="000D37B7" w:rsidRDefault="00000000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54195E1D" w14:textId="77777777" w:rsidR="000D37B7" w:rsidRDefault="00000000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6C3C5586" w14:textId="77777777" w:rsidR="000D37B7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61A9F176" w14:textId="77777777" w:rsidR="000D37B7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 pago).</w:t>
      </w:r>
    </w:p>
    <w:p w14:paraId="4FA11867" w14:textId="77777777" w:rsidR="000D37B7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72320DC4" w14:textId="77777777" w:rsidR="000D37B7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05471D0E" w14:textId="77777777" w:rsidR="000D37B7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14325783" w14:textId="77777777" w:rsidR="000D37B7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Otros Pasivos a corto y largo plazo que impacten en la información financiera.</w:t>
      </w:r>
    </w:p>
    <w:p w14:paraId="6A54039F" w14:textId="77777777" w:rsidR="000D37B7" w:rsidRDefault="000D37B7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41BCC18" w14:textId="77777777" w:rsidR="000D37B7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29718CB0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42EF8DC" w14:textId="77777777" w:rsidR="000D37B7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190DB6E3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3E2DE753" w14:textId="77777777" w:rsidR="000D37B7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02103239" w14:textId="77777777" w:rsidR="000D37B7" w:rsidRDefault="00000000">
      <w:pPr>
        <w:pStyle w:val="ROMANOS"/>
        <w:numPr>
          <w:ilvl w:val="0"/>
          <w:numId w:val="7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42636ABB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2"/>
        <w:gridCol w:w="1015"/>
        <w:gridCol w:w="1060"/>
      </w:tblGrid>
      <w:tr w:rsidR="000D37B7" w14:paraId="779A9CC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6059" w14:textId="77777777" w:rsidR="000D37B7" w:rsidRDefault="000D37B7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3410" w14:textId="77777777" w:rsidR="000D37B7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1BDC" w14:textId="77777777" w:rsidR="000D37B7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0D37B7" w14:paraId="4D19E1B2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D15F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D0D9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FC88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04B90B22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3FE7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83BE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EF8F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3A2A9F7E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C415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445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172A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777171CA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7A92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E5B0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890C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31C53497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49D1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C57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7D2F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06A895E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4764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AC8F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ACB6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3EF70FD4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0228" w14:textId="77777777" w:rsidR="000D37B7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6018" w14:textId="77777777" w:rsidR="000D37B7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4EF6" w14:textId="77777777" w:rsidR="000D37B7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0D37B7" w14:paraId="0F73DBE3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1767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86AA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DCBB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6AC740CB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90DA7D3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BEC4211" w14:textId="77777777" w:rsidR="000D37B7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51AF35C1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1013"/>
        <w:gridCol w:w="1058"/>
      </w:tblGrid>
      <w:tr w:rsidR="000D37B7" w14:paraId="2848D1DA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1411" w14:textId="77777777" w:rsidR="000D37B7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99AE" w14:textId="77777777" w:rsidR="000D37B7" w:rsidRDefault="000D37B7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8952" w14:textId="77777777" w:rsidR="000D37B7" w:rsidRDefault="000D37B7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0D37B7" w14:paraId="164BBF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617B" w14:textId="77777777" w:rsidR="000D37B7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5D07" w14:textId="77777777" w:rsidR="000D37B7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8D40" w14:textId="77777777" w:rsidR="000D37B7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0D37B7" w14:paraId="4ABE76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31BB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D3F6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561E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0D37B7" w14:paraId="41ADDE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F94D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A4BC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AF1D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179289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3ABD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4F0E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C997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195A04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B0E9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C1BE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3D3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6FD06B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F5DC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BE0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1857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77B78C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E93E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CBC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C25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65C64745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D8E7" w14:textId="77777777" w:rsidR="000D37B7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0A6F" w14:textId="77777777" w:rsidR="000D37B7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091C" w14:textId="77777777" w:rsidR="000D37B7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0D37B7" w14:paraId="0E0760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0294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997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6E4C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5EDED3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A73E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C9E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1DE6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0D37B7" w14:paraId="7B3AE4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17D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049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762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0AF1DD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D6A2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BEC6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7510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592AE5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66C0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D0E1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2EC3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64E5BA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FAD5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A72E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5579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46332D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AAE2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7D0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BEEC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4DFC87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BD9F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519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8C49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400852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3F05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AB3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B6D8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70F6B2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8C31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06D2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8A0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7484B9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1D5A" w14:textId="77777777" w:rsidR="000D37B7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DF15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1D38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0D37B7" w14:paraId="10AD7F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C010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E07B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B124" w14:textId="77777777" w:rsidR="000D37B7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6B005D82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8103D8A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2158D9A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FE64F2C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1781924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769187F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5DDB69A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5B2F7B3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DD59259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55C5825" w14:textId="77777777" w:rsidR="000D37B7" w:rsidRDefault="000D37B7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2AE4800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30D098E" w14:textId="77777777" w:rsidR="000D37B7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06347976" w14:textId="77777777" w:rsidR="000D37B7" w:rsidRDefault="000D37B7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1146"/>
        <w:gridCol w:w="1136"/>
      </w:tblGrid>
      <w:tr w:rsidR="000D37B7" w14:paraId="160778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546C" w14:textId="77777777" w:rsidR="000D37B7" w:rsidRDefault="000D37B7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81AF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F73C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0D37B7" w14:paraId="067C27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3627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4020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C9D1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</w:tr>
      <w:tr w:rsidR="000D37B7" w14:paraId="153057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F0A7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141A" w14:textId="77777777" w:rsidR="000D37B7" w:rsidRDefault="000D37B7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16B1" w14:textId="77777777" w:rsidR="000D37B7" w:rsidRDefault="000D37B7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0D37B7" w14:paraId="5F2C2C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27DE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788C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40F1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0D37B7" w14:paraId="409969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7C45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3CAE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C258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0D37B7" w14:paraId="47483A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BB86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D9FF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EF11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0D37B7" w14:paraId="61AB730C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BDAB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20EF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6C89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0D37B7" w14:paraId="567BE577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84CE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8676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3C7A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0D37B7" w14:paraId="4912A65E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B91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D4C0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92E2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0D37B7" w14:paraId="1C19E3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3BD0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8854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02C3" w14:textId="77777777" w:rsidR="000D37B7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</w:tbl>
    <w:p w14:paraId="283D9950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E2F4A08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738090B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BBFD9AB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A0E3377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DD91480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BF45C27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87FFC24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0F8BEDB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1BE9FDE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907C5FE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A43598D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4CF2A23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A906CF1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1B01F8A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CB69745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3D61D5D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8316DD3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B4F06DB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1C6B2CF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EC69254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2E88658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D76B21D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D9BDBB4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F4841B6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20DBB3D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3D4B7A6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29646C0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A2536BA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0B14487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B9EC968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5A176DE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E5A058E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E93E96F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B6F20CB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149BA94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4878765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E622067" w14:textId="77777777" w:rsidR="000D37B7" w:rsidRDefault="000D37B7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5821324" w14:textId="77777777" w:rsidR="000D37B7" w:rsidRDefault="00000000">
      <w:pPr>
        <w:pStyle w:val="INCISO"/>
        <w:spacing w:after="0" w:line="240" w:lineRule="exact"/>
        <w:ind w:left="0" w:firstLine="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2A253282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00F6450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9884F05" w14:textId="77777777" w:rsidR="000D37B7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45394979" wp14:editId="41C47BA0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04488" cy="6398898"/>
                <wp:effectExtent l="0" t="0" r="5712" b="1902"/>
                <wp:wrapSquare wrapText="bothSides"/>
                <wp:docPr id="373639960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8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0D37B7" w14:paraId="24334B8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59A070D" w14:textId="77777777" w:rsidR="000D37B7" w:rsidRDefault="00000000">
                                  <w:pPr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</w:rPr>
                                    <w:t>Comisión Estatal de Conciliación y Arbitraje Médico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0D3EE8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6E055C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EE586FB" w14:textId="77777777" w:rsidR="000D37B7" w:rsidRDefault="00000000">
                                  <w:pPr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783E93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675493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EC4194D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Correspondiente del 1 de Enero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40B7A03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175B16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29E9670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8FE1AE9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67BAD8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77BC13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876D708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224153D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4F9C00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22099D8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108390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60C8E4F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ABC2A97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$ 0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BABE0C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A198803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401BC8E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2519EBB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0431EA9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9FC121D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64F9868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696BE9F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0D048C0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4F647E4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30BBBC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39F0732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E3D239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17E8C9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27BDE28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5064533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C9996DD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B3D64E3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D54590B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5D5961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8797B96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7871FF4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5E1B426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EC8EDD8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22EF7BC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906990C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D2A4CF5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Estimaciones por 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D7268C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AEEB701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48154B6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86D4A87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D0FBD3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359C53D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5F08B1B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0F49F73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FA518E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517BC0E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A964E82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34EC0DE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259CDD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39DC868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1E05EF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5D69EF4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33B54F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F0B999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70CD934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2F589B0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0B0110F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D8B4A7D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10850E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DB088DA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87EF667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9BF93C7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5950247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2A4B41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B7B9B2B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FFCADA5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B9E516F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3A6D588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5AA3D0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358A4A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41C844C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50C254F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E002F66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82744E2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5006BD7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4888AE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AB04385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71B03A7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26822AA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0D37B7" w14:paraId="26B46FD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D9FFCD7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DB37FD2" w14:textId="77777777" w:rsidR="000D37B7" w:rsidRDefault="000D37B7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A3B9294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A72F1D5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0D37B7" w14:paraId="5857D1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326D14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08F9565" w14:textId="77777777" w:rsidR="000D37B7" w:rsidRDefault="00000000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F632AB8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A6AA565" w14:textId="77777777" w:rsidR="000D37B7" w:rsidRDefault="000D37B7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3C049CD6" w14:textId="77777777" w:rsidR="000D37B7" w:rsidRDefault="000D37B7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94979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5.5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0D37B7" w14:paraId="24334B8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59A070D" w14:textId="77777777" w:rsidR="000D37B7" w:rsidRDefault="00000000">
                            <w:pPr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</w:rPr>
                              <w:t>Comisión Estatal de Conciliación y Arbitraje Médico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0D3EE8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6E055C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EE586FB" w14:textId="77777777" w:rsidR="000D37B7" w:rsidRDefault="00000000">
                            <w:pPr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783E93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675493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EC4194D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Correspondiente del 1 de Enero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40B7A03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175B16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29E9670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8FE1AE9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67BAD8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77BC13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876D708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224153D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4F9C00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22099D8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108390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60C8E4F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ABC2A97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$ 0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BABE0C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A198803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401BC8E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2519EBB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0431EA9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9FC121D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64F9868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696BE9F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0D048C0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4F647E4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30BBBC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39F0732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E3D239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17E8C9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27BDE28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5064533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C9996DD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B3D64E3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D54590B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5D5961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8797B96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7871FF4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5E1B426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EC8EDD8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22EF7BC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906990C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D2A4CF5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Estimaciones por 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D7268C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AEEB701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48154B6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86D4A87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D0FBD3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359C53D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5F08B1B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0F49F73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FA518E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517BC0E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A964E82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34EC0DE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259CDD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39DC868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1E05EF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5D69EF4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33B54F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F0B999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70CD934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2F589B0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0B0110F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D8B4A7D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10850E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DB088DA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87EF667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9BF93C7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5950247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2A4B41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B7B9B2B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FFCADA5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B9E516F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3A6D588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5AA3D0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358A4A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41C844C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50C254F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E002F66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82744E2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5006BD7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4888AE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AB04385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71B03A7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26822AA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0D37B7" w14:paraId="26B46FD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D9FFCD7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DB37FD2" w14:textId="77777777" w:rsidR="000D37B7" w:rsidRDefault="000D37B7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A3B9294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A72F1D5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0D37B7" w14:paraId="5857D1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326D14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08F9565" w14:textId="77777777" w:rsidR="000D37B7" w:rsidRDefault="00000000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F632AB8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A6AA565" w14:textId="77777777" w:rsidR="000D37B7" w:rsidRDefault="000D37B7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3C049CD6" w14:textId="77777777" w:rsidR="000D37B7" w:rsidRDefault="000D37B7"/>
                  </w:txbxContent>
                </v:textbox>
                <w10:wrap type="square"/>
              </v:shape>
            </w:pict>
          </mc:Fallback>
        </mc:AlternateContent>
      </w:r>
    </w:p>
    <w:p w14:paraId="1D4C3355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F5A066B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23"/>
        <w:gridCol w:w="2096"/>
        <w:gridCol w:w="43"/>
        <w:gridCol w:w="117"/>
        <w:gridCol w:w="43"/>
        <w:gridCol w:w="117"/>
        <w:gridCol w:w="43"/>
      </w:tblGrid>
      <w:tr w:rsidR="000D37B7" w14:paraId="387150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5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BB4F5BD" w14:textId="77777777" w:rsidR="000D37B7" w:rsidRDefault="000D37B7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38441659" w14:textId="77777777" w:rsidR="000D37B7" w:rsidRDefault="000D37B7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71A2123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5F629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27A98F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7FF2D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Estatal de Conciliación y Arbitraje Médico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526B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78A18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41D3C2C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46C4A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B0D79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0DCCE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12146D2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3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4DE87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2024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9C1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8C90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2B1C0B4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3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EF98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37B2D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948D5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364157C6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8FB2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80400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E3F2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99C1F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7531E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5122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34ABE91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24BE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B5063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$ 0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A4C1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86232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043C44E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9D16D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413AB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3757E" w14:textId="77777777" w:rsidR="000D37B7" w:rsidRDefault="000D37B7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F2BAF" w14:textId="77777777" w:rsidR="000D37B7" w:rsidRDefault="000D37B7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B81EE" w14:textId="77777777" w:rsidR="000D37B7" w:rsidRDefault="000D37B7">
            <w:pPr>
              <w:pStyle w:val="Standard"/>
              <w:widowControl w:val="0"/>
              <w:spacing w:line="240" w:lineRule="auto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491DB" w14:textId="77777777" w:rsidR="000D37B7" w:rsidRDefault="000D37B7">
            <w:pPr>
              <w:pStyle w:val="Standard"/>
              <w:widowControl w:val="0"/>
              <w:spacing w:line="240" w:lineRule="auto"/>
            </w:pPr>
          </w:p>
        </w:tc>
      </w:tr>
      <w:tr w:rsidR="000D37B7" w14:paraId="517562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CB45B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FB764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B30DF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EC808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CBFC3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5A3E9DF3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0783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DDCEB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10347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A7D1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DBB7E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56F678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5090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83A0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4666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4968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F0929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1490321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5739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31F1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C9915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9B1C5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57ED9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FF5DEE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E352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A1E1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13B2F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86A5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3830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03F602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5BCC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8211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DA1A9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FC848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33D9D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747691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81014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C8A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76C09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8660C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F867E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49BA78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75E9C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57CE9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C240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9CF4A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2330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2D0FEF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58FD2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B5F94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E8702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E342F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4F4D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0EE539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526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FF8E2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BCA2B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7CC2E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0E49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566410B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ABEE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8A38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63DB9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AA73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DCDFC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90F9C2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12F7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6C7E9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0341F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C7A7B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85C5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3D7F89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73A60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7280D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856E2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A05FA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414A0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48A198F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7C696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A689E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C669E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9808E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BA86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049201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555D3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A7EA9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9C860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8E07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75086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598A28B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0CC21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3C330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3EF4C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0010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3B81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26931A45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7DC14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2B392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FCCBD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E73A9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7DDC0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51BC3BB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384EE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FA3AF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748EB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518C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3F649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374034D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AC1BA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6E0E5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EB9B6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75329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E0FC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24F9620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8C798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DECBB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ABF4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4B0AB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A61DE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B4D5AB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1B0FC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F6740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8C277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91C4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DDF5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AF6591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D8648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5385E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0BC0618B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6E6ABA7B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0E83D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20D5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A7FD2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22F1065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53508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3902DAD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D352169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A4F91A3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2E18D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32E38EB4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5EE656DF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459F8DCA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50F63FD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0A7BA014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43B8D776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252EAC8D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E592B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F8615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7CE0F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90E29" w14:textId="77777777" w:rsidR="000D37B7" w:rsidRDefault="000D37B7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3C52B0F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D5ACD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1357A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D5C57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C5956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C0904" w14:textId="77777777" w:rsidR="000D37B7" w:rsidRDefault="000D37B7">
            <w:pPr>
              <w:pStyle w:val="Standard"/>
              <w:widowControl w:val="0"/>
            </w:pPr>
          </w:p>
        </w:tc>
      </w:tr>
      <w:tr w:rsidR="000D37B7" w14:paraId="2AA9686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B3397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7157B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FB932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07EC4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C099C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1C12BC78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83E18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2FB67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392B5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00000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CB61A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4AE230B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503D7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10415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5D37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2DAAC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BF491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55FE9CF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FF13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D5BE3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AE116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A1016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903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0DD0FF3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620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A4AC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130E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BDF3F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04197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5877861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AE3A1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B4F62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14FC6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E2B5C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22664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47BB028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12B26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537B" w14:textId="77777777" w:rsidR="000D37B7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6722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D47D6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B755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D3F4401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C0BC4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C568A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0BB2E" w14:textId="77777777" w:rsidR="000D37B7" w:rsidRDefault="000D37B7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9C5C1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44245" w14:textId="77777777" w:rsidR="000D37B7" w:rsidRDefault="000D37B7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7B7" w14:paraId="6B2B04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0CCA1" w14:textId="77777777" w:rsidR="000D37B7" w:rsidRDefault="00000000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7167B" w14:textId="77777777" w:rsidR="000D37B7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25ED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1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EC9B" w14:textId="77777777" w:rsidR="000D37B7" w:rsidRDefault="000D37B7">
            <w:pPr>
              <w:pStyle w:val="Standard"/>
              <w:widowControl w:val="0"/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6EBA6" w14:textId="77777777" w:rsidR="000D37B7" w:rsidRDefault="000D37B7">
            <w:pPr>
              <w:pStyle w:val="Standard"/>
              <w:widowControl w:val="0"/>
            </w:pPr>
          </w:p>
        </w:tc>
      </w:tr>
    </w:tbl>
    <w:p w14:paraId="6C45D695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E45F6C2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D184837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7975AB8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4801EAE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225F140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4A4D747" w14:textId="77777777" w:rsidR="000D37B7" w:rsidRDefault="000D37B7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2E38D04" w14:textId="77777777" w:rsidR="000D37B7" w:rsidRDefault="000D37B7">
      <w:pPr>
        <w:pStyle w:val="Standard"/>
        <w:spacing w:after="0"/>
        <w:rPr>
          <w:rFonts w:cs="DIN Pro Regular"/>
          <w:sz w:val="20"/>
          <w:szCs w:val="20"/>
        </w:rPr>
      </w:pPr>
    </w:p>
    <w:p w14:paraId="4EA5C491" w14:textId="77777777" w:rsidR="000D37B7" w:rsidRDefault="000D37B7">
      <w:pPr>
        <w:pStyle w:val="Standard"/>
        <w:spacing w:after="0"/>
        <w:rPr>
          <w:rFonts w:cs="DIN Pro Regular"/>
          <w:sz w:val="20"/>
          <w:szCs w:val="20"/>
        </w:rPr>
      </w:pPr>
    </w:p>
    <w:p w14:paraId="4872E104" w14:textId="77777777" w:rsidR="000D37B7" w:rsidRDefault="000D37B7">
      <w:pPr>
        <w:pStyle w:val="Standard"/>
        <w:spacing w:after="0"/>
        <w:rPr>
          <w:rFonts w:cs="DIN Pro Regular"/>
          <w:sz w:val="20"/>
          <w:szCs w:val="20"/>
        </w:rPr>
      </w:pPr>
    </w:p>
    <w:p w14:paraId="7A2F3755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06AB2C4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858B87C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EAA3821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338091F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7C28BCB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D79BC4F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239F575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48A6806" w14:textId="77777777" w:rsidR="000D37B7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CC5A086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4ABEF33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3044C0C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6E63E01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9E57772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324040B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7BBD33D" w14:textId="77777777" w:rsidR="000D37B7" w:rsidRDefault="000D37B7">
      <w:pPr>
        <w:pStyle w:val="Text"/>
        <w:spacing w:after="0" w:line="240" w:lineRule="exact"/>
        <w:jc w:val="center"/>
      </w:pPr>
    </w:p>
    <w:p w14:paraId="2BA3C2AC" w14:textId="77777777" w:rsidR="000D37B7" w:rsidRDefault="000D37B7">
      <w:pPr>
        <w:pStyle w:val="Text"/>
        <w:spacing w:after="0" w:line="240" w:lineRule="exact"/>
        <w:jc w:val="center"/>
      </w:pPr>
    </w:p>
    <w:p w14:paraId="44700F75" w14:textId="77777777" w:rsidR="000D37B7" w:rsidRDefault="000D37B7">
      <w:pPr>
        <w:pStyle w:val="Text"/>
        <w:spacing w:after="0" w:line="240" w:lineRule="exact"/>
        <w:jc w:val="center"/>
      </w:pPr>
    </w:p>
    <w:p w14:paraId="1A0DE694" w14:textId="77777777" w:rsidR="000D37B7" w:rsidRDefault="000D37B7">
      <w:pPr>
        <w:pStyle w:val="Text"/>
        <w:spacing w:after="0" w:line="240" w:lineRule="exact"/>
        <w:jc w:val="center"/>
      </w:pPr>
    </w:p>
    <w:p w14:paraId="225384E6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91E29D1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53734F5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01F76291" w14:textId="77777777" w:rsidR="000D37B7" w:rsidRDefault="000D37B7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A8CF3B3" w14:textId="77777777" w:rsidR="000D37B7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5C6DD526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C96E956" w14:textId="77777777" w:rsidR="000D37B7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4482714B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B411732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B23C7E8" w14:textId="77777777" w:rsidR="000D37B7" w:rsidRDefault="00000000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Cuentas de Orden Contables y Presupuestarias:      NO APLICA</w:t>
      </w:r>
    </w:p>
    <w:p w14:paraId="56B8FAF4" w14:textId="77777777" w:rsidR="000D37B7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11803D3B" w14:textId="77777777" w:rsidR="000D37B7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Valores</w:t>
      </w:r>
    </w:p>
    <w:p w14:paraId="7FB9CB0F" w14:textId="77777777" w:rsidR="000D37B7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Emisión de obligaciones</w:t>
      </w:r>
    </w:p>
    <w:p w14:paraId="15AFFB5C" w14:textId="77777777" w:rsidR="000D37B7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Avales y garantías</w:t>
      </w:r>
    </w:p>
    <w:p w14:paraId="1B4AA41C" w14:textId="77777777" w:rsidR="000D37B7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Juicios</w:t>
      </w:r>
    </w:p>
    <w:p w14:paraId="198675AE" w14:textId="77777777" w:rsidR="000D37B7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565D4DD4" w14:textId="77777777" w:rsidR="000D37B7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547FB201" w14:textId="77777777" w:rsidR="000D37B7" w:rsidRDefault="000D37B7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1DCB119" w14:textId="77777777" w:rsidR="000D37B7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4A82D2AA" w14:textId="77777777" w:rsidR="000D37B7" w:rsidRDefault="000D37B7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1241"/>
      </w:tblGrid>
      <w:tr w:rsidR="000D37B7" w14:paraId="6CBE01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A1A5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0D37B7" w14:paraId="2F78B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519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C29D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D567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0D37B7" w14:paraId="088752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94CE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830B" w14:textId="77777777" w:rsidR="000D37B7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1F86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449192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7437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354C" w14:textId="77777777" w:rsidR="000D37B7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A436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7D0509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14EF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BEF" w14:textId="77777777" w:rsidR="000D37B7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21C4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21CEA4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623B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3B63" w14:textId="77777777" w:rsidR="000D37B7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2985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321421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F8FC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929E" w14:textId="77777777" w:rsidR="000D37B7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A4A4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</w:tbl>
    <w:p w14:paraId="494FC086" w14:textId="77777777" w:rsidR="000D37B7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1399BE2F" w14:textId="77777777" w:rsidR="000D37B7" w:rsidRDefault="000D37B7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1241"/>
      </w:tblGrid>
      <w:tr w:rsidR="000D37B7" w14:paraId="050E3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BAF6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0D37B7" w14:paraId="16AB0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694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2066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194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0D37B7" w14:paraId="7A37C8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B63F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59D1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72FA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1B516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3EE2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3A33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5EB0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7693AD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0F3F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A6DF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A1B1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7EAC9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9243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BE5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CBF0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336D07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20C4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D227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D892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18A9E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3E29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933C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290F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  <w:tr w:rsidR="000D37B7" w14:paraId="0FAA6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F158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9262" w14:textId="77777777" w:rsidR="000D37B7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BC81" w14:textId="77777777" w:rsidR="000D37B7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0</w:t>
            </w:r>
          </w:p>
        </w:tc>
      </w:tr>
    </w:tbl>
    <w:p w14:paraId="1655498E" w14:textId="77777777" w:rsidR="000D37B7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60F37DD0" w14:textId="77777777" w:rsidR="000D37B7" w:rsidRDefault="000D37B7">
      <w:pPr>
        <w:pStyle w:val="Text"/>
        <w:spacing w:after="0" w:line="240" w:lineRule="exact"/>
        <w:ind w:left="2160" w:hanging="540"/>
      </w:pPr>
    </w:p>
    <w:p w14:paraId="782E7B5C" w14:textId="77777777" w:rsidR="000D37B7" w:rsidRDefault="000D37B7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2A3F80B8" w14:textId="77777777" w:rsidR="000D37B7" w:rsidRDefault="000D37B7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139D5E7" w14:textId="77777777" w:rsidR="000D37B7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2CFEE91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7DFFD683" w14:textId="77777777" w:rsidR="000D37B7" w:rsidRDefault="000D37B7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5AD55561" w14:textId="77777777" w:rsidR="000D37B7" w:rsidRDefault="000D37B7">
      <w:pPr>
        <w:pStyle w:val="Standard"/>
        <w:spacing w:after="0" w:line="240" w:lineRule="auto"/>
      </w:pPr>
    </w:p>
    <w:sectPr w:rsidR="000D37B7">
      <w:headerReference w:type="default" r:id="rId7"/>
      <w:footerReference w:type="default" r:id="rId8"/>
      <w:pgSz w:w="12240" w:h="15840"/>
      <w:pgMar w:top="1701" w:right="1440" w:bottom="1077" w:left="1440" w:header="45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9039" w14:textId="77777777" w:rsidR="008F23E6" w:rsidRDefault="008F23E6">
      <w:r>
        <w:separator/>
      </w:r>
    </w:p>
  </w:endnote>
  <w:endnote w:type="continuationSeparator" w:id="0">
    <w:p w14:paraId="1E58B61C" w14:textId="77777777" w:rsidR="008F23E6" w:rsidRDefault="008F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HelveticaNeueLT Std Lt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EBD7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E014E8" wp14:editId="4F8ED54F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69489975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7EA94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99B5" w14:textId="77777777" w:rsidR="008F23E6" w:rsidRDefault="008F23E6">
      <w:r>
        <w:rPr>
          <w:color w:val="000000"/>
        </w:rPr>
        <w:separator/>
      </w:r>
    </w:p>
  </w:footnote>
  <w:footnote w:type="continuationSeparator" w:id="0">
    <w:p w14:paraId="136FFD2D" w14:textId="77777777" w:rsidR="008F23E6" w:rsidRDefault="008F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4AE6" w14:textId="77777777" w:rsidR="00000000" w:rsidRDefault="00000000">
    <w:pPr>
      <w:pStyle w:val="Encabezado"/>
      <w:tabs>
        <w:tab w:val="clear" w:pos="8838"/>
        <w:tab w:val="left" w:pos="796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48A44" wp14:editId="6F092725">
              <wp:simplePos x="0" y="0"/>
              <wp:positionH relativeFrom="margin">
                <wp:posOffset>4610103</wp:posOffset>
              </wp:positionH>
              <wp:positionV relativeFrom="paragraph">
                <wp:posOffset>-221613</wp:posOffset>
              </wp:positionV>
              <wp:extent cx="1473839" cy="838203"/>
              <wp:effectExtent l="0" t="0" r="0" b="0"/>
              <wp:wrapSquare wrapText="bothSides"/>
              <wp:docPr id="79917498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839" cy="8382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2D1C89F" w14:textId="77777777" w:rsidR="00000000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3D5DF98D" wp14:editId="593B7D2C">
                                <wp:extent cx="723903" cy="704846"/>
                                <wp:effectExtent l="0" t="0" r="0" b="4"/>
                                <wp:docPr id="1616214051" name="Imagen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03" cy="704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48A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pt;margin-top:-17.45pt;width:116.05pt;height:6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" stroked="f">
              <v:textbox>
                <w:txbxContent>
                  <w:p w14:paraId="12D1C89F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3D5DF98D" wp14:editId="593B7D2C">
                          <wp:extent cx="723903" cy="704846"/>
                          <wp:effectExtent l="0" t="0" r="0" b="4"/>
                          <wp:docPr id="1616214051" name="Imagen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3" cy="704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D2FAB7B" wp14:editId="38D25D09">
          <wp:simplePos x="0" y="0"/>
          <wp:positionH relativeFrom="column">
            <wp:posOffset>-294007</wp:posOffset>
          </wp:positionH>
          <wp:positionV relativeFrom="paragraph">
            <wp:posOffset>52706</wp:posOffset>
          </wp:positionV>
          <wp:extent cx="1798323" cy="568327"/>
          <wp:effectExtent l="0" t="0" r="0" b="3173"/>
          <wp:wrapTopAndBottom/>
          <wp:docPr id="12636357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2AD2A41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47E374" wp14:editId="55EDDA64">
              <wp:simplePos x="0" y="0"/>
              <wp:positionH relativeFrom="column">
                <wp:posOffset>13331</wp:posOffset>
              </wp:positionH>
              <wp:positionV relativeFrom="paragraph">
                <wp:posOffset>464816</wp:posOffset>
              </wp:positionV>
              <wp:extent cx="6191887" cy="0"/>
              <wp:effectExtent l="0" t="0" r="0" b="0"/>
              <wp:wrapNone/>
              <wp:docPr id="149300392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02D43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1.05pt;margin-top:36.6pt;width:487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" strokecolor="#bc955c" strokeweight=".70561mm">
              <v:stroke joinstyle="miter"/>
            </v:shape>
          </w:pict>
        </mc:Fallback>
      </mc:AlternateContent>
    </w:r>
    <w:r>
      <w:rPr>
        <w:rFonts w:ascii="Encode Sans" w:hAnsi="Encode Sans" w:cs="Arial"/>
        <w:b/>
      </w:rPr>
      <w:t xml:space="preserve">Comisión Estatal de Conciliación y </w:t>
    </w:r>
  </w:p>
  <w:p w14:paraId="183ACB25" w14:textId="77777777" w:rsidR="00000000" w:rsidRDefault="00000000">
    <w:pPr>
      <w:pStyle w:val="Encabezado"/>
      <w:tabs>
        <w:tab w:val="clear" w:pos="8838"/>
        <w:tab w:val="left" w:pos="2295"/>
        <w:tab w:val="center" w:pos="4680"/>
        <w:tab w:val="left" w:pos="7965"/>
      </w:tabs>
    </w:pPr>
    <w:r>
      <w:rPr>
        <w:rFonts w:ascii="Encode Sans" w:hAnsi="Encode Sans" w:cs="Arial"/>
        <w:b/>
      </w:rPr>
      <w:tab/>
    </w:r>
    <w:r>
      <w:rPr>
        <w:rFonts w:ascii="Encode Sans" w:hAnsi="Encode Sans" w:cs="Arial"/>
        <w:b/>
      </w:rPr>
      <w:tab/>
      <w:t>Arbitraje Médico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567F"/>
    <w:multiLevelType w:val="multilevel"/>
    <w:tmpl w:val="2970FA9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."/>
      <w:lvlJc w:val="left"/>
    </w:lvl>
    <w:lvl w:ilvl="2">
      <w:start w:val="1"/>
      <w:numFmt w:val="none"/>
      <w:lvlText w:val="."/>
      <w:lvlJc w:val="left"/>
    </w:lvl>
    <w:lvl w:ilvl="3">
      <w:start w:val="1"/>
      <w:numFmt w:val="none"/>
      <w:lvlText w:val="."/>
      <w:lvlJc w:val="left"/>
    </w:lvl>
    <w:lvl w:ilvl="4">
      <w:start w:val="1"/>
      <w:numFmt w:val="none"/>
      <w:lvlText w:val="."/>
      <w:lvlJc w:val="left"/>
    </w:lvl>
    <w:lvl w:ilvl="5">
      <w:start w:val="1"/>
      <w:numFmt w:val="none"/>
      <w:lvlText w:val="."/>
      <w:lvlJc w:val="left"/>
    </w:lvl>
    <w:lvl w:ilvl="6">
      <w:start w:val="1"/>
      <w:numFmt w:val="none"/>
      <w:lvlText w:val="."/>
      <w:lvlJc w:val="left"/>
    </w:lvl>
    <w:lvl w:ilvl="7">
      <w:start w:val="1"/>
      <w:numFmt w:val="none"/>
      <w:lvlText w:val="."/>
      <w:lvlJc w:val="left"/>
    </w:lvl>
    <w:lvl w:ilvl="8">
      <w:start w:val="1"/>
      <w:numFmt w:val="none"/>
      <w:lvlText w:val="."/>
      <w:lvlJc w:val="left"/>
    </w:lvl>
  </w:abstractNum>
  <w:abstractNum w:abstractNumId="1" w15:restartNumberingAfterBreak="0">
    <w:nsid w:val="32006BA3"/>
    <w:multiLevelType w:val="multilevel"/>
    <w:tmpl w:val="52C272FA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4E457409"/>
    <w:multiLevelType w:val="multilevel"/>
    <w:tmpl w:val="B3BCC36A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531506EF"/>
    <w:multiLevelType w:val="multilevel"/>
    <w:tmpl w:val="6C52EDE2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."/>
      <w:lvlJc w:val="left"/>
      <w:pPr>
        <w:ind w:left="1368" w:hanging="360"/>
      </w:pPr>
    </w:lvl>
    <w:lvl w:ilvl="2">
      <w:start w:val="1"/>
      <w:numFmt w:val="lowerRoman"/>
      <w:lvlText w:val="."/>
      <w:lvlJc w:val="right"/>
      <w:pPr>
        <w:ind w:left="2088" w:hanging="180"/>
      </w:pPr>
    </w:lvl>
    <w:lvl w:ilvl="3">
      <w:start w:val="1"/>
      <w:numFmt w:val="decimal"/>
      <w:lvlText w:val="."/>
      <w:lvlJc w:val="left"/>
      <w:pPr>
        <w:ind w:left="2808" w:hanging="360"/>
      </w:pPr>
    </w:lvl>
    <w:lvl w:ilvl="4">
      <w:start w:val="1"/>
      <w:numFmt w:val="lowerLetter"/>
      <w:lvlText w:val="."/>
      <w:lvlJc w:val="left"/>
      <w:pPr>
        <w:ind w:left="3528" w:hanging="360"/>
      </w:pPr>
    </w:lvl>
    <w:lvl w:ilvl="5">
      <w:start w:val="1"/>
      <w:numFmt w:val="lowerRoman"/>
      <w:lvlText w:val="."/>
      <w:lvlJc w:val="right"/>
      <w:pPr>
        <w:ind w:left="4248" w:hanging="180"/>
      </w:pPr>
    </w:lvl>
    <w:lvl w:ilvl="6">
      <w:start w:val="1"/>
      <w:numFmt w:val="decimal"/>
      <w:lvlText w:val="."/>
      <w:lvlJc w:val="left"/>
      <w:pPr>
        <w:ind w:left="4968" w:hanging="360"/>
      </w:pPr>
    </w:lvl>
    <w:lvl w:ilvl="7">
      <w:start w:val="1"/>
      <w:numFmt w:val="lowerLetter"/>
      <w:lvlText w:val="."/>
      <w:lvlJc w:val="left"/>
      <w:pPr>
        <w:ind w:left="5688" w:hanging="360"/>
      </w:pPr>
    </w:lvl>
    <w:lvl w:ilvl="8">
      <w:start w:val="1"/>
      <w:numFmt w:val="lowerRoman"/>
      <w:lvlText w:val="."/>
      <w:lvlJc w:val="right"/>
      <w:pPr>
        <w:ind w:left="6408" w:hanging="180"/>
      </w:pPr>
    </w:lvl>
  </w:abstractNum>
  <w:abstractNum w:abstractNumId="4" w15:restartNumberingAfterBreak="0">
    <w:nsid w:val="54B8503F"/>
    <w:multiLevelType w:val="multilevel"/>
    <w:tmpl w:val="8752CB7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0883425">
    <w:abstractNumId w:val="0"/>
  </w:num>
  <w:num w:numId="2" w16cid:durableId="754936943">
    <w:abstractNumId w:val="2"/>
  </w:num>
  <w:num w:numId="3" w16cid:durableId="577833812">
    <w:abstractNumId w:val="1"/>
  </w:num>
  <w:num w:numId="4" w16cid:durableId="1891385099">
    <w:abstractNumId w:val="4"/>
  </w:num>
  <w:num w:numId="5" w16cid:durableId="1139298415">
    <w:abstractNumId w:val="3"/>
  </w:num>
  <w:num w:numId="6" w16cid:durableId="2088528493">
    <w:abstractNumId w:val="2"/>
    <w:lvlOverride w:ilvl="0">
      <w:startOverride w:val="1"/>
    </w:lvlOverride>
  </w:num>
  <w:num w:numId="7" w16cid:durableId="15397355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7B7"/>
    <w:rsid w:val="000D37B7"/>
    <w:rsid w:val="008F23E6"/>
    <w:rsid w:val="00D01798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BC4E"/>
  <w15:docId w15:val="{A09AC500-5E2B-41BF-85E0-D8C8A54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1575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 Tamaulipas</cp:lastModifiedBy>
  <cp:revision>2</cp:revision>
  <cp:lastPrinted>2024-09-11T18:36:00Z</cp:lastPrinted>
  <dcterms:created xsi:type="dcterms:W3CDTF">2025-03-11T22:16:00Z</dcterms:created>
  <dcterms:modified xsi:type="dcterms:W3CDTF">2025-03-11T22:16:00Z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