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52FBE" w14:textId="77777777" w:rsidR="00F46F69" w:rsidRDefault="00F46F69">
      <w:pPr>
        <w:pStyle w:val="Text"/>
      </w:pPr>
    </w:p>
    <w:p w14:paraId="05858303" w14:textId="77777777" w:rsidR="00F46F69" w:rsidRDefault="00000000">
      <w:pPr>
        <w:pStyle w:val="Text"/>
        <w:spacing w:after="0" w:line="240" w:lineRule="exact"/>
        <w:jc w:val="center"/>
      </w:pPr>
      <w:r>
        <w:rPr>
          <w:rFonts w:ascii="Calibri" w:hAnsi="Calibri" w:cs="DIN Pro Regular"/>
          <w:b/>
          <w:sz w:val="24"/>
          <w:szCs w:val="24"/>
        </w:rPr>
        <w:t>Cuenta Pública 2024</w:t>
      </w:r>
    </w:p>
    <w:p w14:paraId="6DFFCEA6" w14:textId="77777777" w:rsidR="00F46F69" w:rsidRDefault="00F46F69">
      <w:pPr>
        <w:pStyle w:val="Text"/>
        <w:spacing w:after="0" w:line="240" w:lineRule="exact"/>
        <w:jc w:val="center"/>
        <w:rPr>
          <w:rFonts w:ascii="Calibri" w:hAnsi="Calibri" w:cs="DIN Pro Regular"/>
          <w:b/>
          <w:sz w:val="24"/>
          <w:szCs w:val="24"/>
        </w:rPr>
      </w:pPr>
    </w:p>
    <w:p w14:paraId="09A797DD" w14:textId="77777777" w:rsidR="00F46F69" w:rsidRDefault="00000000">
      <w:pPr>
        <w:pStyle w:val="Text"/>
        <w:spacing w:after="0" w:line="240" w:lineRule="exact"/>
        <w:jc w:val="center"/>
      </w:pPr>
      <w:r>
        <w:rPr>
          <w:rFonts w:ascii="Calibri" w:hAnsi="Calibri" w:cs="DIN Pro Regular"/>
          <w:b/>
          <w:sz w:val="24"/>
          <w:szCs w:val="24"/>
        </w:rPr>
        <w:t>Notas a los Estados Financieros</w:t>
      </w:r>
    </w:p>
    <w:p w14:paraId="7D79BFF0" w14:textId="77777777" w:rsidR="00F46F69" w:rsidRDefault="00F46F69">
      <w:pPr>
        <w:pStyle w:val="Text"/>
        <w:spacing w:after="0" w:line="240" w:lineRule="exact"/>
        <w:ind w:firstLine="0"/>
        <w:rPr>
          <w:rFonts w:ascii="Calibri" w:hAnsi="Calibri" w:cs="DIN Pro Regular"/>
          <w:b/>
          <w:sz w:val="24"/>
          <w:szCs w:val="24"/>
        </w:rPr>
      </w:pPr>
    </w:p>
    <w:p w14:paraId="42C56568" w14:textId="77777777" w:rsidR="00F46F69" w:rsidRDefault="00000000">
      <w:pPr>
        <w:pStyle w:val="Text"/>
        <w:spacing w:after="0" w:line="240" w:lineRule="exact"/>
        <w:ind w:firstLine="0"/>
        <w:jc w:val="center"/>
      </w:pPr>
      <w:r>
        <w:rPr>
          <w:rFonts w:ascii="Calibri" w:hAnsi="Calibri" w:cs="DIN Pro Regular"/>
          <w:b/>
          <w:sz w:val="22"/>
          <w:szCs w:val="22"/>
          <w:lang w:val="es-MX"/>
        </w:rPr>
        <w:t>a) NOTAS DE GESTIÓN ADMINISTRATIVA</w:t>
      </w:r>
    </w:p>
    <w:p w14:paraId="29D00D24" w14:textId="77777777" w:rsidR="00F46F69" w:rsidRDefault="00F46F69">
      <w:pPr>
        <w:pStyle w:val="Text"/>
        <w:spacing w:after="0" w:line="240" w:lineRule="exact"/>
        <w:ind w:firstLine="0"/>
        <w:jc w:val="left"/>
        <w:rPr>
          <w:rFonts w:ascii="Calibri" w:hAnsi="Calibri" w:cs="DIN Pro Regular"/>
          <w:sz w:val="20"/>
          <w:lang w:val="es-MX"/>
        </w:rPr>
      </w:pPr>
    </w:p>
    <w:p w14:paraId="2D94E70F" w14:textId="77777777" w:rsidR="00F46F69" w:rsidRDefault="00F46F69">
      <w:pPr>
        <w:pStyle w:val="Text"/>
        <w:spacing w:after="0" w:line="240" w:lineRule="exact"/>
        <w:ind w:firstLine="0"/>
        <w:jc w:val="left"/>
        <w:rPr>
          <w:rFonts w:ascii="Calibri" w:hAnsi="Calibri" w:cs="DIN Pro Regular"/>
          <w:sz w:val="20"/>
          <w:lang w:val="es-MX"/>
        </w:rPr>
      </w:pPr>
    </w:p>
    <w:p w14:paraId="44710124" w14:textId="77777777" w:rsidR="00F46F69" w:rsidRDefault="00000000">
      <w:pPr>
        <w:widowControl/>
        <w:numPr>
          <w:ilvl w:val="0"/>
          <w:numId w:val="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Autorización e Historia</w:t>
      </w:r>
    </w:p>
    <w:p w14:paraId="3E45A1FD"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10642D92" w14:textId="77777777" w:rsidR="00F46F69" w:rsidRDefault="00000000">
      <w:pPr>
        <w:widowControl/>
        <w:numPr>
          <w:ilvl w:val="0"/>
          <w:numId w:val="6"/>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Fecha de creación del ente público</w:t>
      </w:r>
    </w:p>
    <w:p w14:paraId="6E34F887" w14:textId="77777777" w:rsidR="00F46F69" w:rsidRDefault="00F46F69">
      <w:pPr>
        <w:widowControl/>
        <w:suppressAutoHyphens w:val="0"/>
        <w:spacing w:line="240" w:lineRule="exact"/>
        <w:ind w:left="1428"/>
        <w:jc w:val="both"/>
        <w:textAlignment w:val="auto"/>
        <w:rPr>
          <w:rFonts w:eastAsia="Times New Roman" w:cs="DIN Pro Regular"/>
          <w:lang w:eastAsia="es-ES"/>
        </w:rPr>
      </w:pPr>
    </w:p>
    <w:p w14:paraId="012F3F9E"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La primera Ley Orgánica del Ministerio Público en nuestro Estado fue expedida por el Gobernador Andrés Osuna el 8 de julio de 1918. Esta ley se dictó con fundamento en el Artículo 21 de la Constitución Federal, confiriéndoles facultades persecutorias y acusatorias ante los tribunales contra los responsables de un delito. Además de la intervención en los asuntos judiciales de orden civil. La organización de la institución consistió en designar un Procurador General de Justicia como Jefe del Ministerio Público, un Agente Auxiliar del Procurador y Agentes Adscritos a los juzgados de Primera Instancia.</w:t>
      </w:r>
    </w:p>
    <w:p w14:paraId="0CA84B85"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2F65ECDC"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La Ley Orgánica de 1926 fue promulgada por el Gobernador Marte R. Gómez esta extendió la composición del personal del Ministerio Público y autorizó al Gobernador para aumentar el número de agentes, misma que fue derogada por la Ley Orgánica del Ministerio Público promulgada por el Gobernador Praxedis Balboa en 1963, la cual crea la Dirección de Averiguaciones Previas y señala las exigencias para la Policía Judicial y la Rural, así como la creación de la Dirección Criminalística.</w:t>
      </w:r>
    </w:p>
    <w:p w14:paraId="743C7418"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4E3EBFCE"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En la administración de 1993-1999 siendo Gobernador el Lic. Manuel Cavazos Lerma se reforma la Ley Orgánica de Administración Pública Estatal asignando atribuciones a la Procuraduría General de Justicia en su artículo 23, así como las reformas efectuadas el 22 de junio de 1994 a la Ley Orgánica de la Procuraduría General de Justicia del Estado.</w:t>
      </w:r>
    </w:p>
    <w:p w14:paraId="58512677"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3C3D7AE6"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Mediante decreto No. 315 y publicado en el Periódico Oficial número 52 de fecha 1 de julio de 1998, entra en vigor la nueva Ley Orgánica de la Procuraduría General de Justicia del Estado Libre y Soberano de Tamaulipas, de fecha 23 de abril de 1986, así como sus posteriores reformas contenidas en los decretos números 70 y 10 publicados en los periódicos oficiales del estado de fecha 28 de noviembre de 1987 y 27 de febrero de 1993 respectivamente, en donde se destaca:</w:t>
      </w:r>
    </w:p>
    <w:p w14:paraId="1DA090F7"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33E60B2E" w14:textId="77777777" w:rsidR="00F46F69" w:rsidRDefault="00000000">
      <w:pPr>
        <w:widowControl/>
        <w:numPr>
          <w:ilvl w:val="0"/>
          <w:numId w:val="7"/>
        </w:numPr>
        <w:suppressAutoHyphens w:val="0"/>
        <w:spacing w:line="240" w:lineRule="exact"/>
        <w:ind w:left="1134" w:hanging="15"/>
        <w:jc w:val="both"/>
        <w:textAlignment w:val="auto"/>
        <w:rPr>
          <w:rFonts w:eastAsia="Times New Roman" w:cs="DIN Pro Regular"/>
          <w:lang w:eastAsia="es-ES"/>
        </w:rPr>
      </w:pPr>
      <w:r>
        <w:rPr>
          <w:rFonts w:eastAsia="Times New Roman" w:cs="DIN Pro Regular"/>
          <w:lang w:eastAsia="es-ES"/>
        </w:rPr>
        <w:t>La creación de las Agencias del Ministerio Público Conciliador.</w:t>
      </w:r>
    </w:p>
    <w:p w14:paraId="1B47A713" w14:textId="77777777" w:rsidR="00F46F69" w:rsidRDefault="00000000">
      <w:pPr>
        <w:widowControl/>
        <w:numPr>
          <w:ilvl w:val="0"/>
          <w:numId w:val="7"/>
        </w:numPr>
        <w:suppressAutoHyphens w:val="0"/>
        <w:spacing w:line="240" w:lineRule="exact"/>
        <w:ind w:left="1134" w:hanging="15"/>
        <w:jc w:val="both"/>
        <w:textAlignment w:val="auto"/>
        <w:rPr>
          <w:rFonts w:eastAsia="Times New Roman" w:cs="DIN Pro Regular"/>
          <w:lang w:eastAsia="es-ES"/>
        </w:rPr>
      </w:pPr>
      <w:r>
        <w:rPr>
          <w:rFonts w:eastAsia="Times New Roman" w:cs="DIN Pro Regular"/>
          <w:lang w:eastAsia="es-ES"/>
        </w:rPr>
        <w:t>El cambio de nombre de la Policía Judicial por Ministerial.</w:t>
      </w:r>
    </w:p>
    <w:p w14:paraId="26E142B2" w14:textId="77777777" w:rsidR="00F46F69" w:rsidRDefault="00000000">
      <w:pPr>
        <w:widowControl/>
        <w:numPr>
          <w:ilvl w:val="0"/>
          <w:numId w:val="7"/>
        </w:numPr>
        <w:suppressAutoHyphens w:val="0"/>
        <w:spacing w:line="240" w:lineRule="exact"/>
        <w:ind w:left="1134" w:hanging="15"/>
        <w:jc w:val="both"/>
        <w:textAlignment w:val="auto"/>
        <w:rPr>
          <w:rFonts w:eastAsia="Times New Roman" w:cs="DIN Pro Regular"/>
          <w:lang w:eastAsia="es-ES"/>
        </w:rPr>
      </w:pPr>
      <w:r>
        <w:rPr>
          <w:rFonts w:eastAsia="Times New Roman" w:cs="DIN Pro Regular"/>
          <w:lang w:eastAsia="es-ES"/>
        </w:rPr>
        <w:t>La profesionalización de los Servidores Públicos de la Procuraduría.</w:t>
      </w:r>
    </w:p>
    <w:p w14:paraId="2AC86262" w14:textId="77777777" w:rsidR="00F46F69" w:rsidRDefault="00000000">
      <w:pPr>
        <w:widowControl/>
        <w:numPr>
          <w:ilvl w:val="0"/>
          <w:numId w:val="7"/>
        </w:numPr>
        <w:suppressAutoHyphens w:val="0"/>
        <w:spacing w:line="240" w:lineRule="exact"/>
        <w:ind w:left="1134" w:hanging="15"/>
        <w:jc w:val="both"/>
        <w:textAlignment w:val="auto"/>
        <w:rPr>
          <w:rFonts w:eastAsia="Times New Roman" w:cs="DIN Pro Regular"/>
          <w:lang w:eastAsia="es-ES"/>
        </w:rPr>
      </w:pPr>
      <w:r>
        <w:rPr>
          <w:rFonts w:eastAsia="Times New Roman" w:cs="DIN Pro Regular"/>
          <w:lang w:eastAsia="es-ES"/>
        </w:rPr>
        <w:t>La creación del consejo de participación ciudadana de evaluación de las acciones tendientes a</w:t>
      </w:r>
    </w:p>
    <w:p w14:paraId="64731A86" w14:textId="77777777" w:rsidR="00F46F69" w:rsidRDefault="00000000">
      <w:pPr>
        <w:widowControl/>
        <w:suppressAutoHyphens w:val="0"/>
        <w:spacing w:line="240" w:lineRule="exact"/>
        <w:ind w:left="1134"/>
        <w:jc w:val="both"/>
        <w:textAlignment w:val="auto"/>
        <w:rPr>
          <w:rFonts w:eastAsia="Times New Roman" w:cs="DIN Pro Regular"/>
          <w:lang w:eastAsia="es-ES"/>
        </w:rPr>
      </w:pPr>
      <w:r>
        <w:rPr>
          <w:rFonts w:eastAsia="Times New Roman" w:cs="DIN Pro Regular"/>
          <w:lang w:eastAsia="es-ES"/>
        </w:rPr>
        <w:t xml:space="preserve">      profesionalizar a los servidores públicos de la Procuraduría General de Justicia.      </w:t>
      </w:r>
    </w:p>
    <w:p w14:paraId="2ECD671D"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18F9949C" w14:textId="77777777" w:rsidR="00F46F69" w:rsidRDefault="00000000">
      <w:pPr>
        <w:widowControl/>
        <w:numPr>
          <w:ilvl w:val="0"/>
          <w:numId w:val="6"/>
        </w:numPr>
        <w:suppressAutoHyphens w:val="0"/>
        <w:spacing w:line="240" w:lineRule="exact"/>
        <w:jc w:val="both"/>
        <w:textAlignment w:val="auto"/>
        <w:rPr>
          <w:rFonts w:eastAsia="Times New Roman" w:cs="DIN Pro Regular"/>
          <w:lang w:eastAsia="es-ES"/>
        </w:rPr>
      </w:pPr>
      <w:r>
        <w:rPr>
          <w:rFonts w:eastAsia="Times New Roman" w:cs="DIN Pro Regular"/>
          <w:lang w:eastAsia="es-ES"/>
        </w:rPr>
        <w:t>Principales cambios en la estructura</w:t>
      </w:r>
    </w:p>
    <w:p w14:paraId="39C6ECAE" w14:textId="77777777" w:rsidR="00F46F69" w:rsidRDefault="00F46F69">
      <w:pPr>
        <w:widowControl/>
        <w:suppressAutoHyphens w:val="0"/>
        <w:spacing w:line="240" w:lineRule="exact"/>
        <w:jc w:val="both"/>
        <w:textAlignment w:val="auto"/>
        <w:rPr>
          <w:rFonts w:eastAsia="Times New Roman" w:cs="DIN Pro Regular"/>
          <w:lang w:eastAsia="es-ES"/>
        </w:rPr>
      </w:pPr>
    </w:p>
    <w:p w14:paraId="1F72980B"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Con motivo de la transformación en la organización del Ministerio Público, tanto a nivel nacional como estatal, El 14 de noviembre del 2018, se expidió el Decreto LXIII-527, publicado en el Periódico Oficial del Estado No. 138 de fecha 15 de noviembre de 2018, que reforma entre otros el artículo 125 de la Constitución Política local, que da origen a la Fiscalía General de Justicia del Estado de Tamaulipas como un organismo público, con autonomía administrativa, técnica, operativa y presupuestal, personalidad jurídica y patrimonio propio.</w:t>
      </w:r>
    </w:p>
    <w:p w14:paraId="0A3FA6C1"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46ECFBE6"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0C8892D4"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6E75948C"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 xml:space="preserve">  El 20 de agosto de 2019, fue publicado en el Periódico Oficial del Estado No. 100, el Decreto LXIII-810 mediante el cual se expidió la Ley Orgánica de la Fiscalía General de Justicia del Estado de Tamaulipas, misma que regula la organización, funcionamiento y ejercicio de las atribuciones realizadas por esta institución mediante autonomía técnica, administrativa, operativa y presupuestal, así como la implementación de un nuevo modelo de procuración de justicia.</w:t>
      </w:r>
    </w:p>
    <w:p w14:paraId="2FD0AE47" w14:textId="77777777" w:rsidR="00F46F69" w:rsidRDefault="00F46F69">
      <w:pPr>
        <w:widowControl/>
        <w:suppressAutoHyphens w:val="0"/>
        <w:spacing w:line="240" w:lineRule="exact"/>
        <w:jc w:val="both"/>
        <w:textAlignment w:val="auto"/>
        <w:rPr>
          <w:rFonts w:eastAsia="Times New Roman" w:cs="DIN Pro Regular"/>
          <w:lang w:eastAsia="es-ES"/>
        </w:rPr>
      </w:pPr>
    </w:p>
    <w:p w14:paraId="73BAB787"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 xml:space="preserve">El 5 de diciembre de 2019, se constituyó la Unidad Técnica para la implementación del nuevo modelo de procuración de justicia de la Fiscalía General de Justicia del Estado de Tamaulipas, misma que en cumplimiento al procedimiento establecido, presentó al Fiscal General de Justicia y al Consejo de Fiscales, el Reglamento de la Ley Orgánica de la Fiscalía General de Justicia del Estado de Tamaulipas, el cual fue publicado en el Periódico Oficial del Estado, Edición Vespertina número 139 mediante el decreto LXIII-810 el 18 de noviembre de 2020. </w:t>
      </w:r>
    </w:p>
    <w:p w14:paraId="5D1F98CC"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2035B389"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Mediante decreto número LXIV-796 de fecha 19 de octubre de 2021, publicado en el Periódico Oficial del Estado número 124, se reformaron, adicionaron y derogaron diversas disposiciones a la Ley  Orgánica de la Administración Pública del Estado de Tamaulipas y la Ley  Orgánica de la Fiscalía General de Justicia del Estado de Tamaulipas, en el cual en su artículo Tercero y Quinto Transitorio, se menciona la transferencia de los recursos humanos, materiales y financieros que estaban adscritos a la Comisión  Estatal de Búsqueda de Personas Órgano Desconcentrado de la Fiscalía General de Justicia del Estado a la Secretaría General de Gobierno para que ésta, a su vez, los asignara conforme a la naturaleza de sus funciones a las unidades administrativas del órgano desconcentrado creado mediante el presente Decreto.</w:t>
      </w:r>
    </w:p>
    <w:p w14:paraId="4735580D"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647FB6EC"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 xml:space="preserve">Mediante decreto número 65-183 de fecha 01 de julio de 2022, publicado en el Periódico Oficial del Estado, Edición Vespertina Extraordinario Número 11, se reformaron y adicionaron diversas disposiciones a la Ley de Coordinación del Sistema de Seguridad Pública del Estado de Tamaulipas, la Ley de Seguridad Pública para el Estado de Tamaulipas, y la Ley Orgánica de la Fiscalía General de Justicia del Estado de Tamaulipas, en el cual en su artículo Tercero y Quinto Transitorio, se menciona la transferencia de los recursos humanos, materiales y financieros asignados al Secretariado Ejecutivo del Sistema Estatal de Seguridad Pública, Órgano Desconcentrado de la Secretaría General de Gobierno; así como a la Unidad de Inteligencia Financiera y Económica, unidad administrativa de la Secretaría de Finanzas, a la Fiscalía General de Justicia del Estado para que ésta a su vez, los asignara conforme a la naturaleza de sus funciones. </w:t>
      </w:r>
    </w:p>
    <w:p w14:paraId="12997186"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23A4E9D6"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bookmarkStart w:id="0" w:name="_Hlk189053670"/>
      <w:r>
        <w:rPr>
          <w:rFonts w:eastAsia="Times New Roman" w:cs="DIN Pro Regular"/>
          <w:lang w:eastAsia="es-ES"/>
        </w:rPr>
        <w:t xml:space="preserve">Mediante decreto número </w:t>
      </w:r>
      <w:bookmarkEnd w:id="0"/>
      <w:r>
        <w:rPr>
          <w:rFonts w:eastAsia="Times New Roman" w:cs="DIN Pro Regular"/>
          <w:lang w:eastAsia="es-ES"/>
        </w:rPr>
        <w:t>65-500 de fecha 22 de diciembre de 2022 publicado en el Periódico Oficial del Estado, Edición Vespertina Número 153, se reformaron y derogaron diversas disposiciones a la Ley de Coordinación del Sistema de Seguridad Pública del Estado de Tamaulipas, de la Ley de Seguridad Pública para el Estado de Tamaulipas, de la Ley Orgánica de la Fiscalía General de Justicia del Estado de Tamaulipas y de la Ley Orgánica de la Administración Pública del Estado de Tamaulipas, en el cual en su artículo Tercero y Quinto Transitorio, se menciona la transferencia de los recursos humanos, materiales y financieros, asignados a la Fiscalía General de Justicia del Estado vinculados con el Secretariado Ejecutivo del Sistema Estatal de Seguridad Pública, el Centro Estatal de Evaluación y Control de Confianza, el Centro General de Coordinación, Comando, Control, Comunicaciones, Cómputo e Inteligencia y la Unidad de Inteligencia Financiera y Económica, a la Secretaría General de Gobierno, y a la Secretaría de Finanzas, respectivamente, según corresponda, para que se asignaran conforme a la naturaleza de sus funciones.</w:t>
      </w:r>
    </w:p>
    <w:p w14:paraId="08AB8D83"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38609B1B" w14:textId="77777777" w:rsidR="00F46F69" w:rsidRDefault="00000000">
      <w:pPr>
        <w:widowControl/>
        <w:suppressAutoHyphens w:val="0"/>
        <w:spacing w:line="240" w:lineRule="exact"/>
        <w:ind w:left="708" w:firstLine="288"/>
        <w:jc w:val="both"/>
        <w:textAlignment w:val="auto"/>
        <w:rPr>
          <w:rFonts w:eastAsia="Times New Roman" w:cs="DIN Pro Regular"/>
          <w:lang w:eastAsia="es-ES"/>
        </w:rPr>
      </w:pPr>
      <w:r>
        <w:rPr>
          <w:rFonts w:eastAsia="Times New Roman" w:cs="DIN Pro Regular"/>
          <w:lang w:eastAsia="es-ES"/>
        </w:rPr>
        <w:t>A través del decreto número 65-677, de fecha 24 de octubre de 2023 publicado en el Periódico Oficial del Estado, Edición Vespertina Número 127, se reformaron, adicionaron y derogan diversas disposiciones de la Ley Orgánica de la Fiscalía General de Justicia del Estado de Tamaulipas, adicionando en el artículo 10, como unidades administrativas, la Vicefiscalía Especializada en la Investigación de Hechos en Materia de Corrupción y Vicefiscalía Especializada en Procesos Penales de Hechos en Materia de Corrupción. Aunado a lo anterior, en fecha 30 de octubre de 2023, se otorgó la Suspensión Provisional para la aplicación y ejecución del Decreto número 65-677, a través del expediente número 2142/2023 emitido por el Juzgado Séptimo de Distrito en el Estado de Tamaulipas.</w:t>
      </w:r>
    </w:p>
    <w:p w14:paraId="6D2B1D58"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2A119E33" w14:textId="77777777" w:rsidR="00F46F69" w:rsidRDefault="00000000">
      <w:pPr>
        <w:widowControl/>
        <w:suppressAutoHyphens w:val="0"/>
        <w:spacing w:after="101" w:line="240" w:lineRule="exact"/>
        <w:ind w:left="708" w:firstLine="288"/>
        <w:jc w:val="both"/>
        <w:textAlignment w:val="auto"/>
        <w:rPr>
          <w:rFonts w:eastAsia="Times New Roman" w:cs="DIN Pro Regular"/>
          <w:lang w:eastAsia="es-ES"/>
        </w:rPr>
      </w:pPr>
      <w:r>
        <w:rPr>
          <w:rFonts w:eastAsia="Times New Roman" w:cs="DIN Pro Regular"/>
          <w:lang w:eastAsia="es-ES"/>
        </w:rPr>
        <w:t>Mediante decreto número 66-68 de fecha 18 de noviembre de 2024 publicado en el Periódico Oficial del Estado se reformaron, adicionaron y derogaron diversas disposiciones de la Ley Orgánica de la Fiscalía General de Justicia del Estado de Tamaulipas y de la Ley Orgánica de la Administración Pública del Estado de Tamaulipas, en la cual los recursos materiales y financieros asignados a la Unidad de Inteligencia Financiera y Económica, unidad administrativa de la Secretaría de Finanzas, se transferirán a la Fiscalía General de Justicia del Estado para que ésta a su vez, los asigne conforme a la naturaleza de sus funciones a la Fiscalía Especializada en Combate a la Corrupción.</w:t>
      </w:r>
    </w:p>
    <w:p w14:paraId="00EECD4B" w14:textId="77777777" w:rsidR="00F46F69" w:rsidRDefault="00000000">
      <w:pPr>
        <w:widowControl/>
        <w:suppressAutoHyphens w:val="0"/>
        <w:spacing w:after="101" w:line="240" w:lineRule="exact"/>
        <w:ind w:left="708" w:firstLine="288"/>
        <w:jc w:val="both"/>
        <w:textAlignment w:val="auto"/>
        <w:rPr>
          <w:rFonts w:eastAsia="Times New Roman" w:cs="DIN Pro Regular"/>
          <w:lang w:eastAsia="es-ES"/>
        </w:rPr>
      </w:pPr>
      <w:r>
        <w:rPr>
          <w:rFonts w:eastAsia="Times New Roman" w:cs="DIN Pro Regular"/>
          <w:lang w:eastAsia="es-ES"/>
        </w:rPr>
        <w:t>Mediante decreto gubernamental edición número 153, publicado en el Periódico Oficial del Estado el 19 de diciembre de 2024, se reformaron los artículos 11 numerales 4.2.1 y 4.2.2, 93, 94, 95, 96, 97 y 125 fracción III al Reglamento de la Ley Orgánica de la Fiscalía General de Justicia del Estado, precisando que el ajuste en dichos preceptos se realiza para alinear, dotar de atribuciones más precisas a la Dirección General de Administración y sus Direcciones de Área buscando con ello dar cumplimiento a su quehacer institucional.</w:t>
      </w:r>
    </w:p>
    <w:p w14:paraId="644663A7" w14:textId="77777777" w:rsidR="00F46F69" w:rsidRDefault="00F46F69">
      <w:pPr>
        <w:widowControl/>
        <w:suppressAutoHyphens w:val="0"/>
        <w:spacing w:line="240" w:lineRule="exact"/>
        <w:jc w:val="both"/>
        <w:textAlignment w:val="auto"/>
        <w:rPr>
          <w:rFonts w:eastAsia="Times New Roman" w:cs="DIN Pro Regular"/>
          <w:lang w:eastAsia="es-ES"/>
        </w:rPr>
      </w:pPr>
    </w:p>
    <w:p w14:paraId="7B69DA5A" w14:textId="77777777" w:rsidR="00F46F69" w:rsidRDefault="00000000">
      <w:pPr>
        <w:widowControl/>
        <w:numPr>
          <w:ilvl w:val="0"/>
          <w:numId w:val="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Panorama Económico y Financiero</w:t>
      </w:r>
    </w:p>
    <w:p w14:paraId="26EAAE73"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14334015" w14:textId="77777777" w:rsidR="00F46F69" w:rsidRDefault="00000000">
      <w:pPr>
        <w:widowControl/>
        <w:suppressAutoHyphens w:val="0"/>
        <w:spacing w:line="240" w:lineRule="exact"/>
        <w:ind w:left="708" w:firstLine="285"/>
        <w:jc w:val="both"/>
        <w:textAlignment w:val="auto"/>
        <w:rPr>
          <w:rFonts w:eastAsia="Times New Roman" w:cs="DIN Pro Regular"/>
          <w:lang w:eastAsia="es-ES"/>
        </w:rPr>
      </w:pPr>
      <w:r>
        <w:rPr>
          <w:rFonts w:eastAsia="Times New Roman" w:cs="DIN Pro Regular"/>
          <w:lang w:eastAsia="es-ES"/>
        </w:rPr>
        <w:t>La Fiscalía General de Justicia del Estado de Tamaulipas, opera con recursos provenientes del Gobierno del Estado y recursos propios que se obtuvieron de las Constancias de No Antecedentes Penales, de los Apoyos de Mejoras y de los Intereses Financieros generados de las cuentas bancarias del organismo.</w:t>
      </w:r>
    </w:p>
    <w:p w14:paraId="0D2E11FD" w14:textId="77777777" w:rsidR="00F46F69" w:rsidRDefault="00F46F69">
      <w:pPr>
        <w:widowControl/>
        <w:suppressAutoHyphens w:val="0"/>
        <w:spacing w:line="240" w:lineRule="exact"/>
        <w:ind w:left="708" w:firstLine="285"/>
        <w:jc w:val="both"/>
        <w:textAlignment w:val="auto"/>
        <w:rPr>
          <w:rFonts w:eastAsia="Times New Roman" w:cs="DIN Pro Regular"/>
          <w:lang w:eastAsia="es-ES"/>
        </w:rPr>
      </w:pPr>
    </w:p>
    <w:p w14:paraId="3B74DEC4" w14:textId="77777777" w:rsidR="00F46F69" w:rsidRDefault="00000000">
      <w:pPr>
        <w:widowControl/>
        <w:numPr>
          <w:ilvl w:val="0"/>
          <w:numId w:val="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Organización y Objeto Social</w:t>
      </w:r>
    </w:p>
    <w:p w14:paraId="0D92E677" w14:textId="77777777" w:rsidR="00F46F69" w:rsidRDefault="00F46F69">
      <w:pPr>
        <w:widowControl/>
        <w:suppressAutoHyphens w:val="0"/>
        <w:spacing w:line="240" w:lineRule="exact"/>
        <w:ind w:left="288"/>
        <w:jc w:val="both"/>
        <w:textAlignment w:val="auto"/>
        <w:rPr>
          <w:rFonts w:eastAsia="Times New Roman" w:cs="DIN Pro Regular"/>
          <w:lang w:eastAsia="es-ES"/>
        </w:rPr>
      </w:pPr>
    </w:p>
    <w:p w14:paraId="57A00DDD" w14:textId="77777777" w:rsidR="00F46F69" w:rsidRDefault="00000000">
      <w:pPr>
        <w:widowControl/>
        <w:numPr>
          <w:ilvl w:val="0"/>
          <w:numId w:val="8"/>
        </w:numPr>
        <w:suppressAutoHyphens w:val="0"/>
        <w:spacing w:line="240" w:lineRule="exact"/>
        <w:jc w:val="both"/>
        <w:textAlignment w:val="auto"/>
      </w:pPr>
      <w:r>
        <w:rPr>
          <w:rFonts w:eastAsia="Times New Roman" w:cs="DIN Pro Regular"/>
          <w:b/>
          <w:bCs/>
          <w:lang w:eastAsia="es-ES"/>
        </w:rPr>
        <w:t>Objeto social:</w:t>
      </w:r>
      <w:r>
        <w:rPr>
          <w:rFonts w:eastAsia="Times New Roman" w:cs="DIN Pro Regular"/>
          <w:lang w:eastAsia="es-ES"/>
        </w:rPr>
        <w:t xml:space="preserve"> De acuerdo al Artículo 3 de la Ley Orgánica de la Fiscalía General de Justicia del Estado de Tamaulipas, tiene como fines la investigación de los delitos y el esclarecimiento de los hechos; otorgar una procuración de justicia eficaz, efectiva, apegada a derecho, que contribuya a combatir la inseguridad y disminuirla; la prevención del delito; fortalecer el estado de derecho en la Entidad; procurar que el culpable no quede impune; así como promover, proteger, respetar y garantizar los derechos de verdad, reparación integral y de no repetición de las víctimas, ofendidos </w:t>
      </w:r>
    </w:p>
    <w:p w14:paraId="3240BEB0" w14:textId="77777777" w:rsidR="00F46F69" w:rsidRDefault="00000000">
      <w:pPr>
        <w:widowControl/>
        <w:suppressAutoHyphens w:val="0"/>
        <w:spacing w:line="240" w:lineRule="exact"/>
        <w:ind w:left="1440"/>
        <w:jc w:val="both"/>
        <w:textAlignment w:val="auto"/>
        <w:rPr>
          <w:rFonts w:eastAsia="Times New Roman" w:cs="DIN Pro Regular"/>
          <w:lang w:eastAsia="es-ES"/>
        </w:rPr>
      </w:pPr>
      <w:r>
        <w:rPr>
          <w:rFonts w:eastAsia="Times New Roman" w:cs="DIN Pro Regular"/>
          <w:lang w:eastAsia="es-ES"/>
        </w:rPr>
        <w:t>en particular y de la sociedad en general.</w:t>
      </w:r>
    </w:p>
    <w:p w14:paraId="78E032E3" w14:textId="77777777" w:rsidR="00F46F69" w:rsidRDefault="00F46F69">
      <w:pPr>
        <w:widowControl/>
        <w:suppressAutoHyphens w:val="0"/>
        <w:spacing w:line="240" w:lineRule="exact"/>
        <w:ind w:left="1440"/>
        <w:jc w:val="both"/>
        <w:textAlignment w:val="auto"/>
        <w:rPr>
          <w:rFonts w:eastAsia="Times New Roman" w:cs="DIN Pro Regular"/>
          <w:lang w:eastAsia="es-ES"/>
        </w:rPr>
      </w:pPr>
    </w:p>
    <w:p w14:paraId="4C0D1D35" w14:textId="77777777" w:rsidR="00F46F69" w:rsidRDefault="00000000">
      <w:pPr>
        <w:widowControl/>
        <w:numPr>
          <w:ilvl w:val="0"/>
          <w:numId w:val="8"/>
        </w:numPr>
        <w:suppressAutoHyphens w:val="0"/>
        <w:spacing w:line="240" w:lineRule="exact"/>
        <w:jc w:val="both"/>
        <w:textAlignment w:val="auto"/>
      </w:pPr>
      <w:r>
        <w:rPr>
          <w:rFonts w:eastAsia="Times New Roman" w:cs="DIN Pro Regular"/>
          <w:b/>
          <w:bCs/>
          <w:lang w:eastAsia="es-ES"/>
        </w:rPr>
        <w:t>Principal Actividad:</w:t>
      </w:r>
      <w:r>
        <w:rPr>
          <w:rFonts w:eastAsia="Times New Roman" w:cs="DIN Pro Regular"/>
          <w:lang w:eastAsia="es-ES"/>
        </w:rPr>
        <w:t xml:space="preserve"> La Fiscalía General de Justicia del Estado de Tamaulipas está registrada para efectos fiscales como una Persona Moral con Fines No Lucrativos, cuya principal actividad es ser retenedor de acuerdo al Título III, Capítulo I de la Ley del Impuesto sobre la Renta.</w:t>
      </w:r>
    </w:p>
    <w:p w14:paraId="2E266614" w14:textId="77777777" w:rsidR="00F46F69" w:rsidRDefault="00F46F69">
      <w:pPr>
        <w:widowControl/>
        <w:suppressAutoHyphens w:val="0"/>
        <w:spacing w:line="240" w:lineRule="exact"/>
        <w:ind w:left="1440"/>
        <w:jc w:val="both"/>
        <w:textAlignment w:val="auto"/>
        <w:rPr>
          <w:rFonts w:eastAsia="Times New Roman" w:cs="DIN Pro Regular"/>
          <w:lang w:eastAsia="es-ES"/>
        </w:rPr>
      </w:pPr>
    </w:p>
    <w:p w14:paraId="1226CF5B" w14:textId="77777777" w:rsidR="00F46F69" w:rsidRDefault="00000000">
      <w:pPr>
        <w:widowControl/>
        <w:numPr>
          <w:ilvl w:val="0"/>
          <w:numId w:val="8"/>
        </w:numPr>
        <w:suppressAutoHyphens w:val="0"/>
        <w:spacing w:line="240" w:lineRule="exact"/>
        <w:jc w:val="both"/>
        <w:textAlignment w:val="auto"/>
      </w:pPr>
      <w:r>
        <w:rPr>
          <w:rFonts w:eastAsia="Times New Roman" w:cs="DIN Pro Regular"/>
          <w:b/>
          <w:bCs/>
          <w:lang w:eastAsia="es-ES"/>
        </w:rPr>
        <w:t>Ejercicio Fiscal que se informa:</w:t>
      </w:r>
      <w:r>
        <w:rPr>
          <w:rFonts w:eastAsia="Times New Roman" w:cs="DIN Pro Regular"/>
          <w:lang w:eastAsia="es-ES"/>
        </w:rPr>
        <w:t xml:space="preserve"> Del 1 de enero al 31 de diciembre de 2024.</w:t>
      </w:r>
    </w:p>
    <w:p w14:paraId="75ED9179" w14:textId="77777777" w:rsidR="00F46F69" w:rsidRDefault="00F46F69">
      <w:pPr>
        <w:widowControl/>
        <w:suppressAutoHyphens w:val="0"/>
        <w:spacing w:line="240" w:lineRule="exact"/>
        <w:ind w:left="1440"/>
        <w:jc w:val="both"/>
        <w:textAlignment w:val="auto"/>
        <w:rPr>
          <w:rFonts w:eastAsia="Times New Roman" w:cs="DIN Pro Regular"/>
          <w:lang w:eastAsia="es-ES"/>
        </w:rPr>
      </w:pPr>
    </w:p>
    <w:p w14:paraId="35F2D0BC" w14:textId="77777777" w:rsidR="00F46F69" w:rsidRDefault="00000000">
      <w:pPr>
        <w:widowControl/>
        <w:numPr>
          <w:ilvl w:val="0"/>
          <w:numId w:val="8"/>
        </w:numPr>
        <w:suppressAutoHyphens w:val="0"/>
        <w:contextualSpacing/>
        <w:jc w:val="both"/>
        <w:textAlignment w:val="auto"/>
      </w:pPr>
      <w:r>
        <w:rPr>
          <w:rFonts w:eastAsia="Times New Roman" w:cs="DIN Pro Regular"/>
          <w:b/>
          <w:bCs/>
          <w:lang w:eastAsia="es-ES"/>
        </w:rPr>
        <w:t>Régimen Jurídico:</w:t>
      </w:r>
      <w:r>
        <w:rPr>
          <w:rFonts w:eastAsia="Times New Roman" w:cs="DIN Pro Regular"/>
          <w:lang w:eastAsia="es-ES"/>
        </w:rPr>
        <w:t xml:space="preserve"> En la parte normativa, la Fiscalía General de Justicia de Tamaulipas funciona acorde a lo establecido en la Constitución Política de los Estados Unidos Mexicanos, la Ley Orgánica de la Fiscalía General de Justicia del Estado de Tamaulipas, Ley General de Acceso de las Mujeres a una Vida Libre de Violencia, Ley General de Archivos, Ley General de los Derechos de Niñas, Niños y Adolescentes, Ley General de Mejora Regulatoria, Ley General de Protección de Datos Personales en Posesión de Sujetos Obligados, Ley General de Responsabilidades Administrativas, Ley General de Salud, Ley General de Transparencia y Acceso a la Información Pública, Ley General de Víctimas, Ley General de Instituciones y Procedimientos Electorales, Ley General del Sistema de Medios de Impugnación en Materia Electoral, Ley General del Sistema Nacional Anticorrupción, Ley General del Sistema Nacional de Seguridad Pública, Ley General en Materia de Delitos Electorales, Ley General en Materia de Desaparición Forzada de Personas, Desaparición Cometida por Particulares y del Sistema Nacional de Búsqueda de Personas, Ley General para la Atención y Protección a Personas con la Condición del Espectro Autista, Ley General para la Igualdad entre Mujeres y Hombres, Ley General para la Inclusión de las Personas con Discapacidad, Ley General Para Prevenir, Investigar y Sancionar la Tortura y otros Tratos o Penas Crueles, Inhumanos o Degradantes, Ley General </w:t>
      </w:r>
    </w:p>
    <w:p w14:paraId="3F3E86DA" w14:textId="77777777" w:rsidR="00F46F69" w:rsidRDefault="00F46F69">
      <w:pPr>
        <w:widowControl/>
        <w:suppressAutoHyphens w:val="0"/>
        <w:ind w:left="1440"/>
        <w:contextualSpacing/>
        <w:jc w:val="both"/>
        <w:textAlignment w:val="auto"/>
        <w:rPr>
          <w:rFonts w:eastAsia="Times New Roman" w:cs="DIN Pro Regular"/>
          <w:lang w:eastAsia="es-ES"/>
        </w:rPr>
      </w:pPr>
    </w:p>
    <w:p w14:paraId="5CC828C5" w14:textId="77777777" w:rsidR="00F46F69" w:rsidRDefault="00000000">
      <w:pPr>
        <w:widowControl/>
        <w:suppressAutoHyphens w:val="0"/>
        <w:ind w:left="1440"/>
        <w:contextualSpacing/>
        <w:jc w:val="both"/>
        <w:textAlignment w:val="auto"/>
        <w:rPr>
          <w:rFonts w:eastAsia="Times New Roman" w:cs="DIN Pro Regular"/>
          <w:lang w:eastAsia="es-ES"/>
        </w:rPr>
      </w:pPr>
      <w:r>
        <w:rPr>
          <w:rFonts w:eastAsia="Times New Roman" w:cs="DIN Pro Regular"/>
          <w:lang w:eastAsia="es-ES"/>
        </w:rPr>
        <w:t>para Prevenir, Sancionar y Erradicar los Delitos en Materia de Trata de Personas y para la Protección y Asistencia a las Víctimas de estos Delitos y la Ley General Para Prevenir y Sancionar los Delitos en Materia de Secuestro, Reglamentaria de la Fracción XXI del Artículo 73 de la Constitución Política de los Estados Unidos Mexicanos, entre otras.</w:t>
      </w:r>
    </w:p>
    <w:p w14:paraId="05D0E3AA" w14:textId="77777777" w:rsidR="00F46F69" w:rsidRDefault="00F46F69">
      <w:pPr>
        <w:widowControl/>
        <w:suppressAutoHyphens w:val="0"/>
        <w:ind w:left="1440"/>
        <w:contextualSpacing/>
        <w:jc w:val="both"/>
        <w:textAlignment w:val="auto"/>
        <w:rPr>
          <w:rFonts w:eastAsia="Times New Roman" w:cs="DIN Pro Regular"/>
          <w:lang w:eastAsia="es-ES"/>
        </w:rPr>
      </w:pPr>
    </w:p>
    <w:p w14:paraId="39BA98EC" w14:textId="77777777" w:rsidR="00F46F69" w:rsidRDefault="00000000">
      <w:pPr>
        <w:widowControl/>
        <w:numPr>
          <w:ilvl w:val="0"/>
          <w:numId w:val="8"/>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Consideraciones Fiscales del Organismo:</w:t>
      </w:r>
    </w:p>
    <w:p w14:paraId="468956FF"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1DDB567F" w14:textId="77777777" w:rsidR="00F46F69" w:rsidRDefault="00000000">
      <w:pPr>
        <w:widowControl/>
        <w:numPr>
          <w:ilvl w:val="0"/>
          <w:numId w:val="9"/>
        </w:numPr>
        <w:suppressAutoHyphens w:val="0"/>
        <w:spacing w:line="240" w:lineRule="exact"/>
        <w:ind w:left="1701" w:hanging="306"/>
        <w:jc w:val="both"/>
        <w:textAlignment w:val="auto"/>
        <w:rPr>
          <w:rFonts w:eastAsia="Times New Roman" w:cs="DIN Pro Regular"/>
          <w:lang w:eastAsia="es-ES"/>
        </w:rPr>
      </w:pPr>
      <w:r>
        <w:rPr>
          <w:rFonts w:eastAsia="Times New Roman" w:cs="DIN Pro Regular"/>
          <w:lang w:eastAsia="es-ES"/>
        </w:rPr>
        <w:t>Presentar la declaración y pago provisional mensual del Impuesto Sobre Remuneraciones al trabajo personal subordinado y las retenciones del Impuesto Sobre la Renta por concepto del pago de Arrendamiento de Inmuebles, Sueldos y Salarios e ISR RESICO.</w:t>
      </w:r>
    </w:p>
    <w:p w14:paraId="02920229" w14:textId="77777777" w:rsidR="00F46F69" w:rsidRDefault="00000000">
      <w:pPr>
        <w:widowControl/>
        <w:numPr>
          <w:ilvl w:val="0"/>
          <w:numId w:val="9"/>
        </w:numPr>
        <w:suppressAutoHyphens w:val="0"/>
        <w:spacing w:line="240" w:lineRule="exact"/>
        <w:ind w:left="1701" w:hanging="306"/>
        <w:jc w:val="both"/>
        <w:textAlignment w:val="auto"/>
        <w:rPr>
          <w:rFonts w:eastAsia="Times New Roman" w:cs="DIN Pro Regular"/>
          <w:lang w:eastAsia="es-ES"/>
        </w:rPr>
      </w:pPr>
      <w:r>
        <w:rPr>
          <w:rFonts w:eastAsia="Times New Roman" w:cs="DIN Pro Regular"/>
          <w:lang w:eastAsia="es-ES"/>
        </w:rPr>
        <w:t>Presentar Declaraciones Informativas de Operaciones con Terceros con periodicidad mensual.</w:t>
      </w:r>
    </w:p>
    <w:p w14:paraId="36697EF7" w14:textId="77777777" w:rsidR="00F46F69" w:rsidRDefault="00F46F69">
      <w:pPr>
        <w:widowControl/>
        <w:suppressAutoHyphens w:val="0"/>
        <w:spacing w:line="240" w:lineRule="exact"/>
        <w:ind w:left="2124" w:hanging="396"/>
        <w:jc w:val="both"/>
        <w:textAlignment w:val="auto"/>
        <w:rPr>
          <w:rFonts w:eastAsia="Times New Roman" w:cs="DIN Pro Regular"/>
          <w:lang w:eastAsia="es-ES"/>
        </w:rPr>
      </w:pPr>
    </w:p>
    <w:p w14:paraId="083899AF" w14:textId="77777777" w:rsidR="00F46F69" w:rsidRDefault="00000000">
      <w:pPr>
        <w:widowControl/>
        <w:numPr>
          <w:ilvl w:val="0"/>
          <w:numId w:val="8"/>
        </w:numPr>
        <w:suppressAutoHyphens w:val="0"/>
        <w:spacing w:line="240" w:lineRule="exact"/>
        <w:jc w:val="both"/>
        <w:textAlignment w:val="auto"/>
      </w:pPr>
      <w:r>
        <w:rPr>
          <w:rFonts w:eastAsia="Times New Roman" w:cs="DIN Pro Regular"/>
          <w:b/>
          <w:bCs/>
          <w:lang w:eastAsia="es-ES"/>
        </w:rPr>
        <w:t>Estructura Organizacional Básica:</w:t>
      </w:r>
      <w:r>
        <w:rPr>
          <w:rFonts w:eastAsia="Times New Roman" w:cs="DIN Pro Regular"/>
          <w:lang w:eastAsia="es-ES"/>
        </w:rPr>
        <w:t xml:space="preserve"> Conforme al Artículo 10 de la Ley Orgánica de la Fiscalía General de Justicia del Estado de Tamaulipas, el organismo cuenta con las siguientes unidades administrativas:</w:t>
      </w:r>
    </w:p>
    <w:p w14:paraId="7E6C91C8"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Fiscal General;</w:t>
      </w:r>
    </w:p>
    <w:p w14:paraId="2621A33D"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Vicefiscalía Ministerial;</w:t>
      </w:r>
    </w:p>
    <w:p w14:paraId="73801F1E"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Vicefiscalía de Litigación, Control de Procesos y Constitucionalidad;</w:t>
      </w:r>
    </w:p>
    <w:p w14:paraId="1536B870"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Vicefiscalía de Delitos de Alto Impacto y de Violaciones a Derechos Humanos;</w:t>
      </w:r>
    </w:p>
    <w:p w14:paraId="6F4E61F3"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Fiscalía Especializada en Delitos Electorales;</w:t>
      </w:r>
    </w:p>
    <w:p w14:paraId="2D108923"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Fiscalía Especializada en Asuntos Internos;</w:t>
      </w:r>
    </w:p>
    <w:p w14:paraId="6E69BFE1"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Fiscalía Especializada en Combate a la Corrupción;</w:t>
      </w:r>
    </w:p>
    <w:p w14:paraId="69F31578"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Fiscalía Especializada en la Investigación de los Delitos de Desaparición Forzada de</w:t>
      </w:r>
    </w:p>
    <w:p w14:paraId="2D8B8AD1" w14:textId="77777777" w:rsidR="00F46F69" w:rsidRDefault="00000000">
      <w:pPr>
        <w:widowControl/>
        <w:suppressAutoHyphens w:val="0"/>
        <w:spacing w:line="240" w:lineRule="exact"/>
        <w:ind w:left="1440" w:firstLine="288"/>
        <w:jc w:val="both"/>
        <w:textAlignment w:val="auto"/>
        <w:rPr>
          <w:rFonts w:eastAsia="Times New Roman" w:cs="DIN Pro Regular"/>
          <w:lang w:eastAsia="es-ES"/>
        </w:rPr>
      </w:pPr>
      <w:r>
        <w:rPr>
          <w:rFonts w:eastAsia="Times New Roman" w:cs="DIN Pro Regular"/>
          <w:lang w:eastAsia="es-ES"/>
        </w:rPr>
        <w:t xml:space="preserve">          Personas;</w:t>
      </w:r>
    </w:p>
    <w:p w14:paraId="5D592ED1"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Fiscalía Especializada en la Investigación de los Delitos contra Niñas, Niños y Adolescentes y de Delitos contra las Mujeres por Razones de Género;</w:t>
      </w:r>
    </w:p>
    <w:p w14:paraId="4165FF49"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Fiscalía Especializada en la Investigación de Delitos de Feminicidio y Homicidio Doloso de Mujeres;</w:t>
      </w:r>
    </w:p>
    <w:p w14:paraId="00FF7AED"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Se deroga (Decreto No. 66-68, P.O. Edición Vespertina Extraordinario No. 31, del 18 de noviembre de 2024);</w:t>
      </w:r>
    </w:p>
    <w:p w14:paraId="641B7CAF"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Direcciones Generales:</w:t>
      </w:r>
    </w:p>
    <w:p w14:paraId="0D8B3453" w14:textId="77777777" w:rsidR="00F46F69" w:rsidRDefault="00000000">
      <w:pPr>
        <w:widowControl/>
        <w:suppressAutoHyphens w:val="0"/>
        <w:spacing w:line="240" w:lineRule="exact"/>
        <w:ind w:left="2160"/>
        <w:jc w:val="both"/>
        <w:textAlignment w:val="auto"/>
        <w:rPr>
          <w:rFonts w:eastAsia="Times New Roman" w:cs="DIN Pro Regular"/>
          <w:lang w:eastAsia="es-ES"/>
        </w:rPr>
      </w:pPr>
      <w:r>
        <w:rPr>
          <w:rFonts w:eastAsia="Times New Roman" w:cs="DIN Pro Regular"/>
          <w:lang w:eastAsia="es-ES"/>
        </w:rPr>
        <w:t>a) Dirección General de Asuntos Jurídicos y de Derechos Humanos;</w:t>
      </w:r>
    </w:p>
    <w:p w14:paraId="3062FE90" w14:textId="77777777" w:rsidR="00F46F69" w:rsidRDefault="00000000">
      <w:pPr>
        <w:widowControl/>
        <w:suppressAutoHyphens w:val="0"/>
        <w:spacing w:line="240" w:lineRule="exact"/>
        <w:ind w:left="1440" w:firstLine="288"/>
        <w:jc w:val="both"/>
        <w:textAlignment w:val="auto"/>
        <w:rPr>
          <w:rFonts w:eastAsia="Times New Roman" w:cs="DIN Pro Regular"/>
          <w:lang w:eastAsia="es-ES"/>
        </w:rPr>
      </w:pPr>
      <w:r>
        <w:rPr>
          <w:rFonts w:eastAsia="Times New Roman" w:cs="DIN Pro Regular"/>
          <w:lang w:eastAsia="es-ES"/>
        </w:rPr>
        <w:t xml:space="preserve">         b) Dirección General de Administración;</w:t>
      </w:r>
    </w:p>
    <w:p w14:paraId="60CCACCF" w14:textId="77777777" w:rsidR="00F46F69" w:rsidRDefault="00000000">
      <w:pPr>
        <w:widowControl/>
        <w:suppressAutoHyphens w:val="0"/>
        <w:spacing w:line="240" w:lineRule="exact"/>
        <w:ind w:left="1440" w:firstLine="288"/>
        <w:jc w:val="both"/>
        <w:textAlignment w:val="auto"/>
        <w:rPr>
          <w:rFonts w:eastAsia="Times New Roman" w:cs="DIN Pro Regular"/>
          <w:lang w:eastAsia="es-ES"/>
        </w:rPr>
      </w:pPr>
      <w:r>
        <w:rPr>
          <w:rFonts w:eastAsia="Times New Roman" w:cs="DIN Pro Regular"/>
          <w:lang w:eastAsia="es-ES"/>
        </w:rPr>
        <w:t xml:space="preserve">         c) Dirección General de Formación y Servicio Profesional de Carrera; y</w:t>
      </w:r>
    </w:p>
    <w:p w14:paraId="270E5A84" w14:textId="77777777" w:rsidR="00F46F69" w:rsidRDefault="00000000">
      <w:pPr>
        <w:widowControl/>
        <w:suppressAutoHyphens w:val="0"/>
        <w:spacing w:line="240" w:lineRule="exact"/>
        <w:ind w:left="1440"/>
        <w:jc w:val="both"/>
        <w:textAlignment w:val="auto"/>
        <w:rPr>
          <w:rFonts w:eastAsia="Times New Roman" w:cs="DIN Pro Regular"/>
          <w:lang w:eastAsia="es-ES"/>
        </w:rPr>
      </w:pPr>
      <w:r>
        <w:rPr>
          <w:rFonts w:eastAsia="Times New Roman" w:cs="DIN Pro Regular"/>
          <w:lang w:eastAsia="es-ES"/>
        </w:rPr>
        <w:t xml:space="preserve">               d) Dirección General de Tecnología, Información y Telecomunicaciones</w:t>
      </w:r>
    </w:p>
    <w:p w14:paraId="6CB34135"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Órgano Interno de Control; y</w:t>
      </w:r>
    </w:p>
    <w:p w14:paraId="33D9847E" w14:textId="77777777" w:rsidR="00F46F69" w:rsidRDefault="00000000">
      <w:pPr>
        <w:widowControl/>
        <w:numPr>
          <w:ilvl w:val="0"/>
          <w:numId w:val="10"/>
        </w:numPr>
        <w:suppressAutoHyphens w:val="0"/>
        <w:spacing w:line="240" w:lineRule="exact"/>
        <w:jc w:val="both"/>
        <w:textAlignment w:val="auto"/>
        <w:rPr>
          <w:rFonts w:eastAsia="Times New Roman" w:cs="DIN Pro Regular"/>
          <w:lang w:eastAsia="es-ES"/>
        </w:rPr>
      </w:pPr>
      <w:r>
        <w:rPr>
          <w:rFonts w:eastAsia="Times New Roman" w:cs="DIN Pro Regular"/>
          <w:lang w:eastAsia="es-ES"/>
        </w:rPr>
        <w:t>Las Fiscalías, Direcciones Generales, Órganos y Unidades que determine la persona titular de la Fiscalía General, a través de acuerdos generales, de conformidad con la presente Ley y su Reglamento, y acorde con el Plan de Persecución Penal.</w:t>
      </w:r>
    </w:p>
    <w:p w14:paraId="3ABCA187" w14:textId="77777777" w:rsidR="00F46F69" w:rsidRDefault="00000000">
      <w:pPr>
        <w:widowControl/>
        <w:suppressAutoHyphens w:val="0"/>
        <w:spacing w:line="240" w:lineRule="exact"/>
        <w:ind w:left="2160"/>
        <w:jc w:val="both"/>
        <w:textAlignment w:val="auto"/>
        <w:rPr>
          <w:rFonts w:eastAsia="Times New Roman" w:cs="DIN Pro Regular"/>
          <w:lang w:eastAsia="es-ES"/>
        </w:rPr>
      </w:pPr>
      <w:r>
        <w:rPr>
          <w:rFonts w:eastAsia="Times New Roman" w:cs="DIN Pro Regular"/>
          <w:lang w:eastAsia="es-ES"/>
        </w:rPr>
        <w:t>Para la más eficaz atención y eficiente despacho de los asuntos de su competencia, la Fiscalía General contará con órganos desconcentrados, que tendrán las atribuciones específicas para resolver sobre las materias de su competencia o dentro del ámbito territorial que se determine en cada caso, de conformidad con las normas que para ello establezcan la presente Ley, los instrumentos jurídicos de creación de dichos órganos y demás disposiciones aplicables.</w:t>
      </w:r>
    </w:p>
    <w:p w14:paraId="718D8404" w14:textId="77777777" w:rsidR="00F46F69" w:rsidRDefault="00000000">
      <w:pPr>
        <w:widowControl/>
        <w:suppressAutoHyphens w:val="0"/>
        <w:spacing w:line="240" w:lineRule="exact"/>
        <w:ind w:left="2160"/>
        <w:jc w:val="both"/>
        <w:textAlignment w:val="auto"/>
        <w:rPr>
          <w:rFonts w:eastAsia="Times New Roman" w:cs="DIN Pro Regular"/>
          <w:lang w:eastAsia="es-ES"/>
        </w:rPr>
      </w:pPr>
      <w:r>
        <w:rPr>
          <w:rFonts w:eastAsia="Times New Roman" w:cs="DIN Pro Regular"/>
          <w:lang w:eastAsia="es-ES"/>
        </w:rPr>
        <w:t>La Fiscalía General contará para el desempeño de sus funciones cuando menos con los siguientes órganos desconcentrados:</w:t>
      </w:r>
    </w:p>
    <w:p w14:paraId="5D0E94B2" w14:textId="77777777" w:rsidR="00F46F69" w:rsidRDefault="00000000">
      <w:pPr>
        <w:widowControl/>
        <w:suppressAutoHyphens w:val="0"/>
        <w:spacing w:line="240" w:lineRule="exact"/>
        <w:ind w:left="1440" w:firstLine="288"/>
        <w:jc w:val="both"/>
        <w:textAlignment w:val="auto"/>
        <w:rPr>
          <w:rFonts w:eastAsia="Times New Roman" w:cs="DIN Pro Regular"/>
          <w:lang w:eastAsia="es-ES"/>
        </w:rPr>
      </w:pPr>
      <w:r>
        <w:rPr>
          <w:rFonts w:eastAsia="Times New Roman" w:cs="DIN Pro Regular"/>
          <w:lang w:eastAsia="es-ES"/>
        </w:rPr>
        <w:t xml:space="preserve">          a) Comisión … Se deroga. (Decreto LXIV-796 POE No. 124 19-10-2021)</w:t>
      </w:r>
    </w:p>
    <w:p w14:paraId="136B6BA0" w14:textId="77777777" w:rsidR="00F46F69" w:rsidRDefault="00000000">
      <w:pPr>
        <w:widowControl/>
        <w:suppressAutoHyphens w:val="0"/>
        <w:spacing w:line="240" w:lineRule="exact"/>
        <w:ind w:firstLine="288"/>
        <w:jc w:val="both"/>
        <w:textAlignment w:val="auto"/>
        <w:rPr>
          <w:rFonts w:eastAsia="Times New Roman" w:cs="DIN Pro Regular"/>
          <w:lang w:eastAsia="es-ES"/>
        </w:rPr>
      </w:pPr>
      <w:r>
        <w:rPr>
          <w:rFonts w:eastAsia="Times New Roman" w:cs="DIN Pro Regular"/>
          <w:lang w:eastAsia="es-ES"/>
        </w:rPr>
        <w:t xml:space="preserve">                                          b) Unidad Especializada en Combate al Secuestro.</w:t>
      </w:r>
    </w:p>
    <w:p w14:paraId="1B0C8F60" w14:textId="77777777" w:rsidR="00F46F69" w:rsidRDefault="00000000">
      <w:pPr>
        <w:widowControl/>
        <w:suppressAutoHyphens w:val="0"/>
        <w:spacing w:line="240" w:lineRule="exact"/>
        <w:ind w:left="1440" w:firstLine="288"/>
        <w:jc w:val="both"/>
        <w:textAlignment w:val="auto"/>
        <w:rPr>
          <w:rFonts w:eastAsia="Times New Roman" w:cs="DIN Pro Regular"/>
          <w:lang w:eastAsia="es-ES"/>
        </w:rPr>
        <w:sectPr w:rsidR="00F46F69">
          <w:headerReference w:type="default" r:id="rId7"/>
          <w:footerReference w:type="default" r:id="rId8"/>
          <w:pgSz w:w="12240" w:h="15840"/>
          <w:pgMar w:top="1701" w:right="1440" w:bottom="1077" w:left="1440" w:header="454" w:footer="709" w:gutter="0"/>
          <w:cols w:space="720"/>
        </w:sectPr>
      </w:pPr>
      <w:r>
        <w:rPr>
          <w:rFonts w:eastAsia="Times New Roman" w:cs="DIN Pro Regular"/>
          <w:lang w:eastAsia="es-ES"/>
        </w:rPr>
        <w:t xml:space="preserve">          c) Secretariado … Se deroga. (Decreto 65-500 POE No. 153-EV 22-12-2022)</w:t>
      </w:r>
    </w:p>
    <w:p w14:paraId="4BE51CD5"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2F8FF1BE" w14:textId="77777777" w:rsidR="00F46F69" w:rsidRDefault="00000000">
      <w:pPr>
        <w:widowControl/>
        <w:suppressAutoHyphens w:val="0"/>
        <w:spacing w:line="240" w:lineRule="exact"/>
        <w:ind w:left="1440" w:firstLine="288"/>
        <w:jc w:val="both"/>
        <w:textAlignment w:val="auto"/>
      </w:pPr>
      <w:r>
        <w:rPr>
          <w:rFonts w:eastAsia="Times New Roman" w:cs="DIN Pro Regular"/>
          <w:noProof/>
          <w:lang w:eastAsia="es-ES"/>
        </w:rPr>
        <w:drawing>
          <wp:anchor distT="0" distB="0" distL="114300" distR="114300" simplePos="0" relativeHeight="251660288" behindDoc="1" locked="0" layoutInCell="1" allowOverlap="1" wp14:anchorId="3ADE1512" wp14:editId="74DB3804">
            <wp:simplePos x="0" y="0"/>
            <wp:positionH relativeFrom="column">
              <wp:posOffset>-357320</wp:posOffset>
            </wp:positionH>
            <wp:positionV relativeFrom="paragraph">
              <wp:posOffset>187973</wp:posOffset>
            </wp:positionV>
            <wp:extent cx="9366016" cy="5263990"/>
            <wp:effectExtent l="0" t="0" r="6584" b="0"/>
            <wp:wrapNone/>
            <wp:docPr id="178020916" name="Imagen 1" descr="Diagrama&#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366016" cy="5263990"/>
                    </a:xfrm>
                    <a:prstGeom prst="rect">
                      <a:avLst/>
                    </a:prstGeom>
                    <a:noFill/>
                    <a:ln>
                      <a:noFill/>
                      <a:prstDash/>
                    </a:ln>
                  </pic:spPr>
                </pic:pic>
              </a:graphicData>
            </a:graphic>
          </wp:anchor>
        </w:drawing>
      </w:r>
    </w:p>
    <w:p w14:paraId="4039E21C"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07A42F15"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40AEE31D"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104BA901"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419F3A32"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148857CC"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4D9CF976"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1A1B013B"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190AF45A"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544CD1D9"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221B51AB"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0D18CCD0"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0B760A2D"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4A71262E"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71D297A3"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37103BC1"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04D1388E"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6973401A"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056F1F35"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130CEE1A"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7217179C"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7AF1B667"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25EF7BA4"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6F66FD8B"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5D19BBD3"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3F477115"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sectPr w:rsidR="00F46F69">
          <w:headerReference w:type="default" r:id="rId10"/>
          <w:footerReference w:type="default" r:id="rId11"/>
          <w:pgSz w:w="15840" w:h="12240" w:orient="landscape"/>
          <w:pgMar w:top="1440" w:right="1701" w:bottom="1440" w:left="1077" w:header="720" w:footer="720" w:gutter="0"/>
          <w:cols w:space="720"/>
        </w:sectPr>
      </w:pPr>
    </w:p>
    <w:p w14:paraId="32CA0DE5" w14:textId="77777777" w:rsidR="00F46F69" w:rsidRDefault="00F46F69">
      <w:pPr>
        <w:widowControl/>
        <w:suppressAutoHyphens w:val="0"/>
        <w:spacing w:line="240" w:lineRule="exact"/>
        <w:ind w:left="1440" w:firstLine="288"/>
        <w:jc w:val="both"/>
        <w:textAlignment w:val="auto"/>
        <w:rPr>
          <w:rFonts w:eastAsia="Times New Roman" w:cs="DIN Pro Regular"/>
          <w:lang w:eastAsia="es-ES"/>
        </w:rPr>
      </w:pPr>
    </w:p>
    <w:p w14:paraId="0C83C6D0" w14:textId="77777777" w:rsidR="00F46F69" w:rsidRDefault="00000000">
      <w:pPr>
        <w:widowControl/>
        <w:numPr>
          <w:ilvl w:val="0"/>
          <w:numId w:val="8"/>
        </w:numPr>
        <w:suppressAutoHyphens w:val="0"/>
        <w:spacing w:line="240" w:lineRule="exact"/>
        <w:ind w:hanging="447"/>
        <w:jc w:val="both"/>
        <w:textAlignment w:val="auto"/>
      </w:pPr>
      <w:r>
        <w:rPr>
          <w:rFonts w:eastAsia="Times New Roman" w:cs="DIN Pro Regular"/>
          <w:b/>
          <w:bCs/>
          <w:lang w:eastAsia="es-ES"/>
        </w:rPr>
        <w:t>Fideicomisos:</w:t>
      </w:r>
      <w:r>
        <w:rPr>
          <w:rFonts w:eastAsia="Times New Roman" w:cs="DIN Pro Regular"/>
          <w:lang w:eastAsia="es-ES"/>
        </w:rPr>
        <w:t xml:space="preserve"> No Aplica</w:t>
      </w:r>
    </w:p>
    <w:p w14:paraId="366ECB04" w14:textId="77777777" w:rsidR="00F46F69" w:rsidRDefault="00F46F69">
      <w:pPr>
        <w:widowControl/>
        <w:suppressAutoHyphens w:val="0"/>
        <w:spacing w:line="240" w:lineRule="exact"/>
        <w:jc w:val="both"/>
        <w:textAlignment w:val="auto"/>
        <w:rPr>
          <w:rFonts w:eastAsia="Times New Roman" w:cs="DIN Pro Regular"/>
          <w:sz w:val="4"/>
          <w:szCs w:val="8"/>
          <w:lang w:eastAsia="es-ES"/>
        </w:rPr>
      </w:pPr>
    </w:p>
    <w:p w14:paraId="536F2DCC" w14:textId="77777777" w:rsidR="00F46F69" w:rsidRDefault="00000000">
      <w:pPr>
        <w:widowControl/>
        <w:numPr>
          <w:ilvl w:val="0"/>
          <w:numId w:val="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Bases de Preparación de los Estados Financieros</w:t>
      </w:r>
    </w:p>
    <w:p w14:paraId="6B3CC0AD" w14:textId="77777777" w:rsidR="00F46F69" w:rsidRDefault="00F46F69">
      <w:pPr>
        <w:widowControl/>
        <w:suppressAutoHyphens w:val="0"/>
        <w:spacing w:line="240" w:lineRule="exact"/>
        <w:jc w:val="both"/>
        <w:textAlignment w:val="auto"/>
        <w:rPr>
          <w:rFonts w:eastAsia="Times New Roman" w:cs="DIN Pro Regular"/>
          <w:b/>
          <w:bCs/>
          <w:lang w:eastAsia="es-ES"/>
        </w:rPr>
      </w:pPr>
    </w:p>
    <w:p w14:paraId="14B89753" w14:textId="77777777" w:rsidR="00F46F69" w:rsidRDefault="00000000">
      <w:pPr>
        <w:widowControl/>
        <w:numPr>
          <w:ilvl w:val="0"/>
          <w:numId w:val="11"/>
        </w:numPr>
        <w:suppressAutoHyphens w:val="0"/>
        <w:spacing w:line="240" w:lineRule="exact"/>
        <w:jc w:val="both"/>
        <w:textAlignment w:val="auto"/>
        <w:rPr>
          <w:rFonts w:eastAsia="Times New Roman" w:cs="DIN Pro Regular"/>
          <w:lang w:eastAsia="es-ES"/>
        </w:rPr>
      </w:pPr>
      <w:r>
        <w:rPr>
          <w:rFonts w:eastAsia="Times New Roman" w:cs="DIN Pro Regular"/>
          <w:lang w:eastAsia="es-ES"/>
        </w:rPr>
        <w:t>Los Estados Financieros de la Fiscalía General de Justicia del Estado de Tamaulipas se han elaborado observando las normas emitidas por el Consejo Nacional de Armonización Contable en el Manual de Contabilidad Gubernamental, los Postulados Básicos de Contabilidad Gubernamental y las disposiciones legales aplicables vigentes.</w:t>
      </w:r>
    </w:p>
    <w:p w14:paraId="089202FA" w14:textId="77777777" w:rsidR="00F46F69" w:rsidRDefault="00F46F69">
      <w:pPr>
        <w:widowControl/>
        <w:suppressAutoHyphens w:val="0"/>
        <w:spacing w:line="240" w:lineRule="exact"/>
        <w:jc w:val="both"/>
        <w:textAlignment w:val="auto"/>
        <w:rPr>
          <w:rFonts w:eastAsia="Times New Roman" w:cs="DIN Pro Regular"/>
          <w:lang w:eastAsia="es-ES"/>
        </w:rPr>
      </w:pPr>
    </w:p>
    <w:p w14:paraId="6488F0A8" w14:textId="77777777" w:rsidR="00F46F69" w:rsidRDefault="00000000">
      <w:pPr>
        <w:widowControl/>
        <w:numPr>
          <w:ilvl w:val="0"/>
          <w:numId w:val="11"/>
        </w:numPr>
        <w:suppressAutoHyphens w:val="0"/>
        <w:spacing w:line="240" w:lineRule="exact"/>
        <w:jc w:val="both"/>
        <w:textAlignment w:val="auto"/>
      </w:pPr>
      <w:r>
        <w:rPr>
          <w:rFonts w:eastAsia="Times New Roman" w:cs="DIN Pro Regular"/>
          <w:b/>
          <w:bCs/>
          <w:lang w:eastAsia="es-ES"/>
        </w:rPr>
        <w:t>Normatividad aplicada:</w:t>
      </w:r>
      <w:r>
        <w:rPr>
          <w:rFonts w:eastAsia="Times New Roman" w:cs="DIN Pro Regular"/>
          <w:lang w:eastAsia="es-ES"/>
        </w:rPr>
        <w:t xml:space="preserve"> El reconocimiento, valuación y revelación, de los diferentes rubros de la información financiera, van de acuerdo con los documentos normativos emitidos por el CONAC, considerando que todos los eventos que afecten económicamente deben ser cuantificados en términos monetarios y ser registrados al costo histórico registrándose en moneda nacional.</w:t>
      </w:r>
    </w:p>
    <w:p w14:paraId="748553F1" w14:textId="77777777" w:rsidR="00F46F69" w:rsidRDefault="00F46F69">
      <w:pPr>
        <w:widowControl/>
        <w:suppressAutoHyphens w:val="0"/>
        <w:spacing w:line="240" w:lineRule="exact"/>
        <w:ind w:left="996"/>
        <w:jc w:val="both"/>
        <w:textAlignment w:val="auto"/>
        <w:rPr>
          <w:rFonts w:eastAsia="Times New Roman" w:cs="DIN Pro Regular"/>
          <w:lang w:eastAsia="es-ES"/>
        </w:rPr>
      </w:pPr>
    </w:p>
    <w:p w14:paraId="39F22881" w14:textId="77777777" w:rsidR="00F46F69" w:rsidRDefault="00000000">
      <w:pPr>
        <w:widowControl/>
        <w:numPr>
          <w:ilvl w:val="0"/>
          <w:numId w:val="11"/>
        </w:numPr>
        <w:suppressAutoHyphens w:val="0"/>
        <w:spacing w:line="240" w:lineRule="exact"/>
        <w:jc w:val="both"/>
        <w:textAlignment w:val="auto"/>
      </w:pPr>
      <w:r>
        <w:rPr>
          <w:rFonts w:eastAsia="Times New Roman" w:cs="DIN Pro Regular"/>
          <w:b/>
          <w:bCs/>
          <w:lang w:eastAsia="es-ES"/>
        </w:rPr>
        <w:t>Postulados Básicos de Contabilidad Gubernamental (PBCG):</w:t>
      </w:r>
      <w:r>
        <w:rPr>
          <w:rFonts w:eastAsia="Times New Roman" w:cs="DIN Pro Regular"/>
          <w:lang w:eastAsia="es-ES"/>
        </w:rPr>
        <w:t xml:space="preserve"> Se aplican los establecidos en la Ley General de Contabilidad Gubernamental y la Normatividad emitida respecto al CONAC.</w:t>
      </w:r>
    </w:p>
    <w:p w14:paraId="1A08C2B2" w14:textId="77777777" w:rsidR="00F46F69" w:rsidRDefault="00F46F69">
      <w:pPr>
        <w:widowControl/>
        <w:suppressAutoHyphens w:val="0"/>
        <w:spacing w:line="240" w:lineRule="exact"/>
        <w:jc w:val="both"/>
        <w:textAlignment w:val="auto"/>
        <w:rPr>
          <w:rFonts w:eastAsia="Times New Roman" w:cs="DIN Pro Regular"/>
          <w:lang w:eastAsia="es-ES"/>
        </w:rPr>
      </w:pPr>
    </w:p>
    <w:p w14:paraId="5D21D45E" w14:textId="77777777" w:rsidR="00F46F69" w:rsidRDefault="00000000">
      <w:pPr>
        <w:widowControl/>
        <w:numPr>
          <w:ilvl w:val="0"/>
          <w:numId w:val="11"/>
        </w:numPr>
        <w:suppressAutoHyphens w:val="0"/>
        <w:spacing w:line="240" w:lineRule="exact"/>
        <w:jc w:val="both"/>
        <w:textAlignment w:val="auto"/>
      </w:pPr>
      <w:r>
        <w:rPr>
          <w:rFonts w:eastAsia="Times New Roman" w:cs="DIN Pro Regular"/>
          <w:b/>
          <w:bCs/>
          <w:lang w:eastAsia="es-ES"/>
        </w:rPr>
        <w:t>Normatividad supletoria:</w:t>
      </w:r>
      <w:r>
        <w:rPr>
          <w:rFonts w:eastAsia="Times New Roman" w:cs="DIN Pro Regular"/>
          <w:lang w:eastAsia="es-ES"/>
        </w:rPr>
        <w:t xml:space="preserve"> No Aplica</w:t>
      </w:r>
    </w:p>
    <w:p w14:paraId="75DD12B5" w14:textId="77777777" w:rsidR="00F46F69" w:rsidRDefault="00F46F69">
      <w:pPr>
        <w:widowControl/>
        <w:suppressAutoHyphens w:val="0"/>
        <w:spacing w:line="240" w:lineRule="exact"/>
        <w:jc w:val="both"/>
        <w:textAlignment w:val="auto"/>
        <w:rPr>
          <w:rFonts w:eastAsia="Times New Roman" w:cs="DIN Pro Regular"/>
          <w:lang w:eastAsia="es-ES"/>
        </w:rPr>
      </w:pPr>
    </w:p>
    <w:p w14:paraId="3D238D8F" w14:textId="77777777" w:rsidR="00F46F69" w:rsidRDefault="00000000">
      <w:pPr>
        <w:widowControl/>
        <w:numPr>
          <w:ilvl w:val="0"/>
          <w:numId w:val="11"/>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 xml:space="preserve">Entidades que por primera vez estén implementando la base de devengado de acuerdo </w:t>
      </w:r>
    </w:p>
    <w:p w14:paraId="17FA7EB1" w14:textId="77777777" w:rsidR="00F46F69" w:rsidRDefault="00000000">
      <w:pPr>
        <w:widowControl/>
        <w:suppressAutoHyphens w:val="0"/>
        <w:spacing w:line="240" w:lineRule="exact"/>
        <w:ind w:left="1356"/>
        <w:jc w:val="both"/>
        <w:textAlignment w:val="auto"/>
      </w:pPr>
      <w:r>
        <w:rPr>
          <w:rFonts w:eastAsia="Times New Roman" w:cs="DIN Pro Regular"/>
          <w:b/>
          <w:bCs/>
          <w:lang w:eastAsia="es-ES"/>
        </w:rPr>
        <w:t>a la Ley de Contabilidad:</w:t>
      </w:r>
      <w:r>
        <w:rPr>
          <w:rFonts w:eastAsia="Times New Roman" w:cs="DIN Pro Regular"/>
          <w:lang w:eastAsia="es-ES"/>
        </w:rPr>
        <w:t xml:space="preserve"> No aplica</w:t>
      </w:r>
    </w:p>
    <w:p w14:paraId="7FDB1AAC" w14:textId="77777777" w:rsidR="00F46F69" w:rsidRDefault="00F46F69">
      <w:pPr>
        <w:widowControl/>
        <w:suppressAutoHyphens w:val="0"/>
        <w:spacing w:line="240" w:lineRule="exact"/>
        <w:jc w:val="both"/>
        <w:textAlignment w:val="auto"/>
        <w:rPr>
          <w:rFonts w:eastAsia="Times New Roman" w:cs="DIN Pro Regular"/>
          <w:lang w:eastAsia="es-ES"/>
        </w:rPr>
      </w:pPr>
    </w:p>
    <w:p w14:paraId="139B388A" w14:textId="77777777" w:rsidR="00F46F69" w:rsidRDefault="00000000">
      <w:pPr>
        <w:widowControl/>
        <w:numPr>
          <w:ilvl w:val="0"/>
          <w:numId w:val="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Políticas de Contabilidad Significativas</w:t>
      </w:r>
    </w:p>
    <w:p w14:paraId="44D4C9F1"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32540B27" w14:textId="77777777" w:rsidR="00F46F69" w:rsidRDefault="00000000">
      <w:pPr>
        <w:widowControl/>
        <w:numPr>
          <w:ilvl w:val="0"/>
          <w:numId w:val="12"/>
        </w:numPr>
        <w:suppressAutoHyphens w:val="0"/>
        <w:contextualSpacing/>
        <w:jc w:val="both"/>
        <w:textAlignment w:val="auto"/>
      </w:pPr>
      <w:r>
        <w:rPr>
          <w:rFonts w:eastAsia="Times New Roman" w:cs="DIN Pro Regular"/>
          <w:b/>
          <w:bCs/>
          <w:lang w:eastAsia="es-ES"/>
        </w:rPr>
        <w:t>Actualización:</w:t>
      </w:r>
      <w:r>
        <w:rPr>
          <w:rFonts w:eastAsia="Times New Roman" w:cs="DIN Pro Regular"/>
          <w:lang w:eastAsia="es-ES"/>
        </w:rPr>
        <w:t xml:space="preserve"> La Información Financiera no requirió de aplicar la metodología vigente para actualizarla, de tal forma que refleje la Inflación en la misma, toda vez que no se dieron los supuestos establecidos en la normatividad correspondiente para su re-expresión obligatoria.</w:t>
      </w:r>
    </w:p>
    <w:p w14:paraId="5D3CA085" w14:textId="77777777" w:rsidR="00F46F69" w:rsidRDefault="00F46F69">
      <w:pPr>
        <w:widowControl/>
        <w:suppressAutoHyphens w:val="0"/>
        <w:ind w:left="1356"/>
        <w:contextualSpacing/>
        <w:jc w:val="both"/>
        <w:textAlignment w:val="auto"/>
        <w:rPr>
          <w:rFonts w:eastAsia="Times New Roman" w:cs="DIN Pro Regular"/>
          <w:lang w:eastAsia="es-ES"/>
        </w:rPr>
      </w:pPr>
    </w:p>
    <w:p w14:paraId="79E707D9" w14:textId="77777777" w:rsidR="00F46F69" w:rsidRDefault="00000000">
      <w:pPr>
        <w:widowControl/>
        <w:numPr>
          <w:ilvl w:val="0"/>
          <w:numId w:val="12"/>
        </w:numPr>
        <w:suppressAutoHyphens w:val="0"/>
        <w:spacing w:line="240" w:lineRule="exact"/>
        <w:jc w:val="both"/>
        <w:textAlignment w:val="auto"/>
      </w:pPr>
      <w:r>
        <w:rPr>
          <w:rFonts w:eastAsia="Times New Roman" w:cs="DIN Pro Regular"/>
          <w:b/>
          <w:bCs/>
          <w:lang w:eastAsia="es-ES"/>
        </w:rPr>
        <w:t>Operaciones en el extranjero:</w:t>
      </w:r>
      <w:r>
        <w:rPr>
          <w:rFonts w:eastAsia="Times New Roman" w:cs="DIN Pro Regular"/>
          <w:lang w:eastAsia="es-ES"/>
        </w:rPr>
        <w:t xml:space="preserve"> Durante el ejercicio que se informa no se realizaron operaciones en el extranjero que hubieren afectado la valuación y presentación de la Información Financiera del organismo.</w:t>
      </w:r>
    </w:p>
    <w:p w14:paraId="2F250180" w14:textId="77777777" w:rsidR="00F46F69" w:rsidRDefault="00F46F69">
      <w:pPr>
        <w:widowControl/>
        <w:suppressAutoHyphens w:val="0"/>
        <w:ind w:left="720"/>
        <w:contextualSpacing/>
        <w:textAlignment w:val="auto"/>
        <w:rPr>
          <w:rFonts w:eastAsia="Times New Roman" w:cs="DIN Pro Regular"/>
          <w:lang w:eastAsia="es-ES"/>
        </w:rPr>
      </w:pPr>
    </w:p>
    <w:p w14:paraId="39B7541B" w14:textId="77777777" w:rsidR="00F46F69" w:rsidRDefault="00000000">
      <w:pPr>
        <w:widowControl/>
        <w:numPr>
          <w:ilvl w:val="0"/>
          <w:numId w:val="12"/>
        </w:numPr>
        <w:suppressAutoHyphens w:val="0"/>
        <w:contextualSpacing/>
        <w:textAlignment w:val="auto"/>
      </w:pPr>
      <w:r>
        <w:rPr>
          <w:rFonts w:eastAsia="Times New Roman" w:cs="DIN Pro Regular"/>
          <w:b/>
          <w:bCs/>
          <w:lang w:eastAsia="es-ES"/>
        </w:rPr>
        <w:t>Método de valuación de la inversión en acciones en el Sector Paraestatal:</w:t>
      </w:r>
      <w:r>
        <w:rPr>
          <w:rFonts w:eastAsia="Times New Roman" w:cs="DIN Pro Regular"/>
          <w:lang w:eastAsia="es-ES"/>
        </w:rPr>
        <w:t xml:space="preserve"> No Aplica</w:t>
      </w:r>
    </w:p>
    <w:p w14:paraId="49226A06" w14:textId="77777777" w:rsidR="00F46F69" w:rsidRDefault="00F46F69">
      <w:pPr>
        <w:widowControl/>
        <w:suppressAutoHyphens w:val="0"/>
        <w:ind w:left="720"/>
        <w:contextualSpacing/>
        <w:textAlignment w:val="auto"/>
        <w:rPr>
          <w:rFonts w:eastAsia="Times New Roman" w:cs="DIN Pro Regular"/>
          <w:lang w:eastAsia="es-ES"/>
        </w:rPr>
      </w:pPr>
    </w:p>
    <w:p w14:paraId="484A3654" w14:textId="77777777" w:rsidR="00F46F69" w:rsidRDefault="00000000">
      <w:pPr>
        <w:widowControl/>
        <w:numPr>
          <w:ilvl w:val="0"/>
          <w:numId w:val="12"/>
        </w:numPr>
        <w:suppressAutoHyphens w:val="0"/>
        <w:contextualSpacing/>
        <w:textAlignment w:val="auto"/>
      </w:pPr>
      <w:r>
        <w:rPr>
          <w:rFonts w:eastAsia="Times New Roman" w:cs="DIN Pro Regular"/>
          <w:b/>
          <w:bCs/>
          <w:lang w:eastAsia="es-ES"/>
        </w:rPr>
        <w:t>Sistema y método de valuación de inventarios:</w:t>
      </w:r>
      <w:r>
        <w:rPr>
          <w:rFonts w:eastAsia="Times New Roman" w:cs="DIN Pro Regular"/>
          <w:lang w:eastAsia="es-ES"/>
        </w:rPr>
        <w:t xml:space="preserve"> No Aplica</w:t>
      </w:r>
    </w:p>
    <w:p w14:paraId="62131FA9" w14:textId="77777777" w:rsidR="00F46F69" w:rsidRDefault="00F46F69">
      <w:pPr>
        <w:widowControl/>
        <w:suppressAutoHyphens w:val="0"/>
        <w:contextualSpacing/>
        <w:textAlignment w:val="auto"/>
        <w:rPr>
          <w:rFonts w:eastAsia="Times New Roman" w:cs="DIN Pro Regular"/>
          <w:lang w:eastAsia="es-ES"/>
        </w:rPr>
      </w:pPr>
    </w:p>
    <w:p w14:paraId="12B28CDC" w14:textId="77777777" w:rsidR="00F46F69" w:rsidRDefault="00000000">
      <w:pPr>
        <w:widowControl/>
        <w:numPr>
          <w:ilvl w:val="0"/>
          <w:numId w:val="12"/>
        </w:numPr>
        <w:suppressAutoHyphens w:val="0"/>
        <w:spacing w:line="240" w:lineRule="exact"/>
        <w:jc w:val="both"/>
        <w:textAlignment w:val="auto"/>
      </w:pPr>
      <w:r>
        <w:rPr>
          <w:rFonts w:eastAsia="Times New Roman" w:cs="DIN Pro Regular"/>
          <w:b/>
          <w:bCs/>
          <w:lang w:eastAsia="es-ES"/>
        </w:rPr>
        <w:t>Beneficios a empleados:</w:t>
      </w:r>
      <w:r>
        <w:rPr>
          <w:rFonts w:eastAsia="Times New Roman" w:cs="DIN Pro Regular"/>
          <w:lang w:eastAsia="es-ES"/>
        </w:rPr>
        <w:t xml:space="preserve"> La Reserva Actuarial es formulada y calculada por el Instituto de Previsión y Seguridad Social del Estado de Tamaulipas (IPSSET) como ente pensionador de los trabajadores de Gobierno del Estado.</w:t>
      </w:r>
    </w:p>
    <w:p w14:paraId="66D28E10" w14:textId="77777777" w:rsidR="00F46F69" w:rsidRDefault="00F46F69">
      <w:pPr>
        <w:widowControl/>
        <w:suppressAutoHyphens w:val="0"/>
        <w:spacing w:line="240" w:lineRule="exact"/>
        <w:ind w:left="1356"/>
        <w:jc w:val="both"/>
        <w:textAlignment w:val="auto"/>
        <w:rPr>
          <w:rFonts w:eastAsia="Times New Roman" w:cs="DIN Pro Regular"/>
          <w:lang w:eastAsia="es-ES"/>
        </w:rPr>
      </w:pPr>
    </w:p>
    <w:p w14:paraId="36A0FA38" w14:textId="77777777" w:rsidR="00F46F69" w:rsidRDefault="00000000">
      <w:pPr>
        <w:widowControl/>
        <w:numPr>
          <w:ilvl w:val="0"/>
          <w:numId w:val="12"/>
        </w:numPr>
        <w:suppressAutoHyphens w:val="0"/>
        <w:spacing w:line="240" w:lineRule="exact"/>
        <w:jc w:val="both"/>
        <w:textAlignment w:val="auto"/>
      </w:pPr>
      <w:r>
        <w:rPr>
          <w:rFonts w:eastAsia="Times New Roman" w:cs="DIN Pro Regular"/>
          <w:b/>
          <w:bCs/>
          <w:lang w:eastAsia="es-ES"/>
        </w:rPr>
        <w:t>Provisiones:</w:t>
      </w:r>
      <w:r>
        <w:rPr>
          <w:rFonts w:eastAsia="Times New Roman" w:cs="DIN Pro Regular"/>
          <w:lang w:eastAsia="es-ES"/>
        </w:rPr>
        <w:t xml:space="preserve"> No Aplica.</w:t>
      </w:r>
    </w:p>
    <w:p w14:paraId="58ABFA3A"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58AB72A3" w14:textId="77777777" w:rsidR="00F46F69" w:rsidRDefault="00000000">
      <w:pPr>
        <w:widowControl/>
        <w:numPr>
          <w:ilvl w:val="0"/>
          <w:numId w:val="12"/>
        </w:numPr>
        <w:suppressAutoHyphens w:val="0"/>
        <w:spacing w:line="240" w:lineRule="exact"/>
        <w:jc w:val="both"/>
        <w:textAlignment w:val="auto"/>
      </w:pPr>
      <w:r>
        <w:rPr>
          <w:rFonts w:eastAsia="Times New Roman" w:cs="DIN Pro Regular"/>
          <w:b/>
          <w:bCs/>
          <w:lang w:eastAsia="es-ES"/>
        </w:rPr>
        <w:t>Reservas:</w:t>
      </w:r>
      <w:r>
        <w:rPr>
          <w:rFonts w:eastAsia="Times New Roman" w:cs="DIN Pro Regular"/>
          <w:lang w:eastAsia="es-ES"/>
        </w:rPr>
        <w:t xml:space="preserve"> No Aplica </w:t>
      </w:r>
    </w:p>
    <w:p w14:paraId="4459C2D0" w14:textId="77777777" w:rsidR="00F46F69" w:rsidRDefault="00F46F69">
      <w:pPr>
        <w:widowControl/>
        <w:suppressAutoHyphens w:val="0"/>
        <w:spacing w:line="240" w:lineRule="exact"/>
        <w:jc w:val="both"/>
        <w:textAlignment w:val="auto"/>
        <w:rPr>
          <w:rFonts w:eastAsia="Times New Roman" w:cs="DIN Pro Regular"/>
          <w:lang w:eastAsia="es-ES"/>
        </w:rPr>
      </w:pPr>
    </w:p>
    <w:p w14:paraId="4293791C" w14:textId="77777777" w:rsidR="00F46F69" w:rsidRDefault="00000000">
      <w:pPr>
        <w:widowControl/>
        <w:numPr>
          <w:ilvl w:val="0"/>
          <w:numId w:val="12"/>
        </w:numPr>
        <w:suppressAutoHyphens w:val="0"/>
        <w:spacing w:line="240" w:lineRule="exact"/>
        <w:jc w:val="both"/>
        <w:textAlignment w:val="auto"/>
      </w:pPr>
      <w:r>
        <w:rPr>
          <w:rFonts w:eastAsia="Times New Roman" w:cs="DIN Pro Regular"/>
          <w:b/>
          <w:bCs/>
          <w:lang w:eastAsia="es-ES"/>
        </w:rPr>
        <w:t>Cambios en políticas contables y corrección de errores junto con la revelación de los efectos que se tendrá en la información financiera del ente público, ya sea retrospectivos o prospectivos:</w:t>
      </w:r>
      <w:r>
        <w:rPr>
          <w:rFonts w:eastAsia="Times New Roman" w:cs="DIN Pro Regular"/>
          <w:lang w:eastAsia="es-ES"/>
        </w:rPr>
        <w:t xml:space="preserve"> No Aplica.</w:t>
      </w:r>
    </w:p>
    <w:p w14:paraId="2E99EEF4" w14:textId="77777777" w:rsidR="00F46F69" w:rsidRDefault="00F46F69">
      <w:pPr>
        <w:widowControl/>
        <w:suppressAutoHyphens w:val="0"/>
        <w:spacing w:line="240" w:lineRule="exact"/>
        <w:ind w:left="1356"/>
        <w:jc w:val="both"/>
        <w:textAlignment w:val="auto"/>
        <w:rPr>
          <w:rFonts w:eastAsia="Times New Roman" w:cs="DIN Pro Regular"/>
          <w:sz w:val="14"/>
          <w:szCs w:val="14"/>
          <w:lang w:eastAsia="es-ES"/>
        </w:rPr>
      </w:pPr>
    </w:p>
    <w:p w14:paraId="6270E0ED" w14:textId="77777777" w:rsidR="00F46F69" w:rsidRDefault="00F46F69">
      <w:pPr>
        <w:widowControl/>
        <w:suppressAutoHyphens w:val="0"/>
        <w:spacing w:line="240" w:lineRule="exact"/>
        <w:ind w:left="1356"/>
        <w:jc w:val="both"/>
        <w:textAlignment w:val="auto"/>
        <w:rPr>
          <w:rFonts w:eastAsia="Times New Roman" w:cs="DIN Pro Regular"/>
          <w:sz w:val="14"/>
          <w:szCs w:val="14"/>
          <w:lang w:eastAsia="es-ES"/>
        </w:rPr>
      </w:pPr>
    </w:p>
    <w:p w14:paraId="1F71DF95" w14:textId="77777777" w:rsidR="00F46F69" w:rsidRDefault="00F46F69">
      <w:pPr>
        <w:widowControl/>
        <w:suppressAutoHyphens w:val="0"/>
        <w:spacing w:line="240" w:lineRule="exact"/>
        <w:ind w:left="1356"/>
        <w:jc w:val="both"/>
        <w:textAlignment w:val="auto"/>
        <w:rPr>
          <w:rFonts w:eastAsia="Times New Roman" w:cs="DIN Pro Regular"/>
          <w:sz w:val="14"/>
          <w:szCs w:val="14"/>
          <w:lang w:eastAsia="es-ES"/>
        </w:rPr>
      </w:pPr>
    </w:p>
    <w:p w14:paraId="6E9B17CA" w14:textId="77777777" w:rsidR="00F46F69" w:rsidRDefault="00F46F69">
      <w:pPr>
        <w:widowControl/>
        <w:suppressAutoHyphens w:val="0"/>
        <w:spacing w:line="240" w:lineRule="exact"/>
        <w:ind w:left="1356"/>
        <w:jc w:val="both"/>
        <w:textAlignment w:val="auto"/>
        <w:rPr>
          <w:rFonts w:eastAsia="Times New Roman" w:cs="DIN Pro Regular"/>
          <w:sz w:val="14"/>
          <w:szCs w:val="14"/>
          <w:lang w:eastAsia="es-ES"/>
        </w:rPr>
      </w:pPr>
    </w:p>
    <w:p w14:paraId="4EEC9738" w14:textId="77777777" w:rsidR="00F46F69" w:rsidRDefault="00000000">
      <w:pPr>
        <w:widowControl/>
        <w:numPr>
          <w:ilvl w:val="0"/>
          <w:numId w:val="12"/>
        </w:numPr>
        <w:suppressAutoHyphens w:val="0"/>
        <w:spacing w:line="240" w:lineRule="exact"/>
        <w:jc w:val="both"/>
        <w:textAlignment w:val="auto"/>
      </w:pPr>
      <w:r>
        <w:rPr>
          <w:rFonts w:eastAsia="Times New Roman" w:cs="DIN Pro Regular"/>
          <w:b/>
          <w:bCs/>
          <w:lang w:eastAsia="es-ES"/>
        </w:rPr>
        <w:t>Reclasificaciones:</w:t>
      </w:r>
      <w:r>
        <w:rPr>
          <w:rFonts w:eastAsia="Times New Roman" w:cs="DIN Pro Regular"/>
          <w:lang w:eastAsia="es-ES"/>
        </w:rPr>
        <w:t xml:space="preserve"> Las reclasificaciones realizadas durante el ejercicio obedecen a las necesidades de operación del organismo y se reflejan en los registros contables y presupuestales correspondientes.  </w:t>
      </w:r>
    </w:p>
    <w:p w14:paraId="65721C7A" w14:textId="77777777" w:rsidR="00F46F69" w:rsidRDefault="00F46F69">
      <w:pPr>
        <w:widowControl/>
        <w:suppressAutoHyphens w:val="0"/>
        <w:spacing w:line="240" w:lineRule="exact"/>
        <w:jc w:val="both"/>
        <w:textAlignment w:val="auto"/>
        <w:rPr>
          <w:rFonts w:eastAsia="Times New Roman" w:cs="DIN Pro Regular"/>
          <w:lang w:eastAsia="es-ES"/>
        </w:rPr>
      </w:pPr>
    </w:p>
    <w:p w14:paraId="65BB6C0E" w14:textId="77777777" w:rsidR="00F46F69" w:rsidRDefault="00000000">
      <w:pPr>
        <w:widowControl/>
        <w:numPr>
          <w:ilvl w:val="0"/>
          <w:numId w:val="12"/>
        </w:numPr>
        <w:suppressAutoHyphens w:val="0"/>
        <w:spacing w:line="240" w:lineRule="exact"/>
        <w:jc w:val="both"/>
        <w:textAlignment w:val="auto"/>
      </w:pPr>
      <w:r>
        <w:rPr>
          <w:rFonts w:eastAsia="Times New Roman" w:cs="DIN Pro Regular"/>
          <w:b/>
          <w:bCs/>
          <w:lang w:eastAsia="es-ES"/>
        </w:rPr>
        <w:t>Depuración y cancelación de saldos:</w:t>
      </w:r>
      <w:r>
        <w:rPr>
          <w:rFonts w:eastAsia="Times New Roman" w:cs="DIN Pro Regular"/>
          <w:lang w:eastAsia="es-ES"/>
        </w:rPr>
        <w:t xml:space="preserve"> Durante el ejercicio se realizó la depuración y cancelación de saldos en el Sistema de Contabilidad Gubernamental.</w:t>
      </w:r>
    </w:p>
    <w:p w14:paraId="622D38F7" w14:textId="77777777" w:rsidR="00F46F69" w:rsidRDefault="00F46F69">
      <w:pPr>
        <w:pStyle w:val="Text"/>
        <w:spacing w:after="0" w:line="240" w:lineRule="exact"/>
        <w:ind w:firstLine="0"/>
        <w:jc w:val="left"/>
        <w:rPr>
          <w:rFonts w:ascii="Calibri" w:hAnsi="Calibri" w:cs="DIN Pro Regular"/>
          <w:b/>
          <w:sz w:val="20"/>
          <w:lang w:val="es-MX"/>
        </w:rPr>
      </w:pPr>
    </w:p>
    <w:p w14:paraId="7BEF3A70" w14:textId="77777777" w:rsidR="00F46F69" w:rsidRDefault="00000000">
      <w:pPr>
        <w:pStyle w:val="Text"/>
        <w:numPr>
          <w:ilvl w:val="0"/>
          <w:numId w:val="13"/>
        </w:numPr>
        <w:spacing w:after="0" w:line="240" w:lineRule="exact"/>
        <w:rPr>
          <w:rFonts w:ascii="Calibri" w:hAnsi="Calibri" w:cs="DIN Pro Regular"/>
          <w:b/>
          <w:bCs/>
          <w:sz w:val="20"/>
          <w:lang w:val="es-MX"/>
        </w:rPr>
      </w:pPr>
      <w:r>
        <w:rPr>
          <w:rFonts w:ascii="Calibri" w:hAnsi="Calibri" w:cs="DIN Pro Regular"/>
          <w:b/>
          <w:bCs/>
          <w:sz w:val="20"/>
          <w:lang w:val="es-MX"/>
        </w:rPr>
        <w:t>Posición en Moneda Extranjera y Protección por Riesgo Cambiario</w:t>
      </w:r>
    </w:p>
    <w:p w14:paraId="23A1CB4F" w14:textId="77777777" w:rsidR="00F46F69" w:rsidRDefault="00F46F69">
      <w:pPr>
        <w:pStyle w:val="Text"/>
        <w:spacing w:after="0" w:line="240" w:lineRule="exact"/>
        <w:ind w:left="708" w:firstLine="0"/>
        <w:rPr>
          <w:rFonts w:ascii="Calibri" w:hAnsi="Calibri" w:cs="DIN Pro Regular"/>
          <w:sz w:val="20"/>
          <w:lang w:val="es-MX"/>
        </w:rPr>
      </w:pPr>
    </w:p>
    <w:p w14:paraId="1101497A" w14:textId="77777777" w:rsidR="00F46F69" w:rsidRDefault="00000000">
      <w:pPr>
        <w:widowControl/>
        <w:numPr>
          <w:ilvl w:val="0"/>
          <w:numId w:val="14"/>
        </w:numPr>
        <w:suppressAutoHyphens w:val="0"/>
        <w:spacing w:line="240" w:lineRule="exact"/>
        <w:jc w:val="both"/>
        <w:textAlignment w:val="auto"/>
      </w:pPr>
      <w:r>
        <w:rPr>
          <w:rFonts w:eastAsia="Times New Roman" w:cs="DIN Pro Regular"/>
          <w:b/>
          <w:bCs/>
          <w:lang w:eastAsia="es-ES"/>
        </w:rPr>
        <w:t>Activos en moneda extranjera:</w:t>
      </w:r>
      <w:r>
        <w:rPr>
          <w:rFonts w:eastAsia="Times New Roman" w:cs="DIN Pro Regular"/>
          <w:lang w:eastAsia="es-ES"/>
        </w:rPr>
        <w:t xml:space="preserve"> No aplica</w:t>
      </w:r>
    </w:p>
    <w:p w14:paraId="796C9480" w14:textId="77777777" w:rsidR="00F46F69" w:rsidRDefault="00F46F69">
      <w:pPr>
        <w:widowControl/>
        <w:suppressAutoHyphens w:val="0"/>
        <w:spacing w:line="240" w:lineRule="exact"/>
        <w:ind w:left="1644"/>
        <w:jc w:val="both"/>
        <w:textAlignment w:val="auto"/>
        <w:rPr>
          <w:rFonts w:eastAsia="Times New Roman" w:cs="DIN Pro Regular"/>
          <w:lang w:eastAsia="es-ES"/>
        </w:rPr>
      </w:pPr>
    </w:p>
    <w:p w14:paraId="5589E1C4" w14:textId="77777777" w:rsidR="00F46F69" w:rsidRDefault="00000000">
      <w:pPr>
        <w:widowControl/>
        <w:numPr>
          <w:ilvl w:val="0"/>
          <w:numId w:val="14"/>
        </w:numPr>
        <w:suppressAutoHyphens w:val="0"/>
        <w:spacing w:line="240" w:lineRule="exact"/>
        <w:jc w:val="both"/>
        <w:textAlignment w:val="auto"/>
      </w:pPr>
      <w:r>
        <w:rPr>
          <w:rFonts w:eastAsia="Times New Roman" w:cs="DIN Pro Regular"/>
          <w:b/>
          <w:bCs/>
          <w:lang w:eastAsia="es-ES"/>
        </w:rPr>
        <w:t>Pasivos en moneda extranjera:</w:t>
      </w:r>
      <w:r>
        <w:rPr>
          <w:rFonts w:eastAsia="Times New Roman" w:cs="DIN Pro Regular"/>
          <w:lang w:eastAsia="es-ES"/>
        </w:rPr>
        <w:t xml:space="preserve"> No Aplica</w:t>
      </w:r>
    </w:p>
    <w:p w14:paraId="25A7125E" w14:textId="77777777" w:rsidR="00F46F69" w:rsidRDefault="00F46F69">
      <w:pPr>
        <w:widowControl/>
        <w:suppressAutoHyphens w:val="0"/>
        <w:spacing w:line="240" w:lineRule="exact"/>
        <w:jc w:val="both"/>
        <w:textAlignment w:val="auto"/>
        <w:rPr>
          <w:rFonts w:eastAsia="Times New Roman" w:cs="DIN Pro Regular"/>
          <w:lang w:eastAsia="es-ES"/>
        </w:rPr>
      </w:pPr>
    </w:p>
    <w:p w14:paraId="157864C9" w14:textId="77777777" w:rsidR="00F46F69" w:rsidRDefault="00000000">
      <w:pPr>
        <w:widowControl/>
        <w:numPr>
          <w:ilvl w:val="0"/>
          <w:numId w:val="14"/>
        </w:numPr>
        <w:suppressAutoHyphens w:val="0"/>
        <w:spacing w:line="240" w:lineRule="exact"/>
        <w:jc w:val="both"/>
        <w:textAlignment w:val="auto"/>
      </w:pPr>
      <w:r>
        <w:rPr>
          <w:rFonts w:eastAsia="Times New Roman" w:cs="DIN Pro Regular"/>
          <w:b/>
          <w:bCs/>
          <w:lang w:eastAsia="es-ES"/>
        </w:rPr>
        <w:t>Posición en moneda extranjera:</w:t>
      </w:r>
      <w:r>
        <w:rPr>
          <w:rFonts w:eastAsia="Times New Roman" w:cs="DIN Pro Regular"/>
          <w:lang w:eastAsia="es-ES"/>
        </w:rPr>
        <w:t xml:space="preserve"> No Aplica</w:t>
      </w:r>
    </w:p>
    <w:p w14:paraId="46BF352E" w14:textId="77777777" w:rsidR="00F46F69" w:rsidRDefault="00F46F69">
      <w:pPr>
        <w:widowControl/>
        <w:suppressAutoHyphens w:val="0"/>
        <w:spacing w:line="240" w:lineRule="exact"/>
        <w:jc w:val="both"/>
        <w:textAlignment w:val="auto"/>
        <w:rPr>
          <w:rFonts w:eastAsia="Times New Roman" w:cs="DIN Pro Regular"/>
          <w:lang w:eastAsia="es-ES"/>
        </w:rPr>
      </w:pPr>
    </w:p>
    <w:p w14:paraId="30680E76" w14:textId="77777777" w:rsidR="00F46F69" w:rsidRDefault="00000000">
      <w:pPr>
        <w:widowControl/>
        <w:numPr>
          <w:ilvl w:val="0"/>
          <w:numId w:val="14"/>
        </w:numPr>
        <w:suppressAutoHyphens w:val="0"/>
        <w:spacing w:line="240" w:lineRule="exact"/>
        <w:jc w:val="both"/>
        <w:textAlignment w:val="auto"/>
      </w:pPr>
      <w:r>
        <w:rPr>
          <w:rFonts w:eastAsia="Times New Roman" w:cs="DIN Pro Regular"/>
          <w:b/>
          <w:bCs/>
          <w:lang w:eastAsia="es-ES"/>
        </w:rPr>
        <w:t>Tipo de cambio:</w:t>
      </w:r>
      <w:r>
        <w:rPr>
          <w:rFonts w:eastAsia="Times New Roman" w:cs="DIN Pro Regular"/>
          <w:lang w:eastAsia="es-ES"/>
        </w:rPr>
        <w:t xml:space="preserve"> No Aplica</w:t>
      </w:r>
    </w:p>
    <w:p w14:paraId="22FF9C29" w14:textId="77777777" w:rsidR="00F46F69" w:rsidRDefault="00F46F69">
      <w:pPr>
        <w:widowControl/>
        <w:suppressAutoHyphens w:val="0"/>
        <w:spacing w:line="240" w:lineRule="exact"/>
        <w:jc w:val="both"/>
        <w:textAlignment w:val="auto"/>
        <w:rPr>
          <w:rFonts w:eastAsia="Times New Roman" w:cs="DIN Pro Regular"/>
          <w:lang w:eastAsia="es-ES"/>
        </w:rPr>
      </w:pPr>
    </w:p>
    <w:p w14:paraId="43169BD3" w14:textId="77777777" w:rsidR="00F46F69" w:rsidRDefault="00000000">
      <w:pPr>
        <w:widowControl/>
        <w:numPr>
          <w:ilvl w:val="0"/>
          <w:numId w:val="14"/>
        </w:numPr>
        <w:suppressAutoHyphens w:val="0"/>
        <w:spacing w:line="240" w:lineRule="exact"/>
        <w:jc w:val="both"/>
        <w:textAlignment w:val="auto"/>
      </w:pPr>
      <w:r>
        <w:rPr>
          <w:rFonts w:eastAsia="Times New Roman" w:cs="DIN Pro Regular"/>
          <w:b/>
          <w:bCs/>
          <w:lang w:eastAsia="es-ES"/>
        </w:rPr>
        <w:t>Equivalente en moneda nacional:</w:t>
      </w:r>
      <w:r>
        <w:rPr>
          <w:rFonts w:eastAsia="Times New Roman" w:cs="DIN Pro Regular"/>
          <w:lang w:eastAsia="es-ES"/>
        </w:rPr>
        <w:t xml:space="preserve"> No Aplica</w:t>
      </w:r>
    </w:p>
    <w:p w14:paraId="5564B9B4" w14:textId="77777777" w:rsidR="00F46F69" w:rsidRDefault="00F46F69">
      <w:pPr>
        <w:rPr>
          <w:rFonts w:eastAsia="Times New Roman" w:cs="DIN Pro Regular"/>
          <w:lang w:eastAsia="es-ES"/>
        </w:rPr>
      </w:pPr>
    </w:p>
    <w:p w14:paraId="1435163F"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Reporte Analítico del Activo</w:t>
      </w:r>
    </w:p>
    <w:p w14:paraId="53A318EC" w14:textId="77777777" w:rsidR="00F46F69" w:rsidRDefault="00F46F69">
      <w:pPr>
        <w:widowControl/>
        <w:suppressAutoHyphens w:val="0"/>
        <w:spacing w:line="240" w:lineRule="exact"/>
        <w:ind w:left="708"/>
        <w:jc w:val="both"/>
        <w:textAlignment w:val="auto"/>
        <w:rPr>
          <w:rFonts w:eastAsia="Times New Roman" w:cs="DIN Pro Regular"/>
          <w:b/>
          <w:bCs/>
          <w:lang w:eastAsia="es-ES"/>
        </w:rPr>
      </w:pPr>
    </w:p>
    <w:p w14:paraId="32FFEBC1" w14:textId="77777777" w:rsidR="00F46F69" w:rsidRDefault="00000000">
      <w:pPr>
        <w:widowControl/>
        <w:numPr>
          <w:ilvl w:val="0"/>
          <w:numId w:val="16"/>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Vida útil, porcentajes de depreciación y amortización utilizados en los diferentes tipos de activos:</w:t>
      </w:r>
    </w:p>
    <w:p w14:paraId="1F0412AC" w14:textId="77777777" w:rsidR="00F46F69" w:rsidRDefault="00F46F69">
      <w:pPr>
        <w:widowControl/>
        <w:suppressAutoHyphens w:val="0"/>
        <w:spacing w:line="240" w:lineRule="exact"/>
        <w:ind w:left="1686"/>
        <w:jc w:val="both"/>
        <w:textAlignment w:val="auto"/>
        <w:rPr>
          <w:rFonts w:eastAsia="Times New Roman" w:cs="DIN Pro Regular"/>
          <w:lang w:eastAsia="es-ES"/>
        </w:rPr>
      </w:pPr>
    </w:p>
    <w:tbl>
      <w:tblPr>
        <w:tblW w:w="7822" w:type="dxa"/>
        <w:tblInd w:w="1604" w:type="dxa"/>
        <w:tblCellMar>
          <w:left w:w="10" w:type="dxa"/>
          <w:right w:w="10" w:type="dxa"/>
        </w:tblCellMar>
        <w:tblLook w:val="04A0" w:firstRow="1" w:lastRow="0" w:firstColumn="1" w:lastColumn="0" w:noHBand="0" w:noVBand="1"/>
      </w:tblPr>
      <w:tblGrid>
        <w:gridCol w:w="4420"/>
        <w:gridCol w:w="1701"/>
        <w:gridCol w:w="1701"/>
      </w:tblGrid>
      <w:tr w:rsidR="00F46F69" w14:paraId="44CA3FD0" w14:textId="77777777">
        <w:tblPrEx>
          <w:tblCellMar>
            <w:top w:w="0" w:type="dxa"/>
            <w:bottom w:w="0" w:type="dxa"/>
          </w:tblCellMar>
        </w:tblPrEx>
        <w:trPr>
          <w:trHeight w:val="477"/>
        </w:trPr>
        <w:tc>
          <w:tcPr>
            <w:tcW w:w="4420"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A4D15DD" w14:textId="77777777" w:rsidR="00F46F69" w:rsidRDefault="00000000">
            <w:pPr>
              <w:widowControl/>
              <w:suppressAutoHyphens w:val="0"/>
              <w:jc w:val="center"/>
              <w:textAlignment w:val="auto"/>
              <w:rPr>
                <w:rFonts w:eastAsia="Times New Roman" w:cs="DIN Pro Regular"/>
                <w:b/>
                <w:bCs/>
                <w:lang w:eastAsia="es-ES"/>
              </w:rPr>
            </w:pPr>
            <w:bookmarkStart w:id="3" w:name="RANGE!B3"/>
            <w:bookmarkStart w:id="4" w:name="_Hlk190340724"/>
            <w:bookmarkStart w:id="5" w:name="_Hlk160019688"/>
            <w:r>
              <w:rPr>
                <w:rFonts w:eastAsia="Times New Roman" w:cs="DIN Pro Regular"/>
                <w:b/>
                <w:bCs/>
                <w:lang w:eastAsia="es-ES"/>
              </w:rPr>
              <w:t>Concepto</w:t>
            </w:r>
            <w:bookmarkEnd w:id="3"/>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A4CC72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Años de vida útil</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E8022F7"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de depreciación anual</w:t>
            </w:r>
          </w:p>
        </w:tc>
      </w:tr>
      <w:bookmarkEnd w:id="4"/>
      <w:tr w:rsidR="00F46F69" w14:paraId="55D35859"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FEDF90"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Bienes Inmuebles</w:t>
            </w:r>
          </w:p>
        </w:tc>
      </w:tr>
      <w:tr w:rsidR="00F46F69" w14:paraId="12E3E97A"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F141A6"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Edificios No Habitacionales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7045AF"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72E364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w:t>
            </w:r>
          </w:p>
        </w:tc>
      </w:tr>
      <w:bookmarkEnd w:id="5"/>
      <w:tr w:rsidR="00F46F69" w14:paraId="011DBBD3"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80B7F3"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Bienes Muebles</w:t>
            </w:r>
          </w:p>
        </w:tc>
      </w:tr>
      <w:tr w:rsidR="00F46F69" w14:paraId="65908E3D"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CBB3942"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Mobiliario y Equipo de Administración</w:t>
            </w:r>
          </w:p>
        </w:tc>
      </w:tr>
      <w:tr w:rsidR="00F46F69" w14:paraId="7D425A8C"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ADA9E0"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Muebles de Oficina y Estantería</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25AEFE9"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B2891A"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2ED05E9A"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989E39" w14:textId="77777777" w:rsidR="00F46F69" w:rsidRDefault="00000000">
            <w:pPr>
              <w:widowControl/>
              <w:suppressAutoHyphens w:val="0"/>
              <w:jc w:val="both"/>
              <w:textAlignment w:val="auto"/>
              <w:rPr>
                <w:rFonts w:eastAsia="Times New Roman" w:cs="DIN Pro Regular"/>
                <w:lang w:eastAsia="es-ES"/>
              </w:rPr>
            </w:pPr>
            <w:bookmarkStart w:id="6" w:name="_Hlk180656483"/>
            <w:r>
              <w:rPr>
                <w:rFonts w:eastAsia="Times New Roman" w:cs="DIN Pro Regular"/>
                <w:lang w:eastAsia="es-ES"/>
              </w:rPr>
              <w:t>Muebles, Excepto De Oficina Y Estantería</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AEA2A"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6F63809"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bookmarkEnd w:id="6"/>
      <w:tr w:rsidR="00F46F69" w14:paraId="70DA6B5F"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CA0FAB"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de Cómputo y de Tecnologías de la Información</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4C7BECF"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FBAB3"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33.3</w:t>
            </w:r>
          </w:p>
        </w:tc>
      </w:tr>
      <w:tr w:rsidR="00F46F69" w14:paraId="7F536737"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560F94"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Otros Mobiliarios y Equipos de Administración</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A0622E"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E34824"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7ABA8218"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AB9687"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Mobiliario y Equipo Educacional y Recreativo</w:t>
            </w:r>
          </w:p>
        </w:tc>
      </w:tr>
      <w:tr w:rsidR="00F46F69" w14:paraId="70CF887B"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1DD6BE"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Equipos y Aparatos Audiovisuales</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C412F5"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4183C56"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33.3</w:t>
            </w:r>
          </w:p>
        </w:tc>
      </w:tr>
      <w:tr w:rsidR="00F46F69" w14:paraId="0690C4AD"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4B3BD55"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Cámaras Fotográficas y de Video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736063"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458F22"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33.3</w:t>
            </w:r>
          </w:p>
        </w:tc>
      </w:tr>
      <w:tr w:rsidR="00F46F69" w14:paraId="77FD28CC"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D5D299"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Equipo e Instrumental Médico y de Laboratorio</w:t>
            </w:r>
          </w:p>
        </w:tc>
      </w:tr>
      <w:tr w:rsidR="00F46F69" w14:paraId="710B3116"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1305A2"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Médico y de Laboratorio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CBE48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09FBBC"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r w:rsidR="00F46F69" w14:paraId="04CE5780"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67185F"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Instrumental Médico y de Laboratorio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F1EC642"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A8B257"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r w:rsidR="00F46F69" w14:paraId="3672F41B"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FF7D32"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Equipo de Transporte</w:t>
            </w:r>
          </w:p>
        </w:tc>
      </w:tr>
      <w:tr w:rsidR="00F46F69" w14:paraId="24155960"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0B7CE8"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Automóviles y Equipo Terrestre</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AC3CCF7"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9ADCCC"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r w:rsidR="00F46F69" w14:paraId="790BDD96"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12747E"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Equipo de Defensa y Seguridad</w:t>
            </w:r>
          </w:p>
        </w:tc>
      </w:tr>
    </w:tbl>
    <w:p w14:paraId="5740BF33" w14:textId="77777777" w:rsidR="00F46F69" w:rsidRDefault="00F46F69"/>
    <w:tbl>
      <w:tblPr>
        <w:tblW w:w="7822" w:type="dxa"/>
        <w:tblInd w:w="1604" w:type="dxa"/>
        <w:tblCellMar>
          <w:left w:w="10" w:type="dxa"/>
          <w:right w:w="10" w:type="dxa"/>
        </w:tblCellMar>
        <w:tblLook w:val="04A0" w:firstRow="1" w:lastRow="0" w:firstColumn="1" w:lastColumn="0" w:noHBand="0" w:noVBand="1"/>
      </w:tblPr>
      <w:tblGrid>
        <w:gridCol w:w="4420"/>
        <w:gridCol w:w="1701"/>
        <w:gridCol w:w="1701"/>
      </w:tblGrid>
      <w:tr w:rsidR="00F46F69" w14:paraId="5FCA8714" w14:textId="77777777">
        <w:tblPrEx>
          <w:tblCellMar>
            <w:top w:w="0" w:type="dxa"/>
            <w:bottom w:w="0" w:type="dxa"/>
          </w:tblCellMar>
        </w:tblPrEx>
        <w:trPr>
          <w:trHeight w:val="477"/>
        </w:trPr>
        <w:tc>
          <w:tcPr>
            <w:tcW w:w="4420"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9F3DD2B"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Concepto</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B78AC1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Años de vida útil</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F6DBBCC"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de depreciación anual</w:t>
            </w:r>
          </w:p>
        </w:tc>
      </w:tr>
      <w:tr w:rsidR="00F46F69" w14:paraId="1F15982B"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AD01C6"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Maquinaria y Equipo de Defensa y Seguridad Pública</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29FE44"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4</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D0C61ED"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25</w:t>
            </w:r>
          </w:p>
        </w:tc>
      </w:tr>
      <w:tr w:rsidR="00F46F69" w14:paraId="130F3BFC"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7B5FA6"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de Seguridad Pública y Nacional</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A11155C"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4</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6D2AC9"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25</w:t>
            </w:r>
          </w:p>
        </w:tc>
      </w:tr>
      <w:tr w:rsidR="00F46F69" w14:paraId="378263F8"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7CF9A7"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Maquinaria, Otros Equipos y Herramientas</w:t>
            </w:r>
          </w:p>
        </w:tc>
      </w:tr>
      <w:tr w:rsidR="00F46F69" w14:paraId="02A5CA0D"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041F4F1"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Maquinaria y Equipo Agropecuario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5E7ED8"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D34EE46"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28D5F276"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45074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Maquinaria y Equipo Industrial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35DFC1"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9D5C43B"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7087B7C9" w14:textId="77777777">
        <w:tblPrEx>
          <w:tblCellMar>
            <w:top w:w="0" w:type="dxa"/>
            <w:bottom w:w="0" w:type="dxa"/>
          </w:tblCellMar>
        </w:tblPrEx>
        <w:trPr>
          <w:trHeight w:val="52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C36957"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Sistemas de Aire Acondicionado, Calefacción y de Refrigeración Industrial y Comercial</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DAD0B98"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2A289A8"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61C3D5CC"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A29E58"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de Comunicación y Telecomunicación</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A1676A"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909385B"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2B27C0E7" w14:textId="77777777">
        <w:tblPrEx>
          <w:tblCellMar>
            <w:top w:w="0" w:type="dxa"/>
            <w:bottom w:w="0" w:type="dxa"/>
          </w:tblCellMar>
        </w:tblPrEx>
        <w:trPr>
          <w:trHeight w:val="52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0EDCBA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Equipos de Generación Eléctrica, Aparatos y Accesorios Eléctricos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DAB7A26"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79D687"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28267EA6"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F2018D0"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Herramientas y Máquinas-Herramienta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64B48E"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6FB95A"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037FA516"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7D56EAF"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Otros Equipos</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041B4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2961A66"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64A4565A" w14:textId="77777777">
        <w:tblPrEx>
          <w:tblCellMar>
            <w:top w:w="0" w:type="dxa"/>
            <w:bottom w:w="0" w:type="dxa"/>
          </w:tblCellMar>
        </w:tblPrEx>
        <w:trPr>
          <w:trHeight w:val="315"/>
        </w:trPr>
        <w:tc>
          <w:tcPr>
            <w:tcW w:w="782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ECE1EE"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Activos Biológicos</w:t>
            </w:r>
          </w:p>
        </w:tc>
      </w:tr>
      <w:tr w:rsidR="00F46F69" w14:paraId="2F600040" w14:textId="77777777">
        <w:tblPrEx>
          <w:tblCellMar>
            <w:top w:w="0" w:type="dxa"/>
            <w:bottom w:w="0" w:type="dxa"/>
          </w:tblCellMar>
        </w:tblPrEx>
        <w:trPr>
          <w:trHeight w:val="315"/>
        </w:trPr>
        <w:tc>
          <w:tcPr>
            <w:tcW w:w="442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91B44F"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Especies Menores y de Zoológico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3BEE69B"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DA1B315"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bl>
    <w:p w14:paraId="10F66601" w14:textId="77777777" w:rsidR="00F46F69" w:rsidRDefault="00F46F69">
      <w:pPr>
        <w:widowControl/>
        <w:suppressAutoHyphens w:val="0"/>
        <w:textAlignment w:val="auto"/>
        <w:rPr>
          <w:rFonts w:eastAsia="Times New Roman" w:cs="DIN Pro Regular"/>
          <w:lang w:eastAsia="es-ES"/>
        </w:rPr>
      </w:pPr>
    </w:p>
    <w:p w14:paraId="57B3E42B" w14:textId="77777777" w:rsidR="00F46F69" w:rsidRDefault="00000000">
      <w:pPr>
        <w:widowControl/>
        <w:suppressAutoHyphens w:val="0"/>
        <w:spacing w:line="240" w:lineRule="exact"/>
        <w:ind w:left="1686"/>
        <w:jc w:val="both"/>
        <w:textAlignment w:val="auto"/>
        <w:rPr>
          <w:rFonts w:eastAsia="Times New Roman" w:cs="DIN Pro Regular"/>
          <w:lang w:eastAsia="es-ES"/>
        </w:rPr>
      </w:pPr>
      <w:r>
        <w:rPr>
          <w:rFonts w:eastAsia="Times New Roman" w:cs="DIN Pro Regular"/>
          <w:lang w:eastAsia="es-ES"/>
        </w:rPr>
        <w:t>La amortización de los Activos Intangibles depende de manera directa de las condiciones de la adquisición de cada uno de los activos y será una cuestión de criterio basada en la experiencia que el ente público tenga con activos similares.</w:t>
      </w:r>
    </w:p>
    <w:p w14:paraId="2B451B1E" w14:textId="77777777" w:rsidR="00F46F69" w:rsidRDefault="00F46F69">
      <w:pPr>
        <w:widowControl/>
        <w:suppressAutoHyphens w:val="0"/>
        <w:spacing w:line="240" w:lineRule="exact"/>
        <w:ind w:left="1686"/>
        <w:jc w:val="both"/>
        <w:textAlignment w:val="auto"/>
        <w:rPr>
          <w:rFonts w:eastAsia="Times New Roman" w:cs="DIN Pro Regular"/>
          <w:lang w:eastAsia="es-ES"/>
        </w:rPr>
      </w:pPr>
    </w:p>
    <w:p w14:paraId="152E0B0B" w14:textId="77777777" w:rsidR="00F46F69" w:rsidRDefault="00000000">
      <w:pPr>
        <w:widowControl/>
        <w:numPr>
          <w:ilvl w:val="0"/>
          <w:numId w:val="16"/>
        </w:numPr>
        <w:suppressAutoHyphens w:val="0"/>
        <w:spacing w:line="240" w:lineRule="exact"/>
        <w:jc w:val="both"/>
        <w:textAlignment w:val="auto"/>
      </w:pPr>
      <w:r>
        <w:rPr>
          <w:rFonts w:eastAsia="Times New Roman" w:cs="DIN Pro Regular"/>
          <w:b/>
          <w:bCs/>
          <w:lang w:eastAsia="es-ES"/>
        </w:rPr>
        <w:t>Cambios en el porcentaje de depreciación y amortización y en el valor de los activos ocasionado por deterioro:</w:t>
      </w:r>
      <w:r>
        <w:rPr>
          <w:rFonts w:eastAsia="Times New Roman" w:cs="DIN Pro Regular"/>
          <w:lang w:eastAsia="es-ES"/>
        </w:rPr>
        <w:t xml:space="preserve"> No Aplica</w:t>
      </w:r>
    </w:p>
    <w:p w14:paraId="226A60DE"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6612DD24" w14:textId="77777777" w:rsidR="00F46F69" w:rsidRDefault="00000000">
      <w:pPr>
        <w:widowControl/>
        <w:numPr>
          <w:ilvl w:val="0"/>
          <w:numId w:val="16"/>
        </w:numPr>
        <w:suppressAutoHyphens w:val="0"/>
        <w:spacing w:line="240" w:lineRule="exact"/>
        <w:jc w:val="both"/>
        <w:textAlignment w:val="auto"/>
      </w:pPr>
      <w:r>
        <w:rPr>
          <w:rFonts w:eastAsia="Times New Roman" w:cs="DIN Pro Regular"/>
          <w:b/>
          <w:bCs/>
          <w:lang w:eastAsia="es-ES"/>
        </w:rPr>
        <w:t>Importe de los gastos capitalizados en el ejercicio, tanto financieros como de Investigación y Desarrollo:</w:t>
      </w:r>
      <w:r>
        <w:rPr>
          <w:rFonts w:eastAsia="Times New Roman" w:cs="DIN Pro Regular"/>
          <w:lang w:eastAsia="es-ES"/>
        </w:rPr>
        <w:t xml:space="preserve"> No Aplica</w:t>
      </w:r>
    </w:p>
    <w:p w14:paraId="7CBAACA1" w14:textId="77777777" w:rsidR="00F46F69" w:rsidRDefault="00F46F69">
      <w:pPr>
        <w:widowControl/>
        <w:suppressAutoHyphens w:val="0"/>
        <w:spacing w:line="240" w:lineRule="exact"/>
        <w:jc w:val="both"/>
        <w:textAlignment w:val="auto"/>
        <w:rPr>
          <w:rFonts w:eastAsia="Times New Roman" w:cs="DIN Pro Regular"/>
          <w:lang w:eastAsia="es-ES"/>
        </w:rPr>
      </w:pPr>
    </w:p>
    <w:p w14:paraId="207D94AD" w14:textId="77777777" w:rsidR="00F46F69" w:rsidRDefault="00000000">
      <w:pPr>
        <w:widowControl/>
        <w:numPr>
          <w:ilvl w:val="0"/>
          <w:numId w:val="16"/>
        </w:numPr>
        <w:suppressAutoHyphens w:val="0"/>
        <w:spacing w:line="240" w:lineRule="exact"/>
        <w:jc w:val="both"/>
        <w:textAlignment w:val="auto"/>
      </w:pPr>
      <w:r>
        <w:rPr>
          <w:rFonts w:eastAsia="Times New Roman" w:cs="DIN Pro Regular"/>
          <w:b/>
          <w:bCs/>
          <w:lang w:eastAsia="es-ES"/>
        </w:rPr>
        <w:t>Riesgos por tipo de cambio o tipo de interés de las inversiones financieras:</w:t>
      </w:r>
      <w:r>
        <w:rPr>
          <w:rFonts w:eastAsia="Times New Roman" w:cs="DIN Pro Regular"/>
          <w:lang w:eastAsia="es-ES"/>
        </w:rPr>
        <w:t xml:space="preserve"> No Aplica</w:t>
      </w:r>
    </w:p>
    <w:p w14:paraId="0CBD71D0" w14:textId="77777777" w:rsidR="00F46F69" w:rsidRDefault="00F46F69">
      <w:pPr>
        <w:widowControl/>
        <w:suppressAutoHyphens w:val="0"/>
        <w:spacing w:line="240" w:lineRule="exact"/>
        <w:jc w:val="both"/>
        <w:textAlignment w:val="auto"/>
        <w:rPr>
          <w:rFonts w:eastAsia="Times New Roman" w:cs="DIN Pro Regular"/>
          <w:lang w:eastAsia="es-ES"/>
        </w:rPr>
      </w:pPr>
    </w:p>
    <w:p w14:paraId="5AC3FE8B" w14:textId="77777777" w:rsidR="00F46F69" w:rsidRDefault="00000000">
      <w:pPr>
        <w:widowControl/>
        <w:numPr>
          <w:ilvl w:val="0"/>
          <w:numId w:val="16"/>
        </w:numPr>
        <w:suppressAutoHyphens w:val="0"/>
        <w:spacing w:line="240" w:lineRule="exact"/>
        <w:jc w:val="both"/>
        <w:textAlignment w:val="auto"/>
      </w:pPr>
      <w:r>
        <w:rPr>
          <w:rFonts w:eastAsia="Times New Roman" w:cs="DIN Pro Regular"/>
          <w:b/>
          <w:bCs/>
          <w:lang w:eastAsia="es-ES"/>
        </w:rPr>
        <w:t>Valor en el ejercicio de los bienes construidos por la entidad:</w:t>
      </w:r>
      <w:r>
        <w:rPr>
          <w:rFonts w:eastAsia="Times New Roman" w:cs="DIN Pro Regular"/>
          <w:lang w:eastAsia="es-ES"/>
        </w:rPr>
        <w:t xml:space="preserve"> No Aplica</w:t>
      </w:r>
    </w:p>
    <w:p w14:paraId="2C090D5D" w14:textId="77777777" w:rsidR="00F46F69" w:rsidRDefault="00F46F69">
      <w:pPr>
        <w:widowControl/>
        <w:suppressAutoHyphens w:val="0"/>
        <w:spacing w:line="240" w:lineRule="exact"/>
        <w:ind w:firstLine="288"/>
        <w:jc w:val="both"/>
        <w:textAlignment w:val="auto"/>
        <w:rPr>
          <w:rFonts w:eastAsia="Times New Roman" w:cs="DIN Pro Regular"/>
          <w:lang w:eastAsia="es-ES"/>
        </w:rPr>
      </w:pPr>
    </w:p>
    <w:p w14:paraId="72526DB7" w14:textId="77777777" w:rsidR="00F46F69" w:rsidRDefault="00000000">
      <w:pPr>
        <w:widowControl/>
        <w:numPr>
          <w:ilvl w:val="0"/>
          <w:numId w:val="16"/>
        </w:numPr>
        <w:suppressAutoHyphens w:val="0"/>
        <w:spacing w:line="240" w:lineRule="exact"/>
        <w:jc w:val="both"/>
        <w:textAlignment w:val="auto"/>
      </w:pPr>
      <w:r>
        <w:rPr>
          <w:rFonts w:eastAsia="Times New Roman" w:cs="DIN Pro Regular"/>
          <w:b/>
          <w:bCs/>
          <w:lang w:eastAsia="es-ES"/>
        </w:rPr>
        <w:t>Otras circunstancias de carácter significativo que afecten el activo, tales como bienes en garantía, señalados en embargos, litigios, títulos de inversiones entregados en garantías, baja significativa del valor de inversiones financieras, etc:</w:t>
      </w:r>
      <w:r>
        <w:rPr>
          <w:rFonts w:eastAsia="Times New Roman" w:cs="DIN Pro Regular"/>
          <w:lang w:eastAsia="es-ES"/>
        </w:rPr>
        <w:t xml:space="preserve"> No Aplica</w:t>
      </w:r>
    </w:p>
    <w:p w14:paraId="5F4809E1" w14:textId="77777777" w:rsidR="00F46F69" w:rsidRDefault="00F46F69">
      <w:pPr>
        <w:widowControl/>
        <w:suppressAutoHyphens w:val="0"/>
        <w:spacing w:line="240" w:lineRule="exact"/>
        <w:jc w:val="both"/>
        <w:textAlignment w:val="auto"/>
        <w:rPr>
          <w:rFonts w:eastAsia="Times New Roman" w:cs="DIN Pro Regular"/>
          <w:lang w:eastAsia="es-ES"/>
        </w:rPr>
      </w:pPr>
    </w:p>
    <w:p w14:paraId="69AFD514" w14:textId="77777777" w:rsidR="00F46F69" w:rsidRDefault="00000000">
      <w:pPr>
        <w:widowControl/>
        <w:numPr>
          <w:ilvl w:val="0"/>
          <w:numId w:val="16"/>
        </w:numPr>
        <w:suppressAutoHyphens w:val="0"/>
        <w:spacing w:line="240" w:lineRule="exact"/>
        <w:jc w:val="both"/>
        <w:textAlignment w:val="auto"/>
      </w:pPr>
      <w:r>
        <w:rPr>
          <w:rFonts w:eastAsia="Times New Roman" w:cs="DIN Pro Regular"/>
          <w:b/>
          <w:bCs/>
          <w:lang w:eastAsia="es-ES"/>
        </w:rPr>
        <w:t>Desmantelamiento de activos, procedimientos, implicaciones, efectos contables:</w:t>
      </w:r>
      <w:r>
        <w:rPr>
          <w:rFonts w:eastAsia="Times New Roman" w:cs="DIN Pro Regular"/>
          <w:lang w:eastAsia="es-ES"/>
        </w:rPr>
        <w:t xml:space="preserve"> No Aplica</w:t>
      </w:r>
    </w:p>
    <w:p w14:paraId="198E4007" w14:textId="77777777" w:rsidR="00F46F69" w:rsidRDefault="00F46F69">
      <w:pPr>
        <w:widowControl/>
        <w:suppressAutoHyphens w:val="0"/>
        <w:spacing w:line="240" w:lineRule="exact"/>
        <w:jc w:val="both"/>
        <w:textAlignment w:val="auto"/>
        <w:rPr>
          <w:rFonts w:eastAsia="Times New Roman" w:cs="DIN Pro Regular"/>
          <w:lang w:eastAsia="es-ES"/>
        </w:rPr>
      </w:pPr>
    </w:p>
    <w:p w14:paraId="013B0545" w14:textId="77777777" w:rsidR="00F46F69" w:rsidRDefault="00000000">
      <w:pPr>
        <w:widowControl/>
        <w:numPr>
          <w:ilvl w:val="0"/>
          <w:numId w:val="16"/>
        </w:numPr>
        <w:suppressAutoHyphens w:val="0"/>
        <w:spacing w:line="240" w:lineRule="exact"/>
        <w:jc w:val="both"/>
        <w:textAlignment w:val="auto"/>
      </w:pPr>
      <w:r>
        <w:rPr>
          <w:rFonts w:eastAsia="Times New Roman" w:cs="DIN Pro Regular"/>
          <w:b/>
          <w:bCs/>
          <w:lang w:eastAsia="es-ES"/>
        </w:rPr>
        <w:t>Administración de activos; planeación con el objetivo de que el ente los utilice de manera más efectiva:</w:t>
      </w:r>
      <w:r>
        <w:rPr>
          <w:rFonts w:eastAsia="Times New Roman" w:cs="DIN Pro Regular"/>
          <w:lang w:eastAsia="es-ES"/>
        </w:rPr>
        <w:t xml:space="preserve"> No Aplica</w:t>
      </w:r>
    </w:p>
    <w:p w14:paraId="5045C86F" w14:textId="77777777" w:rsidR="00F46F69" w:rsidRDefault="00F46F69">
      <w:pPr>
        <w:widowControl/>
        <w:suppressAutoHyphens w:val="0"/>
        <w:spacing w:line="240" w:lineRule="exact"/>
        <w:jc w:val="both"/>
        <w:textAlignment w:val="auto"/>
        <w:rPr>
          <w:rFonts w:ascii="Arial" w:eastAsia="Times New Roman" w:hAnsi="Arial" w:cs="Arial"/>
          <w:b/>
          <w:bCs/>
          <w:sz w:val="18"/>
          <w:szCs w:val="18"/>
          <w:lang w:eastAsia="es-ES"/>
        </w:rPr>
      </w:pPr>
    </w:p>
    <w:p w14:paraId="20273626" w14:textId="77777777" w:rsidR="00F46F69" w:rsidRDefault="00000000">
      <w:pPr>
        <w:widowControl/>
        <w:suppressAutoHyphens w:val="0"/>
        <w:spacing w:line="240" w:lineRule="exact"/>
        <w:ind w:left="708" w:firstLine="288"/>
        <w:jc w:val="both"/>
        <w:textAlignment w:val="auto"/>
        <w:rPr>
          <w:rFonts w:eastAsia="Times New Roman" w:cs="DIN Pro Regular"/>
          <w:b/>
          <w:bCs/>
          <w:lang w:eastAsia="es-ES"/>
        </w:rPr>
      </w:pPr>
      <w:r>
        <w:rPr>
          <w:rFonts w:eastAsia="Times New Roman" w:cs="DIN Pro Regular"/>
          <w:b/>
          <w:bCs/>
          <w:lang w:eastAsia="es-ES"/>
        </w:rPr>
        <w:t xml:space="preserve">Principales Variaciones en el Activo </w:t>
      </w:r>
    </w:p>
    <w:p w14:paraId="1B551D5C" w14:textId="77777777" w:rsidR="00F46F69" w:rsidRDefault="00F46F69">
      <w:pPr>
        <w:widowControl/>
        <w:suppressAutoHyphens w:val="0"/>
        <w:spacing w:line="240" w:lineRule="exact"/>
        <w:ind w:left="708" w:firstLine="288"/>
        <w:jc w:val="both"/>
        <w:textAlignment w:val="auto"/>
        <w:rPr>
          <w:rFonts w:eastAsia="Times New Roman" w:cs="DIN Pro Regular"/>
          <w:lang w:eastAsia="es-ES"/>
        </w:rPr>
      </w:pPr>
    </w:p>
    <w:p w14:paraId="2B5405D3" w14:textId="77777777" w:rsidR="00F46F69" w:rsidRDefault="00000000">
      <w:pPr>
        <w:widowControl/>
        <w:numPr>
          <w:ilvl w:val="0"/>
          <w:numId w:val="17"/>
        </w:numPr>
        <w:suppressAutoHyphens w:val="0"/>
        <w:spacing w:line="240" w:lineRule="exact"/>
        <w:jc w:val="both"/>
        <w:textAlignment w:val="auto"/>
      </w:pPr>
      <w:r>
        <w:rPr>
          <w:rFonts w:eastAsia="Times New Roman" w:cs="DIN Pro Regular"/>
          <w:b/>
          <w:bCs/>
          <w:lang w:eastAsia="es-ES"/>
        </w:rPr>
        <w:t>Inversiones en valores:</w:t>
      </w:r>
      <w:r>
        <w:rPr>
          <w:rFonts w:eastAsia="Times New Roman" w:cs="DIN Pro Regular"/>
          <w:lang w:eastAsia="es-ES"/>
        </w:rPr>
        <w:t xml:space="preserve"> No Aplica</w:t>
      </w:r>
    </w:p>
    <w:p w14:paraId="51703A5B" w14:textId="77777777" w:rsidR="00F46F69" w:rsidRDefault="00F46F69">
      <w:pPr>
        <w:widowControl/>
        <w:suppressAutoHyphens w:val="0"/>
        <w:spacing w:line="240" w:lineRule="exact"/>
        <w:ind w:firstLine="288"/>
        <w:jc w:val="both"/>
        <w:textAlignment w:val="auto"/>
        <w:rPr>
          <w:rFonts w:eastAsia="Times New Roman" w:cs="DIN Pro Regular"/>
          <w:lang w:eastAsia="es-ES"/>
        </w:rPr>
      </w:pPr>
    </w:p>
    <w:p w14:paraId="597B9291" w14:textId="77777777" w:rsidR="00F46F69" w:rsidRDefault="00000000">
      <w:pPr>
        <w:widowControl/>
        <w:numPr>
          <w:ilvl w:val="0"/>
          <w:numId w:val="17"/>
        </w:numPr>
        <w:suppressAutoHyphens w:val="0"/>
        <w:spacing w:line="240" w:lineRule="exact"/>
        <w:jc w:val="both"/>
        <w:textAlignment w:val="auto"/>
      </w:pPr>
      <w:r>
        <w:rPr>
          <w:rFonts w:eastAsia="Times New Roman" w:cs="DIN Pro Regular"/>
          <w:b/>
          <w:bCs/>
          <w:lang w:eastAsia="es-ES"/>
        </w:rPr>
        <w:t>Patrimonio de Organismos Descentralizados de Control Presupuestario Indirecto:</w:t>
      </w:r>
      <w:r>
        <w:rPr>
          <w:rFonts w:eastAsia="Times New Roman" w:cs="DIN Pro Regular"/>
          <w:lang w:eastAsia="es-ES"/>
        </w:rPr>
        <w:t xml:space="preserve"> No Aplica</w:t>
      </w:r>
    </w:p>
    <w:p w14:paraId="74B2B8E3" w14:textId="77777777" w:rsidR="00F46F69" w:rsidRDefault="00F46F69">
      <w:pPr>
        <w:widowControl/>
        <w:suppressAutoHyphens w:val="0"/>
        <w:spacing w:line="240" w:lineRule="exact"/>
        <w:jc w:val="both"/>
        <w:textAlignment w:val="auto"/>
        <w:rPr>
          <w:rFonts w:eastAsia="Times New Roman" w:cs="DIN Pro Regular"/>
          <w:lang w:eastAsia="es-ES"/>
        </w:rPr>
      </w:pPr>
    </w:p>
    <w:p w14:paraId="076BD21B" w14:textId="77777777" w:rsidR="00F46F69" w:rsidRDefault="00F46F69">
      <w:pPr>
        <w:widowControl/>
        <w:suppressAutoHyphens w:val="0"/>
        <w:spacing w:line="240" w:lineRule="exact"/>
        <w:jc w:val="both"/>
        <w:textAlignment w:val="auto"/>
        <w:rPr>
          <w:rFonts w:eastAsia="Times New Roman" w:cs="DIN Pro Regular"/>
          <w:lang w:eastAsia="es-ES"/>
        </w:rPr>
      </w:pPr>
    </w:p>
    <w:p w14:paraId="4E68102D" w14:textId="77777777" w:rsidR="00F46F69" w:rsidRDefault="00000000">
      <w:pPr>
        <w:widowControl/>
        <w:numPr>
          <w:ilvl w:val="0"/>
          <w:numId w:val="17"/>
        </w:numPr>
        <w:suppressAutoHyphens w:val="0"/>
        <w:spacing w:line="240" w:lineRule="exact"/>
        <w:jc w:val="both"/>
        <w:textAlignment w:val="auto"/>
      </w:pPr>
      <w:r>
        <w:rPr>
          <w:rFonts w:eastAsia="Times New Roman" w:cs="DIN Pro Regular"/>
          <w:b/>
          <w:bCs/>
          <w:lang w:eastAsia="es-ES"/>
        </w:rPr>
        <w:t>Inversiones en empresas de participación mayoritaria:</w:t>
      </w:r>
      <w:r>
        <w:rPr>
          <w:rFonts w:eastAsia="Times New Roman" w:cs="DIN Pro Regular"/>
          <w:lang w:eastAsia="es-ES"/>
        </w:rPr>
        <w:t xml:space="preserve"> No Aplica</w:t>
      </w:r>
    </w:p>
    <w:p w14:paraId="09417B4C" w14:textId="77777777" w:rsidR="00F46F69" w:rsidRDefault="00F46F69">
      <w:pPr>
        <w:widowControl/>
        <w:suppressAutoHyphens w:val="0"/>
        <w:spacing w:line="240" w:lineRule="exact"/>
        <w:jc w:val="both"/>
        <w:textAlignment w:val="auto"/>
        <w:rPr>
          <w:rFonts w:eastAsia="Times New Roman" w:cs="DIN Pro Regular"/>
          <w:lang w:eastAsia="es-ES"/>
        </w:rPr>
      </w:pPr>
    </w:p>
    <w:p w14:paraId="3023CA22" w14:textId="77777777" w:rsidR="00F46F69" w:rsidRDefault="00000000">
      <w:pPr>
        <w:widowControl/>
        <w:numPr>
          <w:ilvl w:val="0"/>
          <w:numId w:val="17"/>
        </w:numPr>
        <w:suppressAutoHyphens w:val="0"/>
        <w:spacing w:line="240" w:lineRule="exact"/>
        <w:jc w:val="both"/>
        <w:textAlignment w:val="auto"/>
      </w:pPr>
      <w:r>
        <w:rPr>
          <w:rFonts w:eastAsia="Times New Roman" w:cs="DIN Pro Regular"/>
          <w:b/>
          <w:bCs/>
          <w:lang w:eastAsia="es-ES"/>
        </w:rPr>
        <w:t>Inversiones en empresas de participación minoritaria:</w:t>
      </w:r>
      <w:r>
        <w:rPr>
          <w:rFonts w:eastAsia="Times New Roman" w:cs="DIN Pro Regular"/>
          <w:lang w:eastAsia="es-ES"/>
        </w:rPr>
        <w:t xml:space="preserve"> No Aplica</w:t>
      </w:r>
    </w:p>
    <w:p w14:paraId="680E44AE"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066DA83F" w14:textId="77777777" w:rsidR="00F46F69" w:rsidRDefault="00000000">
      <w:pPr>
        <w:widowControl/>
        <w:numPr>
          <w:ilvl w:val="0"/>
          <w:numId w:val="17"/>
        </w:numPr>
        <w:suppressAutoHyphens w:val="0"/>
        <w:spacing w:line="240" w:lineRule="exact"/>
        <w:jc w:val="both"/>
        <w:textAlignment w:val="auto"/>
      </w:pPr>
      <w:r>
        <w:rPr>
          <w:rFonts w:eastAsia="Times New Roman" w:cs="DIN Pro Regular"/>
          <w:b/>
          <w:bCs/>
          <w:lang w:eastAsia="es-ES"/>
        </w:rPr>
        <w:t>Patrimonio de organismos descentralizados de control presupuestario directo, según corresponda:</w:t>
      </w:r>
      <w:r>
        <w:rPr>
          <w:rFonts w:eastAsia="Times New Roman" w:cs="DIN Pro Regular"/>
          <w:lang w:eastAsia="es-ES"/>
        </w:rPr>
        <w:t xml:space="preserve"> No Aplica</w:t>
      </w:r>
    </w:p>
    <w:p w14:paraId="37DC34FB" w14:textId="77777777" w:rsidR="00F46F69" w:rsidRDefault="00F46F69">
      <w:pPr>
        <w:widowControl/>
        <w:suppressAutoHyphens w:val="0"/>
        <w:spacing w:line="240" w:lineRule="exact"/>
        <w:jc w:val="both"/>
        <w:textAlignment w:val="auto"/>
        <w:rPr>
          <w:rFonts w:eastAsia="Times New Roman" w:cs="DIN Pro Regular"/>
          <w:lang w:eastAsia="es-ES"/>
        </w:rPr>
      </w:pPr>
    </w:p>
    <w:p w14:paraId="15E94E96"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Fideicomisos, Mandatos y Análogos</w:t>
      </w:r>
    </w:p>
    <w:p w14:paraId="32789C52" w14:textId="77777777" w:rsidR="00F46F69" w:rsidRDefault="00000000">
      <w:pPr>
        <w:widowControl/>
        <w:suppressAutoHyphens w:val="0"/>
        <w:spacing w:line="240" w:lineRule="exact"/>
        <w:ind w:left="708"/>
        <w:jc w:val="both"/>
        <w:textAlignment w:val="auto"/>
        <w:rPr>
          <w:rFonts w:eastAsia="Times New Roman" w:cs="DIN Pro Regular"/>
          <w:lang w:eastAsia="es-ES"/>
        </w:rPr>
      </w:pPr>
      <w:r>
        <w:rPr>
          <w:rFonts w:eastAsia="Times New Roman" w:cs="DIN Pro Regular"/>
          <w:lang w:eastAsia="es-ES"/>
        </w:rPr>
        <w:t>No Aplica</w:t>
      </w:r>
    </w:p>
    <w:p w14:paraId="5811C8BC"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3D4EB10F"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Reporte de la Recaudación</w:t>
      </w:r>
    </w:p>
    <w:p w14:paraId="0EEB6159"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77023F16" w14:textId="77777777" w:rsidR="00F46F69" w:rsidRDefault="00000000">
      <w:pPr>
        <w:widowControl/>
        <w:numPr>
          <w:ilvl w:val="0"/>
          <w:numId w:val="18"/>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Análisis del comportamiento de la recaudación correspondiente al ente público o cualquier tipo de ingreso, de forma separada los ingresos locales de los federales</w:t>
      </w:r>
    </w:p>
    <w:p w14:paraId="2C3B3231" w14:textId="77777777" w:rsidR="00F46F69" w:rsidRDefault="00F46F69">
      <w:pPr>
        <w:widowControl/>
        <w:suppressAutoHyphens w:val="0"/>
        <w:spacing w:line="240" w:lineRule="exact"/>
        <w:ind w:left="1644"/>
        <w:jc w:val="both"/>
        <w:textAlignment w:val="auto"/>
        <w:rPr>
          <w:rFonts w:eastAsia="Times New Roman" w:cs="DIN Pro Regular"/>
          <w:b/>
          <w:bCs/>
          <w:lang w:eastAsia="es-ES"/>
        </w:rPr>
      </w:pPr>
    </w:p>
    <w:tbl>
      <w:tblPr>
        <w:tblW w:w="7655" w:type="dxa"/>
        <w:tblInd w:w="1771" w:type="dxa"/>
        <w:tblLayout w:type="fixed"/>
        <w:tblCellMar>
          <w:left w:w="10" w:type="dxa"/>
          <w:right w:w="10" w:type="dxa"/>
        </w:tblCellMar>
        <w:tblLook w:val="04A0" w:firstRow="1" w:lastRow="0" w:firstColumn="1" w:lastColumn="0" w:noHBand="0" w:noVBand="1"/>
      </w:tblPr>
      <w:tblGrid>
        <w:gridCol w:w="1418"/>
        <w:gridCol w:w="1559"/>
        <w:gridCol w:w="4678"/>
      </w:tblGrid>
      <w:tr w:rsidR="00F46F69" w14:paraId="2D75F0A1" w14:textId="77777777">
        <w:tblPrEx>
          <w:tblCellMar>
            <w:top w:w="0" w:type="dxa"/>
            <w:bottom w:w="0" w:type="dxa"/>
          </w:tblCellMar>
        </w:tblPrEx>
        <w:trPr>
          <w:trHeight w:val="195"/>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76015DBC"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Ingresos de Gestión</w:t>
            </w:r>
          </w:p>
        </w:tc>
      </w:tr>
      <w:tr w:rsidR="00F46F69" w14:paraId="1C24EE54" w14:textId="77777777">
        <w:tblPrEx>
          <w:tblCellMar>
            <w:top w:w="0" w:type="dxa"/>
            <w:bottom w:w="0" w:type="dxa"/>
          </w:tblCellMar>
        </w:tblPrEx>
        <w:trPr>
          <w:trHeight w:val="70"/>
        </w:trPr>
        <w:tc>
          <w:tcPr>
            <w:tcW w:w="1418"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209D29BB"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Concepto</w:t>
            </w:r>
          </w:p>
        </w:tc>
        <w:tc>
          <w:tcPr>
            <w:tcW w:w="1559"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4856AB39"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Importe </w:t>
            </w:r>
          </w:p>
          <w:p w14:paraId="3FF37DB4"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Recaudado</w:t>
            </w:r>
          </w:p>
        </w:tc>
        <w:tc>
          <w:tcPr>
            <w:tcW w:w="4678"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7B2A2D9E"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Nota</w:t>
            </w:r>
          </w:p>
        </w:tc>
      </w:tr>
      <w:tr w:rsidR="00F46F69" w14:paraId="30326513" w14:textId="77777777">
        <w:tblPrEx>
          <w:tblCellMar>
            <w:top w:w="0" w:type="dxa"/>
            <w:bottom w:w="0" w:type="dxa"/>
          </w:tblCellMar>
        </w:tblPrEx>
        <w:trPr>
          <w:trHeight w:val="686"/>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D7BD98"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Derechos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914916"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14,054,623</w:t>
            </w:r>
          </w:p>
        </w:tc>
        <w:tc>
          <w:tcPr>
            <w:tcW w:w="467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AD94CE"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Ingresos recaudados de las Constancias de Antecedentes Penales y de los Apoyos de Mejoras generados por el cobro del 1% a las instituciones financieras.</w:t>
            </w:r>
          </w:p>
        </w:tc>
      </w:tr>
      <w:tr w:rsidR="00F46F69" w14:paraId="45ECB1B4" w14:textId="77777777">
        <w:tblPrEx>
          <w:tblCellMar>
            <w:top w:w="0" w:type="dxa"/>
            <w:bottom w:w="0" w:type="dxa"/>
          </w:tblCellMar>
        </w:tblPrEx>
        <w:trPr>
          <w:trHeight w:val="491"/>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5C5343"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Productos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F2DE26"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1,325,448</w:t>
            </w:r>
          </w:p>
        </w:tc>
        <w:tc>
          <w:tcPr>
            <w:tcW w:w="467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41231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Ingresos recaudados de los intereses financieros generados de las cuentas bancarias del organismo.</w:t>
            </w:r>
          </w:p>
        </w:tc>
      </w:tr>
      <w:tr w:rsidR="00F46F69" w14:paraId="27D362E9" w14:textId="77777777">
        <w:tblPrEx>
          <w:tblCellMar>
            <w:top w:w="0" w:type="dxa"/>
            <w:bottom w:w="0" w:type="dxa"/>
          </w:tblCellMar>
        </w:tblPrEx>
        <w:trPr>
          <w:trHeight w:val="70"/>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6A19A3"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Subtotal</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66547D"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15,380,071</w:t>
            </w:r>
          </w:p>
        </w:tc>
        <w:tc>
          <w:tcPr>
            <w:tcW w:w="467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C403D3"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w:t>
            </w:r>
          </w:p>
        </w:tc>
      </w:tr>
    </w:tbl>
    <w:p w14:paraId="73865364" w14:textId="77777777" w:rsidR="00F46F69" w:rsidRDefault="00F46F69">
      <w:pPr>
        <w:widowControl/>
        <w:suppressAutoHyphens w:val="0"/>
        <w:spacing w:line="240" w:lineRule="exact"/>
        <w:jc w:val="both"/>
        <w:textAlignment w:val="auto"/>
        <w:rPr>
          <w:rFonts w:eastAsia="Times New Roman" w:cs="DIN Pro Regular"/>
          <w:lang w:eastAsia="es-ES"/>
        </w:rPr>
      </w:pPr>
    </w:p>
    <w:p w14:paraId="033A1FDD" w14:textId="77777777" w:rsidR="00F46F69" w:rsidRDefault="00F46F69">
      <w:pPr>
        <w:widowControl/>
        <w:suppressAutoHyphens w:val="0"/>
        <w:spacing w:line="240" w:lineRule="exact"/>
        <w:jc w:val="both"/>
        <w:textAlignment w:val="auto"/>
        <w:rPr>
          <w:rFonts w:eastAsia="Times New Roman" w:cs="DIN Pro Regular"/>
          <w:lang w:eastAsia="es-ES"/>
        </w:rPr>
      </w:pPr>
    </w:p>
    <w:tbl>
      <w:tblPr>
        <w:tblW w:w="7655" w:type="dxa"/>
        <w:tblInd w:w="1771" w:type="dxa"/>
        <w:tblCellMar>
          <w:left w:w="10" w:type="dxa"/>
          <w:right w:w="10" w:type="dxa"/>
        </w:tblCellMar>
        <w:tblLook w:val="04A0" w:firstRow="1" w:lastRow="0" w:firstColumn="1" w:lastColumn="0" w:noHBand="0" w:noVBand="1"/>
      </w:tblPr>
      <w:tblGrid>
        <w:gridCol w:w="1276"/>
        <w:gridCol w:w="1701"/>
        <w:gridCol w:w="4678"/>
      </w:tblGrid>
      <w:tr w:rsidR="00F46F69" w14:paraId="59B955C1" w14:textId="77777777">
        <w:tblPrEx>
          <w:tblCellMar>
            <w:top w:w="0" w:type="dxa"/>
            <w:bottom w:w="0" w:type="dxa"/>
          </w:tblCellMar>
        </w:tblPrEx>
        <w:trPr>
          <w:trHeight w:val="300"/>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7E5109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Otros Ingresos</w:t>
            </w:r>
          </w:p>
        </w:tc>
      </w:tr>
      <w:tr w:rsidR="00F46F69" w14:paraId="25B7BCEC" w14:textId="77777777">
        <w:tblPrEx>
          <w:tblCellMar>
            <w:top w:w="0" w:type="dxa"/>
            <w:bottom w:w="0" w:type="dxa"/>
          </w:tblCellMar>
        </w:tblPrEx>
        <w:trPr>
          <w:trHeight w:val="300"/>
        </w:trPr>
        <w:tc>
          <w:tcPr>
            <w:tcW w:w="1276"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61BBE1B"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Concepto</w:t>
            </w:r>
          </w:p>
        </w:tc>
        <w:tc>
          <w:tcPr>
            <w:tcW w:w="1701"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6158E859"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Importe</w:t>
            </w:r>
          </w:p>
          <w:p w14:paraId="2AD696AB"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 Recaudado</w:t>
            </w:r>
          </w:p>
        </w:tc>
        <w:tc>
          <w:tcPr>
            <w:tcW w:w="4678"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055EED06"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Nota</w:t>
            </w:r>
          </w:p>
        </w:tc>
      </w:tr>
      <w:tr w:rsidR="00F46F69" w14:paraId="048988B9" w14:textId="77777777">
        <w:tblPrEx>
          <w:tblCellMar>
            <w:top w:w="0" w:type="dxa"/>
            <w:bottom w:w="0" w:type="dxa"/>
          </w:tblCellMar>
        </w:tblPrEx>
        <w:trPr>
          <w:trHeight w:val="76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D776FD"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xml:space="preserve">Otros </w:t>
            </w:r>
          </w:p>
          <w:p w14:paraId="28FC85CD"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Ingresos</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A5E4A8"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745,282</w:t>
            </w:r>
          </w:p>
        </w:tc>
        <w:tc>
          <w:tcPr>
            <w:tcW w:w="467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420368"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Ingresos recaudados por el depósito para el pago de deducible de vehículos siniestrados y devoluciones de comisiones bancarias.</w:t>
            </w:r>
          </w:p>
        </w:tc>
      </w:tr>
      <w:tr w:rsidR="00F46F69" w14:paraId="6EBCBDD6" w14:textId="77777777">
        <w:tblPrEx>
          <w:tblCellMar>
            <w:top w:w="0" w:type="dxa"/>
            <w:bottom w:w="0" w:type="dxa"/>
          </w:tblCellMar>
        </w:tblPrEx>
        <w:trPr>
          <w:trHeight w:val="300"/>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4ECFD0"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Subtotal</w:t>
            </w:r>
          </w:p>
        </w:tc>
        <w:tc>
          <w:tcPr>
            <w:tcW w:w="170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8737A8"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745,282</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EDA63"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w:t>
            </w:r>
          </w:p>
        </w:tc>
      </w:tr>
    </w:tbl>
    <w:p w14:paraId="59CBAB95" w14:textId="77777777" w:rsidR="00F46F69" w:rsidRDefault="00F46F69">
      <w:pPr>
        <w:widowControl/>
        <w:suppressAutoHyphens w:val="0"/>
        <w:spacing w:line="240" w:lineRule="exact"/>
        <w:jc w:val="both"/>
        <w:textAlignment w:val="auto"/>
        <w:rPr>
          <w:rFonts w:eastAsia="Times New Roman" w:cs="DIN Pro Regular"/>
          <w:lang w:eastAsia="es-ES"/>
        </w:rPr>
      </w:pPr>
    </w:p>
    <w:p w14:paraId="7582623F" w14:textId="77777777" w:rsidR="00F46F69" w:rsidRDefault="00F46F69">
      <w:pPr>
        <w:widowControl/>
        <w:suppressAutoHyphens w:val="0"/>
        <w:spacing w:line="240" w:lineRule="exact"/>
        <w:jc w:val="both"/>
        <w:textAlignment w:val="auto"/>
        <w:rPr>
          <w:rFonts w:eastAsia="Times New Roman" w:cs="DIN Pro Regular"/>
          <w:lang w:eastAsia="es-ES"/>
        </w:rPr>
      </w:pPr>
    </w:p>
    <w:tbl>
      <w:tblPr>
        <w:tblW w:w="7655" w:type="dxa"/>
        <w:tblInd w:w="1771" w:type="dxa"/>
        <w:tblCellMar>
          <w:left w:w="10" w:type="dxa"/>
          <w:right w:w="10" w:type="dxa"/>
        </w:tblCellMar>
        <w:tblLook w:val="04A0" w:firstRow="1" w:lastRow="0" w:firstColumn="1" w:lastColumn="0" w:noHBand="0" w:noVBand="1"/>
      </w:tblPr>
      <w:tblGrid>
        <w:gridCol w:w="1276"/>
        <w:gridCol w:w="1559"/>
        <w:gridCol w:w="4820"/>
      </w:tblGrid>
      <w:tr w:rsidR="00F46F69" w14:paraId="671B8CB0" w14:textId="77777777">
        <w:tblPrEx>
          <w:tblCellMar>
            <w:top w:w="0" w:type="dxa"/>
            <w:bottom w:w="0" w:type="dxa"/>
          </w:tblCellMar>
        </w:tblPrEx>
        <w:trPr>
          <w:trHeight w:val="300"/>
        </w:trPr>
        <w:tc>
          <w:tcPr>
            <w:tcW w:w="7655" w:type="dxa"/>
            <w:gridSpan w:val="3"/>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25FFF30A" w14:textId="77777777" w:rsidR="00F46F69" w:rsidRDefault="00000000">
            <w:pPr>
              <w:jc w:val="center"/>
              <w:rPr>
                <w:rFonts w:eastAsia="Times New Roman" w:cs="Calibri"/>
                <w:b/>
                <w:bCs/>
                <w:color w:val="FFFFFF"/>
              </w:rPr>
            </w:pPr>
            <w:bookmarkStart w:id="7" w:name="_Hlk190433334"/>
            <w:r>
              <w:rPr>
                <w:rFonts w:eastAsia="Times New Roman" w:cs="Calibri"/>
                <w:b/>
                <w:bCs/>
                <w:color w:val="FFFFFF"/>
              </w:rPr>
              <w:t>Ingresos por Transferencias</w:t>
            </w:r>
          </w:p>
        </w:tc>
      </w:tr>
      <w:tr w:rsidR="00F46F69" w14:paraId="3934E712" w14:textId="77777777">
        <w:tblPrEx>
          <w:tblCellMar>
            <w:top w:w="0" w:type="dxa"/>
            <w:bottom w:w="0" w:type="dxa"/>
          </w:tblCellMar>
        </w:tblPrEx>
        <w:trPr>
          <w:trHeight w:val="300"/>
        </w:trPr>
        <w:tc>
          <w:tcPr>
            <w:tcW w:w="1276" w:type="dxa"/>
            <w:tcBorders>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26F135C6" w14:textId="77777777" w:rsidR="00F46F69" w:rsidRDefault="00000000">
            <w:pPr>
              <w:jc w:val="center"/>
              <w:rPr>
                <w:rFonts w:eastAsia="Times New Roman" w:cs="Calibri"/>
                <w:b/>
                <w:bCs/>
                <w:color w:val="FFFFFF"/>
              </w:rPr>
            </w:pPr>
            <w:r>
              <w:rPr>
                <w:rFonts w:eastAsia="Times New Roman" w:cs="Calibri"/>
                <w:b/>
                <w:bCs/>
                <w:color w:val="FFFFFF"/>
              </w:rPr>
              <w:t>Concepto</w:t>
            </w:r>
          </w:p>
        </w:tc>
        <w:tc>
          <w:tcPr>
            <w:tcW w:w="1559"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0EA8ADBF" w14:textId="77777777" w:rsidR="00F46F69" w:rsidRDefault="00000000">
            <w:pPr>
              <w:jc w:val="center"/>
              <w:rPr>
                <w:rFonts w:eastAsia="Times New Roman" w:cs="Calibri"/>
                <w:b/>
                <w:bCs/>
                <w:color w:val="FFFFFF"/>
              </w:rPr>
            </w:pPr>
            <w:r>
              <w:rPr>
                <w:rFonts w:eastAsia="Times New Roman" w:cs="Calibri"/>
                <w:b/>
                <w:bCs/>
                <w:color w:val="FFFFFF"/>
              </w:rPr>
              <w:t>Importe Recaudado</w:t>
            </w:r>
          </w:p>
        </w:tc>
        <w:tc>
          <w:tcPr>
            <w:tcW w:w="4820" w:type="dxa"/>
            <w:tcBorders>
              <w:bottom w:val="single" w:sz="4" w:space="0" w:color="000000"/>
              <w:right w:val="single" w:sz="4" w:space="0" w:color="000000"/>
            </w:tcBorders>
            <w:shd w:val="clear" w:color="auto" w:fill="AB0033"/>
            <w:noWrap/>
            <w:tcMar>
              <w:top w:w="0" w:type="dxa"/>
              <w:left w:w="70" w:type="dxa"/>
              <w:bottom w:w="0" w:type="dxa"/>
              <w:right w:w="70" w:type="dxa"/>
            </w:tcMar>
            <w:vAlign w:val="center"/>
          </w:tcPr>
          <w:p w14:paraId="781E306E" w14:textId="77777777" w:rsidR="00F46F69" w:rsidRDefault="00000000">
            <w:pPr>
              <w:jc w:val="center"/>
              <w:rPr>
                <w:rFonts w:eastAsia="Times New Roman" w:cs="Calibri"/>
                <w:b/>
                <w:bCs/>
                <w:color w:val="FFFFFF"/>
              </w:rPr>
            </w:pPr>
            <w:r>
              <w:rPr>
                <w:rFonts w:eastAsia="Times New Roman" w:cs="Calibri"/>
                <w:b/>
                <w:bCs/>
                <w:color w:val="FFFFFF"/>
              </w:rPr>
              <w:t>Nota</w:t>
            </w:r>
          </w:p>
        </w:tc>
      </w:tr>
      <w:bookmarkEnd w:id="7"/>
      <w:tr w:rsidR="00F46F69" w14:paraId="6A611E18" w14:textId="77777777">
        <w:tblPrEx>
          <w:tblCellMar>
            <w:top w:w="0" w:type="dxa"/>
            <w:bottom w:w="0" w:type="dxa"/>
          </w:tblCellMar>
        </w:tblPrEx>
        <w:trPr>
          <w:trHeight w:val="53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9161CD" w14:textId="77777777" w:rsidR="00F46F69" w:rsidRDefault="00000000">
            <w:pPr>
              <w:rPr>
                <w:rFonts w:eastAsia="Times New Roman" w:cs="Calibri"/>
                <w:color w:val="000000"/>
              </w:rPr>
            </w:pPr>
            <w:r>
              <w:rPr>
                <w:rFonts w:eastAsia="Times New Roman" w:cs="Calibri"/>
                <w:color w:val="000000"/>
              </w:rPr>
              <w:t xml:space="preserve">Capítulo 1000 </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61BB29" w14:textId="77777777" w:rsidR="00F46F69" w:rsidRDefault="00000000">
            <w:pPr>
              <w:jc w:val="right"/>
              <w:rPr>
                <w:rFonts w:eastAsia="Times New Roman" w:cs="Calibri"/>
                <w:color w:val="000000"/>
              </w:rPr>
            </w:pPr>
            <w:r>
              <w:rPr>
                <w:rFonts w:eastAsia="Times New Roman" w:cs="Calibri"/>
                <w:color w:val="000000"/>
              </w:rPr>
              <w:t>$   1,159,629,604</w:t>
            </w:r>
          </w:p>
        </w:tc>
        <w:tc>
          <w:tcPr>
            <w:tcW w:w="4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55C485" w14:textId="77777777" w:rsidR="00F46F69" w:rsidRDefault="00000000">
            <w:pPr>
              <w:jc w:val="both"/>
              <w:rPr>
                <w:rFonts w:eastAsia="Times New Roman" w:cs="Calibri"/>
                <w:color w:val="000000"/>
              </w:rPr>
            </w:pPr>
            <w:r>
              <w:rPr>
                <w:rFonts w:eastAsia="Times New Roman" w:cs="Calibri"/>
                <w:color w:val="000000"/>
              </w:rPr>
              <w:t>Ingresos recaudados para el pago de Sueldos, Gratificaciones, Contribuciones IPSSET e ISSSTE, Finiquitos, Laudos, Indemnizaciones, Primas de Antigüedad, Impuestos sobre la Renta y Seguros.</w:t>
            </w:r>
          </w:p>
        </w:tc>
      </w:tr>
      <w:tr w:rsidR="00F46F69" w14:paraId="12935D84" w14:textId="77777777">
        <w:tblPrEx>
          <w:tblCellMar>
            <w:top w:w="0" w:type="dxa"/>
            <w:bottom w:w="0" w:type="dxa"/>
          </w:tblCellMar>
        </w:tblPrEx>
        <w:trPr>
          <w:trHeight w:val="773"/>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ACC819F" w14:textId="77777777" w:rsidR="00F46F69" w:rsidRDefault="00000000">
            <w:pPr>
              <w:rPr>
                <w:rFonts w:eastAsia="Times New Roman" w:cs="Calibri"/>
                <w:color w:val="000000"/>
              </w:rPr>
            </w:pPr>
            <w:r>
              <w:rPr>
                <w:rFonts w:eastAsia="Times New Roman" w:cs="Calibri"/>
                <w:color w:val="000000"/>
              </w:rPr>
              <w:t>Capítulo 2000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9570C1" w14:textId="77777777" w:rsidR="00F46F69" w:rsidRDefault="00000000">
            <w:pPr>
              <w:jc w:val="right"/>
              <w:rPr>
                <w:rFonts w:eastAsia="Times New Roman" w:cs="Calibri"/>
                <w:color w:val="000000"/>
              </w:rPr>
            </w:pPr>
            <w:r>
              <w:rPr>
                <w:rFonts w:eastAsia="Times New Roman" w:cs="Calibri"/>
                <w:color w:val="000000"/>
              </w:rPr>
              <w:t>$      101,941,075</w:t>
            </w:r>
          </w:p>
        </w:tc>
        <w:tc>
          <w:tcPr>
            <w:tcW w:w="4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13543C" w14:textId="77777777" w:rsidR="00F46F69" w:rsidRDefault="00000000">
            <w:pPr>
              <w:jc w:val="both"/>
              <w:rPr>
                <w:rFonts w:eastAsia="Times New Roman" w:cs="Calibri"/>
                <w:color w:val="000000"/>
              </w:rPr>
            </w:pPr>
            <w:r>
              <w:rPr>
                <w:rFonts w:eastAsia="Times New Roman" w:cs="Calibri"/>
                <w:color w:val="000000"/>
              </w:rPr>
              <w:t>Ingresos recaudados para el pago de Materiales y Suministros destinadas a la adquisición de toda clase de insumos requeridos para la prestación de bienes y servicios y para el desempeño de las actividades del organismo.</w:t>
            </w:r>
          </w:p>
        </w:tc>
      </w:tr>
    </w:tbl>
    <w:p w14:paraId="3A7741A8" w14:textId="77777777" w:rsidR="00F46F69" w:rsidRDefault="00F46F69"/>
    <w:p w14:paraId="0C1EA66C" w14:textId="77777777" w:rsidR="00F46F69" w:rsidRDefault="00F46F69"/>
    <w:p w14:paraId="0EE32F4A" w14:textId="77777777" w:rsidR="00F46F69" w:rsidRDefault="00F46F69"/>
    <w:tbl>
      <w:tblPr>
        <w:tblW w:w="7655" w:type="dxa"/>
        <w:tblInd w:w="1771" w:type="dxa"/>
        <w:tblCellMar>
          <w:left w:w="10" w:type="dxa"/>
          <w:right w:w="10" w:type="dxa"/>
        </w:tblCellMar>
        <w:tblLook w:val="04A0" w:firstRow="1" w:lastRow="0" w:firstColumn="1" w:lastColumn="0" w:noHBand="0" w:noVBand="1"/>
      </w:tblPr>
      <w:tblGrid>
        <w:gridCol w:w="1276"/>
        <w:gridCol w:w="1559"/>
        <w:gridCol w:w="4820"/>
      </w:tblGrid>
      <w:tr w:rsidR="00F46F69" w14:paraId="34385159" w14:textId="77777777">
        <w:tblPrEx>
          <w:tblCellMar>
            <w:top w:w="0" w:type="dxa"/>
            <w:bottom w:w="0" w:type="dxa"/>
          </w:tblCellMar>
        </w:tblPrEx>
        <w:trPr>
          <w:trHeight w:val="1020"/>
        </w:trPr>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99EA3F" w14:textId="77777777" w:rsidR="00F46F69" w:rsidRDefault="00000000">
            <w:pPr>
              <w:rPr>
                <w:rFonts w:eastAsia="Times New Roman" w:cs="Calibri"/>
                <w:color w:val="000000"/>
              </w:rPr>
            </w:pPr>
            <w:r>
              <w:rPr>
                <w:rFonts w:eastAsia="Times New Roman" w:cs="Calibri"/>
                <w:color w:val="000000"/>
              </w:rPr>
              <w:t>Capítulo 3000</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BC4DD9" w14:textId="77777777" w:rsidR="00F46F69" w:rsidRDefault="00000000">
            <w:pPr>
              <w:jc w:val="right"/>
              <w:rPr>
                <w:rFonts w:eastAsia="Times New Roman" w:cs="Calibri"/>
                <w:color w:val="000000"/>
              </w:rPr>
            </w:pPr>
            <w:r>
              <w:rPr>
                <w:rFonts w:eastAsia="Times New Roman" w:cs="Calibri"/>
                <w:color w:val="000000"/>
              </w:rPr>
              <w:t>$      225,909,002</w:t>
            </w:r>
          </w:p>
        </w:tc>
        <w:tc>
          <w:tcPr>
            <w:tcW w:w="48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36B4E" w14:textId="77777777" w:rsidR="00F46F69" w:rsidRDefault="00000000">
            <w:pPr>
              <w:jc w:val="both"/>
              <w:rPr>
                <w:rFonts w:eastAsia="Times New Roman" w:cs="Calibri"/>
                <w:color w:val="000000"/>
              </w:rPr>
            </w:pPr>
            <w:r>
              <w:rPr>
                <w:rFonts w:eastAsia="Times New Roman" w:cs="Calibri"/>
                <w:color w:val="000000"/>
              </w:rPr>
              <w:t>Ingresos recaudados para el pago de Servicios Generales requeridos para las actividades del organismo tales como Servicios Básicos, Servicios de Arrendamiento, Servicios Profesionales, Servicios de Traslado y Viáticos entre otros.</w:t>
            </w:r>
          </w:p>
        </w:tc>
      </w:tr>
      <w:tr w:rsidR="00F46F69" w14:paraId="2D0A9FF8" w14:textId="77777777">
        <w:tblPrEx>
          <w:tblCellMar>
            <w:top w:w="0" w:type="dxa"/>
            <w:bottom w:w="0" w:type="dxa"/>
          </w:tblCellMar>
        </w:tblPrEx>
        <w:trPr>
          <w:trHeight w:val="510"/>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959E24" w14:textId="77777777" w:rsidR="00F46F69" w:rsidRDefault="00000000">
            <w:pPr>
              <w:rPr>
                <w:rFonts w:eastAsia="Times New Roman" w:cs="Calibri"/>
                <w:color w:val="000000"/>
              </w:rPr>
            </w:pPr>
            <w:r>
              <w:rPr>
                <w:rFonts w:eastAsia="Times New Roman" w:cs="Calibri"/>
                <w:color w:val="000000"/>
              </w:rPr>
              <w:t>Capítulo 4000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E0D0F9" w14:textId="77777777" w:rsidR="00F46F69" w:rsidRDefault="00000000">
            <w:pPr>
              <w:jc w:val="right"/>
              <w:rPr>
                <w:rFonts w:eastAsia="Times New Roman" w:cs="Calibri"/>
                <w:color w:val="000000"/>
              </w:rPr>
            </w:pPr>
            <w:r>
              <w:rPr>
                <w:rFonts w:eastAsia="Times New Roman" w:cs="Calibri"/>
                <w:color w:val="000000"/>
              </w:rPr>
              <w:t>$           3,435,370</w:t>
            </w:r>
          </w:p>
        </w:tc>
        <w:tc>
          <w:tcPr>
            <w:tcW w:w="48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BDD114" w14:textId="77777777" w:rsidR="00F46F69" w:rsidRDefault="00000000">
            <w:pPr>
              <w:jc w:val="both"/>
              <w:rPr>
                <w:rFonts w:eastAsia="Times New Roman" w:cs="Calibri"/>
                <w:color w:val="000000"/>
              </w:rPr>
            </w:pPr>
            <w:r>
              <w:rPr>
                <w:rFonts w:eastAsia="Times New Roman" w:cs="Calibri"/>
                <w:color w:val="000000"/>
              </w:rPr>
              <w:t>Ingresos recaudados para el pago de Becas y Recompensas.</w:t>
            </w:r>
          </w:p>
        </w:tc>
      </w:tr>
      <w:tr w:rsidR="00F46F69" w14:paraId="66E8B0EC" w14:textId="77777777">
        <w:tblPrEx>
          <w:tblCellMar>
            <w:top w:w="0" w:type="dxa"/>
            <w:bottom w:w="0" w:type="dxa"/>
          </w:tblCellMar>
        </w:tblPrEx>
        <w:trPr>
          <w:trHeight w:val="127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A7AD50" w14:textId="77777777" w:rsidR="00F46F69" w:rsidRDefault="00000000">
            <w:pPr>
              <w:rPr>
                <w:rFonts w:eastAsia="Times New Roman" w:cs="Calibri"/>
                <w:color w:val="000000"/>
              </w:rPr>
            </w:pPr>
            <w:r>
              <w:rPr>
                <w:rFonts w:eastAsia="Times New Roman" w:cs="Calibri"/>
                <w:color w:val="000000"/>
              </w:rPr>
              <w:t>Capítulo 5000</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B07CBA" w14:textId="77777777" w:rsidR="00F46F69" w:rsidRDefault="00000000">
            <w:pPr>
              <w:jc w:val="right"/>
              <w:rPr>
                <w:rFonts w:eastAsia="Times New Roman" w:cs="Calibri"/>
                <w:color w:val="000000"/>
              </w:rPr>
            </w:pPr>
            <w:r>
              <w:rPr>
                <w:rFonts w:eastAsia="Times New Roman" w:cs="Calibri"/>
                <w:color w:val="000000"/>
              </w:rPr>
              <w:t>$           2,795,694</w:t>
            </w:r>
          </w:p>
        </w:tc>
        <w:tc>
          <w:tcPr>
            <w:tcW w:w="482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DBAEC" w14:textId="77777777" w:rsidR="00F46F69" w:rsidRDefault="00000000">
            <w:pPr>
              <w:jc w:val="both"/>
              <w:rPr>
                <w:rFonts w:eastAsia="Times New Roman" w:cs="Calibri"/>
                <w:color w:val="000000"/>
              </w:rPr>
            </w:pPr>
            <w:r>
              <w:rPr>
                <w:rFonts w:eastAsia="Times New Roman" w:cs="Calibri"/>
                <w:color w:val="000000"/>
              </w:rPr>
              <w:t>Ingresos recaudados para la adquisición de mobiliario y equipo de administración, mobiliario y equipo educacional y recreativo y maquinaria, otros equipos y herramientas.</w:t>
            </w:r>
          </w:p>
        </w:tc>
      </w:tr>
    </w:tbl>
    <w:p w14:paraId="07D828A0" w14:textId="77777777" w:rsidR="00F46F69" w:rsidRDefault="00F46F69"/>
    <w:tbl>
      <w:tblPr>
        <w:tblW w:w="7655" w:type="dxa"/>
        <w:tblInd w:w="1771" w:type="dxa"/>
        <w:tblCellMar>
          <w:left w:w="10" w:type="dxa"/>
          <w:right w:w="10" w:type="dxa"/>
        </w:tblCellMar>
        <w:tblLook w:val="04A0" w:firstRow="1" w:lastRow="0" w:firstColumn="1" w:lastColumn="0" w:noHBand="0" w:noVBand="1"/>
      </w:tblPr>
      <w:tblGrid>
        <w:gridCol w:w="1276"/>
        <w:gridCol w:w="1559"/>
        <w:gridCol w:w="4820"/>
      </w:tblGrid>
      <w:tr w:rsidR="00F46F69" w14:paraId="606489E0" w14:textId="77777777">
        <w:tblPrEx>
          <w:tblCellMar>
            <w:top w:w="0" w:type="dxa"/>
            <w:bottom w:w="0" w:type="dxa"/>
          </w:tblCellMar>
        </w:tblPrEx>
        <w:trPr>
          <w:trHeight w:val="1275"/>
        </w:trPr>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9B4244" w14:textId="77777777" w:rsidR="00F46F69" w:rsidRDefault="00000000">
            <w:pPr>
              <w:rPr>
                <w:rFonts w:eastAsia="Times New Roman" w:cs="Calibri"/>
                <w:color w:val="000000"/>
              </w:rPr>
            </w:pPr>
            <w:r>
              <w:rPr>
                <w:rFonts w:eastAsia="Times New Roman" w:cs="Calibri"/>
                <w:color w:val="000000"/>
              </w:rPr>
              <w:t>Proyectos</w:t>
            </w:r>
          </w:p>
        </w:tc>
        <w:tc>
          <w:tcPr>
            <w:tcW w:w="155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49F0C4" w14:textId="77777777" w:rsidR="00F46F69" w:rsidRDefault="00000000">
            <w:pPr>
              <w:jc w:val="right"/>
              <w:rPr>
                <w:rFonts w:eastAsia="Times New Roman" w:cs="Calibri"/>
                <w:color w:val="000000"/>
              </w:rPr>
            </w:pPr>
            <w:r>
              <w:rPr>
                <w:rFonts w:eastAsia="Times New Roman" w:cs="Calibri"/>
                <w:color w:val="000000"/>
              </w:rPr>
              <w:t xml:space="preserve">$           4,857,142     </w:t>
            </w:r>
          </w:p>
        </w:tc>
        <w:tc>
          <w:tcPr>
            <w:tcW w:w="48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A63C50" w14:textId="77777777" w:rsidR="00F46F69" w:rsidRDefault="00000000">
            <w:pPr>
              <w:jc w:val="both"/>
              <w:rPr>
                <w:rFonts w:eastAsia="Times New Roman" w:cs="Calibri"/>
                <w:color w:val="000000"/>
              </w:rPr>
            </w:pPr>
            <w:r>
              <w:rPr>
                <w:rFonts w:eastAsia="Times New Roman" w:cs="Calibri"/>
                <w:color w:val="000000"/>
              </w:rPr>
              <w:t>Ingresos recaudados para el pago de los proyectos de Exhumación del municipio de Matamoros y Materiales, Suministros, Útiles de Oficina y Refacciones de Computo.</w:t>
            </w:r>
          </w:p>
        </w:tc>
      </w:tr>
      <w:tr w:rsidR="00F46F69" w14:paraId="25AE233A" w14:textId="77777777">
        <w:tblPrEx>
          <w:tblCellMar>
            <w:top w:w="0" w:type="dxa"/>
            <w:bottom w:w="0" w:type="dxa"/>
          </w:tblCellMar>
        </w:tblPrEx>
        <w:trPr>
          <w:trHeight w:val="300"/>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0A404A" w14:textId="77777777" w:rsidR="00F46F69" w:rsidRDefault="00000000">
            <w:pPr>
              <w:rPr>
                <w:rFonts w:eastAsia="Times New Roman" w:cs="Calibri"/>
                <w:b/>
                <w:bCs/>
                <w:color w:val="000000"/>
              </w:rPr>
            </w:pPr>
            <w:r>
              <w:rPr>
                <w:rFonts w:eastAsia="Times New Roman" w:cs="Calibri"/>
                <w:b/>
                <w:bCs/>
                <w:color w:val="000000"/>
              </w:rPr>
              <w:t>Subtotal</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5113E1" w14:textId="77777777" w:rsidR="00F46F69" w:rsidRDefault="00000000">
            <w:pPr>
              <w:rPr>
                <w:rFonts w:eastAsia="Times New Roman" w:cs="Calibri"/>
                <w:b/>
                <w:bCs/>
                <w:color w:val="000000"/>
              </w:rPr>
            </w:pPr>
            <w:r>
              <w:rPr>
                <w:rFonts w:eastAsia="Times New Roman" w:cs="Calibri"/>
                <w:b/>
                <w:bCs/>
                <w:color w:val="000000"/>
              </w:rPr>
              <w:t>$   1,498,567,887</w:t>
            </w:r>
          </w:p>
        </w:tc>
        <w:tc>
          <w:tcPr>
            <w:tcW w:w="48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744CAB" w14:textId="77777777" w:rsidR="00F46F69" w:rsidRDefault="00000000">
            <w:pPr>
              <w:rPr>
                <w:rFonts w:eastAsia="Times New Roman" w:cs="Calibri"/>
                <w:color w:val="000000"/>
              </w:rPr>
            </w:pPr>
            <w:r>
              <w:rPr>
                <w:rFonts w:eastAsia="Times New Roman" w:cs="Calibri"/>
                <w:color w:val="000000"/>
              </w:rPr>
              <w:t> </w:t>
            </w:r>
          </w:p>
        </w:tc>
      </w:tr>
    </w:tbl>
    <w:p w14:paraId="248A2789" w14:textId="77777777" w:rsidR="00F46F69" w:rsidRDefault="00F46F69">
      <w:pPr>
        <w:widowControl/>
        <w:suppressAutoHyphens w:val="0"/>
        <w:spacing w:line="240" w:lineRule="exact"/>
        <w:jc w:val="both"/>
        <w:textAlignment w:val="auto"/>
        <w:rPr>
          <w:rFonts w:eastAsia="Times New Roman" w:cs="DIN Pro Regular"/>
          <w:lang w:eastAsia="es-ES"/>
        </w:rPr>
      </w:pPr>
    </w:p>
    <w:tbl>
      <w:tblPr>
        <w:tblW w:w="7655" w:type="dxa"/>
        <w:tblInd w:w="1771" w:type="dxa"/>
        <w:tblCellMar>
          <w:left w:w="10" w:type="dxa"/>
          <w:right w:w="10" w:type="dxa"/>
        </w:tblCellMar>
        <w:tblLook w:val="04A0" w:firstRow="1" w:lastRow="0" w:firstColumn="1" w:lastColumn="0" w:noHBand="0" w:noVBand="1"/>
      </w:tblPr>
      <w:tblGrid>
        <w:gridCol w:w="1276"/>
        <w:gridCol w:w="6379"/>
      </w:tblGrid>
      <w:tr w:rsidR="00F46F69" w14:paraId="467B45C7" w14:textId="77777777">
        <w:tblPrEx>
          <w:tblCellMar>
            <w:top w:w="0" w:type="dxa"/>
            <w:bottom w:w="0" w:type="dxa"/>
          </w:tblCellMar>
        </w:tblPrEx>
        <w:trPr>
          <w:trHeight w:val="300"/>
        </w:trPr>
        <w:tc>
          <w:tcPr>
            <w:tcW w:w="1276"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31B86D6"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Total</w:t>
            </w:r>
          </w:p>
        </w:tc>
        <w:tc>
          <w:tcPr>
            <w:tcW w:w="6379" w:type="dxa"/>
            <w:tcBorders>
              <w:top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210B84E"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1,514,693,240</w:t>
            </w:r>
          </w:p>
        </w:tc>
      </w:tr>
    </w:tbl>
    <w:p w14:paraId="0230BB0A" w14:textId="77777777" w:rsidR="00F46F69" w:rsidRDefault="00F46F69">
      <w:pPr>
        <w:widowControl/>
        <w:suppressAutoHyphens w:val="0"/>
        <w:spacing w:line="240" w:lineRule="exact"/>
        <w:jc w:val="both"/>
        <w:textAlignment w:val="auto"/>
        <w:rPr>
          <w:rFonts w:eastAsia="Times New Roman" w:cs="DIN Pro Regular"/>
          <w:lang w:eastAsia="es-ES"/>
        </w:rPr>
      </w:pPr>
    </w:p>
    <w:p w14:paraId="228416A6"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Información sobre la Deuda y el Reporte Analítico de la Deuda</w:t>
      </w:r>
    </w:p>
    <w:p w14:paraId="406591A2" w14:textId="77777777" w:rsidR="00F46F69" w:rsidRDefault="00000000">
      <w:pPr>
        <w:widowControl/>
        <w:suppressAutoHyphens w:val="0"/>
        <w:spacing w:line="240" w:lineRule="exact"/>
        <w:ind w:left="708"/>
        <w:jc w:val="both"/>
        <w:textAlignment w:val="auto"/>
        <w:rPr>
          <w:rFonts w:eastAsia="Times New Roman" w:cs="DIN Pro Regular"/>
          <w:lang w:eastAsia="es-ES"/>
        </w:rPr>
      </w:pPr>
      <w:r>
        <w:rPr>
          <w:rFonts w:eastAsia="Times New Roman" w:cs="DIN Pro Regular"/>
          <w:lang w:eastAsia="es-ES"/>
        </w:rPr>
        <w:t>No Aplica</w:t>
      </w:r>
    </w:p>
    <w:p w14:paraId="1390CE98"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35524F6C"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Calificaciones otorgadas</w:t>
      </w:r>
    </w:p>
    <w:p w14:paraId="31BDB089" w14:textId="77777777" w:rsidR="00F46F69" w:rsidRDefault="00000000">
      <w:pPr>
        <w:widowControl/>
        <w:suppressAutoHyphens w:val="0"/>
        <w:spacing w:line="240" w:lineRule="exact"/>
        <w:ind w:left="708"/>
        <w:jc w:val="both"/>
        <w:textAlignment w:val="auto"/>
        <w:rPr>
          <w:rFonts w:eastAsia="Times New Roman" w:cs="DIN Pro Regular"/>
          <w:lang w:eastAsia="es-ES"/>
        </w:rPr>
      </w:pPr>
      <w:r>
        <w:rPr>
          <w:rFonts w:eastAsia="Times New Roman" w:cs="DIN Pro Regular"/>
          <w:lang w:eastAsia="es-ES"/>
        </w:rPr>
        <w:t>No Aplica</w:t>
      </w:r>
    </w:p>
    <w:p w14:paraId="552A4A7D"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52788BA1"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Proceso de Mejora</w:t>
      </w:r>
    </w:p>
    <w:p w14:paraId="759180BE"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6A04F062" w14:textId="77777777" w:rsidR="00F46F69" w:rsidRDefault="00000000">
      <w:pPr>
        <w:widowControl/>
        <w:numPr>
          <w:ilvl w:val="0"/>
          <w:numId w:val="19"/>
        </w:numPr>
        <w:suppressAutoHyphens w:val="0"/>
        <w:spacing w:line="240" w:lineRule="exact"/>
        <w:jc w:val="both"/>
        <w:textAlignment w:val="auto"/>
      </w:pPr>
      <w:r>
        <w:rPr>
          <w:rFonts w:eastAsia="Times New Roman" w:cs="DIN Pro Regular"/>
          <w:b/>
          <w:bCs/>
          <w:lang w:eastAsia="es-ES"/>
        </w:rPr>
        <w:t xml:space="preserve">Principales Políticas de control interno: </w:t>
      </w:r>
      <w:r>
        <w:rPr>
          <w:rFonts w:eastAsia="Times New Roman" w:cs="DIN Pro Regular"/>
          <w:lang w:eastAsia="es-ES"/>
        </w:rPr>
        <w:t>La Fiscalía General de Justicia del Estado de Tamaulipas aplica en el ejercicio del gasto la Normatividad establecida por la Contraloría Gubernamental de acuerdo con el articulo décimo octavo transitorio de la Ley Orgánica de la Fiscalía General de Justicia del Estado de Tamaulipas, en el caso de los Recursos Federales las que establecen las reglas de operación de los programas y/o convenios correspondientes.</w:t>
      </w:r>
    </w:p>
    <w:p w14:paraId="5A86C714" w14:textId="77777777" w:rsidR="00F46F69" w:rsidRDefault="00F46F69">
      <w:pPr>
        <w:widowControl/>
        <w:suppressAutoHyphens w:val="0"/>
        <w:spacing w:line="240" w:lineRule="exact"/>
        <w:jc w:val="both"/>
        <w:textAlignment w:val="auto"/>
        <w:rPr>
          <w:rFonts w:eastAsia="Times New Roman" w:cs="DIN Pro Regular"/>
          <w:lang w:eastAsia="es-ES"/>
        </w:rPr>
      </w:pPr>
    </w:p>
    <w:p w14:paraId="7F901E2F" w14:textId="77777777" w:rsidR="00F46F69" w:rsidRDefault="00000000">
      <w:pPr>
        <w:widowControl/>
        <w:numPr>
          <w:ilvl w:val="0"/>
          <w:numId w:val="19"/>
        </w:numPr>
        <w:suppressAutoHyphens w:val="0"/>
        <w:spacing w:line="240" w:lineRule="exact"/>
        <w:jc w:val="both"/>
        <w:textAlignment w:val="auto"/>
      </w:pPr>
      <w:r>
        <w:rPr>
          <w:rFonts w:eastAsia="Times New Roman" w:cs="DIN Pro Regular"/>
          <w:b/>
          <w:bCs/>
          <w:lang w:eastAsia="es-ES"/>
        </w:rPr>
        <w:t xml:space="preserve">Medidas de desempeño financiero, metas y alcance: </w:t>
      </w:r>
      <w:r>
        <w:rPr>
          <w:rFonts w:eastAsia="Times New Roman" w:cs="DIN Pro Regular"/>
          <w:lang w:eastAsia="es-ES"/>
        </w:rPr>
        <w:t>Con el propósito de avanzar en el uso transparente y eficaz de los recursos públicos, la Fiscalía General de Justicia del Estado de Tamaulipas aplica los criterios de economía, eficiencia, eficacia, imparcialidad, honradez y transparencia</w:t>
      </w:r>
      <w:r>
        <w:rPr>
          <w:rFonts w:ascii="Arial" w:eastAsia="Times New Roman" w:hAnsi="Arial" w:cs="Arial"/>
          <w:sz w:val="18"/>
          <w:szCs w:val="18"/>
          <w:lang w:eastAsia="es-ES"/>
        </w:rPr>
        <w:t>.</w:t>
      </w:r>
    </w:p>
    <w:p w14:paraId="56E2DBB2" w14:textId="77777777" w:rsidR="00F46F69" w:rsidRDefault="00F46F69">
      <w:pPr>
        <w:widowControl/>
        <w:suppressAutoHyphens w:val="0"/>
        <w:spacing w:line="240" w:lineRule="exact"/>
        <w:jc w:val="both"/>
        <w:textAlignment w:val="auto"/>
        <w:rPr>
          <w:rFonts w:ascii="Arial" w:eastAsia="Times New Roman" w:hAnsi="Arial" w:cs="Arial"/>
          <w:sz w:val="18"/>
          <w:szCs w:val="18"/>
          <w:lang w:eastAsia="es-ES"/>
        </w:rPr>
      </w:pPr>
    </w:p>
    <w:p w14:paraId="581327C9"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Información por Segmentos</w:t>
      </w:r>
    </w:p>
    <w:p w14:paraId="71EA27FA" w14:textId="77777777" w:rsidR="00F46F69" w:rsidRDefault="00000000">
      <w:pPr>
        <w:widowControl/>
        <w:suppressAutoHyphens w:val="0"/>
        <w:spacing w:line="240" w:lineRule="exact"/>
        <w:ind w:left="708"/>
        <w:jc w:val="both"/>
        <w:textAlignment w:val="auto"/>
        <w:rPr>
          <w:rFonts w:eastAsia="Times New Roman" w:cs="DIN Pro Regular"/>
          <w:lang w:eastAsia="es-ES"/>
        </w:rPr>
      </w:pPr>
      <w:r>
        <w:rPr>
          <w:rFonts w:eastAsia="Times New Roman" w:cs="DIN Pro Regular"/>
          <w:lang w:eastAsia="es-ES"/>
        </w:rPr>
        <w:t>No Aplica</w:t>
      </w:r>
    </w:p>
    <w:p w14:paraId="3F0C997B" w14:textId="77777777" w:rsidR="00F46F69" w:rsidRDefault="00F46F69">
      <w:pPr>
        <w:widowControl/>
        <w:suppressAutoHyphens w:val="0"/>
        <w:spacing w:line="240" w:lineRule="exact"/>
        <w:ind w:left="708"/>
        <w:jc w:val="both"/>
        <w:textAlignment w:val="auto"/>
        <w:rPr>
          <w:rFonts w:eastAsia="Times New Roman" w:cs="DIN Pro Regular"/>
          <w:lang w:eastAsia="es-ES"/>
        </w:rPr>
      </w:pPr>
    </w:p>
    <w:p w14:paraId="6168E0AB"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Eventos Posteriores al Cierre</w:t>
      </w:r>
    </w:p>
    <w:p w14:paraId="0F7FE9EC" w14:textId="77777777" w:rsidR="00F46F69" w:rsidRDefault="00000000">
      <w:pPr>
        <w:widowControl/>
        <w:suppressAutoHyphens w:val="0"/>
        <w:spacing w:line="240" w:lineRule="exact"/>
        <w:ind w:left="708"/>
        <w:jc w:val="both"/>
        <w:textAlignment w:val="auto"/>
        <w:rPr>
          <w:rFonts w:eastAsia="Times New Roman" w:cs="DIN Pro Regular"/>
          <w:lang w:eastAsia="es-ES"/>
        </w:rPr>
      </w:pPr>
      <w:r>
        <w:rPr>
          <w:rFonts w:eastAsia="Times New Roman" w:cs="DIN Pro Regular"/>
          <w:lang w:eastAsia="es-ES"/>
        </w:rPr>
        <w:t>Después del cierre del ejercicio se realizó la aplicación de una nota de crédito del proveedor La Hoja en Blanco Creatividad Editorial SAS DE CV por $185,600, por la cual se realizará la disminución al pasivo correspondiente.</w:t>
      </w:r>
    </w:p>
    <w:p w14:paraId="393DC87E" w14:textId="77777777" w:rsidR="00F46F69" w:rsidRDefault="00F46F69">
      <w:pPr>
        <w:widowControl/>
        <w:suppressAutoHyphens w:val="0"/>
        <w:spacing w:line="240" w:lineRule="exact"/>
        <w:jc w:val="both"/>
        <w:textAlignment w:val="auto"/>
        <w:rPr>
          <w:rFonts w:eastAsia="Times New Roman" w:cs="DIN Pro Regular"/>
          <w:lang w:eastAsia="es-ES"/>
        </w:rPr>
      </w:pPr>
    </w:p>
    <w:p w14:paraId="124167BD" w14:textId="77777777" w:rsidR="00F46F69" w:rsidRDefault="00F46F69">
      <w:pPr>
        <w:widowControl/>
        <w:suppressAutoHyphens w:val="0"/>
        <w:spacing w:line="240" w:lineRule="exact"/>
        <w:jc w:val="both"/>
        <w:textAlignment w:val="auto"/>
        <w:rPr>
          <w:rFonts w:eastAsia="Times New Roman" w:cs="DIN Pro Regular"/>
          <w:lang w:eastAsia="es-ES"/>
        </w:rPr>
      </w:pPr>
    </w:p>
    <w:p w14:paraId="72356897" w14:textId="77777777" w:rsidR="00F46F69" w:rsidRDefault="00F46F69">
      <w:pPr>
        <w:widowControl/>
        <w:suppressAutoHyphens w:val="0"/>
        <w:spacing w:line="240" w:lineRule="exact"/>
        <w:jc w:val="both"/>
        <w:textAlignment w:val="auto"/>
        <w:rPr>
          <w:rFonts w:eastAsia="Times New Roman" w:cs="DIN Pro Regular"/>
          <w:lang w:eastAsia="es-ES"/>
        </w:rPr>
      </w:pPr>
    </w:p>
    <w:p w14:paraId="05FA6C22" w14:textId="77777777" w:rsidR="00F46F69" w:rsidRDefault="00F46F69">
      <w:pPr>
        <w:widowControl/>
        <w:suppressAutoHyphens w:val="0"/>
        <w:spacing w:line="240" w:lineRule="exact"/>
        <w:jc w:val="both"/>
        <w:textAlignment w:val="auto"/>
        <w:rPr>
          <w:rFonts w:eastAsia="Times New Roman" w:cs="DIN Pro Regular"/>
          <w:lang w:eastAsia="es-ES"/>
        </w:rPr>
      </w:pPr>
    </w:p>
    <w:p w14:paraId="731310D1" w14:textId="77777777" w:rsidR="00F46F69" w:rsidRDefault="00000000">
      <w:pPr>
        <w:widowControl/>
        <w:numPr>
          <w:ilvl w:val="0"/>
          <w:numId w:val="15"/>
        </w:numPr>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Partes Relacionadas</w:t>
      </w:r>
    </w:p>
    <w:p w14:paraId="3D79122B" w14:textId="77777777" w:rsidR="00F46F69" w:rsidRDefault="00000000">
      <w:pPr>
        <w:widowControl/>
        <w:suppressAutoHyphens w:val="0"/>
        <w:spacing w:line="240" w:lineRule="exact"/>
        <w:ind w:left="708"/>
        <w:jc w:val="both"/>
        <w:textAlignment w:val="auto"/>
        <w:rPr>
          <w:rFonts w:eastAsia="Times New Roman" w:cs="DIN Pro Regular"/>
          <w:lang w:eastAsia="es-ES"/>
        </w:rPr>
      </w:pPr>
      <w:r>
        <w:rPr>
          <w:rFonts w:eastAsia="Times New Roman" w:cs="DIN Pro Regular"/>
          <w:lang w:eastAsia="es-ES"/>
        </w:rPr>
        <w:t>No existen partes relacionadas que pudieran ejercer influencia significativa sobre la toma de decisiones financieras y operativas en el organismo.</w:t>
      </w:r>
    </w:p>
    <w:p w14:paraId="68BAD95B" w14:textId="77777777" w:rsidR="00F46F69" w:rsidRDefault="00F46F69">
      <w:pPr>
        <w:widowControl/>
        <w:suppressAutoHyphens w:val="0"/>
        <w:spacing w:line="240" w:lineRule="exact"/>
        <w:jc w:val="both"/>
        <w:textAlignment w:val="auto"/>
        <w:rPr>
          <w:rFonts w:eastAsia="Times New Roman" w:cs="DIN Pro Regular"/>
          <w:lang w:eastAsia="es-ES"/>
        </w:rPr>
      </w:pPr>
    </w:p>
    <w:p w14:paraId="63315AD0" w14:textId="77777777" w:rsidR="00F46F69" w:rsidRDefault="00F46F69">
      <w:pPr>
        <w:widowControl/>
        <w:suppressAutoHyphens w:val="0"/>
        <w:spacing w:line="240" w:lineRule="exact"/>
        <w:jc w:val="both"/>
        <w:textAlignment w:val="auto"/>
        <w:rPr>
          <w:rFonts w:eastAsia="Times New Roman" w:cs="DIN Pro Regular"/>
          <w:lang w:eastAsia="es-ES"/>
        </w:rPr>
      </w:pPr>
    </w:p>
    <w:p w14:paraId="7775C6D5" w14:textId="77777777" w:rsidR="00F46F69" w:rsidRDefault="00F46F69">
      <w:pPr>
        <w:widowControl/>
        <w:suppressAutoHyphens w:val="0"/>
        <w:spacing w:line="240" w:lineRule="exact"/>
        <w:jc w:val="both"/>
        <w:textAlignment w:val="auto"/>
        <w:rPr>
          <w:rFonts w:eastAsia="Times New Roman" w:cs="DIN Pro Regular"/>
          <w:lang w:eastAsia="es-ES"/>
        </w:rPr>
      </w:pPr>
    </w:p>
    <w:p w14:paraId="7C59E172" w14:textId="77777777" w:rsidR="00F46F69" w:rsidRDefault="00F46F69">
      <w:pPr>
        <w:widowControl/>
        <w:suppressAutoHyphens w:val="0"/>
        <w:spacing w:line="240" w:lineRule="exact"/>
        <w:jc w:val="both"/>
        <w:textAlignment w:val="auto"/>
        <w:rPr>
          <w:rFonts w:eastAsia="Times New Roman" w:cs="DIN Pro Regular"/>
          <w:lang w:eastAsia="es-ES"/>
        </w:rPr>
      </w:pPr>
    </w:p>
    <w:p w14:paraId="1F2ACD39" w14:textId="77777777" w:rsidR="00F46F69" w:rsidRDefault="00F46F69">
      <w:pPr>
        <w:widowControl/>
        <w:suppressAutoHyphens w:val="0"/>
        <w:spacing w:line="240" w:lineRule="exact"/>
        <w:jc w:val="both"/>
        <w:textAlignment w:val="auto"/>
        <w:rPr>
          <w:rFonts w:eastAsia="Times New Roman" w:cs="DIN Pro Regular"/>
          <w:lang w:eastAsia="es-ES"/>
        </w:rPr>
      </w:pPr>
    </w:p>
    <w:p w14:paraId="480FD275" w14:textId="77777777" w:rsidR="00F46F69" w:rsidRDefault="00F46F69">
      <w:pPr>
        <w:widowControl/>
        <w:suppressAutoHyphens w:val="0"/>
        <w:spacing w:line="240" w:lineRule="exact"/>
        <w:jc w:val="both"/>
        <w:textAlignment w:val="auto"/>
        <w:rPr>
          <w:rFonts w:eastAsia="Times New Roman" w:cs="DIN Pro Regular"/>
          <w:lang w:eastAsia="es-ES"/>
        </w:rPr>
      </w:pPr>
    </w:p>
    <w:p w14:paraId="2209A8AC" w14:textId="77777777" w:rsidR="00F46F69" w:rsidRDefault="00F46F69">
      <w:pPr>
        <w:widowControl/>
        <w:suppressAutoHyphens w:val="0"/>
        <w:spacing w:line="240" w:lineRule="exact"/>
        <w:jc w:val="both"/>
        <w:textAlignment w:val="auto"/>
        <w:rPr>
          <w:rFonts w:eastAsia="Times New Roman" w:cs="DIN Pro Regular"/>
          <w:lang w:eastAsia="es-ES"/>
        </w:rPr>
      </w:pPr>
    </w:p>
    <w:p w14:paraId="6798A3FA" w14:textId="77777777" w:rsidR="00F46F69" w:rsidRDefault="00F46F69">
      <w:pPr>
        <w:widowControl/>
        <w:suppressAutoHyphens w:val="0"/>
        <w:spacing w:line="240" w:lineRule="exact"/>
        <w:jc w:val="both"/>
        <w:textAlignment w:val="auto"/>
        <w:rPr>
          <w:rFonts w:eastAsia="Times New Roman" w:cs="DIN Pro Regular"/>
          <w:lang w:eastAsia="es-ES"/>
        </w:rPr>
      </w:pPr>
    </w:p>
    <w:p w14:paraId="65D79153" w14:textId="77777777" w:rsidR="00F46F69" w:rsidRDefault="00F46F69">
      <w:pPr>
        <w:widowControl/>
        <w:suppressAutoHyphens w:val="0"/>
        <w:spacing w:line="240" w:lineRule="exact"/>
        <w:jc w:val="both"/>
        <w:textAlignment w:val="auto"/>
        <w:rPr>
          <w:rFonts w:eastAsia="Times New Roman" w:cs="DIN Pro Regular"/>
          <w:lang w:eastAsia="es-ES"/>
        </w:rPr>
      </w:pPr>
    </w:p>
    <w:p w14:paraId="19EEFF63" w14:textId="77777777" w:rsidR="00F46F69" w:rsidRDefault="00F46F69">
      <w:pPr>
        <w:widowControl/>
        <w:suppressAutoHyphens w:val="0"/>
        <w:spacing w:line="240" w:lineRule="exact"/>
        <w:jc w:val="both"/>
        <w:textAlignment w:val="auto"/>
        <w:rPr>
          <w:rFonts w:eastAsia="Times New Roman" w:cs="DIN Pro Regular"/>
          <w:lang w:eastAsia="es-ES"/>
        </w:rPr>
      </w:pPr>
    </w:p>
    <w:p w14:paraId="00C83177" w14:textId="77777777" w:rsidR="00F46F69" w:rsidRDefault="00F46F69">
      <w:pPr>
        <w:widowControl/>
        <w:suppressAutoHyphens w:val="0"/>
        <w:spacing w:line="240" w:lineRule="exact"/>
        <w:jc w:val="both"/>
        <w:textAlignment w:val="auto"/>
        <w:rPr>
          <w:rFonts w:eastAsia="Times New Roman" w:cs="DIN Pro Regular"/>
          <w:lang w:eastAsia="es-ES"/>
        </w:rPr>
      </w:pPr>
    </w:p>
    <w:p w14:paraId="1B1E540F" w14:textId="77777777" w:rsidR="00F46F69" w:rsidRDefault="00F46F69">
      <w:pPr>
        <w:widowControl/>
        <w:suppressAutoHyphens w:val="0"/>
        <w:spacing w:line="240" w:lineRule="exact"/>
        <w:jc w:val="both"/>
        <w:textAlignment w:val="auto"/>
        <w:rPr>
          <w:rFonts w:eastAsia="Times New Roman" w:cs="DIN Pro Regular"/>
          <w:lang w:eastAsia="es-ES"/>
        </w:rPr>
      </w:pPr>
    </w:p>
    <w:p w14:paraId="758B9545" w14:textId="77777777" w:rsidR="00F46F69" w:rsidRDefault="00F46F69">
      <w:pPr>
        <w:widowControl/>
        <w:suppressAutoHyphens w:val="0"/>
        <w:spacing w:line="240" w:lineRule="exact"/>
        <w:jc w:val="both"/>
        <w:textAlignment w:val="auto"/>
        <w:rPr>
          <w:rFonts w:eastAsia="Times New Roman" w:cs="DIN Pro Regular"/>
          <w:lang w:eastAsia="es-ES"/>
        </w:rPr>
      </w:pPr>
    </w:p>
    <w:p w14:paraId="06EA6AE6" w14:textId="77777777" w:rsidR="00F46F69" w:rsidRDefault="00F46F69">
      <w:pPr>
        <w:widowControl/>
        <w:suppressAutoHyphens w:val="0"/>
        <w:spacing w:line="240" w:lineRule="exact"/>
        <w:jc w:val="both"/>
        <w:textAlignment w:val="auto"/>
        <w:rPr>
          <w:rFonts w:eastAsia="Times New Roman" w:cs="DIN Pro Regular"/>
          <w:lang w:eastAsia="es-ES"/>
        </w:rPr>
      </w:pPr>
    </w:p>
    <w:p w14:paraId="6A13A7EF" w14:textId="77777777" w:rsidR="00F46F69" w:rsidRDefault="00F46F69">
      <w:pPr>
        <w:widowControl/>
        <w:suppressAutoHyphens w:val="0"/>
        <w:spacing w:line="240" w:lineRule="exact"/>
        <w:jc w:val="both"/>
        <w:textAlignment w:val="auto"/>
        <w:rPr>
          <w:rFonts w:eastAsia="Times New Roman" w:cs="DIN Pro Regular"/>
          <w:lang w:eastAsia="es-ES"/>
        </w:rPr>
      </w:pPr>
    </w:p>
    <w:p w14:paraId="0F1E6660" w14:textId="77777777" w:rsidR="00F46F69" w:rsidRDefault="00F46F69">
      <w:pPr>
        <w:widowControl/>
        <w:suppressAutoHyphens w:val="0"/>
        <w:spacing w:line="240" w:lineRule="exact"/>
        <w:jc w:val="both"/>
        <w:textAlignment w:val="auto"/>
        <w:rPr>
          <w:rFonts w:eastAsia="Times New Roman" w:cs="DIN Pro Regular"/>
          <w:lang w:eastAsia="es-ES"/>
        </w:rPr>
      </w:pPr>
    </w:p>
    <w:p w14:paraId="1C4A2F98" w14:textId="77777777" w:rsidR="00F46F69" w:rsidRDefault="00F46F69">
      <w:pPr>
        <w:widowControl/>
        <w:suppressAutoHyphens w:val="0"/>
        <w:spacing w:line="240" w:lineRule="exact"/>
        <w:jc w:val="both"/>
        <w:textAlignment w:val="auto"/>
        <w:rPr>
          <w:rFonts w:eastAsia="Times New Roman" w:cs="DIN Pro Regular"/>
          <w:lang w:eastAsia="es-ES"/>
        </w:rPr>
      </w:pPr>
    </w:p>
    <w:p w14:paraId="65108EF7"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47499523"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6CEB3FC5"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17FA6387"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7BC8E85D"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65872C12"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0DB2AB26"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1A5C86E8"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6AB02B4D"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037A0B95"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7C1B081A"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3412B765"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4D127189"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579A786C"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5C0AB767"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222AC10A"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5D3C4F35"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6DB79565"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36EB282C"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7670E9C9"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64C5C0FF"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1189F5F1"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74ACE954"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28801FFF"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56584371"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13201CAC"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51F8A50F"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4AE12197"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39D28256"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5BDEE6F8"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114FAE1C"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38D71EDF" w14:textId="77777777" w:rsidR="00F46F69" w:rsidRDefault="00F46F69">
      <w:pPr>
        <w:widowControl/>
        <w:suppressAutoHyphens w:val="0"/>
        <w:spacing w:line="240" w:lineRule="exact"/>
        <w:jc w:val="both"/>
        <w:textAlignment w:val="auto"/>
        <w:rPr>
          <w:rFonts w:ascii="Arial" w:eastAsia="Times New Roman" w:hAnsi="Arial" w:cs="Arial"/>
          <w:b/>
          <w:sz w:val="18"/>
          <w:szCs w:val="18"/>
          <w:lang w:val="es-ES" w:eastAsia="es-ES"/>
        </w:rPr>
      </w:pPr>
    </w:p>
    <w:p w14:paraId="2FC81B6B" w14:textId="77777777" w:rsidR="00F46F69" w:rsidRDefault="00000000">
      <w:pPr>
        <w:pStyle w:val="Text"/>
        <w:spacing w:after="0" w:line="240" w:lineRule="exact"/>
        <w:jc w:val="center"/>
      </w:pPr>
      <w:r>
        <w:rPr>
          <w:rFonts w:ascii="Calibri" w:hAnsi="Calibri" w:cs="DIN Pro Regular"/>
          <w:b/>
          <w:sz w:val="24"/>
          <w:szCs w:val="24"/>
        </w:rPr>
        <w:t>Cuenta Pública 2024</w:t>
      </w:r>
    </w:p>
    <w:p w14:paraId="2AD09983" w14:textId="77777777" w:rsidR="00F46F69" w:rsidRDefault="00F46F69">
      <w:pPr>
        <w:pStyle w:val="Text"/>
        <w:spacing w:after="0" w:line="240" w:lineRule="exact"/>
        <w:jc w:val="center"/>
        <w:rPr>
          <w:rFonts w:ascii="Calibri" w:hAnsi="Calibri" w:cs="DIN Pro Regular"/>
          <w:b/>
          <w:sz w:val="24"/>
          <w:szCs w:val="24"/>
        </w:rPr>
      </w:pPr>
    </w:p>
    <w:p w14:paraId="1F9DEE90" w14:textId="77777777" w:rsidR="00F46F69" w:rsidRDefault="00000000">
      <w:pPr>
        <w:widowControl/>
        <w:suppressAutoHyphens w:val="0"/>
        <w:spacing w:line="240" w:lineRule="exact"/>
        <w:ind w:firstLine="288"/>
        <w:jc w:val="center"/>
        <w:textAlignment w:val="auto"/>
      </w:pPr>
      <w:r>
        <w:rPr>
          <w:rFonts w:cs="DIN Pro Regular"/>
          <w:b/>
          <w:sz w:val="24"/>
          <w:szCs w:val="24"/>
        </w:rPr>
        <w:t>Notas a los Estados Financieros</w:t>
      </w:r>
    </w:p>
    <w:p w14:paraId="08D5D817" w14:textId="77777777" w:rsidR="00F46F69" w:rsidRDefault="00F46F69">
      <w:pPr>
        <w:widowControl/>
        <w:suppressAutoHyphens w:val="0"/>
        <w:spacing w:line="240" w:lineRule="exact"/>
        <w:ind w:firstLine="288"/>
        <w:jc w:val="center"/>
        <w:textAlignment w:val="auto"/>
        <w:rPr>
          <w:rFonts w:ascii="Arial" w:eastAsia="Times New Roman" w:hAnsi="Arial" w:cs="Arial"/>
          <w:b/>
          <w:sz w:val="18"/>
          <w:szCs w:val="18"/>
          <w:lang w:val="es-ES" w:eastAsia="es-ES"/>
        </w:rPr>
      </w:pPr>
    </w:p>
    <w:p w14:paraId="0ECFB2AA" w14:textId="77777777" w:rsidR="00F46F69" w:rsidRDefault="00000000">
      <w:pPr>
        <w:widowControl/>
        <w:suppressAutoHyphens w:val="0"/>
        <w:spacing w:line="240" w:lineRule="exact"/>
        <w:ind w:firstLine="288"/>
        <w:jc w:val="center"/>
        <w:textAlignment w:val="auto"/>
        <w:rPr>
          <w:rFonts w:cs="DIN Pro Regular"/>
          <w:b/>
          <w:sz w:val="24"/>
          <w:szCs w:val="24"/>
        </w:rPr>
      </w:pPr>
      <w:r>
        <w:rPr>
          <w:rFonts w:cs="DIN Pro Regular"/>
          <w:b/>
          <w:sz w:val="24"/>
          <w:szCs w:val="24"/>
        </w:rPr>
        <w:t>b) NOTAS DE DESGLOSE</w:t>
      </w:r>
    </w:p>
    <w:p w14:paraId="5105E219" w14:textId="77777777" w:rsidR="00F46F69" w:rsidRDefault="00F46F69">
      <w:pPr>
        <w:widowControl/>
        <w:suppressAutoHyphens w:val="0"/>
        <w:spacing w:line="240" w:lineRule="exact"/>
        <w:ind w:firstLine="288"/>
        <w:jc w:val="center"/>
        <w:textAlignment w:val="auto"/>
        <w:rPr>
          <w:rFonts w:ascii="Arial" w:eastAsia="Times New Roman" w:hAnsi="Arial" w:cs="Arial"/>
          <w:b/>
          <w:sz w:val="16"/>
          <w:szCs w:val="16"/>
          <w:lang w:val="es-ES" w:eastAsia="es-ES"/>
        </w:rPr>
      </w:pPr>
    </w:p>
    <w:p w14:paraId="69BFB7B7" w14:textId="77777777" w:rsidR="00F46F69" w:rsidRDefault="00000000">
      <w:pPr>
        <w:widowControl/>
        <w:suppressAutoHyphens w:val="0"/>
        <w:spacing w:line="240" w:lineRule="exact"/>
        <w:ind w:left="426" w:hanging="426"/>
        <w:jc w:val="both"/>
        <w:textAlignment w:val="auto"/>
      </w:pPr>
      <w:r>
        <w:rPr>
          <w:rFonts w:ascii="Arial" w:eastAsia="Times New Roman" w:hAnsi="Arial" w:cs="Arial"/>
          <w:b/>
          <w:smallCaps/>
          <w:sz w:val="18"/>
          <w:szCs w:val="18"/>
          <w:lang w:val="es-ES" w:eastAsia="es-ES"/>
        </w:rPr>
        <w:t xml:space="preserve">I) </w:t>
      </w:r>
      <w:r>
        <w:rPr>
          <w:rFonts w:eastAsia="Times New Roman" w:cs="DIN Pro Regular"/>
          <w:b/>
          <w:bCs/>
          <w:lang w:eastAsia="es-ES"/>
        </w:rPr>
        <w:tab/>
        <w:t>Notas al Estado de Estado de Actividades</w:t>
      </w:r>
      <w:r>
        <w:rPr>
          <w:rFonts w:eastAsia="Times New Roman" w:cs="DIN Pro Regular"/>
          <w:lang w:eastAsia="es-ES"/>
        </w:rPr>
        <w:t xml:space="preserve"> </w:t>
      </w:r>
    </w:p>
    <w:p w14:paraId="7AF7D120" w14:textId="77777777" w:rsidR="00F46F69" w:rsidRDefault="00F46F69">
      <w:pPr>
        <w:widowControl/>
        <w:suppressAutoHyphens w:val="0"/>
        <w:spacing w:line="240" w:lineRule="exact"/>
        <w:ind w:firstLine="288"/>
        <w:jc w:val="both"/>
        <w:textAlignment w:val="auto"/>
        <w:rPr>
          <w:rFonts w:eastAsia="Times New Roman" w:cs="DIN Pro Regular"/>
          <w:lang w:eastAsia="es-ES"/>
        </w:rPr>
      </w:pPr>
    </w:p>
    <w:p w14:paraId="101EBD2D" w14:textId="77777777" w:rsidR="00F46F69" w:rsidRDefault="00000000">
      <w:pPr>
        <w:widowControl/>
        <w:tabs>
          <w:tab w:val="left" w:pos="720"/>
        </w:tabs>
        <w:suppressAutoHyphens w:val="0"/>
        <w:spacing w:line="240" w:lineRule="exact"/>
        <w:ind w:left="1140" w:hanging="432"/>
        <w:jc w:val="both"/>
        <w:textAlignment w:val="auto"/>
        <w:rPr>
          <w:rFonts w:eastAsia="Times New Roman" w:cs="DIN Pro Regular"/>
          <w:b/>
          <w:bCs/>
          <w:lang w:eastAsia="es-ES"/>
        </w:rPr>
      </w:pPr>
      <w:r>
        <w:rPr>
          <w:rFonts w:eastAsia="Times New Roman" w:cs="DIN Pro Regular"/>
          <w:b/>
          <w:bCs/>
          <w:lang w:eastAsia="es-ES"/>
        </w:rPr>
        <w:t>Ingresos y Otros Beneficios:</w:t>
      </w:r>
    </w:p>
    <w:p w14:paraId="064C2744" w14:textId="77777777" w:rsidR="00F46F69" w:rsidRDefault="00F46F69">
      <w:pPr>
        <w:widowControl/>
        <w:tabs>
          <w:tab w:val="left" w:pos="720"/>
        </w:tabs>
        <w:suppressAutoHyphens w:val="0"/>
        <w:spacing w:line="240" w:lineRule="exact"/>
        <w:ind w:left="1140" w:hanging="432"/>
        <w:jc w:val="both"/>
        <w:textAlignment w:val="auto"/>
        <w:rPr>
          <w:rFonts w:eastAsia="Times New Roman" w:cs="DIN Pro Regular"/>
          <w:b/>
          <w:bCs/>
          <w:lang w:eastAsia="es-ES"/>
        </w:rPr>
      </w:pPr>
    </w:p>
    <w:p w14:paraId="328B0CDB" w14:textId="77777777" w:rsidR="00F46F69" w:rsidRDefault="00000000">
      <w:pPr>
        <w:widowControl/>
        <w:tabs>
          <w:tab w:val="left" w:pos="720"/>
        </w:tabs>
        <w:suppressAutoHyphens w:val="0"/>
        <w:spacing w:line="240" w:lineRule="exact"/>
        <w:ind w:left="1140" w:hanging="432"/>
        <w:jc w:val="both"/>
        <w:textAlignment w:val="auto"/>
        <w:rPr>
          <w:rFonts w:eastAsia="Times New Roman" w:cs="DIN Pro Regular"/>
          <w:lang w:eastAsia="es-ES"/>
        </w:rPr>
      </w:pPr>
      <w:r>
        <w:rPr>
          <w:rFonts w:eastAsia="Times New Roman" w:cs="DIN Pro Regular"/>
          <w:lang w:eastAsia="es-ES"/>
        </w:rPr>
        <w:t xml:space="preserve">         </w:t>
      </w:r>
      <w:r>
        <w:rPr>
          <w:rFonts w:eastAsia="Times New Roman" w:cs="DIN Pro Regular"/>
          <w:lang w:eastAsia="es-ES"/>
        </w:rPr>
        <w:tab/>
        <w:t xml:space="preserve">Los ingresos al </w:t>
      </w:r>
      <w:bookmarkStart w:id="8" w:name="_Hlk189055155"/>
      <w:r>
        <w:rPr>
          <w:rFonts w:eastAsia="Times New Roman" w:cs="DIN Pro Regular"/>
          <w:lang w:eastAsia="es-ES"/>
        </w:rPr>
        <w:t xml:space="preserve">31 de diciembre de 2024 </w:t>
      </w:r>
      <w:bookmarkEnd w:id="8"/>
      <w:r>
        <w:rPr>
          <w:rFonts w:eastAsia="Times New Roman" w:cs="DIN Pro Regular"/>
          <w:lang w:eastAsia="es-ES"/>
        </w:rPr>
        <w:t xml:space="preserve">fueron de $1,518,131,025, divididos en Ingresos de Gestión, Transferencias, Asignaciones, Subsidios y Subvenciones, y Pensiones y Jubilaciones y Otros Ingresos y Beneficios, que se integran como sigue: </w:t>
      </w:r>
    </w:p>
    <w:p w14:paraId="1B790D65" w14:textId="77777777" w:rsidR="00F46F69" w:rsidRDefault="00F46F69">
      <w:pPr>
        <w:widowControl/>
        <w:tabs>
          <w:tab w:val="left" w:pos="720"/>
        </w:tabs>
        <w:suppressAutoHyphens w:val="0"/>
        <w:spacing w:line="240" w:lineRule="exact"/>
        <w:ind w:left="1140" w:hanging="432"/>
        <w:jc w:val="both"/>
        <w:textAlignment w:val="auto"/>
        <w:rPr>
          <w:rFonts w:eastAsia="Times New Roman" w:cs="DIN Pro Regular"/>
          <w:lang w:eastAsia="es-ES"/>
        </w:rPr>
      </w:pPr>
    </w:p>
    <w:p w14:paraId="0E039B62" w14:textId="77777777" w:rsidR="00F46F69" w:rsidRDefault="00F46F69">
      <w:pPr>
        <w:widowControl/>
        <w:tabs>
          <w:tab w:val="left" w:pos="720"/>
        </w:tabs>
        <w:suppressAutoHyphens w:val="0"/>
        <w:spacing w:line="240" w:lineRule="exact"/>
        <w:ind w:left="1140" w:hanging="432"/>
        <w:jc w:val="both"/>
        <w:textAlignment w:val="auto"/>
        <w:rPr>
          <w:rFonts w:eastAsia="Times New Roman" w:cs="DIN Pro Regular"/>
          <w:lang w:eastAsia="es-ES"/>
        </w:rPr>
      </w:pPr>
    </w:p>
    <w:tbl>
      <w:tblPr>
        <w:tblW w:w="8292" w:type="dxa"/>
        <w:jc w:val="right"/>
        <w:tblCellMar>
          <w:left w:w="10" w:type="dxa"/>
          <w:right w:w="10" w:type="dxa"/>
        </w:tblCellMar>
        <w:tblLook w:val="04A0" w:firstRow="1" w:lastRow="0" w:firstColumn="1" w:lastColumn="0" w:noHBand="0" w:noVBand="1"/>
      </w:tblPr>
      <w:tblGrid>
        <w:gridCol w:w="5245"/>
        <w:gridCol w:w="1843"/>
        <w:gridCol w:w="1204"/>
      </w:tblGrid>
      <w:tr w:rsidR="00F46F69" w14:paraId="3B1F9EF3" w14:textId="77777777">
        <w:tblPrEx>
          <w:tblCellMar>
            <w:top w:w="0" w:type="dxa"/>
            <w:bottom w:w="0" w:type="dxa"/>
          </w:tblCellMar>
        </w:tblPrEx>
        <w:trPr>
          <w:trHeight w:val="480"/>
          <w:jc w:val="right"/>
        </w:trPr>
        <w:tc>
          <w:tcPr>
            <w:tcW w:w="5245"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B6CC137"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Descripción </w:t>
            </w:r>
          </w:p>
        </w:tc>
        <w:tc>
          <w:tcPr>
            <w:tcW w:w="184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63D20D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Saldo al 31 de         diciembre de 2024 </w:t>
            </w:r>
          </w:p>
        </w:tc>
        <w:tc>
          <w:tcPr>
            <w:tcW w:w="1204"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220B07F"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Porcentaje</w:t>
            </w:r>
          </w:p>
        </w:tc>
      </w:tr>
      <w:tr w:rsidR="00F46F69" w14:paraId="7B9E6418" w14:textId="77777777">
        <w:tblPrEx>
          <w:tblCellMar>
            <w:top w:w="0" w:type="dxa"/>
            <w:bottom w:w="0" w:type="dxa"/>
          </w:tblCellMar>
        </w:tblPrEx>
        <w:trPr>
          <w:trHeight w:val="30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21AD91"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Ingresos y Otros Beneficios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0C639F"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1,518,131,025</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56C3B2"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100%</w:t>
            </w:r>
          </w:p>
        </w:tc>
      </w:tr>
      <w:tr w:rsidR="00F46F69" w14:paraId="70B46844" w14:textId="77777777">
        <w:tblPrEx>
          <w:tblCellMar>
            <w:top w:w="0" w:type="dxa"/>
            <w:bottom w:w="0" w:type="dxa"/>
          </w:tblCellMar>
        </w:tblPrEx>
        <w:trPr>
          <w:trHeight w:val="30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72E429"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Ingresos de Gestión</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A79AB1"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15,380,071</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E628B5"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1.01%</w:t>
            </w:r>
          </w:p>
        </w:tc>
      </w:tr>
      <w:tr w:rsidR="00F46F69" w14:paraId="295C41FD" w14:textId="77777777">
        <w:tblPrEx>
          <w:tblCellMar>
            <w:top w:w="0" w:type="dxa"/>
            <w:bottom w:w="0" w:type="dxa"/>
          </w:tblCellMar>
        </w:tblPrEx>
        <w:trPr>
          <w:trHeight w:val="30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10ED11"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Derechos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638277"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14,054,623</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90C82E"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0.93%</w:t>
            </w:r>
          </w:p>
        </w:tc>
      </w:tr>
      <w:tr w:rsidR="00F46F69" w14:paraId="3F8C36BE" w14:textId="77777777">
        <w:tblPrEx>
          <w:tblCellMar>
            <w:top w:w="0" w:type="dxa"/>
            <w:bottom w:w="0" w:type="dxa"/>
          </w:tblCellMar>
        </w:tblPrEx>
        <w:trPr>
          <w:trHeight w:val="30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C4001"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Productos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104FF1"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1,325,448</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D78168"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0.08%</w:t>
            </w:r>
          </w:p>
        </w:tc>
      </w:tr>
      <w:tr w:rsidR="00F46F69" w14:paraId="309D393A" w14:textId="77777777">
        <w:tblPrEx>
          <w:tblCellMar>
            <w:top w:w="0" w:type="dxa"/>
            <w:bottom w:w="0" w:type="dxa"/>
          </w:tblCellMar>
        </w:tblPrEx>
        <w:trPr>
          <w:trHeight w:val="48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1CE733"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Transferencias, Asignaciones, Subsidios y Subvenciones, y Pensiones y Jubilaciones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DE50A4"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1,502,005,672</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C87781"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98.94%</w:t>
            </w:r>
          </w:p>
        </w:tc>
      </w:tr>
      <w:tr w:rsidR="00F46F69" w14:paraId="565EB6E9" w14:textId="77777777">
        <w:tblPrEx>
          <w:tblCellMar>
            <w:top w:w="0" w:type="dxa"/>
            <w:bottom w:w="0" w:type="dxa"/>
          </w:tblCellMar>
        </w:tblPrEx>
        <w:trPr>
          <w:trHeight w:val="30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A923BD"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Transferencias y Asignaciones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CCCFF1"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1,502,005,672</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5238EC"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98.94%</w:t>
            </w:r>
          </w:p>
        </w:tc>
      </w:tr>
      <w:tr w:rsidR="00F46F69" w14:paraId="4B05576F" w14:textId="77777777">
        <w:tblPrEx>
          <w:tblCellMar>
            <w:top w:w="0" w:type="dxa"/>
            <w:bottom w:w="0" w:type="dxa"/>
          </w:tblCellMar>
        </w:tblPrEx>
        <w:trPr>
          <w:trHeight w:val="30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9BE82F"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Otros Ingresos y Beneficios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26F6E5"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745,282</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DA5BEC"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0.05%</w:t>
            </w:r>
          </w:p>
        </w:tc>
      </w:tr>
      <w:tr w:rsidR="00F46F69" w14:paraId="36455BBC" w14:textId="77777777">
        <w:tblPrEx>
          <w:tblCellMar>
            <w:top w:w="0" w:type="dxa"/>
            <w:bottom w:w="0" w:type="dxa"/>
          </w:tblCellMar>
        </w:tblPrEx>
        <w:trPr>
          <w:trHeight w:val="300"/>
          <w:jc w:val="right"/>
        </w:trPr>
        <w:tc>
          <w:tcPr>
            <w:tcW w:w="524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F809FA"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Otros Ingresos y Beneficios Varios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A38EB2"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745,282</w:t>
            </w:r>
          </w:p>
        </w:tc>
        <w:tc>
          <w:tcPr>
            <w:tcW w:w="12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A5F218"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0.05%</w:t>
            </w:r>
          </w:p>
        </w:tc>
      </w:tr>
    </w:tbl>
    <w:p w14:paraId="1DDD0D0C"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444A3F5B"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6F6D5029" w14:textId="77777777" w:rsidR="00F46F69" w:rsidRDefault="00000000">
      <w:pPr>
        <w:widowControl/>
        <w:tabs>
          <w:tab w:val="left" w:pos="720"/>
        </w:tabs>
        <w:suppressAutoHyphens w:val="0"/>
        <w:spacing w:line="240" w:lineRule="exact"/>
        <w:ind w:left="1134" w:hanging="567"/>
        <w:jc w:val="both"/>
        <w:textAlignment w:val="auto"/>
        <w:rPr>
          <w:rFonts w:eastAsia="Times New Roman" w:cs="DIN Pro Regular"/>
          <w:lang w:eastAsia="es-ES"/>
        </w:rPr>
      </w:pPr>
      <w:r>
        <w:rPr>
          <w:rFonts w:eastAsia="Times New Roman" w:cs="DIN Pro Regular"/>
          <w:lang w:eastAsia="es-ES"/>
        </w:rPr>
        <w:tab/>
      </w:r>
      <w:r>
        <w:rPr>
          <w:rFonts w:eastAsia="Times New Roman" w:cs="DIN Pro Regular"/>
          <w:lang w:eastAsia="es-ES"/>
        </w:rPr>
        <w:tab/>
      </w:r>
      <w:r>
        <w:rPr>
          <w:rFonts w:eastAsia="Times New Roman" w:cs="DIN Pro Regular"/>
          <w:lang w:eastAsia="es-ES"/>
        </w:rPr>
        <w:tab/>
        <w:t>Del total de los ingresos registrados, el rubro de Transferencias y Asignaciones es el ingreso más representativo siendo el 98.94% que corresponde a los recursos transferidos por la Secretaría de Finanzas del Gobierno del Estado de Tamaulipas.</w:t>
      </w:r>
    </w:p>
    <w:p w14:paraId="4FA92762" w14:textId="77777777" w:rsidR="00F46F69" w:rsidRDefault="00F46F69">
      <w:pPr>
        <w:widowControl/>
        <w:tabs>
          <w:tab w:val="left" w:pos="720"/>
        </w:tabs>
        <w:suppressAutoHyphens w:val="0"/>
        <w:spacing w:line="240" w:lineRule="exact"/>
        <w:ind w:left="1140" w:hanging="432"/>
        <w:jc w:val="center"/>
        <w:textAlignment w:val="auto"/>
        <w:rPr>
          <w:rFonts w:eastAsia="Times New Roman" w:cs="DIN Pro Regular"/>
          <w:lang w:eastAsia="es-ES"/>
        </w:rPr>
      </w:pPr>
    </w:p>
    <w:p w14:paraId="2758C96C" w14:textId="77777777" w:rsidR="00F46F69" w:rsidRDefault="00000000">
      <w:pPr>
        <w:widowControl/>
        <w:tabs>
          <w:tab w:val="left" w:pos="720"/>
        </w:tabs>
        <w:suppressAutoHyphens w:val="0"/>
        <w:spacing w:line="240" w:lineRule="exact"/>
        <w:ind w:left="1134" w:hanging="425"/>
        <w:jc w:val="both"/>
        <w:textAlignment w:val="auto"/>
        <w:rPr>
          <w:rFonts w:eastAsia="Times New Roman" w:cs="DIN Pro Regular"/>
          <w:lang w:eastAsia="es-ES"/>
        </w:rPr>
      </w:pPr>
      <w:r>
        <w:rPr>
          <w:rFonts w:eastAsia="Times New Roman" w:cs="DIN Pro Regular"/>
          <w:lang w:eastAsia="es-ES"/>
        </w:rPr>
        <w:tab/>
      </w:r>
      <w:r>
        <w:rPr>
          <w:rFonts w:eastAsia="Times New Roman" w:cs="DIN Pro Regular"/>
          <w:lang w:eastAsia="es-ES"/>
        </w:rPr>
        <w:tab/>
      </w:r>
      <w:r>
        <w:rPr>
          <w:rFonts w:eastAsia="Times New Roman" w:cs="DIN Pro Regular"/>
          <w:lang w:eastAsia="es-ES"/>
        </w:rPr>
        <w:tab/>
        <w:t>Los Ingresos de Gestión que corresponden a los ingresos recaudados por la expedición de Constancias de No Antecedentes Penales, los Apoyos de Mejoras que corresponden al cobro del 1% a las instituciones financieras, y los Intereses Financieros generados de las cuentas bancarias del organismo representan el 1.01% del total de los ingresos recaudados.</w:t>
      </w:r>
    </w:p>
    <w:p w14:paraId="14340084" w14:textId="77777777" w:rsidR="00F46F69" w:rsidRDefault="00F46F69">
      <w:pPr>
        <w:widowControl/>
        <w:tabs>
          <w:tab w:val="left" w:pos="720"/>
        </w:tabs>
        <w:suppressAutoHyphens w:val="0"/>
        <w:spacing w:line="240" w:lineRule="exact"/>
        <w:ind w:left="1134" w:hanging="425"/>
        <w:jc w:val="both"/>
        <w:textAlignment w:val="auto"/>
        <w:rPr>
          <w:rFonts w:eastAsia="Times New Roman" w:cs="DIN Pro Regular"/>
          <w:lang w:eastAsia="es-ES"/>
        </w:rPr>
      </w:pPr>
    </w:p>
    <w:p w14:paraId="2A0477FC" w14:textId="77777777" w:rsidR="00F46F69" w:rsidRDefault="00000000">
      <w:pPr>
        <w:widowControl/>
        <w:tabs>
          <w:tab w:val="left" w:pos="720"/>
        </w:tabs>
        <w:suppressAutoHyphens w:val="0"/>
        <w:spacing w:line="240" w:lineRule="exact"/>
        <w:ind w:left="1134" w:hanging="425"/>
        <w:jc w:val="both"/>
        <w:textAlignment w:val="auto"/>
        <w:rPr>
          <w:rFonts w:eastAsia="Times New Roman" w:cs="DIN Pro Regular"/>
          <w:lang w:eastAsia="es-ES"/>
        </w:rPr>
      </w:pPr>
      <w:r>
        <w:rPr>
          <w:rFonts w:eastAsia="Times New Roman" w:cs="DIN Pro Regular"/>
          <w:lang w:eastAsia="es-ES"/>
        </w:rPr>
        <w:tab/>
      </w:r>
      <w:r>
        <w:rPr>
          <w:rFonts w:eastAsia="Times New Roman" w:cs="DIN Pro Regular"/>
          <w:lang w:eastAsia="es-ES"/>
        </w:rPr>
        <w:tab/>
      </w:r>
      <w:r>
        <w:rPr>
          <w:rFonts w:eastAsia="Times New Roman" w:cs="DIN Pro Regular"/>
          <w:lang w:eastAsia="es-ES"/>
        </w:rPr>
        <w:tab/>
        <w:t>Los Derechos se recaudan por ofrecer el concepto de trámite de Constancia de No Antecedentes Penales de manera presencial o en línea, y así, ejercitar un derecho o cumplir un deber legalmente previsto; servicio que es proporcionado por la Dirección de Control de Procesos, al hacer una minuciosa revisión en los sistemas de registro electrónico y el archivo de antecedentes debidamente autorizado. La tarifa se encuentra en el artículo 59, inciso f), de la Ley de Hacienda para el Estado de Tamaulipas.</w:t>
      </w:r>
    </w:p>
    <w:p w14:paraId="087BC296"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0EE4A546"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74A52B6B"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7F7FA286"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5E8AFC38"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14FACED5"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74DD76BA" w14:textId="77777777" w:rsidR="00F46F69" w:rsidRDefault="00000000">
      <w:pPr>
        <w:widowControl/>
        <w:tabs>
          <w:tab w:val="left" w:pos="720"/>
        </w:tabs>
        <w:suppressAutoHyphens w:val="0"/>
        <w:spacing w:line="240" w:lineRule="exact"/>
        <w:ind w:left="1140" w:hanging="432"/>
        <w:jc w:val="both"/>
        <w:textAlignment w:val="auto"/>
        <w:rPr>
          <w:rFonts w:eastAsia="Times New Roman" w:cs="DIN Pro Regular"/>
          <w:b/>
          <w:bCs/>
          <w:lang w:eastAsia="es-ES"/>
        </w:rPr>
      </w:pPr>
      <w:r>
        <w:rPr>
          <w:rFonts w:eastAsia="Times New Roman" w:cs="DIN Pro Regular"/>
          <w:b/>
          <w:bCs/>
          <w:lang w:eastAsia="es-ES"/>
        </w:rPr>
        <w:t>Gastos y Otras Pérdidas:</w:t>
      </w:r>
    </w:p>
    <w:p w14:paraId="6F20A3FF" w14:textId="77777777" w:rsidR="00F46F69" w:rsidRDefault="00F46F69">
      <w:pPr>
        <w:widowControl/>
        <w:tabs>
          <w:tab w:val="left" w:pos="720"/>
        </w:tabs>
        <w:suppressAutoHyphens w:val="0"/>
        <w:spacing w:line="240" w:lineRule="exact"/>
        <w:ind w:left="1140" w:hanging="432"/>
        <w:jc w:val="both"/>
        <w:textAlignment w:val="auto"/>
        <w:rPr>
          <w:rFonts w:eastAsia="Times New Roman" w:cs="DIN Pro Regular"/>
          <w:lang w:eastAsia="es-ES"/>
        </w:rPr>
      </w:pPr>
    </w:p>
    <w:p w14:paraId="5240532A" w14:textId="77777777" w:rsidR="00F46F69" w:rsidRDefault="00000000">
      <w:pPr>
        <w:widowControl/>
        <w:tabs>
          <w:tab w:val="left" w:pos="720"/>
        </w:tabs>
        <w:suppressAutoHyphens w:val="0"/>
        <w:spacing w:line="240" w:lineRule="exact"/>
        <w:ind w:left="1140" w:hanging="432"/>
        <w:jc w:val="both"/>
        <w:textAlignment w:val="auto"/>
        <w:rPr>
          <w:rFonts w:eastAsia="Times New Roman" w:cs="DIN Pro Regular"/>
          <w:lang w:eastAsia="es-ES"/>
        </w:rPr>
      </w:pPr>
      <w:r>
        <w:rPr>
          <w:rFonts w:eastAsia="Times New Roman" w:cs="DIN Pro Regular"/>
          <w:lang w:eastAsia="es-ES"/>
        </w:rPr>
        <w:t xml:space="preserve">          </w:t>
      </w:r>
      <w:r>
        <w:rPr>
          <w:rFonts w:eastAsia="Times New Roman" w:cs="DIN Pro Regular"/>
          <w:lang w:eastAsia="es-ES"/>
        </w:rPr>
        <w:tab/>
        <w:t>Los gastos efectuados al 31 de diciembre de 2024 fueron de $1,570,251,561 divididos en Gastos de Funcionamiento, Transferencias, Asignaciones, Subsidios y Otras ayudas, y Otros Gastos y Perdidas Extraordinarias que se integra como sigue:</w:t>
      </w:r>
    </w:p>
    <w:p w14:paraId="08C350E5" w14:textId="77777777" w:rsidR="00F46F69" w:rsidRDefault="00F46F69">
      <w:pPr>
        <w:widowControl/>
        <w:tabs>
          <w:tab w:val="left" w:pos="720"/>
        </w:tabs>
        <w:suppressAutoHyphens w:val="0"/>
        <w:spacing w:line="240" w:lineRule="exact"/>
        <w:ind w:left="1140" w:hanging="432"/>
        <w:jc w:val="both"/>
        <w:textAlignment w:val="auto"/>
        <w:rPr>
          <w:rFonts w:eastAsia="Times New Roman" w:cs="DIN Pro Regular"/>
          <w:lang w:eastAsia="es-ES"/>
        </w:rPr>
      </w:pPr>
    </w:p>
    <w:tbl>
      <w:tblPr>
        <w:tblW w:w="8075" w:type="dxa"/>
        <w:jc w:val="center"/>
        <w:tblCellMar>
          <w:left w:w="10" w:type="dxa"/>
          <w:right w:w="10" w:type="dxa"/>
        </w:tblCellMar>
        <w:tblLook w:val="04A0" w:firstRow="1" w:lastRow="0" w:firstColumn="1" w:lastColumn="0" w:noHBand="0" w:noVBand="1"/>
      </w:tblPr>
      <w:tblGrid>
        <w:gridCol w:w="5240"/>
        <w:gridCol w:w="1843"/>
        <w:gridCol w:w="992"/>
      </w:tblGrid>
      <w:tr w:rsidR="00F46F69" w14:paraId="6B3955B9" w14:textId="77777777">
        <w:tblPrEx>
          <w:tblCellMar>
            <w:top w:w="0" w:type="dxa"/>
            <w:bottom w:w="0" w:type="dxa"/>
          </w:tblCellMar>
        </w:tblPrEx>
        <w:trPr>
          <w:trHeight w:val="510"/>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4803247A" w14:textId="77777777" w:rsidR="00F46F69" w:rsidRDefault="00000000">
            <w:pPr>
              <w:widowControl/>
              <w:suppressAutoHyphens w:val="0"/>
              <w:jc w:val="center"/>
              <w:textAlignment w:val="auto"/>
              <w:rPr>
                <w:rFonts w:eastAsia="Times New Roman" w:cs="Calibri"/>
                <w:b/>
                <w:bCs/>
                <w:color w:val="FFFFFF"/>
              </w:rPr>
            </w:pPr>
            <w:r>
              <w:rPr>
                <w:rFonts w:eastAsia="Times New Roman" w:cs="Calibri"/>
                <w:b/>
                <w:bCs/>
                <w:color w:val="FFFFFF"/>
              </w:rPr>
              <w:t xml:space="preserve">Descripción </w:t>
            </w:r>
          </w:p>
        </w:tc>
        <w:tc>
          <w:tcPr>
            <w:tcW w:w="184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B9B3A81" w14:textId="77777777" w:rsidR="00F46F69" w:rsidRDefault="00000000">
            <w:pPr>
              <w:widowControl/>
              <w:suppressAutoHyphens w:val="0"/>
              <w:jc w:val="center"/>
              <w:textAlignment w:val="auto"/>
              <w:rPr>
                <w:rFonts w:eastAsia="Times New Roman" w:cs="Calibri"/>
                <w:b/>
                <w:bCs/>
                <w:color w:val="FFFFFF"/>
              </w:rPr>
            </w:pPr>
            <w:r>
              <w:rPr>
                <w:rFonts w:eastAsia="Times New Roman" w:cs="Calibri"/>
                <w:b/>
                <w:bCs/>
                <w:color w:val="FFFFFF"/>
              </w:rPr>
              <w:t xml:space="preserve">Saldo al 31 de diciembre de 2024 </w:t>
            </w:r>
          </w:p>
        </w:tc>
        <w:tc>
          <w:tcPr>
            <w:tcW w:w="992"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D204D11" w14:textId="77777777" w:rsidR="00F46F69" w:rsidRDefault="00000000">
            <w:pPr>
              <w:widowControl/>
              <w:suppressAutoHyphens w:val="0"/>
              <w:jc w:val="center"/>
              <w:textAlignment w:val="auto"/>
              <w:rPr>
                <w:rFonts w:eastAsia="Times New Roman" w:cs="Calibri"/>
                <w:b/>
                <w:bCs/>
                <w:color w:val="FFFFFF"/>
              </w:rPr>
            </w:pPr>
            <w:r>
              <w:rPr>
                <w:rFonts w:eastAsia="Times New Roman" w:cs="Calibri"/>
                <w:b/>
                <w:bCs/>
                <w:color w:val="FFFFFF"/>
              </w:rPr>
              <w:t>Porcentaje</w:t>
            </w:r>
          </w:p>
        </w:tc>
      </w:tr>
      <w:tr w:rsidR="00F46F69" w14:paraId="2889FF24" w14:textId="77777777">
        <w:tblPrEx>
          <w:tblCellMar>
            <w:top w:w="0" w:type="dxa"/>
            <w:bottom w:w="0" w:type="dxa"/>
          </w:tblCellMar>
        </w:tblPrEx>
        <w:trPr>
          <w:trHeight w:val="300"/>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A7E2A"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Gastos y Otras Perdidas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E6D0B8"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         1,570,251,561</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E21D47" w14:textId="77777777" w:rsidR="00F46F69" w:rsidRDefault="00000000">
            <w:pPr>
              <w:widowControl/>
              <w:suppressAutoHyphens w:val="0"/>
              <w:jc w:val="right"/>
              <w:textAlignment w:val="auto"/>
              <w:rPr>
                <w:rFonts w:eastAsia="Times New Roman" w:cs="Calibri"/>
                <w:b/>
                <w:bCs/>
                <w:color w:val="000000"/>
              </w:rPr>
            </w:pPr>
            <w:r>
              <w:rPr>
                <w:rFonts w:eastAsia="Times New Roman" w:cs="Calibri"/>
                <w:b/>
                <w:bCs/>
                <w:color w:val="000000"/>
              </w:rPr>
              <w:t>100.00%</w:t>
            </w:r>
          </w:p>
        </w:tc>
      </w:tr>
      <w:tr w:rsidR="00F46F69" w14:paraId="001AC60F" w14:textId="77777777">
        <w:tblPrEx>
          <w:tblCellMar>
            <w:top w:w="0" w:type="dxa"/>
            <w:bottom w:w="0" w:type="dxa"/>
          </w:tblCellMar>
        </w:tblPrEx>
        <w:trPr>
          <w:trHeight w:val="300"/>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DD375"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Gastos de Funcionamiento</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75FF01"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         1,489,294,284</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C4987D" w14:textId="77777777" w:rsidR="00F46F69" w:rsidRDefault="00000000">
            <w:pPr>
              <w:widowControl/>
              <w:suppressAutoHyphens w:val="0"/>
              <w:jc w:val="right"/>
              <w:textAlignment w:val="auto"/>
              <w:rPr>
                <w:rFonts w:eastAsia="Times New Roman" w:cs="Calibri"/>
                <w:b/>
                <w:bCs/>
                <w:color w:val="000000"/>
              </w:rPr>
            </w:pPr>
            <w:r>
              <w:rPr>
                <w:rFonts w:eastAsia="Times New Roman" w:cs="Calibri"/>
                <w:b/>
                <w:bCs/>
                <w:color w:val="000000"/>
              </w:rPr>
              <w:t>94.84%</w:t>
            </w:r>
          </w:p>
        </w:tc>
      </w:tr>
      <w:tr w:rsidR="00F46F69" w14:paraId="4CA1C3B1" w14:textId="77777777">
        <w:tblPrEx>
          <w:tblCellMar>
            <w:top w:w="0" w:type="dxa"/>
            <w:bottom w:w="0" w:type="dxa"/>
          </w:tblCellMar>
        </w:tblPrEx>
        <w:trPr>
          <w:trHeight w:val="300"/>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2CEE57"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Servicios Personales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C03E9F"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         1,155,292,317</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2F38C6" w14:textId="77777777" w:rsidR="00F46F69" w:rsidRDefault="00000000">
            <w:pPr>
              <w:widowControl/>
              <w:suppressAutoHyphens w:val="0"/>
              <w:jc w:val="right"/>
              <w:textAlignment w:val="auto"/>
              <w:rPr>
                <w:rFonts w:eastAsia="Times New Roman" w:cs="Calibri"/>
                <w:color w:val="000000"/>
              </w:rPr>
            </w:pPr>
            <w:r>
              <w:rPr>
                <w:rFonts w:eastAsia="Times New Roman" w:cs="Calibri"/>
                <w:color w:val="000000"/>
              </w:rPr>
              <w:t>73.57%</w:t>
            </w:r>
          </w:p>
        </w:tc>
      </w:tr>
      <w:tr w:rsidR="00F46F69" w14:paraId="6132BAFD" w14:textId="77777777">
        <w:tblPrEx>
          <w:tblCellMar>
            <w:top w:w="0" w:type="dxa"/>
            <w:bottom w:w="0" w:type="dxa"/>
          </w:tblCellMar>
        </w:tblPrEx>
        <w:trPr>
          <w:trHeight w:val="300"/>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DD4D3E"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Materiales y Suministros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E92B99"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            108,342,924</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3A71F6" w14:textId="77777777" w:rsidR="00F46F69" w:rsidRDefault="00000000">
            <w:pPr>
              <w:widowControl/>
              <w:suppressAutoHyphens w:val="0"/>
              <w:jc w:val="right"/>
              <w:textAlignment w:val="auto"/>
              <w:rPr>
                <w:rFonts w:eastAsia="Times New Roman" w:cs="Calibri"/>
                <w:color w:val="000000"/>
              </w:rPr>
            </w:pPr>
            <w:r>
              <w:rPr>
                <w:rFonts w:eastAsia="Times New Roman" w:cs="Calibri"/>
                <w:color w:val="000000"/>
              </w:rPr>
              <w:t>6.90%</w:t>
            </w:r>
          </w:p>
        </w:tc>
      </w:tr>
      <w:tr w:rsidR="00F46F69" w14:paraId="51961652" w14:textId="77777777">
        <w:tblPrEx>
          <w:tblCellMar>
            <w:top w:w="0" w:type="dxa"/>
            <w:bottom w:w="0" w:type="dxa"/>
          </w:tblCellMar>
        </w:tblPrEx>
        <w:trPr>
          <w:trHeight w:val="300"/>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C66D5"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Servicios Generales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41DAF0"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            225,659,043</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78EFD9" w14:textId="77777777" w:rsidR="00F46F69" w:rsidRDefault="00000000">
            <w:pPr>
              <w:widowControl/>
              <w:suppressAutoHyphens w:val="0"/>
              <w:jc w:val="right"/>
              <w:textAlignment w:val="auto"/>
              <w:rPr>
                <w:rFonts w:eastAsia="Times New Roman" w:cs="Calibri"/>
                <w:color w:val="000000"/>
              </w:rPr>
            </w:pPr>
            <w:r>
              <w:rPr>
                <w:rFonts w:eastAsia="Times New Roman" w:cs="Calibri"/>
                <w:color w:val="000000"/>
              </w:rPr>
              <w:t>14.37%</w:t>
            </w:r>
          </w:p>
        </w:tc>
      </w:tr>
      <w:tr w:rsidR="00F46F69" w14:paraId="621BFE82" w14:textId="77777777">
        <w:tblPrEx>
          <w:tblCellMar>
            <w:top w:w="0" w:type="dxa"/>
            <w:bottom w:w="0" w:type="dxa"/>
          </w:tblCellMar>
        </w:tblPrEx>
        <w:trPr>
          <w:trHeight w:val="336"/>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3345D"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Transferencias, Asignaciones, Subsidios y Otras Ayudas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5C8ED3"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                 3,399,180</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E039F4" w14:textId="77777777" w:rsidR="00F46F69" w:rsidRDefault="00000000">
            <w:pPr>
              <w:widowControl/>
              <w:suppressAutoHyphens w:val="0"/>
              <w:jc w:val="right"/>
              <w:textAlignment w:val="auto"/>
              <w:rPr>
                <w:rFonts w:eastAsia="Times New Roman" w:cs="Calibri"/>
                <w:b/>
                <w:bCs/>
                <w:color w:val="000000"/>
              </w:rPr>
            </w:pPr>
            <w:r>
              <w:rPr>
                <w:rFonts w:eastAsia="Times New Roman" w:cs="Calibri"/>
                <w:b/>
                <w:bCs/>
                <w:color w:val="000000"/>
              </w:rPr>
              <w:t>0.22%</w:t>
            </w:r>
          </w:p>
        </w:tc>
      </w:tr>
      <w:tr w:rsidR="00F46F69" w14:paraId="5A6254C2" w14:textId="77777777">
        <w:tblPrEx>
          <w:tblCellMar>
            <w:top w:w="0" w:type="dxa"/>
            <w:bottom w:w="0" w:type="dxa"/>
          </w:tblCellMar>
        </w:tblPrEx>
        <w:trPr>
          <w:trHeight w:val="300"/>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FBC42"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Ayudas Sociales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E6138E"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                 3,399,180</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8917C9" w14:textId="77777777" w:rsidR="00F46F69" w:rsidRDefault="00000000">
            <w:pPr>
              <w:widowControl/>
              <w:suppressAutoHyphens w:val="0"/>
              <w:jc w:val="right"/>
              <w:textAlignment w:val="auto"/>
              <w:rPr>
                <w:rFonts w:eastAsia="Times New Roman" w:cs="Calibri"/>
                <w:color w:val="000000"/>
              </w:rPr>
            </w:pPr>
            <w:r>
              <w:rPr>
                <w:rFonts w:eastAsia="Times New Roman" w:cs="Calibri"/>
                <w:color w:val="000000"/>
              </w:rPr>
              <w:t>0.22%</w:t>
            </w:r>
          </w:p>
        </w:tc>
      </w:tr>
      <w:tr w:rsidR="00F46F69" w14:paraId="536261BC" w14:textId="77777777">
        <w:tblPrEx>
          <w:tblCellMar>
            <w:top w:w="0" w:type="dxa"/>
            <w:bottom w:w="0" w:type="dxa"/>
          </w:tblCellMar>
        </w:tblPrEx>
        <w:trPr>
          <w:trHeight w:val="361"/>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5A6F0C"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Otros Gastos y Perdidas Extraordinarias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62C74B" w14:textId="77777777" w:rsidR="00F46F69" w:rsidRDefault="00000000">
            <w:pPr>
              <w:widowControl/>
              <w:suppressAutoHyphens w:val="0"/>
              <w:textAlignment w:val="auto"/>
              <w:rPr>
                <w:rFonts w:eastAsia="Times New Roman" w:cs="Calibri"/>
                <w:b/>
                <w:bCs/>
                <w:color w:val="000000"/>
              </w:rPr>
            </w:pPr>
            <w:r>
              <w:rPr>
                <w:rFonts w:eastAsia="Times New Roman" w:cs="Calibri"/>
                <w:b/>
                <w:bCs/>
                <w:color w:val="000000"/>
              </w:rPr>
              <w:t>$               77,558,097</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848156" w14:textId="77777777" w:rsidR="00F46F69" w:rsidRDefault="00000000">
            <w:pPr>
              <w:widowControl/>
              <w:suppressAutoHyphens w:val="0"/>
              <w:jc w:val="right"/>
              <w:textAlignment w:val="auto"/>
              <w:rPr>
                <w:rFonts w:eastAsia="Times New Roman" w:cs="Calibri"/>
                <w:b/>
                <w:bCs/>
                <w:color w:val="000000"/>
              </w:rPr>
            </w:pPr>
            <w:r>
              <w:rPr>
                <w:rFonts w:eastAsia="Times New Roman" w:cs="Calibri"/>
                <w:b/>
                <w:bCs/>
                <w:color w:val="000000"/>
              </w:rPr>
              <w:t>4.94%</w:t>
            </w:r>
          </w:p>
        </w:tc>
      </w:tr>
      <w:tr w:rsidR="00F46F69" w14:paraId="148F3F02" w14:textId="77777777">
        <w:tblPrEx>
          <w:tblCellMar>
            <w:top w:w="0" w:type="dxa"/>
            <w:bottom w:w="0" w:type="dxa"/>
          </w:tblCellMar>
        </w:tblPrEx>
        <w:trPr>
          <w:trHeight w:val="553"/>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4C4A8F"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Estimaciones, Depreciaciones, Deterioros, Obsolescencia y Amortizaciones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D5060D"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               76,924,715</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55D9BE" w14:textId="77777777" w:rsidR="00F46F69" w:rsidRDefault="00000000">
            <w:pPr>
              <w:widowControl/>
              <w:suppressAutoHyphens w:val="0"/>
              <w:jc w:val="right"/>
              <w:textAlignment w:val="auto"/>
              <w:rPr>
                <w:rFonts w:eastAsia="Times New Roman" w:cs="Calibri"/>
                <w:color w:val="000000"/>
              </w:rPr>
            </w:pPr>
            <w:r>
              <w:rPr>
                <w:rFonts w:eastAsia="Times New Roman" w:cs="Calibri"/>
                <w:color w:val="000000"/>
              </w:rPr>
              <w:t>4.90%</w:t>
            </w:r>
          </w:p>
        </w:tc>
      </w:tr>
      <w:tr w:rsidR="00F46F69" w14:paraId="52710125" w14:textId="77777777">
        <w:tblPrEx>
          <w:tblCellMar>
            <w:top w:w="0" w:type="dxa"/>
            <w:bottom w:w="0" w:type="dxa"/>
          </w:tblCellMar>
        </w:tblPrEx>
        <w:trPr>
          <w:trHeight w:val="300"/>
          <w:jc w:val="center"/>
        </w:trPr>
        <w:tc>
          <w:tcPr>
            <w:tcW w:w="524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0F6FB"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Otros Gastos</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BFF16C" w14:textId="77777777" w:rsidR="00F46F69" w:rsidRDefault="00000000">
            <w:pPr>
              <w:widowControl/>
              <w:suppressAutoHyphens w:val="0"/>
              <w:textAlignment w:val="auto"/>
              <w:rPr>
                <w:rFonts w:eastAsia="Times New Roman" w:cs="Calibri"/>
                <w:color w:val="000000"/>
              </w:rPr>
            </w:pPr>
            <w:r>
              <w:rPr>
                <w:rFonts w:eastAsia="Times New Roman" w:cs="Calibri"/>
                <w:color w:val="000000"/>
              </w:rPr>
              <w:t>$                    633,382</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9D87D6" w14:textId="77777777" w:rsidR="00F46F69" w:rsidRDefault="00000000">
            <w:pPr>
              <w:widowControl/>
              <w:suppressAutoHyphens w:val="0"/>
              <w:jc w:val="right"/>
              <w:textAlignment w:val="auto"/>
              <w:rPr>
                <w:rFonts w:eastAsia="Times New Roman" w:cs="Calibri"/>
                <w:color w:val="000000"/>
              </w:rPr>
            </w:pPr>
            <w:r>
              <w:rPr>
                <w:rFonts w:eastAsia="Times New Roman" w:cs="Calibri"/>
                <w:color w:val="000000"/>
              </w:rPr>
              <w:t>0.04%</w:t>
            </w:r>
          </w:p>
        </w:tc>
      </w:tr>
    </w:tbl>
    <w:p w14:paraId="5445D191" w14:textId="77777777" w:rsidR="00F46F69" w:rsidRDefault="00F46F69">
      <w:pPr>
        <w:widowControl/>
        <w:tabs>
          <w:tab w:val="left" w:pos="720"/>
        </w:tabs>
        <w:suppressAutoHyphens w:val="0"/>
        <w:spacing w:line="240" w:lineRule="exact"/>
        <w:jc w:val="both"/>
        <w:textAlignment w:val="auto"/>
        <w:rPr>
          <w:rFonts w:ascii="Arial" w:eastAsia="Times New Roman" w:hAnsi="Arial" w:cs="Arial"/>
          <w:sz w:val="18"/>
          <w:szCs w:val="18"/>
          <w:lang w:eastAsia="es-ES"/>
        </w:rPr>
      </w:pPr>
    </w:p>
    <w:p w14:paraId="15857B73" w14:textId="77777777" w:rsidR="00F46F69" w:rsidRDefault="00000000">
      <w:pPr>
        <w:widowControl/>
        <w:tabs>
          <w:tab w:val="left" w:pos="720"/>
        </w:tabs>
        <w:suppressAutoHyphens w:val="0"/>
        <w:spacing w:line="240" w:lineRule="exact"/>
        <w:ind w:left="1134" w:hanging="425"/>
        <w:jc w:val="both"/>
        <w:textAlignment w:val="auto"/>
      </w:pP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eastAsia="Times New Roman" w:cs="DIN Pro Regular"/>
          <w:lang w:eastAsia="es-ES"/>
        </w:rPr>
        <w:t>Del total de los gastos registrados, el rubro de Servicios Personales es el gasto más representativo siendo el 73.57% que corresponde al pago de Sueldos, Gratificaciones, Contribuciones IPSSET e ISSSTE, Finiquitos, Laudos, Indemnizaciones, Primas de Antigüedad e Impuestos sobre la Renta.</w:t>
      </w:r>
    </w:p>
    <w:p w14:paraId="3CDDA11A" w14:textId="77777777" w:rsidR="00F46F69" w:rsidRDefault="00F46F69">
      <w:pPr>
        <w:widowControl/>
        <w:tabs>
          <w:tab w:val="left" w:pos="720"/>
        </w:tabs>
        <w:suppressAutoHyphens w:val="0"/>
        <w:spacing w:line="240" w:lineRule="exact"/>
        <w:ind w:left="1134" w:hanging="425"/>
        <w:jc w:val="both"/>
        <w:textAlignment w:val="auto"/>
        <w:rPr>
          <w:rFonts w:eastAsia="Times New Roman" w:cs="DIN Pro Regular"/>
          <w:lang w:eastAsia="es-ES"/>
        </w:rPr>
      </w:pPr>
    </w:p>
    <w:p w14:paraId="1D7A3060" w14:textId="77777777" w:rsidR="00F46F69" w:rsidRDefault="00000000">
      <w:pPr>
        <w:widowControl/>
        <w:tabs>
          <w:tab w:val="left" w:pos="720"/>
        </w:tabs>
        <w:suppressAutoHyphens w:val="0"/>
        <w:spacing w:line="240" w:lineRule="exact"/>
        <w:ind w:left="1134" w:hanging="425"/>
        <w:jc w:val="both"/>
        <w:textAlignment w:val="auto"/>
        <w:rPr>
          <w:rFonts w:eastAsia="Times New Roman" w:cs="DIN Pro Regular"/>
          <w:lang w:eastAsia="es-ES"/>
        </w:rPr>
      </w:pPr>
      <w:r>
        <w:rPr>
          <w:rFonts w:eastAsia="Times New Roman" w:cs="DIN Pro Regular"/>
          <w:lang w:eastAsia="es-ES"/>
        </w:rPr>
        <w:tab/>
      </w:r>
      <w:r>
        <w:rPr>
          <w:rFonts w:eastAsia="Times New Roman" w:cs="DIN Pro Regular"/>
          <w:lang w:eastAsia="es-ES"/>
        </w:rPr>
        <w:tab/>
      </w:r>
      <w:r>
        <w:rPr>
          <w:rFonts w:eastAsia="Times New Roman" w:cs="DIN Pro Regular"/>
          <w:lang w:eastAsia="es-ES"/>
        </w:rPr>
        <w:tab/>
        <w:t>Asimismo, el rubro de Servicios Generales es el segundo rubro más representativo que representa el 14.37% del total de los gastos, que corresponde al pago requerido para las actividades del organismo tales como Servicios Básicos, Servicios de Arrendamiento, Servicios Profesionales, Servicios de Traslado y Viáticos entre otros.</w:t>
      </w:r>
    </w:p>
    <w:p w14:paraId="739E82C0"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230B0294" w14:textId="77777777" w:rsidR="00F46F69" w:rsidRDefault="00000000">
      <w:pPr>
        <w:widowControl/>
        <w:suppressAutoHyphens w:val="0"/>
        <w:spacing w:line="240" w:lineRule="exact"/>
        <w:ind w:left="426" w:hanging="426"/>
        <w:jc w:val="both"/>
        <w:textAlignment w:val="auto"/>
        <w:rPr>
          <w:rFonts w:eastAsia="Times New Roman" w:cs="DIN Pro Regular"/>
          <w:b/>
          <w:bCs/>
          <w:lang w:eastAsia="es-ES"/>
        </w:rPr>
      </w:pPr>
      <w:r>
        <w:rPr>
          <w:rFonts w:eastAsia="Times New Roman" w:cs="DIN Pro Regular"/>
          <w:b/>
          <w:bCs/>
          <w:lang w:eastAsia="es-ES"/>
        </w:rPr>
        <w:t>II)</w:t>
      </w:r>
      <w:r>
        <w:rPr>
          <w:rFonts w:eastAsia="Times New Roman" w:cs="DIN Pro Regular"/>
          <w:b/>
          <w:bCs/>
          <w:lang w:eastAsia="es-ES"/>
        </w:rPr>
        <w:tab/>
        <w:t>Notas al Estado de Situación Financiera</w:t>
      </w:r>
    </w:p>
    <w:p w14:paraId="786EA0EF" w14:textId="77777777" w:rsidR="00F46F69" w:rsidRDefault="00F46F69">
      <w:pPr>
        <w:widowControl/>
        <w:suppressAutoHyphens w:val="0"/>
        <w:spacing w:line="240" w:lineRule="exact"/>
        <w:ind w:left="360" w:hanging="360"/>
        <w:jc w:val="both"/>
        <w:textAlignment w:val="auto"/>
        <w:rPr>
          <w:rFonts w:eastAsia="Times New Roman" w:cs="DIN Pro Regular"/>
          <w:b/>
          <w:bCs/>
          <w:lang w:eastAsia="es-ES"/>
        </w:rPr>
      </w:pPr>
    </w:p>
    <w:p w14:paraId="4720E15E" w14:textId="77777777" w:rsidR="00F46F69" w:rsidRDefault="00000000">
      <w:pPr>
        <w:widowControl/>
        <w:suppressAutoHyphens w:val="0"/>
        <w:spacing w:after="80" w:line="203" w:lineRule="exact"/>
        <w:ind w:firstLine="288"/>
        <w:jc w:val="both"/>
        <w:textAlignment w:val="auto"/>
        <w:rPr>
          <w:rFonts w:eastAsia="Times New Roman" w:cs="DIN Pro Regular"/>
          <w:b/>
          <w:bCs/>
          <w:lang w:eastAsia="es-ES"/>
        </w:rPr>
      </w:pPr>
      <w:r>
        <w:rPr>
          <w:rFonts w:eastAsia="Times New Roman" w:cs="DIN Pro Regular"/>
          <w:b/>
          <w:bCs/>
          <w:lang w:eastAsia="es-ES"/>
        </w:rPr>
        <w:t>Activo</w:t>
      </w:r>
    </w:p>
    <w:p w14:paraId="5372A665" w14:textId="77777777" w:rsidR="00F46F69" w:rsidRDefault="00F46F69">
      <w:pPr>
        <w:widowControl/>
        <w:suppressAutoHyphens w:val="0"/>
        <w:spacing w:after="80" w:line="203" w:lineRule="exact"/>
        <w:ind w:firstLine="288"/>
        <w:jc w:val="both"/>
        <w:textAlignment w:val="auto"/>
        <w:rPr>
          <w:rFonts w:eastAsia="Times New Roman" w:cs="DIN Pro Regular"/>
          <w:b/>
          <w:bCs/>
          <w:lang w:eastAsia="es-ES"/>
        </w:rPr>
      </w:pPr>
    </w:p>
    <w:p w14:paraId="706642F6" w14:textId="77777777" w:rsidR="00F46F69" w:rsidRDefault="00000000">
      <w:pPr>
        <w:widowControl/>
        <w:suppressAutoHyphens w:val="0"/>
        <w:spacing w:after="80" w:line="203" w:lineRule="exact"/>
        <w:ind w:left="624"/>
        <w:jc w:val="both"/>
        <w:textAlignment w:val="auto"/>
        <w:rPr>
          <w:rFonts w:eastAsia="Times New Roman" w:cs="DIN Pro Regular"/>
          <w:b/>
          <w:bCs/>
          <w:lang w:eastAsia="es-ES"/>
        </w:rPr>
      </w:pPr>
      <w:r>
        <w:rPr>
          <w:rFonts w:eastAsia="Times New Roman" w:cs="DIN Pro Regular"/>
          <w:b/>
          <w:bCs/>
          <w:lang w:eastAsia="es-ES"/>
        </w:rPr>
        <w:t>Efectivo y Equivalentes</w:t>
      </w:r>
    </w:p>
    <w:p w14:paraId="1E23C224" w14:textId="77777777" w:rsidR="00F46F69" w:rsidRDefault="00F46F69">
      <w:pPr>
        <w:widowControl/>
        <w:suppressAutoHyphens w:val="0"/>
        <w:spacing w:after="80" w:line="203" w:lineRule="exact"/>
        <w:ind w:left="624"/>
        <w:jc w:val="both"/>
        <w:textAlignment w:val="auto"/>
        <w:rPr>
          <w:rFonts w:eastAsia="Times New Roman" w:cs="DIN Pro Regular"/>
          <w:lang w:eastAsia="es-ES"/>
        </w:rPr>
      </w:pPr>
    </w:p>
    <w:p w14:paraId="5CDBB2C6" w14:textId="77777777" w:rsidR="00F46F69" w:rsidRDefault="00000000">
      <w:pPr>
        <w:widowControl/>
        <w:suppressAutoHyphens w:val="0"/>
        <w:spacing w:line="203" w:lineRule="exact"/>
        <w:jc w:val="both"/>
        <w:textAlignment w:val="auto"/>
      </w:pPr>
      <w:r>
        <w:rPr>
          <w:rFonts w:eastAsia="Times New Roman" w:cs="DIN Pro Regular"/>
          <w:b/>
          <w:bCs/>
          <w:lang w:eastAsia="es-ES"/>
        </w:rPr>
        <w:t xml:space="preserve">            1.  Bancos/Tesorería:</w:t>
      </w:r>
      <w:r>
        <w:rPr>
          <w:rFonts w:eastAsia="Times New Roman" w:cs="DIN Pro Regular"/>
          <w:lang w:eastAsia="es-ES"/>
        </w:rPr>
        <w:t xml:space="preserve"> Al 31 de diciembre de 2024, el efectivo disponible en instituciones bancarias para   el </w:t>
      </w:r>
    </w:p>
    <w:p w14:paraId="73662BA5" w14:textId="77777777" w:rsidR="00F46F69" w:rsidRDefault="00000000">
      <w:pPr>
        <w:widowControl/>
        <w:suppressAutoHyphens w:val="0"/>
        <w:spacing w:line="203" w:lineRule="exact"/>
        <w:jc w:val="both"/>
        <w:textAlignment w:val="auto"/>
        <w:rPr>
          <w:rFonts w:eastAsia="Times New Roman" w:cs="DIN Pro Regular"/>
          <w:lang w:eastAsia="es-ES"/>
        </w:rPr>
      </w:pPr>
      <w:r>
        <w:rPr>
          <w:rFonts w:eastAsia="Times New Roman" w:cs="DIN Pro Regular"/>
          <w:lang w:eastAsia="es-ES"/>
        </w:rPr>
        <w:t xml:space="preserve">                  pago de gastos de operación y obligaciones con vencimiento próximo es por $85,123,254 dicho saldo se   </w:t>
      </w:r>
    </w:p>
    <w:p w14:paraId="31A5515A" w14:textId="77777777" w:rsidR="00F46F69" w:rsidRDefault="00000000">
      <w:pPr>
        <w:widowControl/>
        <w:suppressAutoHyphens w:val="0"/>
        <w:spacing w:line="203" w:lineRule="exact"/>
        <w:jc w:val="both"/>
        <w:textAlignment w:val="auto"/>
        <w:rPr>
          <w:rFonts w:eastAsia="Times New Roman" w:cs="DIN Pro Regular"/>
          <w:lang w:eastAsia="es-ES"/>
        </w:rPr>
      </w:pPr>
      <w:r>
        <w:rPr>
          <w:rFonts w:eastAsia="Times New Roman" w:cs="DIN Pro Regular"/>
          <w:lang w:eastAsia="es-ES"/>
        </w:rPr>
        <w:t xml:space="preserve">                  integra como sigue:</w:t>
      </w:r>
    </w:p>
    <w:p w14:paraId="2E2EBFA4" w14:textId="77777777" w:rsidR="00F46F69" w:rsidRDefault="00F46F69">
      <w:pPr>
        <w:widowControl/>
        <w:suppressAutoHyphens w:val="0"/>
        <w:spacing w:after="80" w:line="203" w:lineRule="exact"/>
        <w:ind w:left="1095" w:firstLine="321"/>
        <w:jc w:val="both"/>
        <w:textAlignment w:val="auto"/>
        <w:rPr>
          <w:rFonts w:eastAsia="Times New Roman" w:cs="DIN Pro Regular"/>
          <w:lang w:eastAsia="es-ES"/>
        </w:rPr>
      </w:pPr>
    </w:p>
    <w:tbl>
      <w:tblPr>
        <w:tblW w:w="8505" w:type="dxa"/>
        <w:tblInd w:w="846" w:type="dxa"/>
        <w:tblCellMar>
          <w:left w:w="10" w:type="dxa"/>
          <w:right w:w="10" w:type="dxa"/>
        </w:tblCellMar>
        <w:tblLook w:val="04A0" w:firstRow="1" w:lastRow="0" w:firstColumn="1" w:lastColumn="0" w:noHBand="0" w:noVBand="1"/>
      </w:tblPr>
      <w:tblGrid>
        <w:gridCol w:w="6662"/>
        <w:gridCol w:w="1843"/>
      </w:tblGrid>
      <w:tr w:rsidR="00F46F69" w14:paraId="3044CABC" w14:textId="77777777">
        <w:tblPrEx>
          <w:tblCellMar>
            <w:top w:w="0" w:type="dxa"/>
            <w:bottom w:w="0" w:type="dxa"/>
          </w:tblCellMar>
        </w:tblPrEx>
        <w:trPr>
          <w:trHeight w:val="480"/>
        </w:trPr>
        <w:tc>
          <w:tcPr>
            <w:tcW w:w="6662"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27AB72A" w14:textId="77777777" w:rsidR="00F46F69" w:rsidRDefault="00000000">
            <w:pPr>
              <w:widowControl/>
              <w:suppressAutoHyphens w:val="0"/>
              <w:jc w:val="center"/>
              <w:textAlignment w:val="auto"/>
              <w:rPr>
                <w:rFonts w:eastAsia="Times New Roman" w:cs="DIN Pro Regular"/>
                <w:b/>
                <w:bCs/>
                <w:lang w:eastAsia="es-ES"/>
              </w:rPr>
            </w:pPr>
            <w:bookmarkStart w:id="9" w:name="_Hlk149035341"/>
            <w:r>
              <w:rPr>
                <w:rFonts w:eastAsia="Times New Roman" w:cs="DIN Pro Regular"/>
                <w:b/>
                <w:bCs/>
                <w:lang w:eastAsia="es-ES"/>
              </w:rPr>
              <w:t>Descripción</w:t>
            </w:r>
          </w:p>
        </w:tc>
        <w:tc>
          <w:tcPr>
            <w:tcW w:w="1843"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8D1B62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Saldo al 31 de diciembre de 2024 </w:t>
            </w:r>
          </w:p>
        </w:tc>
      </w:tr>
      <w:bookmarkEnd w:id="9"/>
      <w:tr w:rsidR="00F46F69" w14:paraId="6F396897" w14:textId="77777777">
        <w:tblPrEx>
          <w:tblCellMar>
            <w:top w:w="0" w:type="dxa"/>
            <w:bottom w:w="0" w:type="dxa"/>
          </w:tblCellMar>
        </w:tblPrEx>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22515B"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Bancos/Tesorería</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97FFB3"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xml:space="preserve"> $             85,123,254          </w:t>
            </w:r>
          </w:p>
        </w:tc>
      </w:tr>
      <w:tr w:rsidR="00F46F69" w14:paraId="3353E79D" w14:textId="77777777">
        <w:tblPrEx>
          <w:tblCellMar>
            <w:top w:w="0" w:type="dxa"/>
            <w:bottom w:w="0" w:type="dxa"/>
          </w:tblCellMar>
        </w:tblPrEx>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6E5EB9"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Santander</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34880C"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xml:space="preserve"> $              16,898,211</w:t>
            </w:r>
          </w:p>
        </w:tc>
      </w:tr>
      <w:tr w:rsidR="00F46F69" w14:paraId="776D022B" w14:textId="77777777">
        <w:tblPrEx>
          <w:tblCellMar>
            <w:top w:w="0" w:type="dxa"/>
            <w:bottom w:w="0" w:type="dxa"/>
          </w:tblCellMar>
        </w:tblPrEx>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92ECE"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Banorte</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B55439"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46,415,179                     </w:t>
            </w:r>
          </w:p>
        </w:tc>
      </w:tr>
      <w:tr w:rsidR="00F46F69" w14:paraId="529B9571" w14:textId="77777777">
        <w:tblPrEx>
          <w:tblCellMar>
            <w:top w:w="0" w:type="dxa"/>
            <w:bottom w:w="0" w:type="dxa"/>
          </w:tblCellMar>
        </w:tblPrEx>
        <w:trPr>
          <w:trHeight w:val="300"/>
        </w:trPr>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92861"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Bancomer</w:t>
            </w:r>
          </w:p>
        </w:tc>
        <w:tc>
          <w:tcPr>
            <w:tcW w:w="184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8ED55A"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21,809,864                     </w:t>
            </w:r>
          </w:p>
        </w:tc>
      </w:tr>
    </w:tbl>
    <w:p w14:paraId="35C0EF49" w14:textId="77777777" w:rsidR="00F46F69" w:rsidRDefault="00000000">
      <w:pPr>
        <w:widowControl/>
        <w:suppressAutoHyphens w:val="0"/>
        <w:spacing w:after="80" w:line="203" w:lineRule="exact"/>
        <w:jc w:val="both"/>
        <w:textAlignment w:val="auto"/>
        <w:rPr>
          <w:rFonts w:eastAsia="Times New Roman" w:cs="DIN Pro Regular"/>
          <w:lang w:eastAsia="es-ES"/>
        </w:rPr>
      </w:pPr>
      <w:r>
        <w:rPr>
          <w:rFonts w:eastAsia="Times New Roman" w:cs="DIN Pro Regular"/>
          <w:lang w:eastAsia="es-ES"/>
        </w:rPr>
        <w:lastRenderedPageBreak/>
        <w:t xml:space="preserve">      </w:t>
      </w:r>
    </w:p>
    <w:p w14:paraId="45A89830" w14:textId="77777777" w:rsidR="00F46F69" w:rsidRDefault="00000000">
      <w:pPr>
        <w:widowControl/>
        <w:suppressAutoHyphens w:val="0"/>
        <w:spacing w:after="80" w:line="203" w:lineRule="exact"/>
        <w:jc w:val="both"/>
        <w:textAlignment w:val="auto"/>
        <w:rPr>
          <w:rFonts w:eastAsia="Times New Roman" w:cs="DIN Pro Regular"/>
          <w:b/>
          <w:bCs/>
          <w:lang w:eastAsia="es-ES"/>
        </w:rPr>
      </w:pPr>
      <w:r>
        <w:rPr>
          <w:rFonts w:eastAsia="Times New Roman" w:cs="DIN Pro Regular"/>
          <w:b/>
          <w:bCs/>
          <w:lang w:eastAsia="es-ES"/>
        </w:rPr>
        <w:t xml:space="preserve">              2.   Depósitos de Fondos de Terceros en Garantía y/o Administración</w:t>
      </w:r>
    </w:p>
    <w:p w14:paraId="6FE34D04" w14:textId="77777777" w:rsidR="00F46F69" w:rsidRDefault="00000000">
      <w:pPr>
        <w:widowControl/>
        <w:tabs>
          <w:tab w:val="left" w:pos="720"/>
        </w:tabs>
        <w:suppressAutoHyphens w:val="0"/>
        <w:spacing w:line="240" w:lineRule="exact"/>
        <w:ind w:left="1083"/>
        <w:jc w:val="both"/>
        <w:textAlignment w:val="auto"/>
        <w:rPr>
          <w:rFonts w:eastAsia="Times New Roman" w:cs="DIN Pro Regular"/>
          <w:lang w:eastAsia="es-ES"/>
        </w:rPr>
      </w:pPr>
      <w:r>
        <w:rPr>
          <w:rFonts w:eastAsia="Times New Roman" w:cs="DIN Pro Regular"/>
          <w:lang w:eastAsia="es-ES"/>
        </w:rPr>
        <w:t>Este rubro se compone por el depósito en garantía correspondiente a la Comisión Federal de Electricidad del Municipio de San Fernando Tamaulipas, por un importe de $16,211, que se integra como sigue:</w:t>
      </w:r>
    </w:p>
    <w:p w14:paraId="7E0E7BA6"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tbl>
      <w:tblPr>
        <w:tblW w:w="8575" w:type="dxa"/>
        <w:jc w:val="right"/>
        <w:tblCellMar>
          <w:left w:w="10" w:type="dxa"/>
          <w:right w:w="10" w:type="dxa"/>
        </w:tblCellMar>
        <w:tblLook w:val="04A0" w:firstRow="1" w:lastRow="0" w:firstColumn="1" w:lastColumn="0" w:noHBand="0" w:noVBand="1"/>
      </w:tblPr>
      <w:tblGrid>
        <w:gridCol w:w="6658"/>
        <w:gridCol w:w="1917"/>
      </w:tblGrid>
      <w:tr w:rsidR="00F46F69" w14:paraId="4B9FC576" w14:textId="77777777">
        <w:tblPrEx>
          <w:tblCellMar>
            <w:top w:w="0" w:type="dxa"/>
            <w:bottom w:w="0" w:type="dxa"/>
          </w:tblCellMar>
        </w:tblPrEx>
        <w:trPr>
          <w:trHeight w:val="480"/>
          <w:jc w:val="right"/>
        </w:trPr>
        <w:tc>
          <w:tcPr>
            <w:tcW w:w="665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CAA9069"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Descripción</w:t>
            </w:r>
          </w:p>
        </w:tc>
        <w:tc>
          <w:tcPr>
            <w:tcW w:w="191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672BE6D"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Saldo al 31 de </w:t>
            </w:r>
          </w:p>
          <w:p w14:paraId="7B000A8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diciembre de 2024 </w:t>
            </w:r>
          </w:p>
        </w:tc>
      </w:tr>
      <w:tr w:rsidR="00F46F69" w14:paraId="1F445A98" w14:textId="77777777">
        <w:tblPrEx>
          <w:tblCellMar>
            <w:top w:w="0" w:type="dxa"/>
            <w:bottom w:w="0" w:type="dxa"/>
          </w:tblCellMar>
        </w:tblPrEx>
        <w:trPr>
          <w:trHeight w:val="325"/>
          <w:jc w:val="right"/>
        </w:trPr>
        <w:tc>
          <w:tcPr>
            <w:tcW w:w="66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672E89"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Depósitos de Fondos de Terceros en Garantía y/o Administración</w:t>
            </w:r>
          </w:p>
        </w:tc>
        <w:tc>
          <w:tcPr>
            <w:tcW w:w="19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712279"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16,211</w:t>
            </w:r>
          </w:p>
        </w:tc>
      </w:tr>
      <w:tr w:rsidR="00F46F69" w14:paraId="6FC2558F" w14:textId="77777777">
        <w:tblPrEx>
          <w:tblCellMar>
            <w:top w:w="0" w:type="dxa"/>
            <w:bottom w:w="0" w:type="dxa"/>
          </w:tblCellMar>
        </w:tblPrEx>
        <w:trPr>
          <w:trHeight w:val="300"/>
          <w:jc w:val="right"/>
        </w:trPr>
        <w:tc>
          <w:tcPr>
            <w:tcW w:w="66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543C82"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Fondos en Garantía</w:t>
            </w:r>
          </w:p>
        </w:tc>
        <w:tc>
          <w:tcPr>
            <w:tcW w:w="19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A1FF0C"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16,211</w:t>
            </w:r>
          </w:p>
        </w:tc>
      </w:tr>
    </w:tbl>
    <w:p w14:paraId="0D5945DD" w14:textId="77777777" w:rsidR="00F46F69" w:rsidRDefault="00F46F69">
      <w:pPr>
        <w:widowControl/>
        <w:suppressAutoHyphens w:val="0"/>
        <w:spacing w:after="80" w:line="203" w:lineRule="exact"/>
        <w:jc w:val="both"/>
        <w:textAlignment w:val="auto"/>
        <w:rPr>
          <w:rFonts w:eastAsia="Times New Roman" w:cs="DIN Pro Regular"/>
          <w:lang w:eastAsia="es-ES"/>
        </w:rPr>
      </w:pPr>
    </w:p>
    <w:p w14:paraId="34D9ECF4" w14:textId="77777777" w:rsidR="00F46F69" w:rsidRDefault="00F46F69">
      <w:pPr>
        <w:widowControl/>
        <w:suppressAutoHyphens w:val="0"/>
        <w:spacing w:after="80" w:line="203" w:lineRule="exact"/>
        <w:jc w:val="both"/>
        <w:textAlignment w:val="auto"/>
        <w:rPr>
          <w:rFonts w:eastAsia="Times New Roman" w:cs="DIN Pro Regular"/>
          <w:lang w:eastAsia="es-ES"/>
        </w:rPr>
      </w:pPr>
    </w:p>
    <w:p w14:paraId="276412ED" w14:textId="77777777" w:rsidR="00F46F69" w:rsidRDefault="00000000">
      <w:pPr>
        <w:widowControl/>
        <w:suppressAutoHyphens w:val="0"/>
        <w:spacing w:after="80" w:line="203" w:lineRule="exact"/>
        <w:jc w:val="both"/>
        <w:textAlignment w:val="auto"/>
        <w:rPr>
          <w:rFonts w:eastAsia="Times New Roman" w:cs="DIN Pro Regular"/>
          <w:b/>
          <w:bCs/>
          <w:lang w:eastAsia="es-ES"/>
        </w:rPr>
      </w:pPr>
      <w:r>
        <w:rPr>
          <w:rFonts w:eastAsia="Times New Roman" w:cs="DIN Pro Regular"/>
          <w:b/>
          <w:bCs/>
          <w:lang w:eastAsia="es-ES"/>
        </w:rPr>
        <w:t xml:space="preserve">            Derechos a recibir Efectivo y Equivalentes y Bienes o Servicios a Recibir</w:t>
      </w:r>
    </w:p>
    <w:p w14:paraId="4536D01C" w14:textId="77777777" w:rsidR="00F46F69" w:rsidRDefault="00F46F69">
      <w:pPr>
        <w:widowControl/>
        <w:suppressAutoHyphens w:val="0"/>
        <w:spacing w:after="80" w:line="203" w:lineRule="exact"/>
        <w:ind w:left="624"/>
        <w:jc w:val="both"/>
        <w:textAlignment w:val="auto"/>
        <w:rPr>
          <w:rFonts w:eastAsia="Times New Roman" w:cs="DIN Pro Regular"/>
          <w:lang w:eastAsia="es-ES"/>
        </w:rPr>
      </w:pPr>
    </w:p>
    <w:p w14:paraId="62DA9CFC" w14:textId="77777777" w:rsidR="00F46F69" w:rsidRDefault="00000000">
      <w:pPr>
        <w:widowControl/>
        <w:numPr>
          <w:ilvl w:val="0"/>
          <w:numId w:val="20"/>
        </w:numPr>
        <w:suppressAutoHyphens w:val="0"/>
        <w:spacing w:after="80" w:line="203" w:lineRule="exact"/>
        <w:ind w:left="1134"/>
        <w:jc w:val="both"/>
        <w:textAlignment w:val="auto"/>
      </w:pPr>
      <w:r>
        <w:rPr>
          <w:rFonts w:eastAsia="Times New Roman" w:cs="DIN Pro Regular"/>
          <w:b/>
          <w:bCs/>
          <w:lang w:eastAsia="es-ES"/>
        </w:rPr>
        <w:t>Derechos a Recibir Efectivo o Equivalentes:</w:t>
      </w:r>
      <w:r>
        <w:rPr>
          <w:rFonts w:eastAsia="Times New Roman" w:cs="DIN Pro Regular"/>
          <w:lang w:eastAsia="es-ES"/>
        </w:rPr>
        <w:t xml:space="preserve"> Al 31 de diciembre de 2024, el saldo a recibir de efectivo o equivalentes es por $4,661,432, dicho saldo se integra como sigue:</w:t>
      </w:r>
    </w:p>
    <w:p w14:paraId="77C54F14" w14:textId="77777777" w:rsidR="00F46F69" w:rsidRDefault="00F46F69">
      <w:pPr>
        <w:widowControl/>
        <w:suppressAutoHyphens w:val="0"/>
        <w:textAlignment w:val="auto"/>
        <w:rPr>
          <w:rFonts w:eastAsia="Times New Roman" w:cs="DIN Pro Regular"/>
          <w:lang w:eastAsia="es-ES"/>
        </w:rPr>
      </w:pPr>
    </w:p>
    <w:tbl>
      <w:tblPr>
        <w:tblW w:w="8505" w:type="dxa"/>
        <w:tblInd w:w="921" w:type="dxa"/>
        <w:tblCellMar>
          <w:left w:w="10" w:type="dxa"/>
          <w:right w:w="10" w:type="dxa"/>
        </w:tblCellMar>
        <w:tblLook w:val="04A0" w:firstRow="1" w:lastRow="0" w:firstColumn="1" w:lastColumn="0" w:noHBand="0" w:noVBand="1"/>
      </w:tblPr>
      <w:tblGrid>
        <w:gridCol w:w="6587"/>
        <w:gridCol w:w="1918"/>
      </w:tblGrid>
      <w:tr w:rsidR="00F46F69" w14:paraId="4318D17F" w14:textId="77777777">
        <w:tblPrEx>
          <w:tblCellMar>
            <w:top w:w="0" w:type="dxa"/>
            <w:bottom w:w="0" w:type="dxa"/>
          </w:tblCellMar>
        </w:tblPrEx>
        <w:trPr>
          <w:trHeight w:val="434"/>
        </w:trPr>
        <w:tc>
          <w:tcPr>
            <w:tcW w:w="6587"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777A2CE"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Descripción </w:t>
            </w:r>
          </w:p>
        </w:tc>
        <w:tc>
          <w:tcPr>
            <w:tcW w:w="1918"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3ADB271"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Saldo al 31 de </w:t>
            </w:r>
          </w:p>
          <w:p w14:paraId="69A391AF"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diciembre de 2024 </w:t>
            </w:r>
          </w:p>
        </w:tc>
      </w:tr>
      <w:tr w:rsidR="00F46F69" w14:paraId="7B513BE6" w14:textId="77777777">
        <w:tblPrEx>
          <w:tblCellMar>
            <w:top w:w="0" w:type="dxa"/>
            <w:bottom w:w="0" w:type="dxa"/>
          </w:tblCellMar>
        </w:tblPrEx>
        <w:trPr>
          <w:trHeight w:val="256"/>
        </w:trPr>
        <w:tc>
          <w:tcPr>
            <w:tcW w:w="65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A29D6B2"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Derechos a Recibir Efectivo o Equivalentes</w:t>
            </w:r>
          </w:p>
        </w:tc>
        <w:tc>
          <w:tcPr>
            <w:tcW w:w="1918"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21E312C"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4,661,432</w:t>
            </w:r>
          </w:p>
        </w:tc>
      </w:tr>
      <w:tr w:rsidR="00F46F69" w14:paraId="6323F5C2" w14:textId="77777777">
        <w:tblPrEx>
          <w:tblCellMar>
            <w:top w:w="0" w:type="dxa"/>
            <w:bottom w:w="0" w:type="dxa"/>
          </w:tblCellMar>
        </w:tblPrEx>
        <w:trPr>
          <w:trHeight w:val="300"/>
        </w:trPr>
        <w:tc>
          <w:tcPr>
            <w:tcW w:w="65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673DB5D" w14:textId="77777777" w:rsidR="00F46F69" w:rsidRDefault="00000000">
            <w:pPr>
              <w:widowControl/>
              <w:suppressAutoHyphens w:val="0"/>
              <w:textAlignment w:val="auto"/>
              <w:rPr>
                <w:rFonts w:eastAsia="Times New Roman" w:cs="DIN Pro Regular"/>
                <w:lang w:eastAsia="es-ES"/>
              </w:rPr>
            </w:pPr>
            <w:bookmarkStart w:id="10" w:name="_Hlk189130723"/>
            <w:r>
              <w:rPr>
                <w:rFonts w:eastAsia="Times New Roman" w:cs="DIN Pro Regular"/>
                <w:lang w:eastAsia="es-ES"/>
              </w:rPr>
              <w:t>Cuentas por Cobrar a Corto Plazo</w:t>
            </w:r>
            <w:bookmarkEnd w:id="10"/>
            <w:r>
              <w:rPr>
                <w:rFonts w:eastAsia="Times New Roman" w:cs="DIN Pro Regular"/>
                <w:lang w:eastAsia="es-ES"/>
              </w:rPr>
              <w:tab/>
            </w:r>
            <w:r>
              <w:rPr>
                <w:rFonts w:eastAsia="Times New Roman" w:cs="DIN Pro Regular"/>
                <w:lang w:eastAsia="es-ES"/>
              </w:rPr>
              <w:tab/>
            </w:r>
          </w:p>
        </w:tc>
        <w:tc>
          <w:tcPr>
            <w:tcW w:w="1918"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5B385E1"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3,437,785</w:t>
            </w:r>
          </w:p>
        </w:tc>
      </w:tr>
      <w:tr w:rsidR="00F46F69" w14:paraId="4B307C79" w14:textId="77777777">
        <w:tblPrEx>
          <w:tblCellMar>
            <w:top w:w="0" w:type="dxa"/>
            <w:bottom w:w="0" w:type="dxa"/>
          </w:tblCellMar>
        </w:tblPrEx>
        <w:trPr>
          <w:trHeight w:val="300"/>
        </w:trPr>
        <w:tc>
          <w:tcPr>
            <w:tcW w:w="65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597F854"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Deudores Diversos por Cobrar a Corto Plazo</w:t>
            </w:r>
          </w:p>
        </w:tc>
        <w:tc>
          <w:tcPr>
            <w:tcW w:w="1918"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1E9B16"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688,255</w:t>
            </w:r>
          </w:p>
        </w:tc>
      </w:tr>
      <w:tr w:rsidR="00F46F69" w14:paraId="415CE071" w14:textId="77777777">
        <w:tblPrEx>
          <w:tblCellMar>
            <w:top w:w="0" w:type="dxa"/>
            <w:bottom w:w="0" w:type="dxa"/>
          </w:tblCellMar>
        </w:tblPrEx>
        <w:trPr>
          <w:trHeight w:val="300"/>
        </w:trPr>
        <w:tc>
          <w:tcPr>
            <w:tcW w:w="65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E2413DD"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Ingresos por Recuperar a Corto Plazo</w:t>
            </w:r>
          </w:p>
        </w:tc>
        <w:tc>
          <w:tcPr>
            <w:tcW w:w="1918"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91AB9F5"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535,392</w:t>
            </w:r>
          </w:p>
        </w:tc>
      </w:tr>
    </w:tbl>
    <w:p w14:paraId="231B333B" w14:textId="77777777" w:rsidR="00F46F69" w:rsidRDefault="00F46F69">
      <w:pPr>
        <w:widowControl/>
        <w:suppressAutoHyphens w:val="0"/>
        <w:textAlignment w:val="auto"/>
        <w:rPr>
          <w:rFonts w:eastAsia="Times New Roman" w:cs="DIN Pro Regular"/>
          <w:lang w:eastAsia="es-ES"/>
        </w:rPr>
      </w:pPr>
      <w:bookmarkStart w:id="11" w:name="_Hlk95992932"/>
      <w:bookmarkStart w:id="12" w:name="_Hlk126745454"/>
    </w:p>
    <w:p w14:paraId="658932A7" w14:textId="77777777" w:rsidR="00F46F69" w:rsidRDefault="00000000">
      <w:pPr>
        <w:pStyle w:val="Prrafodelista"/>
        <w:numPr>
          <w:ilvl w:val="0"/>
          <w:numId w:val="21"/>
        </w:numPr>
        <w:suppressAutoHyphens w:val="0"/>
        <w:spacing w:after="120"/>
        <w:ind w:hanging="357"/>
        <w:jc w:val="both"/>
        <w:textAlignment w:val="auto"/>
      </w:pPr>
      <w:r>
        <w:rPr>
          <w:rFonts w:eastAsia="Times New Roman" w:cs="DIN Pro Regular"/>
          <w:b/>
          <w:bCs/>
          <w:sz w:val="20"/>
          <w:szCs w:val="20"/>
          <w:lang w:eastAsia="es-ES"/>
        </w:rPr>
        <w:t xml:space="preserve">Cuentas por Cobrar a Corto Plazo: </w:t>
      </w:r>
      <w:r>
        <w:rPr>
          <w:rFonts w:eastAsia="Times New Roman" w:cs="DIN Pro Regular"/>
          <w:sz w:val="20"/>
          <w:szCs w:val="20"/>
          <w:lang w:eastAsia="es-ES"/>
        </w:rPr>
        <w:t>Lo conforman el 3% sobre nómina del mes de diciembre de 2024 que la Secretaría de Finanzas del Gobierno del Estado de Tamaulipas tiene pendiente de depositar.</w:t>
      </w:r>
    </w:p>
    <w:p w14:paraId="5B6910CD" w14:textId="77777777" w:rsidR="00F46F69" w:rsidRDefault="00000000">
      <w:pPr>
        <w:pStyle w:val="Prrafodelista"/>
        <w:numPr>
          <w:ilvl w:val="0"/>
          <w:numId w:val="21"/>
        </w:numPr>
        <w:suppressAutoHyphens w:val="0"/>
        <w:spacing w:after="120"/>
        <w:ind w:hanging="357"/>
        <w:jc w:val="both"/>
        <w:textAlignment w:val="auto"/>
      </w:pPr>
      <w:r>
        <w:rPr>
          <w:rFonts w:eastAsia="Times New Roman" w:cs="DIN Pro Regular"/>
          <w:b/>
          <w:bCs/>
          <w:sz w:val="20"/>
          <w:szCs w:val="20"/>
          <w:lang w:eastAsia="es-ES"/>
        </w:rPr>
        <w:t>Deudores diversos por cobrar a corto plazo:</w:t>
      </w:r>
      <w:r>
        <w:rPr>
          <w:rFonts w:eastAsia="Times New Roman" w:cs="DIN Pro Regular"/>
          <w:sz w:val="20"/>
          <w:szCs w:val="20"/>
          <w:lang w:eastAsia="es-ES"/>
        </w:rPr>
        <w:t xml:space="preserve"> Lo conforman los reintegros pendientes de viáticos, los deudores de la Licencia Colectiva 201 y los deudores por la reparación del daño.</w:t>
      </w:r>
    </w:p>
    <w:p w14:paraId="68B66408" w14:textId="77777777" w:rsidR="00F46F69" w:rsidRDefault="00000000">
      <w:pPr>
        <w:pStyle w:val="Prrafodelista"/>
        <w:numPr>
          <w:ilvl w:val="0"/>
          <w:numId w:val="21"/>
        </w:numPr>
        <w:suppressAutoHyphens w:val="0"/>
        <w:spacing w:after="120"/>
        <w:ind w:hanging="357"/>
        <w:jc w:val="both"/>
        <w:textAlignment w:val="auto"/>
      </w:pPr>
      <w:r>
        <w:rPr>
          <w:rFonts w:eastAsia="Times New Roman" w:cs="DIN Pro Regular"/>
          <w:b/>
          <w:bCs/>
          <w:sz w:val="20"/>
          <w:szCs w:val="20"/>
          <w:lang w:eastAsia="es-ES"/>
        </w:rPr>
        <w:t>Ingresos por recuperar a corto plazo:</w:t>
      </w:r>
      <w:r>
        <w:rPr>
          <w:rFonts w:eastAsia="Times New Roman" w:cs="DIN Pro Regular"/>
          <w:sz w:val="20"/>
          <w:szCs w:val="20"/>
          <w:lang w:eastAsia="es-ES"/>
        </w:rPr>
        <w:t xml:space="preserve"> Representan el monto por Subsidios para el empleo e Impuesto Sobre la Renta a favor.</w:t>
      </w:r>
      <w:bookmarkEnd w:id="11"/>
      <w:bookmarkEnd w:id="12"/>
    </w:p>
    <w:p w14:paraId="382885C3" w14:textId="77777777" w:rsidR="00F46F69" w:rsidRDefault="00F46F69">
      <w:pPr>
        <w:widowControl/>
        <w:suppressAutoHyphens w:val="0"/>
        <w:ind w:left="1418"/>
        <w:jc w:val="both"/>
        <w:textAlignment w:val="auto"/>
        <w:rPr>
          <w:rFonts w:eastAsia="Times New Roman" w:cs="DIN Pro Regular"/>
          <w:lang w:eastAsia="es-ES"/>
        </w:rPr>
      </w:pPr>
    </w:p>
    <w:p w14:paraId="05A0512D" w14:textId="77777777" w:rsidR="00F46F69" w:rsidRDefault="00000000">
      <w:pPr>
        <w:widowControl/>
        <w:numPr>
          <w:ilvl w:val="0"/>
          <w:numId w:val="20"/>
        </w:numPr>
        <w:suppressAutoHyphens w:val="0"/>
        <w:ind w:left="1134"/>
        <w:contextualSpacing/>
        <w:jc w:val="both"/>
        <w:textAlignment w:val="auto"/>
        <w:rPr>
          <w:rFonts w:eastAsia="Times New Roman" w:cs="DIN Pro Regular"/>
          <w:b/>
          <w:bCs/>
          <w:lang w:eastAsia="es-ES"/>
        </w:rPr>
      </w:pPr>
      <w:r>
        <w:rPr>
          <w:rFonts w:eastAsia="Times New Roman" w:cs="DIN Pro Regular"/>
          <w:b/>
          <w:bCs/>
          <w:lang w:eastAsia="es-ES"/>
        </w:rPr>
        <w:t>Derechos a Recibir Bienes o Servicios: No Aplica</w:t>
      </w:r>
    </w:p>
    <w:p w14:paraId="7256DBD3" w14:textId="77777777" w:rsidR="00F46F69" w:rsidRDefault="00F46F69">
      <w:pPr>
        <w:widowControl/>
        <w:suppressAutoHyphens w:val="0"/>
        <w:spacing w:after="80" w:line="203" w:lineRule="exact"/>
        <w:ind w:left="1134"/>
        <w:jc w:val="both"/>
        <w:textAlignment w:val="auto"/>
        <w:rPr>
          <w:rFonts w:eastAsia="Times New Roman" w:cs="DIN Pro Regular"/>
          <w:lang w:eastAsia="es-ES"/>
        </w:rPr>
      </w:pPr>
    </w:p>
    <w:p w14:paraId="093C1B80" w14:textId="77777777" w:rsidR="00F46F69" w:rsidRDefault="00000000">
      <w:pPr>
        <w:widowControl/>
        <w:suppressAutoHyphens w:val="0"/>
        <w:spacing w:after="80" w:line="203" w:lineRule="exact"/>
        <w:jc w:val="both"/>
        <w:textAlignment w:val="auto"/>
        <w:rPr>
          <w:rFonts w:eastAsia="Times New Roman" w:cs="DIN Pro Regular"/>
          <w:b/>
          <w:bCs/>
          <w:lang w:eastAsia="es-ES"/>
        </w:rPr>
      </w:pPr>
      <w:r>
        <w:rPr>
          <w:rFonts w:eastAsia="Times New Roman" w:cs="DIN Pro Regular"/>
          <w:b/>
          <w:bCs/>
          <w:lang w:eastAsia="es-ES"/>
        </w:rPr>
        <w:t xml:space="preserve">                Inventarios</w:t>
      </w:r>
    </w:p>
    <w:p w14:paraId="61F7BC10" w14:textId="77777777" w:rsidR="00F46F69" w:rsidRDefault="00000000">
      <w:pPr>
        <w:widowControl/>
        <w:suppressAutoHyphens w:val="0"/>
        <w:spacing w:after="80" w:line="203" w:lineRule="exact"/>
        <w:ind w:left="1134"/>
        <w:jc w:val="both"/>
        <w:textAlignment w:val="auto"/>
        <w:rPr>
          <w:rFonts w:eastAsia="Times New Roman" w:cs="DIN Pro Regular"/>
          <w:lang w:eastAsia="es-ES"/>
        </w:rPr>
      </w:pPr>
      <w:r>
        <w:rPr>
          <w:rFonts w:eastAsia="Times New Roman" w:cs="DIN Pro Regular"/>
          <w:lang w:eastAsia="es-ES"/>
        </w:rPr>
        <w:t>No Aplica</w:t>
      </w:r>
    </w:p>
    <w:p w14:paraId="77F6A559" w14:textId="77777777" w:rsidR="00F46F69" w:rsidRDefault="00F46F69">
      <w:pPr>
        <w:widowControl/>
        <w:suppressAutoHyphens w:val="0"/>
        <w:spacing w:after="80" w:line="203" w:lineRule="exact"/>
        <w:jc w:val="both"/>
        <w:textAlignment w:val="auto"/>
        <w:rPr>
          <w:rFonts w:eastAsia="Times New Roman" w:cs="DIN Pro Regular"/>
          <w:lang w:eastAsia="es-ES"/>
        </w:rPr>
      </w:pPr>
    </w:p>
    <w:p w14:paraId="4C324AFB" w14:textId="77777777" w:rsidR="00F46F69" w:rsidRDefault="00000000">
      <w:pPr>
        <w:widowControl/>
        <w:suppressAutoHyphens w:val="0"/>
        <w:spacing w:after="80" w:line="203" w:lineRule="exact"/>
        <w:jc w:val="both"/>
        <w:textAlignment w:val="auto"/>
        <w:rPr>
          <w:rFonts w:eastAsia="Times New Roman" w:cs="DIN Pro Regular"/>
          <w:b/>
          <w:bCs/>
          <w:lang w:eastAsia="es-ES"/>
        </w:rPr>
      </w:pPr>
      <w:r>
        <w:rPr>
          <w:rFonts w:eastAsia="Times New Roman" w:cs="DIN Pro Regular"/>
          <w:b/>
          <w:bCs/>
          <w:lang w:eastAsia="es-ES"/>
        </w:rPr>
        <w:t xml:space="preserve">                Almacenes</w:t>
      </w:r>
    </w:p>
    <w:p w14:paraId="40735E91" w14:textId="77777777" w:rsidR="00F46F69" w:rsidRDefault="00000000">
      <w:pPr>
        <w:widowControl/>
        <w:suppressAutoHyphens w:val="0"/>
        <w:spacing w:after="80" w:line="203" w:lineRule="exact"/>
        <w:ind w:left="1134"/>
        <w:jc w:val="both"/>
        <w:textAlignment w:val="auto"/>
        <w:rPr>
          <w:rFonts w:eastAsia="Times New Roman" w:cs="DIN Pro Regular"/>
          <w:lang w:eastAsia="es-ES"/>
        </w:rPr>
      </w:pPr>
      <w:r>
        <w:rPr>
          <w:rFonts w:eastAsia="Times New Roman" w:cs="DIN Pro Regular"/>
          <w:lang w:eastAsia="es-ES"/>
        </w:rPr>
        <w:t>No Aplica</w:t>
      </w:r>
    </w:p>
    <w:p w14:paraId="24FFC349" w14:textId="77777777" w:rsidR="00F46F69" w:rsidRDefault="00F46F69">
      <w:pPr>
        <w:widowControl/>
        <w:suppressAutoHyphens w:val="0"/>
        <w:spacing w:after="80" w:line="203" w:lineRule="exact"/>
        <w:ind w:left="1134"/>
        <w:jc w:val="both"/>
        <w:textAlignment w:val="auto"/>
        <w:rPr>
          <w:rFonts w:eastAsia="Times New Roman" w:cs="DIN Pro Regular"/>
          <w:lang w:eastAsia="es-ES"/>
        </w:rPr>
      </w:pPr>
    </w:p>
    <w:p w14:paraId="02F37C7F" w14:textId="77777777" w:rsidR="00F46F69" w:rsidRDefault="00000000">
      <w:pPr>
        <w:widowControl/>
        <w:suppressAutoHyphens w:val="0"/>
        <w:spacing w:after="80" w:line="203" w:lineRule="exact"/>
        <w:jc w:val="both"/>
        <w:textAlignment w:val="auto"/>
        <w:rPr>
          <w:rFonts w:eastAsia="Times New Roman" w:cs="DIN Pro Regular"/>
          <w:b/>
          <w:bCs/>
          <w:lang w:eastAsia="es-ES"/>
        </w:rPr>
      </w:pPr>
      <w:r>
        <w:rPr>
          <w:rFonts w:eastAsia="Times New Roman" w:cs="DIN Pro Regular"/>
          <w:b/>
          <w:bCs/>
          <w:lang w:eastAsia="es-ES"/>
        </w:rPr>
        <w:t xml:space="preserve">                Inversiones Financieras</w:t>
      </w:r>
    </w:p>
    <w:p w14:paraId="51FBD7B9" w14:textId="77777777" w:rsidR="00F46F69" w:rsidRDefault="00000000">
      <w:pPr>
        <w:widowControl/>
        <w:suppressAutoHyphens w:val="0"/>
        <w:spacing w:after="80" w:line="203" w:lineRule="exact"/>
        <w:ind w:left="1134"/>
        <w:jc w:val="both"/>
        <w:textAlignment w:val="auto"/>
        <w:rPr>
          <w:rFonts w:eastAsia="Times New Roman" w:cs="DIN Pro Regular"/>
          <w:lang w:eastAsia="es-ES"/>
        </w:rPr>
      </w:pPr>
      <w:r>
        <w:rPr>
          <w:rFonts w:eastAsia="Times New Roman" w:cs="DIN Pro Regular"/>
          <w:lang w:eastAsia="es-ES"/>
        </w:rPr>
        <w:t>No Aplica</w:t>
      </w:r>
    </w:p>
    <w:p w14:paraId="458FA7E7" w14:textId="77777777" w:rsidR="00F46F69" w:rsidRDefault="00F46F69">
      <w:pPr>
        <w:widowControl/>
        <w:suppressAutoHyphens w:val="0"/>
        <w:spacing w:after="80" w:line="203" w:lineRule="exact"/>
        <w:jc w:val="both"/>
        <w:textAlignment w:val="auto"/>
        <w:rPr>
          <w:rFonts w:ascii="Arial" w:eastAsia="Times New Roman" w:hAnsi="Arial" w:cs="Arial"/>
          <w:b/>
          <w:sz w:val="16"/>
          <w:szCs w:val="16"/>
          <w:lang w:eastAsia="es-ES"/>
        </w:rPr>
      </w:pPr>
    </w:p>
    <w:p w14:paraId="332935A4" w14:textId="77777777" w:rsidR="00F46F69" w:rsidRDefault="00F46F69">
      <w:pPr>
        <w:widowControl/>
        <w:suppressAutoHyphens w:val="0"/>
        <w:spacing w:after="80" w:line="203" w:lineRule="exact"/>
        <w:jc w:val="both"/>
        <w:textAlignment w:val="auto"/>
        <w:rPr>
          <w:rFonts w:ascii="Arial" w:eastAsia="Times New Roman" w:hAnsi="Arial" w:cs="Arial"/>
          <w:b/>
          <w:sz w:val="16"/>
          <w:szCs w:val="16"/>
          <w:lang w:eastAsia="es-ES"/>
        </w:rPr>
      </w:pPr>
    </w:p>
    <w:p w14:paraId="4EFB9D8F" w14:textId="77777777" w:rsidR="00F46F69" w:rsidRDefault="00F46F69">
      <w:pPr>
        <w:widowControl/>
        <w:suppressAutoHyphens w:val="0"/>
        <w:spacing w:after="80" w:line="203" w:lineRule="exact"/>
        <w:jc w:val="both"/>
        <w:textAlignment w:val="auto"/>
        <w:rPr>
          <w:rFonts w:ascii="Arial" w:eastAsia="Times New Roman" w:hAnsi="Arial" w:cs="Arial"/>
          <w:b/>
          <w:sz w:val="16"/>
          <w:szCs w:val="16"/>
          <w:lang w:eastAsia="es-ES"/>
        </w:rPr>
      </w:pPr>
    </w:p>
    <w:p w14:paraId="25D84DA5" w14:textId="77777777" w:rsidR="00F46F69" w:rsidRDefault="00F46F69">
      <w:pPr>
        <w:widowControl/>
        <w:suppressAutoHyphens w:val="0"/>
        <w:spacing w:after="80" w:line="203" w:lineRule="exact"/>
        <w:ind w:left="624"/>
        <w:jc w:val="both"/>
        <w:textAlignment w:val="auto"/>
        <w:rPr>
          <w:rFonts w:eastAsia="Times New Roman" w:cs="DIN Pro Regular"/>
          <w:b/>
          <w:bCs/>
          <w:lang w:eastAsia="es-ES"/>
        </w:rPr>
      </w:pPr>
    </w:p>
    <w:p w14:paraId="76276C7C" w14:textId="77777777" w:rsidR="00F46F69" w:rsidRDefault="00000000">
      <w:pPr>
        <w:widowControl/>
        <w:suppressAutoHyphens w:val="0"/>
        <w:spacing w:after="80" w:line="203" w:lineRule="exact"/>
        <w:ind w:left="624"/>
        <w:jc w:val="both"/>
        <w:textAlignment w:val="auto"/>
        <w:rPr>
          <w:rFonts w:eastAsia="Times New Roman" w:cs="DIN Pro Regular"/>
          <w:b/>
          <w:bCs/>
          <w:lang w:eastAsia="es-ES"/>
        </w:rPr>
      </w:pPr>
      <w:r>
        <w:rPr>
          <w:rFonts w:eastAsia="Times New Roman" w:cs="DIN Pro Regular"/>
          <w:b/>
          <w:bCs/>
          <w:lang w:eastAsia="es-ES"/>
        </w:rPr>
        <w:t>Bienes Muebles, Inmuebles e Intangibles</w:t>
      </w:r>
    </w:p>
    <w:p w14:paraId="6179BE11" w14:textId="77777777" w:rsidR="00F46F69" w:rsidRDefault="00F46F69">
      <w:pPr>
        <w:widowControl/>
        <w:suppressAutoHyphens w:val="0"/>
        <w:spacing w:after="80" w:line="203" w:lineRule="exact"/>
        <w:ind w:left="1134" w:firstLine="282"/>
        <w:jc w:val="both"/>
        <w:textAlignment w:val="auto"/>
        <w:rPr>
          <w:rFonts w:eastAsia="Times New Roman" w:cs="DIN Pro Regular"/>
          <w:lang w:eastAsia="es-ES"/>
        </w:rPr>
      </w:pPr>
    </w:p>
    <w:p w14:paraId="167D771B" w14:textId="77777777" w:rsidR="00F46F69" w:rsidRDefault="00000000">
      <w:pPr>
        <w:widowControl/>
        <w:suppressAutoHyphens w:val="0"/>
        <w:spacing w:after="80" w:line="203" w:lineRule="exact"/>
        <w:ind w:left="1134" w:firstLine="282"/>
        <w:jc w:val="both"/>
        <w:textAlignment w:val="auto"/>
        <w:rPr>
          <w:rFonts w:eastAsia="Times New Roman" w:cs="DIN Pro Regular"/>
          <w:lang w:eastAsia="es-ES"/>
        </w:rPr>
      </w:pPr>
      <w:r>
        <w:rPr>
          <w:rFonts w:eastAsia="Times New Roman" w:cs="DIN Pro Regular"/>
          <w:lang w:eastAsia="es-ES"/>
        </w:rPr>
        <w:t>El rubro de Bienes Muebles, Inmuebles e Intangibles presenta un saldo al 31 de diciembre de 2024 de $521,715,863, una Depreciación Acumulada de $255,898,466 y una Depreciación del Ejercicio 2024 de $76,924,715, dichos saldos se integran como sigue:</w:t>
      </w:r>
    </w:p>
    <w:p w14:paraId="664F13FC" w14:textId="77777777" w:rsidR="00F46F69" w:rsidRDefault="00F46F69">
      <w:pPr>
        <w:widowControl/>
        <w:suppressAutoHyphens w:val="0"/>
        <w:spacing w:after="80" w:line="203" w:lineRule="exact"/>
        <w:ind w:left="1134" w:firstLine="282"/>
        <w:jc w:val="both"/>
        <w:textAlignment w:val="auto"/>
        <w:rPr>
          <w:rFonts w:eastAsia="Times New Roman" w:cs="DIN Pro Regular"/>
          <w:lang w:eastAsia="es-ES"/>
        </w:rPr>
      </w:pPr>
    </w:p>
    <w:tbl>
      <w:tblPr>
        <w:tblW w:w="8814" w:type="dxa"/>
        <w:tblInd w:w="921" w:type="dxa"/>
        <w:tblCellMar>
          <w:left w:w="10" w:type="dxa"/>
          <w:right w:w="10" w:type="dxa"/>
        </w:tblCellMar>
        <w:tblLook w:val="04A0" w:firstRow="1" w:lastRow="0" w:firstColumn="1" w:lastColumn="0" w:noHBand="0" w:noVBand="1"/>
      </w:tblPr>
      <w:tblGrid>
        <w:gridCol w:w="3114"/>
        <w:gridCol w:w="1989"/>
        <w:gridCol w:w="2126"/>
        <w:gridCol w:w="1585"/>
      </w:tblGrid>
      <w:tr w:rsidR="00F46F69" w14:paraId="3F5B63CB" w14:textId="77777777">
        <w:tblPrEx>
          <w:tblCellMar>
            <w:top w:w="0" w:type="dxa"/>
            <w:bottom w:w="0" w:type="dxa"/>
          </w:tblCellMar>
        </w:tblPrEx>
        <w:trPr>
          <w:trHeight w:val="846"/>
        </w:trPr>
        <w:tc>
          <w:tcPr>
            <w:tcW w:w="3114"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02BE87D6" w14:textId="77777777" w:rsidR="00F46F69" w:rsidRDefault="00000000">
            <w:pPr>
              <w:widowControl/>
              <w:suppressAutoHyphens w:val="0"/>
              <w:jc w:val="center"/>
              <w:textAlignment w:val="auto"/>
              <w:rPr>
                <w:rFonts w:eastAsia="Times New Roman" w:cs="DIN Pro Regular"/>
                <w:b/>
                <w:bCs/>
                <w:lang w:eastAsia="es-ES"/>
              </w:rPr>
            </w:pPr>
            <w:bookmarkStart w:id="13" w:name="RANGE!F3"/>
            <w:r>
              <w:rPr>
                <w:rFonts w:eastAsia="Times New Roman" w:cs="DIN Pro Regular"/>
                <w:b/>
                <w:bCs/>
                <w:lang w:eastAsia="es-ES"/>
              </w:rPr>
              <w:t>Descripción</w:t>
            </w:r>
            <w:bookmarkEnd w:id="13"/>
          </w:p>
        </w:tc>
        <w:tc>
          <w:tcPr>
            <w:tcW w:w="1989"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26DD5B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Saldo Bienes al 31 de diciembre de 2024     </w:t>
            </w:r>
          </w:p>
        </w:tc>
        <w:tc>
          <w:tcPr>
            <w:tcW w:w="212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AAB9C94"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Depreciación               Acumulada al 31 de     diciembre de 2024                           </w:t>
            </w:r>
          </w:p>
        </w:tc>
        <w:tc>
          <w:tcPr>
            <w:tcW w:w="158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4A2A9DE"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Depreciación del Ejercicio 2024</w:t>
            </w:r>
          </w:p>
        </w:tc>
      </w:tr>
      <w:tr w:rsidR="00F46F69" w14:paraId="34A4CE2D" w14:textId="77777777">
        <w:tblPrEx>
          <w:tblCellMar>
            <w:top w:w="0" w:type="dxa"/>
            <w:bottom w:w="0" w:type="dxa"/>
          </w:tblCellMar>
        </w:tblPrEx>
        <w:trPr>
          <w:trHeight w:val="423"/>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103ACA"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Total Bienes</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AC1B44"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521,715,863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EEF45"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255,898,466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4E15BE"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76,924,715 </w:t>
            </w:r>
          </w:p>
        </w:tc>
      </w:tr>
      <w:tr w:rsidR="00F46F69" w14:paraId="59708EA9" w14:textId="77777777">
        <w:tblPrEx>
          <w:tblCellMar>
            <w:top w:w="0" w:type="dxa"/>
            <w:bottom w:w="0" w:type="dxa"/>
          </w:tblCellMar>
        </w:tblPrEx>
        <w:trPr>
          <w:trHeight w:val="48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865802"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Bienes Inmuebles, Infraestructura y Construcciones en Proceso</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EB1F65"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32,207,450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2010ED"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298,091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362686"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298,091 </w:t>
            </w:r>
          </w:p>
        </w:tc>
      </w:tr>
      <w:tr w:rsidR="00F46F69" w14:paraId="481A3564"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1DDB23"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Terrenos</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6C9D36"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10,744,922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D8161A"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0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D4DC74"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0   </w:t>
            </w:r>
          </w:p>
        </w:tc>
      </w:tr>
      <w:tr w:rsidR="00F46F69" w14:paraId="674BC35D"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F22DB"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Edificios no Habitacionales</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90A1F"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21,462,528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B60395"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298,091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B42713"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298,091 </w:t>
            </w:r>
          </w:p>
        </w:tc>
      </w:tr>
      <w:tr w:rsidR="00F46F69" w14:paraId="1DF7C6D7" w14:textId="77777777">
        <w:tblPrEx>
          <w:tblCellMar>
            <w:top w:w="0" w:type="dxa"/>
            <w:bottom w:w="0" w:type="dxa"/>
          </w:tblCellMar>
        </w:tblPrEx>
        <w:trPr>
          <w:trHeight w:val="445"/>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92C137"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Bienes Muebles</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0B5389"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483,746,166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290B8F0"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253,443,492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13A6EE"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75,910,091 </w:t>
            </w:r>
          </w:p>
        </w:tc>
      </w:tr>
      <w:tr w:rsidR="00F46F69" w14:paraId="5272359B"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93D96E"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Mobiliario y Equipo de Administración</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093B0F"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123,580,273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2B9016"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90,669,938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43431A"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21,525,877 </w:t>
            </w:r>
          </w:p>
        </w:tc>
      </w:tr>
      <w:tr w:rsidR="00F46F69" w14:paraId="65C44FF8"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7F55C0"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Mobiliario y Equipo Educacional y Recreativo</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096371"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6,115,872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38C4D7"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5,048,176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E42DF7"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1,223,878 </w:t>
            </w:r>
          </w:p>
        </w:tc>
      </w:tr>
      <w:tr w:rsidR="00F46F69" w14:paraId="41FDFA31" w14:textId="77777777">
        <w:tblPrEx>
          <w:tblCellMar>
            <w:top w:w="0" w:type="dxa"/>
            <w:bottom w:w="0" w:type="dxa"/>
          </w:tblCellMar>
        </w:tblPrEx>
        <w:trPr>
          <w:trHeight w:val="48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3CC505"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Equipo e Instrumental Médico y de Laboratorio</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5F282F"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76,931,649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9564F9"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49,675,326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4F6C63"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14,809,074 </w:t>
            </w:r>
          </w:p>
        </w:tc>
      </w:tr>
      <w:tr w:rsidR="00F46F69" w14:paraId="4F50B8D4"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73F6AD"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Vehículos y Equipo de Transporte</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CB32A0"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226,270,180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61ED8D"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98,723,361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E33AB9"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35,224,412 </w:t>
            </w:r>
          </w:p>
        </w:tc>
      </w:tr>
      <w:tr w:rsidR="00F46F69" w14:paraId="67D6906A"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CF6CE3"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Equipo de Defensa y Seguridad</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1326E"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22,894,763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3488A5D"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3,940,312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F0FAE8"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1,155,748 </w:t>
            </w:r>
          </w:p>
        </w:tc>
      </w:tr>
      <w:tr w:rsidR="00F46F69" w14:paraId="7EB6D91D"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F0F58"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Maquinaria, Otros Equipos y Herramientas</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AC7ED5"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27,246,749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8A7F61"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5,386,380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458973"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1,971,102 </w:t>
            </w:r>
          </w:p>
        </w:tc>
      </w:tr>
      <w:tr w:rsidR="00F46F69" w14:paraId="092FC78F" w14:textId="77777777">
        <w:tblPrEx>
          <w:tblCellMar>
            <w:top w:w="0" w:type="dxa"/>
            <w:bottom w:w="0" w:type="dxa"/>
          </w:tblCellMar>
        </w:tblPrEx>
        <w:trPr>
          <w:trHeight w:val="347"/>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B433A8"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Activos Biológicos</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2E9343"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706,680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D46C60"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376,892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4E5C17"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141,335 </w:t>
            </w:r>
          </w:p>
        </w:tc>
      </w:tr>
      <w:tr w:rsidR="00F46F69" w14:paraId="447235E3" w14:textId="77777777">
        <w:tblPrEx>
          <w:tblCellMar>
            <w:top w:w="0" w:type="dxa"/>
            <w:bottom w:w="0" w:type="dxa"/>
          </w:tblCellMar>
        </w:tblPrEx>
        <w:trPr>
          <w:trHeight w:val="451"/>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0778DE"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Activos Intangibles</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B48DCC"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5,762,247</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B0D14E"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1,779,991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5A8376"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              575,199 </w:t>
            </w:r>
          </w:p>
        </w:tc>
      </w:tr>
      <w:tr w:rsidR="00F46F69" w14:paraId="25BD4308" w14:textId="77777777">
        <w:tblPrEx>
          <w:tblCellMar>
            <w:top w:w="0" w:type="dxa"/>
            <w:bottom w:w="0" w:type="dxa"/>
          </w:tblCellMar>
        </w:tblPrEx>
        <w:trPr>
          <w:trHeight w:val="300"/>
        </w:trPr>
        <w:tc>
          <w:tcPr>
            <w:tcW w:w="311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8A0E38"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Software</w:t>
            </w:r>
          </w:p>
        </w:tc>
        <w:tc>
          <w:tcPr>
            <w:tcW w:w="198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50627F"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5,265,186 </w:t>
            </w:r>
          </w:p>
        </w:tc>
        <w:tc>
          <w:tcPr>
            <w:tcW w:w="212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DF6832"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1,630,381 </w:t>
            </w:r>
          </w:p>
        </w:tc>
        <w:tc>
          <w:tcPr>
            <w:tcW w:w="15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AD19A2"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526,471 </w:t>
            </w:r>
          </w:p>
        </w:tc>
      </w:tr>
      <w:tr w:rsidR="00F46F69" w14:paraId="075D2B38" w14:textId="77777777">
        <w:tblPrEx>
          <w:tblCellMar>
            <w:top w:w="0" w:type="dxa"/>
            <w:bottom w:w="0" w:type="dxa"/>
          </w:tblCellMar>
        </w:tblPrEx>
        <w:trPr>
          <w:trHeight w:val="30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141F3"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Marcas</w:t>
            </w:r>
          </w:p>
        </w:tc>
        <w:tc>
          <w:tcPr>
            <w:tcW w:w="19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0C0262"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4,574</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45426"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0</w:t>
            </w:r>
          </w:p>
        </w:tc>
        <w:tc>
          <w:tcPr>
            <w:tcW w:w="15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DD1AE2"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0</w:t>
            </w:r>
          </w:p>
        </w:tc>
      </w:tr>
      <w:tr w:rsidR="00F46F69" w14:paraId="1B013688" w14:textId="77777777">
        <w:tblPrEx>
          <w:tblCellMar>
            <w:top w:w="0" w:type="dxa"/>
            <w:bottom w:w="0" w:type="dxa"/>
          </w:tblCellMar>
        </w:tblPrEx>
        <w:trPr>
          <w:trHeight w:val="30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4FB207"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Licencias</w:t>
            </w:r>
          </w:p>
        </w:tc>
        <w:tc>
          <w:tcPr>
            <w:tcW w:w="19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6D703D"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461,664 </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77A8C1"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141,542 </w:t>
            </w:r>
          </w:p>
        </w:tc>
        <w:tc>
          <w:tcPr>
            <w:tcW w:w="15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91D0B9"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46,161 </w:t>
            </w:r>
          </w:p>
        </w:tc>
      </w:tr>
      <w:tr w:rsidR="00F46F69" w14:paraId="192A2ACB" w14:textId="77777777">
        <w:tblPrEx>
          <w:tblCellMar>
            <w:top w:w="0" w:type="dxa"/>
            <w:bottom w:w="0" w:type="dxa"/>
          </w:tblCellMar>
        </w:tblPrEx>
        <w:trPr>
          <w:trHeight w:val="300"/>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5B369"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Otros Activos Intangibles</w:t>
            </w:r>
          </w:p>
        </w:tc>
        <w:tc>
          <w:tcPr>
            <w:tcW w:w="198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1078DE"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30,823 </w:t>
            </w:r>
          </w:p>
        </w:tc>
        <w:tc>
          <w:tcPr>
            <w:tcW w:w="212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F9BF8F"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8,068 </w:t>
            </w:r>
          </w:p>
        </w:tc>
        <w:tc>
          <w:tcPr>
            <w:tcW w:w="15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367B6F"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                  2,567 </w:t>
            </w:r>
          </w:p>
        </w:tc>
      </w:tr>
    </w:tbl>
    <w:p w14:paraId="01B85C95" w14:textId="77777777" w:rsidR="00F46F69" w:rsidRDefault="00F46F69">
      <w:pPr>
        <w:widowControl/>
        <w:tabs>
          <w:tab w:val="left" w:pos="3060"/>
        </w:tabs>
        <w:suppressAutoHyphens w:val="0"/>
        <w:spacing w:after="80" w:line="203" w:lineRule="exact"/>
        <w:jc w:val="both"/>
        <w:textAlignment w:val="auto"/>
        <w:rPr>
          <w:rFonts w:eastAsia="Times New Roman" w:cs="DIN Pro Regular"/>
          <w:lang w:eastAsia="es-ES"/>
        </w:rPr>
      </w:pPr>
    </w:p>
    <w:p w14:paraId="18C46166" w14:textId="77777777" w:rsidR="00F46F69" w:rsidRDefault="00000000">
      <w:pPr>
        <w:widowControl/>
        <w:suppressAutoHyphens w:val="0"/>
        <w:spacing w:after="80" w:line="203" w:lineRule="exact"/>
        <w:ind w:left="1134" w:firstLine="282"/>
        <w:jc w:val="both"/>
        <w:textAlignment w:val="auto"/>
        <w:rPr>
          <w:rFonts w:eastAsia="Times New Roman" w:cs="DIN Pro Regular"/>
          <w:lang w:eastAsia="es-ES"/>
        </w:rPr>
      </w:pPr>
      <w:r>
        <w:rPr>
          <w:rFonts w:eastAsia="Times New Roman" w:cs="DIN Pro Regular"/>
          <w:lang w:eastAsia="es-ES"/>
        </w:rPr>
        <w:t>El método utilizado para el cálculo de la depreciación es el de línea recta, el cual se calcula considerando el costo de adquisición del activo depreciable o amortizable, menos su valor de desecho, entre los años correspondientes a su vida útil o su vida económica.</w:t>
      </w:r>
    </w:p>
    <w:p w14:paraId="40D95269" w14:textId="77777777" w:rsidR="00F46F69" w:rsidRDefault="00F46F69">
      <w:pPr>
        <w:widowControl/>
        <w:suppressAutoHyphens w:val="0"/>
        <w:textAlignment w:val="auto"/>
        <w:rPr>
          <w:rFonts w:eastAsia="Times New Roman" w:cs="DIN Pro Regular"/>
          <w:lang w:eastAsia="es-ES"/>
        </w:rPr>
      </w:pPr>
    </w:p>
    <w:p w14:paraId="6C3B5424" w14:textId="77777777" w:rsidR="00F46F69" w:rsidRDefault="00000000">
      <w:pPr>
        <w:widowControl/>
        <w:suppressAutoHyphens w:val="0"/>
        <w:spacing w:after="80" w:line="203" w:lineRule="exact"/>
        <w:ind w:left="1134" w:firstLine="282"/>
        <w:jc w:val="both"/>
        <w:textAlignment w:val="auto"/>
      </w:pPr>
      <w:r>
        <w:rPr>
          <w:rFonts w:eastAsia="Times New Roman" w:cs="DIN Pro Regular"/>
          <w:lang w:eastAsia="es-ES"/>
        </w:rPr>
        <w:t>De acuerdo con los Parámetros de Estimación de Vida Útil aprobados por el Consejo Nacional de Armonización Contable, los porcentajes utilizados para el cálculo de la depreciación del ejercicio 2024</w:t>
      </w:r>
      <w:r>
        <w:rPr>
          <w:rFonts w:ascii="Arial" w:eastAsia="Times New Roman" w:hAnsi="Arial" w:cs="Arial"/>
          <w:bCs/>
          <w:sz w:val="18"/>
          <w:szCs w:val="18"/>
          <w:lang w:eastAsia="es-ES"/>
        </w:rPr>
        <w:t xml:space="preserve"> </w:t>
      </w:r>
      <w:r>
        <w:rPr>
          <w:rFonts w:eastAsia="Times New Roman" w:cs="DIN Pro Regular"/>
          <w:lang w:eastAsia="es-ES"/>
        </w:rPr>
        <w:t>son los siguientes:</w:t>
      </w:r>
      <w:r>
        <w:rPr>
          <w:rFonts w:ascii="Arial" w:eastAsia="Times New Roman" w:hAnsi="Arial" w:cs="Arial"/>
          <w:bCs/>
          <w:sz w:val="18"/>
          <w:szCs w:val="18"/>
          <w:lang w:eastAsia="es-ES"/>
        </w:rPr>
        <w:t xml:space="preserve">  </w:t>
      </w:r>
    </w:p>
    <w:p w14:paraId="3B17ECA7" w14:textId="77777777" w:rsidR="00F46F69" w:rsidRDefault="00F46F69">
      <w:pPr>
        <w:widowControl/>
        <w:suppressAutoHyphens w:val="0"/>
        <w:spacing w:after="80" w:line="203" w:lineRule="exact"/>
        <w:ind w:left="1134" w:firstLine="282"/>
        <w:jc w:val="both"/>
        <w:textAlignment w:val="auto"/>
        <w:rPr>
          <w:rFonts w:ascii="Arial" w:eastAsia="Times New Roman" w:hAnsi="Arial" w:cs="Arial"/>
          <w:bCs/>
          <w:sz w:val="18"/>
          <w:szCs w:val="18"/>
          <w:lang w:eastAsia="es-ES"/>
        </w:rPr>
      </w:pPr>
    </w:p>
    <w:p w14:paraId="1FDE9B03" w14:textId="77777777" w:rsidR="00F46F69" w:rsidRDefault="00F46F69">
      <w:pPr>
        <w:widowControl/>
        <w:suppressAutoHyphens w:val="0"/>
        <w:spacing w:after="80" w:line="203" w:lineRule="exact"/>
        <w:ind w:left="1134" w:firstLine="282"/>
        <w:jc w:val="both"/>
        <w:textAlignment w:val="auto"/>
        <w:rPr>
          <w:rFonts w:ascii="Arial" w:eastAsia="Times New Roman" w:hAnsi="Arial" w:cs="Arial"/>
          <w:bCs/>
          <w:sz w:val="18"/>
          <w:szCs w:val="18"/>
          <w:lang w:eastAsia="es-ES"/>
        </w:rPr>
      </w:pPr>
    </w:p>
    <w:p w14:paraId="39ED7B7C" w14:textId="77777777" w:rsidR="00F46F69" w:rsidRDefault="00F46F69">
      <w:pPr>
        <w:widowControl/>
        <w:suppressAutoHyphens w:val="0"/>
        <w:spacing w:after="80" w:line="203" w:lineRule="exact"/>
        <w:ind w:left="1134" w:firstLine="282"/>
        <w:jc w:val="both"/>
        <w:textAlignment w:val="auto"/>
        <w:rPr>
          <w:rFonts w:ascii="Arial" w:eastAsia="Times New Roman" w:hAnsi="Arial" w:cs="Arial"/>
          <w:bCs/>
          <w:sz w:val="18"/>
          <w:szCs w:val="18"/>
          <w:lang w:eastAsia="es-ES"/>
        </w:rPr>
      </w:pPr>
    </w:p>
    <w:p w14:paraId="66A72321" w14:textId="77777777" w:rsidR="00F46F69" w:rsidRDefault="00F46F69">
      <w:pPr>
        <w:widowControl/>
        <w:suppressAutoHyphens w:val="0"/>
        <w:spacing w:after="80" w:line="203" w:lineRule="exact"/>
        <w:ind w:left="1134" w:firstLine="282"/>
        <w:jc w:val="both"/>
        <w:textAlignment w:val="auto"/>
        <w:rPr>
          <w:rFonts w:ascii="Arial" w:eastAsia="Times New Roman" w:hAnsi="Arial" w:cs="Arial"/>
          <w:bCs/>
          <w:sz w:val="18"/>
          <w:szCs w:val="18"/>
          <w:lang w:eastAsia="es-ES"/>
        </w:rPr>
      </w:pPr>
    </w:p>
    <w:p w14:paraId="34FB9616" w14:textId="77777777" w:rsidR="00F46F69" w:rsidRDefault="00F46F69">
      <w:pPr>
        <w:widowControl/>
        <w:suppressAutoHyphens w:val="0"/>
        <w:spacing w:after="80" w:line="203" w:lineRule="exact"/>
        <w:jc w:val="both"/>
        <w:textAlignment w:val="auto"/>
        <w:rPr>
          <w:rFonts w:ascii="Arial" w:eastAsia="Times New Roman" w:hAnsi="Arial" w:cs="Arial"/>
          <w:bCs/>
          <w:sz w:val="18"/>
          <w:szCs w:val="18"/>
          <w:lang w:eastAsia="es-ES"/>
        </w:rPr>
      </w:pPr>
    </w:p>
    <w:p w14:paraId="32B98F74" w14:textId="77777777" w:rsidR="00F46F69" w:rsidRDefault="00F46F69">
      <w:pPr>
        <w:widowControl/>
        <w:suppressAutoHyphens w:val="0"/>
        <w:textAlignment w:val="auto"/>
        <w:rPr>
          <w:rFonts w:ascii="Times New Roman" w:eastAsia="Times New Roman" w:hAnsi="Times New Roman"/>
          <w:sz w:val="18"/>
          <w:szCs w:val="18"/>
        </w:rPr>
      </w:pPr>
    </w:p>
    <w:tbl>
      <w:tblPr>
        <w:tblW w:w="8930" w:type="dxa"/>
        <w:tblInd w:w="921" w:type="dxa"/>
        <w:tblCellMar>
          <w:left w:w="10" w:type="dxa"/>
          <w:right w:w="10" w:type="dxa"/>
        </w:tblCellMar>
        <w:tblLook w:val="04A0" w:firstRow="1" w:lastRow="0" w:firstColumn="1" w:lastColumn="0" w:noHBand="0" w:noVBand="1"/>
      </w:tblPr>
      <w:tblGrid>
        <w:gridCol w:w="5245"/>
        <w:gridCol w:w="1701"/>
        <w:gridCol w:w="1984"/>
      </w:tblGrid>
      <w:tr w:rsidR="00F46F69" w14:paraId="0D08EE3B" w14:textId="77777777">
        <w:tblPrEx>
          <w:tblCellMar>
            <w:top w:w="0" w:type="dxa"/>
            <w:bottom w:w="0" w:type="dxa"/>
          </w:tblCellMar>
        </w:tblPrEx>
        <w:trPr>
          <w:trHeight w:val="477"/>
        </w:trPr>
        <w:tc>
          <w:tcPr>
            <w:tcW w:w="5245"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3C1173B" w14:textId="77777777" w:rsidR="00F46F69" w:rsidRDefault="00000000">
            <w:pPr>
              <w:widowControl/>
              <w:suppressAutoHyphens w:val="0"/>
              <w:jc w:val="center"/>
              <w:textAlignment w:val="auto"/>
              <w:rPr>
                <w:rFonts w:ascii="Arial" w:eastAsia="Times New Roman" w:hAnsi="Arial" w:cs="Arial"/>
                <w:b/>
                <w:bCs/>
                <w:color w:val="FFFFFF"/>
                <w:sz w:val="18"/>
                <w:szCs w:val="18"/>
              </w:rPr>
            </w:pPr>
            <w:bookmarkStart w:id="14" w:name="_Hlk180753522"/>
            <w:r>
              <w:rPr>
                <w:rFonts w:ascii="Arial" w:eastAsia="Times New Roman" w:hAnsi="Arial" w:cs="Arial"/>
                <w:b/>
                <w:bCs/>
                <w:color w:val="FFFFFF"/>
                <w:sz w:val="18"/>
                <w:szCs w:val="18"/>
              </w:rPr>
              <w:t>Concepto</w:t>
            </w:r>
          </w:p>
        </w:tc>
        <w:tc>
          <w:tcPr>
            <w:tcW w:w="170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1A4EDD9" w14:textId="77777777" w:rsidR="00F46F69" w:rsidRDefault="00000000">
            <w:pPr>
              <w:widowControl/>
              <w:suppressAutoHyphens w:val="0"/>
              <w:jc w:val="center"/>
              <w:textAlignment w:val="auto"/>
              <w:rPr>
                <w:rFonts w:ascii="Arial" w:eastAsia="Times New Roman" w:hAnsi="Arial" w:cs="Arial"/>
                <w:b/>
                <w:bCs/>
                <w:color w:val="FFFFFF"/>
                <w:sz w:val="18"/>
                <w:szCs w:val="18"/>
              </w:rPr>
            </w:pPr>
            <w:r>
              <w:rPr>
                <w:rFonts w:ascii="Arial" w:eastAsia="Times New Roman" w:hAnsi="Arial" w:cs="Arial"/>
                <w:b/>
                <w:bCs/>
                <w:color w:val="FFFFFF"/>
                <w:sz w:val="18"/>
                <w:szCs w:val="18"/>
              </w:rPr>
              <w:t>Años de vida útil</w:t>
            </w:r>
          </w:p>
        </w:tc>
        <w:tc>
          <w:tcPr>
            <w:tcW w:w="1984"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F459F9B" w14:textId="77777777" w:rsidR="00F46F69" w:rsidRDefault="00000000">
            <w:pPr>
              <w:widowControl/>
              <w:suppressAutoHyphens w:val="0"/>
              <w:jc w:val="center"/>
              <w:textAlignment w:val="auto"/>
              <w:rPr>
                <w:rFonts w:ascii="Arial" w:eastAsia="Times New Roman" w:hAnsi="Arial" w:cs="Arial"/>
                <w:b/>
                <w:bCs/>
                <w:color w:val="FFFFFF"/>
                <w:sz w:val="18"/>
                <w:szCs w:val="18"/>
              </w:rPr>
            </w:pPr>
            <w:r>
              <w:rPr>
                <w:rFonts w:ascii="Arial" w:eastAsia="Times New Roman" w:hAnsi="Arial" w:cs="Arial"/>
                <w:b/>
                <w:bCs/>
                <w:color w:val="FFFFFF"/>
                <w:sz w:val="18"/>
                <w:szCs w:val="18"/>
              </w:rPr>
              <w:t>% de depreciación anual</w:t>
            </w:r>
          </w:p>
        </w:tc>
      </w:tr>
      <w:bookmarkEnd w:id="14"/>
      <w:tr w:rsidR="00F46F69" w14:paraId="08ADEE0A"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A7F6A5"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Bienes Inmuebles</w:t>
            </w:r>
          </w:p>
        </w:tc>
      </w:tr>
      <w:tr w:rsidR="00F46F69" w14:paraId="44341A88"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919DCC"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Edificios No Habitacionales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5F5C5F"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678A5E"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w:t>
            </w:r>
          </w:p>
        </w:tc>
      </w:tr>
      <w:tr w:rsidR="00F46F69" w14:paraId="4C1C9D0E"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DEA99D7"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Bienes Muebles</w:t>
            </w:r>
          </w:p>
        </w:tc>
      </w:tr>
      <w:tr w:rsidR="00F46F69" w14:paraId="2BD3B151"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C1F4A9"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Mobiliario y Equipo de Administración</w:t>
            </w:r>
          </w:p>
        </w:tc>
      </w:tr>
      <w:tr w:rsidR="00F46F69" w14:paraId="1E87AF84"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346338F"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Muebles de Oficina y Estantería</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34F70F"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F6F7A7"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6E34D1D5"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651984"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Muebles, Excepto De Oficina Y Estantería</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90D07D"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9B4F0E"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51F4B862"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62BB0E"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de Cómputo y de Tecnologías de la Información</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AF10D5"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581E2"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33.3</w:t>
            </w:r>
          </w:p>
        </w:tc>
      </w:tr>
      <w:tr w:rsidR="00F46F69" w14:paraId="5EBCCBFC"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52560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Otros Mobiliarios y Equipos de Administración</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BC1161"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AF39C38"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3C456CD7"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EA72DE"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Mobiliario y Equipo Educacional y Recreativo</w:t>
            </w:r>
          </w:p>
        </w:tc>
      </w:tr>
      <w:tr w:rsidR="00F46F69" w14:paraId="474C9897"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6D44C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Equipos y Aparatos Audiovisuales</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0F55E5D"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031F338"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33.3</w:t>
            </w:r>
          </w:p>
        </w:tc>
      </w:tr>
      <w:tr w:rsidR="00F46F69" w14:paraId="0015780C"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86AC66"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Cámaras Fotográficas y de Video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990B333"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F3785D1"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33.3</w:t>
            </w:r>
          </w:p>
        </w:tc>
      </w:tr>
      <w:tr w:rsidR="00F46F69" w14:paraId="0AB827A8"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AB2506"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Equipo e Instrumental Médico y de Laboratorio</w:t>
            </w:r>
          </w:p>
        </w:tc>
      </w:tr>
      <w:tr w:rsidR="00F46F69" w14:paraId="3345328F"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D61C4A"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Médico y de Laboratorio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082EEF"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FD3773"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r w:rsidR="00F46F69" w14:paraId="32C39759"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B1747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Instrumental Médico y de Laboratorio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2CE9F66"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BC5EA8B"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r w:rsidR="00F46F69" w14:paraId="40171BED"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920002"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Equipo de Transporte</w:t>
            </w:r>
          </w:p>
        </w:tc>
      </w:tr>
      <w:tr w:rsidR="00F46F69" w14:paraId="4927ABAE"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1972CB6"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Automóviles y Equipo Terrestre</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F9B254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F0C7A3"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r w:rsidR="00F46F69" w14:paraId="0D40E659"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1F2089B"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Equipo de Defensa y Seguridad</w:t>
            </w:r>
          </w:p>
        </w:tc>
      </w:tr>
      <w:tr w:rsidR="00F46F69" w14:paraId="36C0A358"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D1951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Maquinaria y Equipo de Defensa y Seguridad Pública</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523687"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4</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02AD57"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25</w:t>
            </w:r>
          </w:p>
        </w:tc>
      </w:tr>
      <w:tr w:rsidR="00F46F69" w14:paraId="2A463128"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473E6A"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de Seguridad Pública y Nacional</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321B03"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4</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4305E6"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25</w:t>
            </w:r>
          </w:p>
        </w:tc>
      </w:tr>
      <w:tr w:rsidR="00F46F69" w14:paraId="4CD49BA3"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1D894E2"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Maquinaria, Otros Equipos y Herramientas</w:t>
            </w:r>
          </w:p>
        </w:tc>
      </w:tr>
      <w:tr w:rsidR="00F46F69" w14:paraId="5A0F529C"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638785"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Maquinaria y Equipo Agropecuario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C52C1D8"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DE37514"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16299AD8"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8E11C6A"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Maquinaria y Equipo Industrial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F0BDE03"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550C1DA"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19D273A0" w14:textId="77777777">
        <w:tblPrEx>
          <w:tblCellMar>
            <w:top w:w="0" w:type="dxa"/>
            <w:bottom w:w="0" w:type="dxa"/>
          </w:tblCellMar>
        </w:tblPrEx>
        <w:trPr>
          <w:trHeight w:val="52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26115B"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Sistemas de Aire Acondicionado, Calefacción y de Refrigeración Industrial y Comercial</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74B57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615A5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483C177E"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9AA7C52"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Equipo de Comunicación y Telecomunicación</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701C4C"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FA6686"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5935D71E" w14:textId="77777777">
        <w:tblPrEx>
          <w:tblCellMar>
            <w:top w:w="0" w:type="dxa"/>
            <w:bottom w:w="0" w:type="dxa"/>
          </w:tblCellMar>
        </w:tblPrEx>
        <w:trPr>
          <w:trHeight w:val="52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E1D6E"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Equipos de Generación Eléctrica, Aparatos y Accesorios Eléctricos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99BEAF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90DB32"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20B4FEC1"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8A7E75"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Herramientas y Máquinas-Herramienta </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21F8D7"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7541BA2"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3B654E72"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9DF0FA"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Otros Equipos</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328FDE"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6C62AD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10</w:t>
            </w:r>
          </w:p>
        </w:tc>
      </w:tr>
      <w:tr w:rsidR="00F46F69" w14:paraId="04C48979" w14:textId="77777777">
        <w:tblPrEx>
          <w:tblCellMar>
            <w:top w:w="0" w:type="dxa"/>
            <w:bottom w:w="0" w:type="dxa"/>
          </w:tblCellMar>
        </w:tblPrEx>
        <w:trPr>
          <w:trHeight w:val="315"/>
        </w:trPr>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7F3FEF"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Activos Biológicos</w:t>
            </w:r>
          </w:p>
        </w:tc>
      </w:tr>
      <w:tr w:rsidR="00F46F69" w14:paraId="20DC56D4" w14:textId="77777777">
        <w:tblPrEx>
          <w:tblCellMar>
            <w:top w:w="0" w:type="dxa"/>
            <w:bottom w:w="0" w:type="dxa"/>
          </w:tblCellMar>
        </w:tblPrEx>
        <w:trPr>
          <w:trHeight w:val="315"/>
        </w:trPr>
        <w:tc>
          <w:tcPr>
            <w:tcW w:w="5245"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2DA8BAD"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Especies Menores y de Zoológico</w:t>
            </w:r>
          </w:p>
        </w:tc>
        <w:tc>
          <w:tcPr>
            <w:tcW w:w="170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2D1F7A"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5</w:t>
            </w:r>
          </w:p>
        </w:tc>
        <w:tc>
          <w:tcPr>
            <w:tcW w:w="198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1D4490" w14:textId="77777777" w:rsidR="00F46F69" w:rsidRDefault="00000000">
            <w:pPr>
              <w:widowControl/>
              <w:suppressAutoHyphens w:val="0"/>
              <w:jc w:val="center"/>
              <w:textAlignment w:val="auto"/>
              <w:rPr>
                <w:rFonts w:eastAsia="Times New Roman" w:cs="DIN Pro Regular"/>
                <w:lang w:eastAsia="es-ES"/>
              </w:rPr>
            </w:pPr>
            <w:r>
              <w:rPr>
                <w:rFonts w:eastAsia="Times New Roman" w:cs="DIN Pro Regular"/>
                <w:lang w:eastAsia="es-ES"/>
              </w:rPr>
              <w:t>20</w:t>
            </w:r>
          </w:p>
        </w:tc>
      </w:tr>
    </w:tbl>
    <w:p w14:paraId="3FFBC913" w14:textId="77777777" w:rsidR="00F46F69" w:rsidRDefault="00F46F69">
      <w:pPr>
        <w:widowControl/>
        <w:suppressAutoHyphens w:val="0"/>
        <w:spacing w:after="80" w:line="203" w:lineRule="exact"/>
        <w:jc w:val="both"/>
        <w:textAlignment w:val="auto"/>
        <w:rPr>
          <w:rFonts w:eastAsia="Times New Roman" w:cs="DIN Pro Regular"/>
          <w:lang w:eastAsia="es-ES"/>
        </w:rPr>
      </w:pPr>
    </w:p>
    <w:p w14:paraId="395DB160" w14:textId="77777777" w:rsidR="00F46F69" w:rsidRDefault="00000000">
      <w:pPr>
        <w:widowControl/>
        <w:suppressAutoHyphens w:val="0"/>
        <w:spacing w:after="80" w:line="203" w:lineRule="exact"/>
        <w:ind w:left="1134" w:firstLine="284"/>
        <w:jc w:val="both"/>
        <w:textAlignment w:val="auto"/>
        <w:rPr>
          <w:rFonts w:eastAsia="Times New Roman" w:cs="DIN Pro Regular"/>
          <w:lang w:eastAsia="es-ES"/>
        </w:rPr>
      </w:pPr>
      <w:r>
        <w:rPr>
          <w:rFonts w:eastAsia="Times New Roman" w:cs="DIN Pro Regular"/>
          <w:lang w:eastAsia="es-ES"/>
        </w:rPr>
        <w:t>La amortización de los Activos Intangibles depende de manera directa de las condiciones de la adquisición de cada uno de los activos y será una cuestión de criterio basada en la experiencia que el ente público tenga con activos similares.</w:t>
      </w:r>
    </w:p>
    <w:p w14:paraId="5A6A70B0" w14:textId="77777777" w:rsidR="00F46F69" w:rsidRDefault="00F46F69">
      <w:pPr>
        <w:widowControl/>
        <w:suppressAutoHyphens w:val="0"/>
        <w:spacing w:after="80" w:line="203" w:lineRule="exact"/>
        <w:ind w:left="1134" w:firstLine="284"/>
        <w:jc w:val="both"/>
        <w:textAlignment w:val="auto"/>
        <w:rPr>
          <w:rFonts w:eastAsia="Times New Roman" w:cs="DIN Pro Regular"/>
          <w:lang w:eastAsia="es-ES"/>
        </w:rPr>
      </w:pPr>
    </w:p>
    <w:p w14:paraId="4071EE59" w14:textId="77777777" w:rsidR="00F46F69" w:rsidRDefault="00F46F69">
      <w:pPr>
        <w:widowControl/>
        <w:suppressAutoHyphens w:val="0"/>
        <w:spacing w:after="80" w:line="203" w:lineRule="exact"/>
        <w:ind w:left="1134" w:firstLine="284"/>
        <w:jc w:val="both"/>
        <w:textAlignment w:val="auto"/>
        <w:rPr>
          <w:rFonts w:eastAsia="Times New Roman" w:cs="DIN Pro Regular"/>
          <w:lang w:eastAsia="es-ES"/>
        </w:rPr>
      </w:pPr>
    </w:p>
    <w:p w14:paraId="6DD1A113" w14:textId="77777777" w:rsidR="00F46F69" w:rsidRDefault="00F46F69">
      <w:pPr>
        <w:widowControl/>
        <w:suppressAutoHyphens w:val="0"/>
        <w:spacing w:after="80" w:line="203" w:lineRule="exact"/>
        <w:ind w:left="1134" w:firstLine="284"/>
        <w:jc w:val="both"/>
        <w:textAlignment w:val="auto"/>
        <w:rPr>
          <w:rFonts w:eastAsia="Times New Roman" w:cs="DIN Pro Regular"/>
          <w:lang w:eastAsia="es-ES"/>
        </w:rPr>
      </w:pPr>
    </w:p>
    <w:p w14:paraId="1E1D4074" w14:textId="77777777" w:rsidR="00F46F69" w:rsidRDefault="00000000">
      <w:pPr>
        <w:widowControl/>
        <w:suppressAutoHyphens w:val="0"/>
        <w:spacing w:after="80" w:line="203" w:lineRule="exact"/>
        <w:ind w:left="624"/>
        <w:jc w:val="both"/>
        <w:textAlignment w:val="auto"/>
        <w:rPr>
          <w:rFonts w:eastAsia="Times New Roman" w:cs="DIN Pro Regular"/>
          <w:b/>
          <w:bCs/>
          <w:lang w:eastAsia="es-ES"/>
        </w:rPr>
      </w:pPr>
      <w:r>
        <w:rPr>
          <w:rFonts w:eastAsia="Times New Roman" w:cs="DIN Pro Regular"/>
          <w:b/>
          <w:bCs/>
          <w:lang w:eastAsia="es-ES"/>
        </w:rPr>
        <w:t>Estimaciones y Deterioros</w:t>
      </w:r>
    </w:p>
    <w:p w14:paraId="633E6101" w14:textId="77777777" w:rsidR="00F46F69" w:rsidRDefault="00000000">
      <w:pPr>
        <w:widowControl/>
        <w:suppressAutoHyphens w:val="0"/>
        <w:spacing w:after="80" w:line="203" w:lineRule="exact"/>
        <w:ind w:left="624"/>
        <w:jc w:val="both"/>
        <w:textAlignment w:val="auto"/>
        <w:rPr>
          <w:rFonts w:eastAsia="Times New Roman" w:cs="DIN Pro Regular"/>
          <w:lang w:eastAsia="es-ES"/>
        </w:rPr>
      </w:pPr>
      <w:r>
        <w:rPr>
          <w:rFonts w:eastAsia="Times New Roman" w:cs="DIN Pro Regular"/>
          <w:lang w:eastAsia="es-ES"/>
        </w:rPr>
        <w:t>No Aplica</w:t>
      </w:r>
    </w:p>
    <w:p w14:paraId="6B1C4C69" w14:textId="77777777" w:rsidR="00F46F69" w:rsidRDefault="00F46F69">
      <w:pPr>
        <w:widowControl/>
        <w:suppressAutoHyphens w:val="0"/>
        <w:textAlignment w:val="auto"/>
        <w:rPr>
          <w:rFonts w:eastAsia="Times New Roman" w:cs="DIN Pro Regular"/>
          <w:lang w:eastAsia="es-ES"/>
        </w:rPr>
      </w:pPr>
    </w:p>
    <w:p w14:paraId="37AC4B4F" w14:textId="77777777" w:rsidR="00F46F69" w:rsidRDefault="00000000">
      <w:pPr>
        <w:widowControl/>
        <w:suppressAutoHyphens w:val="0"/>
        <w:spacing w:after="80" w:line="203" w:lineRule="exact"/>
        <w:ind w:left="624"/>
        <w:jc w:val="both"/>
        <w:textAlignment w:val="auto"/>
        <w:rPr>
          <w:rFonts w:eastAsia="Times New Roman" w:cs="DIN Pro Regular"/>
          <w:b/>
          <w:bCs/>
          <w:lang w:eastAsia="es-ES"/>
        </w:rPr>
      </w:pPr>
      <w:r>
        <w:rPr>
          <w:rFonts w:eastAsia="Times New Roman" w:cs="DIN Pro Regular"/>
          <w:b/>
          <w:bCs/>
          <w:lang w:eastAsia="es-ES"/>
        </w:rPr>
        <w:t>Otros Activos</w:t>
      </w:r>
    </w:p>
    <w:p w14:paraId="67D1F694" w14:textId="77777777" w:rsidR="00F46F69" w:rsidRDefault="00000000">
      <w:pPr>
        <w:widowControl/>
        <w:suppressAutoHyphens w:val="0"/>
        <w:spacing w:after="80" w:line="203" w:lineRule="exact"/>
        <w:ind w:left="624"/>
        <w:jc w:val="both"/>
        <w:textAlignment w:val="auto"/>
        <w:rPr>
          <w:rFonts w:eastAsia="Times New Roman" w:cs="DIN Pro Regular"/>
          <w:lang w:eastAsia="es-ES"/>
        </w:rPr>
      </w:pPr>
      <w:r>
        <w:rPr>
          <w:rFonts w:eastAsia="Times New Roman" w:cs="DIN Pro Regular"/>
          <w:lang w:eastAsia="es-ES"/>
        </w:rPr>
        <w:t>No Aplica</w:t>
      </w:r>
    </w:p>
    <w:p w14:paraId="7CED86A5" w14:textId="77777777" w:rsidR="00F46F69" w:rsidRDefault="00F46F69">
      <w:pPr>
        <w:widowControl/>
        <w:suppressAutoHyphens w:val="0"/>
        <w:spacing w:after="80" w:line="203" w:lineRule="exact"/>
        <w:jc w:val="both"/>
        <w:textAlignment w:val="auto"/>
        <w:rPr>
          <w:rFonts w:ascii="Arial" w:eastAsia="Times New Roman" w:hAnsi="Arial" w:cs="Arial"/>
          <w:bCs/>
          <w:sz w:val="18"/>
          <w:szCs w:val="18"/>
          <w:lang w:eastAsia="es-ES"/>
        </w:rPr>
      </w:pPr>
    </w:p>
    <w:p w14:paraId="3F5363F3" w14:textId="77777777" w:rsidR="00F46F69" w:rsidRDefault="00000000">
      <w:pPr>
        <w:widowControl/>
        <w:tabs>
          <w:tab w:val="left" w:pos="720"/>
        </w:tabs>
        <w:suppressAutoHyphens w:val="0"/>
        <w:spacing w:line="240" w:lineRule="exact"/>
        <w:ind w:left="432" w:hanging="432"/>
        <w:jc w:val="both"/>
        <w:textAlignment w:val="auto"/>
        <w:rPr>
          <w:rFonts w:eastAsia="Times New Roman" w:cs="DIN Pro Regular"/>
          <w:b/>
          <w:bCs/>
          <w:lang w:eastAsia="es-ES"/>
        </w:rPr>
      </w:pPr>
      <w:r>
        <w:rPr>
          <w:rFonts w:eastAsia="Times New Roman" w:cs="DIN Pro Regular"/>
          <w:b/>
          <w:bCs/>
          <w:lang w:eastAsia="es-ES"/>
        </w:rPr>
        <w:t xml:space="preserve">      Pasivo</w:t>
      </w:r>
    </w:p>
    <w:p w14:paraId="7D2E2C6D" w14:textId="77777777" w:rsidR="00F46F69" w:rsidRDefault="00000000">
      <w:pPr>
        <w:widowControl/>
        <w:tabs>
          <w:tab w:val="left" w:pos="720"/>
        </w:tabs>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 xml:space="preserve">  </w:t>
      </w:r>
      <w:r>
        <w:rPr>
          <w:rFonts w:eastAsia="Times New Roman" w:cs="DIN Pro Regular"/>
          <w:b/>
          <w:bCs/>
          <w:lang w:eastAsia="es-ES"/>
        </w:rPr>
        <w:tab/>
      </w:r>
    </w:p>
    <w:p w14:paraId="6F6B58EA" w14:textId="77777777" w:rsidR="00F46F69" w:rsidRDefault="00000000">
      <w:pPr>
        <w:pStyle w:val="Prrafodelista"/>
        <w:numPr>
          <w:ilvl w:val="0"/>
          <w:numId w:val="22"/>
        </w:numPr>
        <w:rPr>
          <w:rFonts w:eastAsia="Times New Roman" w:cs="DIN Pro Regular"/>
          <w:b/>
          <w:bCs/>
          <w:sz w:val="20"/>
          <w:szCs w:val="20"/>
          <w:lang w:eastAsia="es-ES"/>
        </w:rPr>
      </w:pPr>
      <w:r>
        <w:rPr>
          <w:rFonts w:eastAsia="Times New Roman" w:cs="DIN Pro Regular"/>
          <w:b/>
          <w:bCs/>
          <w:sz w:val="20"/>
          <w:szCs w:val="20"/>
          <w:lang w:eastAsia="es-ES"/>
        </w:rPr>
        <w:t>Cuentas y Documentos por pagar, por fecha de vencimiento (a corto y a largo plazo y factibilidad de pago).</w:t>
      </w:r>
    </w:p>
    <w:p w14:paraId="043F0B03" w14:textId="77777777" w:rsidR="00F46F69" w:rsidRDefault="00000000">
      <w:pPr>
        <w:widowControl/>
        <w:tabs>
          <w:tab w:val="left" w:pos="720"/>
        </w:tabs>
        <w:suppressAutoHyphens w:val="0"/>
        <w:spacing w:line="240" w:lineRule="exact"/>
        <w:ind w:left="1083"/>
        <w:jc w:val="both"/>
        <w:textAlignment w:val="auto"/>
        <w:rPr>
          <w:rFonts w:eastAsia="Times New Roman" w:cs="DIN Pro Regular"/>
          <w:b/>
          <w:bCs/>
          <w:lang w:eastAsia="es-ES"/>
        </w:rPr>
      </w:pPr>
      <w:r>
        <w:rPr>
          <w:rFonts w:eastAsia="Times New Roman" w:cs="DIN Pro Regular"/>
          <w:b/>
          <w:bCs/>
          <w:lang w:eastAsia="es-ES"/>
        </w:rPr>
        <w:t>Cuentas por Pagar a Corto Plazo</w:t>
      </w:r>
    </w:p>
    <w:p w14:paraId="01962B44" w14:textId="77777777" w:rsidR="00F46F69" w:rsidRDefault="00F46F69">
      <w:pPr>
        <w:widowControl/>
        <w:tabs>
          <w:tab w:val="left" w:pos="720"/>
        </w:tabs>
        <w:suppressAutoHyphens w:val="0"/>
        <w:spacing w:line="240" w:lineRule="exact"/>
        <w:ind w:left="1083"/>
        <w:jc w:val="both"/>
        <w:textAlignment w:val="auto"/>
        <w:rPr>
          <w:rFonts w:eastAsia="Times New Roman" w:cs="DIN Pro Regular"/>
          <w:lang w:eastAsia="es-ES"/>
        </w:rPr>
      </w:pPr>
    </w:p>
    <w:p w14:paraId="79067384" w14:textId="77777777" w:rsidR="00F46F69" w:rsidRDefault="00000000">
      <w:pPr>
        <w:widowControl/>
        <w:tabs>
          <w:tab w:val="left" w:pos="720"/>
        </w:tabs>
        <w:suppressAutoHyphens w:val="0"/>
        <w:spacing w:line="240" w:lineRule="exact"/>
        <w:ind w:left="1083"/>
        <w:jc w:val="both"/>
        <w:textAlignment w:val="auto"/>
        <w:rPr>
          <w:rFonts w:eastAsia="Times New Roman" w:cs="DIN Pro Regular"/>
          <w:lang w:eastAsia="es-ES"/>
        </w:rPr>
      </w:pPr>
      <w:r>
        <w:rPr>
          <w:rFonts w:eastAsia="Times New Roman" w:cs="DIN Pro Regular"/>
          <w:lang w:eastAsia="es-ES"/>
        </w:rPr>
        <w:t>Se compone por el monto de las obligaciones por pagar a cargo de la Fiscalía General de Justicia del Estado de Tamaulipas como resultado de las actividades de operación, con un saldo al 31 de diciembre de 2024 por $53,724,953, que se integra como sigue:</w:t>
      </w:r>
    </w:p>
    <w:p w14:paraId="078A886B" w14:textId="77777777" w:rsidR="00F46F69" w:rsidRDefault="00F46F69">
      <w:pPr>
        <w:widowControl/>
        <w:tabs>
          <w:tab w:val="left" w:pos="720"/>
        </w:tabs>
        <w:suppressAutoHyphens w:val="0"/>
        <w:spacing w:line="240" w:lineRule="exact"/>
        <w:ind w:left="1083"/>
        <w:jc w:val="both"/>
        <w:textAlignment w:val="auto"/>
        <w:rPr>
          <w:rFonts w:eastAsia="Times New Roman" w:cs="DIN Pro Regular"/>
          <w:lang w:eastAsia="es-ES"/>
        </w:rPr>
      </w:pPr>
    </w:p>
    <w:tbl>
      <w:tblPr>
        <w:tblW w:w="8930" w:type="dxa"/>
        <w:tblInd w:w="1063" w:type="dxa"/>
        <w:tblCellMar>
          <w:left w:w="10" w:type="dxa"/>
          <w:right w:w="10" w:type="dxa"/>
        </w:tblCellMar>
        <w:tblLook w:val="04A0" w:firstRow="1" w:lastRow="0" w:firstColumn="1" w:lastColumn="0" w:noHBand="0" w:noVBand="1"/>
      </w:tblPr>
      <w:tblGrid>
        <w:gridCol w:w="6945"/>
        <w:gridCol w:w="1985"/>
      </w:tblGrid>
      <w:tr w:rsidR="00F46F69" w14:paraId="357F3230" w14:textId="77777777">
        <w:tblPrEx>
          <w:tblCellMar>
            <w:top w:w="0" w:type="dxa"/>
            <w:bottom w:w="0" w:type="dxa"/>
          </w:tblCellMar>
        </w:tblPrEx>
        <w:trPr>
          <w:trHeight w:val="480"/>
        </w:trPr>
        <w:tc>
          <w:tcPr>
            <w:tcW w:w="6945"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8A01A74"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Descripción </w:t>
            </w:r>
          </w:p>
        </w:tc>
        <w:tc>
          <w:tcPr>
            <w:tcW w:w="198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123CD13"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Saldo al 31 de           diciembre de 2024 </w:t>
            </w:r>
          </w:p>
        </w:tc>
      </w:tr>
      <w:tr w:rsidR="00F46F69" w14:paraId="4D1277D3" w14:textId="77777777">
        <w:tblPrEx>
          <w:tblCellMar>
            <w:top w:w="0" w:type="dxa"/>
            <w:bottom w:w="0" w:type="dxa"/>
          </w:tblCellMar>
        </w:tblPrEx>
        <w:trPr>
          <w:trHeight w:val="300"/>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51E92"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Cuentas por Pagar a Corto Plazo</w:t>
            </w:r>
          </w:p>
        </w:tc>
        <w:tc>
          <w:tcPr>
            <w:tcW w:w="19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62BDA7"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xml:space="preserve">$                  53,724,953         </w:t>
            </w:r>
          </w:p>
        </w:tc>
      </w:tr>
      <w:tr w:rsidR="00F46F69" w14:paraId="36C38B4A" w14:textId="77777777">
        <w:tblPrEx>
          <w:tblCellMar>
            <w:top w:w="0" w:type="dxa"/>
            <w:bottom w:w="0" w:type="dxa"/>
          </w:tblCellMar>
        </w:tblPrEx>
        <w:trPr>
          <w:trHeight w:val="300"/>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88BB06B"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Servicios Personales por Pagar a Corto Plazo</w:t>
            </w:r>
          </w:p>
        </w:tc>
        <w:tc>
          <w:tcPr>
            <w:tcW w:w="1985"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1FBDFC0"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19,500</w:t>
            </w:r>
          </w:p>
        </w:tc>
      </w:tr>
      <w:tr w:rsidR="00F46F69" w14:paraId="573769C9" w14:textId="77777777">
        <w:tblPrEx>
          <w:tblCellMar>
            <w:top w:w="0" w:type="dxa"/>
            <w:bottom w:w="0" w:type="dxa"/>
          </w:tblCellMar>
        </w:tblPrEx>
        <w:trPr>
          <w:trHeight w:val="300"/>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6C354C1"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Proveedores por Pagar a Corto Plazo</w:t>
            </w:r>
          </w:p>
        </w:tc>
        <w:tc>
          <w:tcPr>
            <w:tcW w:w="1985"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E972371"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xml:space="preserve">$                  26,255,734        </w:t>
            </w:r>
          </w:p>
        </w:tc>
      </w:tr>
      <w:tr w:rsidR="00F46F69" w14:paraId="32286F3D" w14:textId="77777777">
        <w:tblPrEx>
          <w:tblCellMar>
            <w:top w:w="0" w:type="dxa"/>
            <w:bottom w:w="0" w:type="dxa"/>
          </w:tblCellMar>
        </w:tblPrEx>
        <w:trPr>
          <w:trHeight w:val="300"/>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03E225A8"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Retenciones y Contribuciones por Pagar a Corto Plazo</w:t>
            </w:r>
          </w:p>
        </w:tc>
        <w:tc>
          <w:tcPr>
            <w:tcW w:w="19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5CB4526"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27,096,799</w:t>
            </w:r>
          </w:p>
        </w:tc>
      </w:tr>
      <w:tr w:rsidR="00F46F69" w14:paraId="14B257F3" w14:textId="77777777">
        <w:tblPrEx>
          <w:tblCellMar>
            <w:top w:w="0" w:type="dxa"/>
            <w:bottom w:w="0" w:type="dxa"/>
          </w:tblCellMar>
        </w:tblPrEx>
        <w:trPr>
          <w:trHeight w:val="300"/>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44045FC" w14:textId="77777777" w:rsidR="00F46F69" w:rsidRDefault="00000000">
            <w:pPr>
              <w:widowControl/>
              <w:suppressAutoHyphens w:val="0"/>
              <w:textAlignment w:val="auto"/>
              <w:rPr>
                <w:rFonts w:eastAsia="Times New Roman" w:cs="DIN Pro Regular"/>
                <w:lang w:eastAsia="es-ES"/>
              </w:rPr>
            </w:pPr>
            <w:bookmarkStart w:id="15" w:name="_Hlk189132521"/>
            <w:r>
              <w:rPr>
                <w:rFonts w:eastAsia="Times New Roman" w:cs="DIN Pro Regular"/>
                <w:lang w:eastAsia="es-ES"/>
              </w:rPr>
              <w:t>Otras Cuentas por Pagar a Corto Plazo</w:t>
            </w:r>
            <w:bookmarkEnd w:id="15"/>
          </w:p>
        </w:tc>
        <w:tc>
          <w:tcPr>
            <w:tcW w:w="198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0C9B1AF"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352,920</w:t>
            </w:r>
          </w:p>
        </w:tc>
      </w:tr>
    </w:tbl>
    <w:p w14:paraId="18E4C2CC" w14:textId="77777777" w:rsidR="00F46F69" w:rsidRDefault="00F46F69">
      <w:pPr>
        <w:widowControl/>
        <w:suppressAutoHyphens w:val="0"/>
        <w:textAlignment w:val="auto"/>
        <w:rPr>
          <w:rFonts w:eastAsia="Times New Roman" w:cs="DIN Pro Regular"/>
          <w:lang w:eastAsia="es-ES"/>
        </w:rPr>
      </w:pPr>
    </w:p>
    <w:p w14:paraId="1B11C475" w14:textId="77777777" w:rsidR="00F46F69" w:rsidRDefault="00000000">
      <w:pPr>
        <w:widowControl/>
        <w:numPr>
          <w:ilvl w:val="0"/>
          <w:numId w:val="23"/>
        </w:numPr>
        <w:suppressAutoHyphens w:val="0"/>
        <w:spacing w:line="240" w:lineRule="exact"/>
        <w:ind w:firstLine="126"/>
        <w:contextualSpacing/>
        <w:jc w:val="both"/>
        <w:textAlignment w:val="auto"/>
      </w:pPr>
      <w:r>
        <w:rPr>
          <w:rFonts w:eastAsia="Times New Roman" w:cs="DIN Pro Regular"/>
          <w:b/>
          <w:bCs/>
          <w:lang w:eastAsia="es-ES"/>
        </w:rPr>
        <w:t>Sueldos por Pagar:</w:t>
      </w:r>
      <w:r>
        <w:rPr>
          <w:rFonts w:eastAsia="Times New Roman" w:cs="DIN Pro Regular"/>
          <w:lang w:eastAsia="es-ES"/>
        </w:rPr>
        <w:t xml:space="preserve"> Se compone de los adeudos originados por pagos pendientes de realizar a servidores públicos, dicho pago se prevé realizar en un periodo menor a 90 días.</w:t>
      </w:r>
    </w:p>
    <w:p w14:paraId="13AA86C3" w14:textId="77777777" w:rsidR="00F46F69" w:rsidRDefault="00F46F69">
      <w:pPr>
        <w:widowControl/>
        <w:suppressAutoHyphens w:val="0"/>
        <w:spacing w:line="240" w:lineRule="exact"/>
        <w:ind w:left="1134"/>
        <w:contextualSpacing/>
        <w:jc w:val="both"/>
        <w:textAlignment w:val="auto"/>
        <w:rPr>
          <w:rFonts w:eastAsia="Times New Roman" w:cs="DIN Pro Regular"/>
          <w:lang w:eastAsia="es-ES"/>
        </w:rPr>
      </w:pPr>
    </w:p>
    <w:p w14:paraId="10009A8B" w14:textId="77777777" w:rsidR="00F46F69" w:rsidRDefault="00000000">
      <w:pPr>
        <w:widowControl/>
        <w:numPr>
          <w:ilvl w:val="0"/>
          <w:numId w:val="23"/>
        </w:numPr>
        <w:suppressAutoHyphens w:val="0"/>
        <w:spacing w:line="240" w:lineRule="exact"/>
        <w:ind w:firstLine="126"/>
        <w:contextualSpacing/>
        <w:jc w:val="both"/>
        <w:textAlignment w:val="auto"/>
      </w:pPr>
      <w:r>
        <w:rPr>
          <w:rFonts w:eastAsia="Times New Roman" w:cs="DIN Pro Regular"/>
          <w:b/>
          <w:bCs/>
          <w:lang w:eastAsia="es-ES"/>
        </w:rPr>
        <w:t>Proveedores por pagar a corto plazo:</w:t>
      </w:r>
      <w:r>
        <w:rPr>
          <w:rFonts w:eastAsia="Times New Roman" w:cs="DIN Pro Regular"/>
          <w:lang w:eastAsia="es-ES"/>
        </w:rPr>
        <w:t xml:space="preserve"> Se compone de los adeudos con proveedores de bienes y servicios e Instituciones Financieras, dicho pago se prevé realizar en un periodo menor a 90 días.</w:t>
      </w:r>
    </w:p>
    <w:p w14:paraId="023586B7" w14:textId="77777777" w:rsidR="00F46F69" w:rsidRDefault="00F46F69">
      <w:pPr>
        <w:widowControl/>
        <w:suppressAutoHyphens w:val="0"/>
        <w:spacing w:line="240" w:lineRule="exact"/>
        <w:contextualSpacing/>
        <w:jc w:val="both"/>
        <w:textAlignment w:val="auto"/>
        <w:rPr>
          <w:rFonts w:eastAsia="Times New Roman" w:cs="DIN Pro Regular"/>
          <w:lang w:eastAsia="es-ES"/>
        </w:rPr>
      </w:pPr>
    </w:p>
    <w:p w14:paraId="5A7DC124" w14:textId="77777777" w:rsidR="00F46F69" w:rsidRDefault="00000000">
      <w:pPr>
        <w:widowControl/>
        <w:numPr>
          <w:ilvl w:val="0"/>
          <w:numId w:val="23"/>
        </w:numPr>
        <w:suppressAutoHyphens w:val="0"/>
        <w:spacing w:line="240" w:lineRule="exact"/>
        <w:ind w:firstLine="126"/>
        <w:contextualSpacing/>
        <w:jc w:val="both"/>
        <w:textAlignment w:val="auto"/>
      </w:pPr>
      <w:r>
        <w:rPr>
          <w:rFonts w:eastAsia="Times New Roman" w:cs="DIN Pro Regular"/>
          <w:b/>
          <w:bCs/>
          <w:lang w:eastAsia="es-ES"/>
        </w:rPr>
        <w:t>Retenciones y contribuciones por pagar a corto plazo:</w:t>
      </w:r>
      <w:r>
        <w:rPr>
          <w:rFonts w:eastAsia="Times New Roman" w:cs="DIN Pro Regular"/>
          <w:lang w:eastAsia="es-ES"/>
        </w:rPr>
        <w:t xml:space="preserve"> Incorpora el monto del Impuesto sobre Remuneraciones al Trabajo Personal Subordinado, retenciones de ISR por Sueldos y Salarios, Retenciones de ISR por Arrendamientos, Retenciones de ISR por Servicios Profesionales RESICO, contribuciones cuota obrero-patronales por concepto de IPSSET e ISSSTE y pagos a terceros por concepto de pensiones alimenticias, dicho pago se prevé realizar en un periodo menor a 90 días.</w:t>
      </w:r>
    </w:p>
    <w:p w14:paraId="256777CB" w14:textId="77777777" w:rsidR="00F46F69" w:rsidRDefault="00F46F69">
      <w:pPr>
        <w:widowControl/>
        <w:suppressAutoHyphens w:val="0"/>
        <w:spacing w:line="240" w:lineRule="exact"/>
        <w:contextualSpacing/>
        <w:jc w:val="both"/>
        <w:textAlignment w:val="auto"/>
        <w:rPr>
          <w:rFonts w:eastAsia="Times New Roman" w:cs="DIN Pro Regular"/>
          <w:lang w:eastAsia="es-ES"/>
        </w:rPr>
      </w:pPr>
    </w:p>
    <w:p w14:paraId="0D6B7EF1" w14:textId="77777777" w:rsidR="00F46F69" w:rsidRDefault="00000000">
      <w:pPr>
        <w:widowControl/>
        <w:numPr>
          <w:ilvl w:val="0"/>
          <w:numId w:val="23"/>
        </w:numPr>
        <w:suppressAutoHyphens w:val="0"/>
        <w:spacing w:line="240" w:lineRule="exact"/>
        <w:ind w:firstLine="126"/>
        <w:contextualSpacing/>
        <w:jc w:val="both"/>
        <w:textAlignment w:val="auto"/>
      </w:pPr>
      <w:r>
        <w:rPr>
          <w:rFonts w:eastAsia="Times New Roman" w:cs="DIN Pro Regular"/>
          <w:b/>
          <w:bCs/>
          <w:lang w:eastAsia="es-ES"/>
        </w:rPr>
        <w:t>Otras Cuentas por Pagar a Corto Plazo:</w:t>
      </w:r>
      <w:r>
        <w:rPr>
          <w:rFonts w:eastAsia="Times New Roman" w:cs="DIN Pro Regular"/>
          <w:lang w:eastAsia="es-ES"/>
        </w:rPr>
        <w:t xml:space="preserve"> Se compone de los adeudos originados por pagos pendientes de realizar beneficiarios de seguro de vida, dicho pago se prevé realizar en un periodo menor a 90 días.</w:t>
      </w:r>
    </w:p>
    <w:p w14:paraId="6FF18F02" w14:textId="77777777" w:rsidR="00F46F69" w:rsidRDefault="00F46F69">
      <w:pPr>
        <w:widowControl/>
        <w:tabs>
          <w:tab w:val="left" w:pos="720"/>
        </w:tabs>
        <w:suppressAutoHyphens w:val="0"/>
        <w:spacing w:line="240" w:lineRule="exact"/>
        <w:ind w:left="1083"/>
        <w:jc w:val="both"/>
        <w:textAlignment w:val="auto"/>
        <w:rPr>
          <w:rFonts w:eastAsia="Times New Roman" w:cs="DIN Pro Regular"/>
          <w:lang w:eastAsia="es-ES"/>
        </w:rPr>
      </w:pPr>
    </w:p>
    <w:p w14:paraId="2108270E" w14:textId="77777777" w:rsidR="00F46F69" w:rsidRDefault="00000000">
      <w:pPr>
        <w:widowControl/>
        <w:numPr>
          <w:ilvl w:val="0"/>
          <w:numId w:val="22"/>
        </w:numPr>
        <w:tabs>
          <w:tab w:val="left" w:pos="-15525"/>
        </w:tabs>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Fondos y Bienes de Terceros en Garantía y/o Administración a Largo Plazo</w:t>
      </w:r>
    </w:p>
    <w:p w14:paraId="50CF0A25" w14:textId="77777777" w:rsidR="00F46F69" w:rsidRDefault="00F46F69">
      <w:pPr>
        <w:widowControl/>
        <w:tabs>
          <w:tab w:val="left" w:pos="720"/>
        </w:tabs>
        <w:suppressAutoHyphens w:val="0"/>
        <w:spacing w:line="240" w:lineRule="exact"/>
        <w:ind w:left="1083"/>
        <w:jc w:val="both"/>
        <w:textAlignment w:val="auto"/>
        <w:rPr>
          <w:rFonts w:eastAsia="Times New Roman" w:cs="DIN Pro Regular"/>
          <w:lang w:eastAsia="es-ES"/>
        </w:rPr>
      </w:pPr>
    </w:p>
    <w:p w14:paraId="31C500EA" w14:textId="77777777" w:rsidR="00F46F69" w:rsidRDefault="00000000">
      <w:pPr>
        <w:widowControl/>
        <w:tabs>
          <w:tab w:val="left" w:pos="720"/>
        </w:tabs>
        <w:suppressAutoHyphens w:val="0"/>
        <w:spacing w:line="240" w:lineRule="exact"/>
        <w:ind w:left="1083"/>
        <w:jc w:val="both"/>
        <w:textAlignment w:val="auto"/>
        <w:rPr>
          <w:rFonts w:eastAsia="Times New Roman" w:cs="DIN Pro Regular"/>
          <w:lang w:eastAsia="es-ES"/>
        </w:rPr>
      </w:pPr>
      <w:r>
        <w:rPr>
          <w:rFonts w:eastAsia="Times New Roman" w:cs="DIN Pro Regular"/>
          <w:lang w:eastAsia="es-ES"/>
        </w:rPr>
        <w:t>Este rubro se compone por el fondo en garantía como fianza para cumplir con el pago de pensiones alimenticias del servidor público por un importe de $1,000, que se integra como sigue:</w:t>
      </w:r>
    </w:p>
    <w:p w14:paraId="6DC0D1D1"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193E43B4"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04B7FEC6"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21B5B61E"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tbl>
      <w:tblPr>
        <w:tblW w:w="8575" w:type="dxa"/>
        <w:jc w:val="right"/>
        <w:tblCellMar>
          <w:left w:w="10" w:type="dxa"/>
          <w:right w:w="10" w:type="dxa"/>
        </w:tblCellMar>
        <w:tblLook w:val="04A0" w:firstRow="1" w:lastRow="0" w:firstColumn="1" w:lastColumn="0" w:noHBand="0" w:noVBand="1"/>
      </w:tblPr>
      <w:tblGrid>
        <w:gridCol w:w="6658"/>
        <w:gridCol w:w="1917"/>
      </w:tblGrid>
      <w:tr w:rsidR="00F46F69" w14:paraId="7C2493D8" w14:textId="77777777">
        <w:tblPrEx>
          <w:tblCellMar>
            <w:top w:w="0" w:type="dxa"/>
            <w:bottom w:w="0" w:type="dxa"/>
          </w:tblCellMar>
        </w:tblPrEx>
        <w:trPr>
          <w:trHeight w:val="480"/>
          <w:jc w:val="right"/>
        </w:trPr>
        <w:tc>
          <w:tcPr>
            <w:tcW w:w="6658"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53185B9D"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Descripción</w:t>
            </w:r>
          </w:p>
        </w:tc>
        <w:tc>
          <w:tcPr>
            <w:tcW w:w="191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87F7125"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 xml:space="preserve">Saldo al 31 de              diciembre de 2024 </w:t>
            </w:r>
          </w:p>
        </w:tc>
      </w:tr>
      <w:tr w:rsidR="00F46F69" w14:paraId="1315D197" w14:textId="77777777">
        <w:tblPrEx>
          <w:tblCellMar>
            <w:top w:w="0" w:type="dxa"/>
            <w:bottom w:w="0" w:type="dxa"/>
          </w:tblCellMar>
        </w:tblPrEx>
        <w:trPr>
          <w:trHeight w:val="325"/>
          <w:jc w:val="right"/>
        </w:trPr>
        <w:tc>
          <w:tcPr>
            <w:tcW w:w="66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48CBE4"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Fondos y Bienes de Terceros en Garantía y/o Administración a Largo Plazo</w:t>
            </w:r>
          </w:p>
        </w:tc>
        <w:tc>
          <w:tcPr>
            <w:tcW w:w="19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C2BE92" w14:textId="77777777" w:rsidR="00F46F69" w:rsidRDefault="00000000">
            <w:pPr>
              <w:widowControl/>
              <w:suppressAutoHyphens w:val="0"/>
              <w:jc w:val="right"/>
              <w:textAlignment w:val="auto"/>
              <w:rPr>
                <w:rFonts w:eastAsia="Times New Roman" w:cs="DIN Pro Regular"/>
                <w:b/>
                <w:bCs/>
                <w:lang w:eastAsia="es-ES"/>
              </w:rPr>
            </w:pPr>
            <w:r>
              <w:rPr>
                <w:rFonts w:eastAsia="Times New Roman" w:cs="DIN Pro Regular"/>
                <w:b/>
                <w:bCs/>
                <w:lang w:eastAsia="es-ES"/>
              </w:rPr>
              <w:t>$                        1,000</w:t>
            </w:r>
          </w:p>
        </w:tc>
      </w:tr>
      <w:tr w:rsidR="00F46F69" w14:paraId="1936A537" w14:textId="77777777">
        <w:tblPrEx>
          <w:tblCellMar>
            <w:top w:w="0" w:type="dxa"/>
            <w:bottom w:w="0" w:type="dxa"/>
          </w:tblCellMar>
        </w:tblPrEx>
        <w:trPr>
          <w:trHeight w:val="300"/>
          <w:jc w:val="right"/>
        </w:trPr>
        <w:tc>
          <w:tcPr>
            <w:tcW w:w="66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164C92"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Fondos en Garantía</w:t>
            </w:r>
          </w:p>
        </w:tc>
        <w:tc>
          <w:tcPr>
            <w:tcW w:w="19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845827" w14:textId="77777777" w:rsidR="00F46F69" w:rsidRDefault="00000000">
            <w:pPr>
              <w:widowControl/>
              <w:suppressAutoHyphens w:val="0"/>
              <w:jc w:val="right"/>
              <w:textAlignment w:val="auto"/>
              <w:rPr>
                <w:rFonts w:eastAsia="Times New Roman" w:cs="DIN Pro Regular"/>
                <w:lang w:eastAsia="es-ES"/>
              </w:rPr>
            </w:pPr>
            <w:r>
              <w:rPr>
                <w:rFonts w:eastAsia="Times New Roman" w:cs="DIN Pro Regular"/>
                <w:lang w:eastAsia="es-ES"/>
              </w:rPr>
              <w:t>$                        1,000</w:t>
            </w:r>
          </w:p>
        </w:tc>
      </w:tr>
    </w:tbl>
    <w:p w14:paraId="606CE8AC"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4D270971" w14:textId="77777777" w:rsidR="00F46F69" w:rsidRDefault="00000000">
      <w:pPr>
        <w:widowControl/>
        <w:numPr>
          <w:ilvl w:val="0"/>
          <w:numId w:val="22"/>
        </w:numPr>
        <w:tabs>
          <w:tab w:val="left" w:pos="-15525"/>
        </w:tabs>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Pasivos Diferidos.</w:t>
      </w:r>
    </w:p>
    <w:p w14:paraId="6DA210A9" w14:textId="77777777" w:rsidR="00F46F69" w:rsidRDefault="00000000">
      <w:pPr>
        <w:widowControl/>
        <w:tabs>
          <w:tab w:val="left" w:pos="720"/>
        </w:tabs>
        <w:suppressAutoHyphens w:val="0"/>
        <w:spacing w:line="240" w:lineRule="exact"/>
        <w:ind w:left="1083"/>
        <w:jc w:val="both"/>
        <w:textAlignment w:val="auto"/>
        <w:rPr>
          <w:rFonts w:eastAsia="Times New Roman" w:cs="DIN Pro Regular"/>
          <w:lang w:eastAsia="es-ES"/>
        </w:rPr>
      </w:pPr>
      <w:r>
        <w:rPr>
          <w:rFonts w:eastAsia="Times New Roman" w:cs="DIN Pro Regular"/>
          <w:lang w:eastAsia="es-ES"/>
        </w:rPr>
        <w:t>No Aplica</w:t>
      </w:r>
    </w:p>
    <w:p w14:paraId="7D6610B6" w14:textId="77777777" w:rsidR="00F46F69" w:rsidRDefault="00F46F69">
      <w:pPr>
        <w:widowControl/>
        <w:tabs>
          <w:tab w:val="left" w:pos="720"/>
        </w:tabs>
        <w:suppressAutoHyphens w:val="0"/>
        <w:spacing w:line="240" w:lineRule="exact"/>
        <w:ind w:left="1083"/>
        <w:jc w:val="both"/>
        <w:textAlignment w:val="auto"/>
        <w:rPr>
          <w:rFonts w:eastAsia="Times New Roman" w:cs="DIN Pro Regular"/>
          <w:lang w:eastAsia="es-ES"/>
        </w:rPr>
      </w:pPr>
    </w:p>
    <w:p w14:paraId="4F9C16EB" w14:textId="77777777" w:rsidR="00F46F69" w:rsidRDefault="00000000">
      <w:pPr>
        <w:widowControl/>
        <w:numPr>
          <w:ilvl w:val="0"/>
          <w:numId w:val="22"/>
        </w:numPr>
        <w:tabs>
          <w:tab w:val="left" w:pos="-15525"/>
        </w:tabs>
        <w:suppressAutoHyphens w:val="0"/>
        <w:spacing w:line="240" w:lineRule="exact"/>
        <w:jc w:val="both"/>
        <w:textAlignment w:val="auto"/>
        <w:rPr>
          <w:rFonts w:eastAsia="Times New Roman" w:cs="DIN Pro Regular"/>
          <w:b/>
          <w:bCs/>
          <w:lang w:eastAsia="es-ES"/>
        </w:rPr>
      </w:pPr>
      <w:r>
        <w:rPr>
          <w:rFonts w:eastAsia="Times New Roman" w:cs="DIN Pro Regular"/>
          <w:b/>
          <w:bCs/>
          <w:lang w:eastAsia="es-ES"/>
        </w:rPr>
        <w:t>Provisiones.</w:t>
      </w:r>
    </w:p>
    <w:p w14:paraId="32281881" w14:textId="77777777" w:rsidR="00F46F69" w:rsidRDefault="00000000">
      <w:pPr>
        <w:widowControl/>
        <w:tabs>
          <w:tab w:val="left" w:pos="720"/>
        </w:tabs>
        <w:suppressAutoHyphens w:val="0"/>
        <w:spacing w:line="240" w:lineRule="exact"/>
        <w:ind w:left="1083"/>
        <w:jc w:val="both"/>
        <w:textAlignment w:val="auto"/>
        <w:rPr>
          <w:rFonts w:eastAsia="Times New Roman" w:cs="DIN Pro Regular"/>
          <w:lang w:eastAsia="es-ES"/>
        </w:rPr>
      </w:pPr>
      <w:r>
        <w:rPr>
          <w:rFonts w:eastAsia="Times New Roman" w:cs="DIN Pro Regular"/>
          <w:lang w:eastAsia="es-ES"/>
        </w:rPr>
        <w:t>No Aplica</w:t>
      </w:r>
    </w:p>
    <w:p w14:paraId="4740CC41" w14:textId="77777777" w:rsidR="00F46F69" w:rsidRDefault="00F46F69">
      <w:pPr>
        <w:widowControl/>
        <w:tabs>
          <w:tab w:val="left" w:pos="720"/>
        </w:tabs>
        <w:suppressAutoHyphens w:val="0"/>
        <w:spacing w:line="240" w:lineRule="exact"/>
        <w:ind w:left="1083"/>
        <w:jc w:val="both"/>
        <w:textAlignment w:val="auto"/>
        <w:rPr>
          <w:rFonts w:eastAsia="Times New Roman" w:cs="DIN Pro Regular"/>
          <w:lang w:eastAsia="es-ES"/>
        </w:rPr>
      </w:pPr>
    </w:p>
    <w:p w14:paraId="1BE8A6B8" w14:textId="77777777" w:rsidR="00F46F69" w:rsidRDefault="00000000">
      <w:pPr>
        <w:widowControl/>
        <w:numPr>
          <w:ilvl w:val="0"/>
          <w:numId w:val="22"/>
        </w:numPr>
        <w:tabs>
          <w:tab w:val="left" w:pos="-15536"/>
        </w:tabs>
        <w:suppressAutoHyphens w:val="0"/>
        <w:spacing w:line="240" w:lineRule="exact"/>
        <w:ind w:hanging="374"/>
        <w:jc w:val="both"/>
        <w:textAlignment w:val="auto"/>
        <w:rPr>
          <w:rFonts w:eastAsia="Times New Roman" w:cs="DIN Pro Regular"/>
          <w:b/>
          <w:bCs/>
          <w:lang w:eastAsia="es-ES"/>
        </w:rPr>
      </w:pPr>
      <w:r>
        <w:rPr>
          <w:rFonts w:eastAsia="Times New Roman" w:cs="DIN Pro Regular"/>
          <w:b/>
          <w:bCs/>
          <w:lang w:eastAsia="es-ES"/>
        </w:rPr>
        <w:t>Otros Pasivos a corto y largo plazo que impacten en la información financiera.</w:t>
      </w:r>
    </w:p>
    <w:p w14:paraId="475090CC" w14:textId="77777777" w:rsidR="00F46F69" w:rsidRDefault="00000000">
      <w:pPr>
        <w:widowControl/>
        <w:tabs>
          <w:tab w:val="left" w:pos="720"/>
        </w:tabs>
        <w:suppressAutoHyphens w:val="0"/>
        <w:spacing w:line="240" w:lineRule="exact"/>
        <w:ind w:left="1083"/>
        <w:jc w:val="both"/>
        <w:textAlignment w:val="auto"/>
        <w:rPr>
          <w:rFonts w:eastAsia="Times New Roman" w:cs="DIN Pro Regular"/>
          <w:lang w:eastAsia="es-ES"/>
        </w:rPr>
      </w:pPr>
      <w:r>
        <w:rPr>
          <w:rFonts w:eastAsia="Times New Roman" w:cs="DIN Pro Regular"/>
          <w:lang w:eastAsia="es-ES"/>
        </w:rPr>
        <w:t>No aplica</w:t>
      </w:r>
    </w:p>
    <w:p w14:paraId="78CFC589"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55DA1A65" w14:textId="77777777" w:rsidR="00F46F69" w:rsidRDefault="00000000">
      <w:pPr>
        <w:widowControl/>
        <w:suppressAutoHyphens w:val="0"/>
        <w:spacing w:line="240" w:lineRule="exact"/>
        <w:ind w:left="360" w:hanging="360"/>
        <w:jc w:val="both"/>
        <w:textAlignment w:val="auto"/>
        <w:rPr>
          <w:rFonts w:eastAsia="Times New Roman" w:cs="DIN Pro Regular"/>
          <w:b/>
          <w:bCs/>
          <w:lang w:eastAsia="es-ES"/>
        </w:rPr>
      </w:pPr>
      <w:r>
        <w:rPr>
          <w:rFonts w:eastAsia="Times New Roman" w:cs="DIN Pro Regular"/>
          <w:b/>
          <w:bCs/>
          <w:lang w:eastAsia="es-ES"/>
        </w:rPr>
        <w:t>III)</w:t>
      </w:r>
      <w:r>
        <w:rPr>
          <w:rFonts w:eastAsia="Times New Roman" w:cs="DIN Pro Regular"/>
          <w:b/>
          <w:bCs/>
          <w:lang w:eastAsia="es-ES"/>
        </w:rPr>
        <w:tab/>
        <w:t>Notas al Estado de Variación en la Hacienda Pública</w:t>
      </w:r>
    </w:p>
    <w:p w14:paraId="2B3377D3" w14:textId="77777777" w:rsidR="00F46F69" w:rsidRDefault="00F46F69">
      <w:pPr>
        <w:widowControl/>
        <w:suppressAutoHyphens w:val="0"/>
        <w:spacing w:line="240" w:lineRule="exact"/>
        <w:ind w:left="360" w:hanging="360"/>
        <w:jc w:val="both"/>
        <w:textAlignment w:val="auto"/>
        <w:rPr>
          <w:rFonts w:eastAsia="Times New Roman" w:cs="DIN Pro Regular"/>
          <w:lang w:eastAsia="es-ES"/>
        </w:rPr>
      </w:pPr>
    </w:p>
    <w:p w14:paraId="7088990A" w14:textId="77777777" w:rsidR="00F46F69" w:rsidRDefault="00000000">
      <w:pPr>
        <w:widowControl/>
        <w:shd w:val="clear" w:color="auto" w:fill="FFFFFF"/>
        <w:tabs>
          <w:tab w:val="left" w:pos="851"/>
        </w:tabs>
        <w:suppressAutoHyphens w:val="0"/>
        <w:ind w:left="708"/>
        <w:jc w:val="both"/>
        <w:textAlignment w:val="auto"/>
        <w:rPr>
          <w:rFonts w:eastAsia="Times New Roman" w:cs="DIN Pro Regular"/>
          <w:lang w:eastAsia="es-ES"/>
        </w:rPr>
      </w:pPr>
      <w:bookmarkStart w:id="16" w:name="_Hlk158384315"/>
      <w:r>
        <w:rPr>
          <w:rFonts w:eastAsia="Times New Roman" w:cs="DIN Pro Regular"/>
          <w:lang w:eastAsia="es-ES"/>
        </w:rPr>
        <w:tab/>
        <w:t>El Género de la Hacienda Pública/Patrimonio registra un saldo al 31 de diciembre de 2024 por  $301,892,340 y se compone de las Donaciones de Capital que registra un saldo por  $478,796,097, el Resultado del Ejercicio que registra un desahorro por $52,120,536, el Resultado de Ejercicios Anteriores que registra un saldo por -$690,369 y de las Rectificaciones de Resultados de Ejercicios Anteriores con un saldo por -$-124,092,852, que al cierre del ejercicio fiscal 2024 se afectaron de la siguiente manera:</w:t>
      </w:r>
    </w:p>
    <w:p w14:paraId="43640819" w14:textId="77777777" w:rsidR="00F46F69" w:rsidRDefault="00000000">
      <w:pPr>
        <w:widowControl/>
        <w:numPr>
          <w:ilvl w:val="0"/>
          <w:numId w:val="24"/>
        </w:numPr>
        <w:shd w:val="clear" w:color="auto" w:fill="FFFFFF"/>
        <w:tabs>
          <w:tab w:val="left" w:pos="-15349"/>
        </w:tabs>
        <w:suppressAutoHyphens w:val="0"/>
        <w:spacing w:before="120"/>
        <w:ind w:hanging="371"/>
        <w:jc w:val="both"/>
        <w:textAlignment w:val="auto"/>
        <w:rPr>
          <w:rFonts w:eastAsia="Times New Roman" w:cs="DIN Pro Regular"/>
          <w:lang w:eastAsia="es-ES"/>
        </w:rPr>
      </w:pPr>
      <w:r>
        <w:rPr>
          <w:rFonts w:eastAsia="Times New Roman" w:cs="DIN Pro Regular"/>
          <w:lang w:eastAsia="es-ES"/>
        </w:rPr>
        <w:t>Se reintegró a la Secretaría de Finanzas, ahorros generados correspondientes a los capítulos 1000 (Servicios Personales), 2000 (Materiales y Suministros) y 3000 (Servicios Generales), cargando un importe de $49,180,897.</w:t>
      </w:r>
    </w:p>
    <w:p w14:paraId="6F977D79" w14:textId="77777777" w:rsidR="00F46F69" w:rsidRDefault="00000000">
      <w:pPr>
        <w:widowControl/>
        <w:numPr>
          <w:ilvl w:val="0"/>
          <w:numId w:val="24"/>
        </w:numPr>
        <w:shd w:val="clear" w:color="auto" w:fill="FFFFFF"/>
        <w:tabs>
          <w:tab w:val="left" w:pos="-15349"/>
        </w:tabs>
        <w:suppressAutoHyphens w:val="0"/>
        <w:spacing w:before="120"/>
        <w:jc w:val="both"/>
        <w:textAlignment w:val="auto"/>
        <w:rPr>
          <w:rFonts w:eastAsia="Times New Roman" w:cs="DIN Pro Regular"/>
          <w:lang w:eastAsia="es-ES"/>
        </w:rPr>
      </w:pPr>
      <w:r>
        <w:rPr>
          <w:rFonts w:eastAsia="Times New Roman" w:cs="DIN Pro Regular"/>
          <w:lang w:eastAsia="es-ES"/>
        </w:rPr>
        <w:t>Se realizó la cancelación de cheques no cobrados correspondientes al ejercicio 2023, abonando un importe de $1,256,173.</w:t>
      </w:r>
    </w:p>
    <w:p w14:paraId="21B5755B" w14:textId="77777777" w:rsidR="00F46F69" w:rsidRDefault="00000000">
      <w:pPr>
        <w:widowControl/>
        <w:numPr>
          <w:ilvl w:val="0"/>
          <w:numId w:val="24"/>
        </w:numPr>
        <w:shd w:val="clear" w:color="auto" w:fill="FFFFFF"/>
        <w:tabs>
          <w:tab w:val="left" w:pos="-15349"/>
        </w:tabs>
        <w:suppressAutoHyphens w:val="0"/>
        <w:spacing w:before="120"/>
        <w:jc w:val="both"/>
        <w:textAlignment w:val="auto"/>
        <w:rPr>
          <w:rFonts w:eastAsia="Times New Roman" w:cs="DIN Pro Regular"/>
          <w:lang w:eastAsia="es-ES"/>
        </w:rPr>
      </w:pPr>
      <w:r>
        <w:rPr>
          <w:rFonts w:eastAsia="Times New Roman" w:cs="DIN Pro Regular"/>
          <w:lang w:eastAsia="es-ES"/>
        </w:rPr>
        <w:t>Se realizó el registro de cuentas por cobrar por reparación de daño, abonando un importe de $411,203.</w:t>
      </w:r>
    </w:p>
    <w:p w14:paraId="4963FB33" w14:textId="77777777" w:rsidR="00F46F69" w:rsidRDefault="00000000">
      <w:pPr>
        <w:widowControl/>
        <w:numPr>
          <w:ilvl w:val="0"/>
          <w:numId w:val="24"/>
        </w:numPr>
        <w:shd w:val="clear" w:color="auto" w:fill="FFFFFF"/>
        <w:tabs>
          <w:tab w:val="left" w:pos="-15349"/>
        </w:tabs>
        <w:suppressAutoHyphens w:val="0"/>
        <w:spacing w:before="120"/>
        <w:jc w:val="both"/>
        <w:textAlignment w:val="auto"/>
        <w:rPr>
          <w:rFonts w:eastAsia="Times New Roman" w:cs="DIN Pro Regular"/>
          <w:lang w:eastAsia="es-ES"/>
        </w:rPr>
      </w:pPr>
      <w:r>
        <w:rPr>
          <w:rFonts w:eastAsia="Times New Roman" w:cs="DIN Pro Regular"/>
          <w:lang w:eastAsia="es-ES"/>
        </w:rPr>
        <w:t>Se realizó la cancelación del pasivo de la financiera nomina apoyo correspondiente al 1% de los meses de octubre, noviembre y diciembre 2023, abonando un importe de $1,438.</w:t>
      </w:r>
    </w:p>
    <w:bookmarkEnd w:id="16"/>
    <w:p w14:paraId="1BA8B6E3" w14:textId="77777777" w:rsidR="00F46F69" w:rsidRDefault="00F46F69">
      <w:pPr>
        <w:widowControl/>
        <w:shd w:val="clear" w:color="auto" w:fill="FFFFFF"/>
        <w:tabs>
          <w:tab w:val="left" w:pos="851"/>
        </w:tabs>
        <w:suppressAutoHyphens w:val="0"/>
        <w:spacing w:before="120"/>
        <w:ind w:left="1080"/>
        <w:jc w:val="both"/>
        <w:textAlignment w:val="auto"/>
        <w:rPr>
          <w:rFonts w:eastAsia="Times New Roman" w:cs="DIN Pro Regular"/>
          <w:lang w:eastAsia="es-ES"/>
        </w:rPr>
      </w:pPr>
    </w:p>
    <w:p w14:paraId="327CD066" w14:textId="77777777" w:rsidR="00F46F69" w:rsidRDefault="00000000">
      <w:pPr>
        <w:widowControl/>
        <w:suppressAutoHyphens w:val="0"/>
        <w:spacing w:line="240" w:lineRule="exact"/>
        <w:ind w:left="360" w:hanging="360"/>
        <w:jc w:val="both"/>
        <w:textAlignment w:val="auto"/>
        <w:rPr>
          <w:rFonts w:eastAsia="Times New Roman" w:cs="DIN Pro Regular"/>
          <w:b/>
          <w:bCs/>
          <w:lang w:eastAsia="es-ES"/>
        </w:rPr>
      </w:pPr>
      <w:r>
        <w:rPr>
          <w:rFonts w:eastAsia="Times New Roman" w:cs="DIN Pro Regular"/>
          <w:b/>
          <w:bCs/>
          <w:lang w:eastAsia="es-ES"/>
        </w:rPr>
        <w:t>IV)</w:t>
      </w:r>
      <w:r>
        <w:rPr>
          <w:rFonts w:eastAsia="Times New Roman" w:cs="DIN Pro Regular"/>
          <w:b/>
          <w:bCs/>
          <w:lang w:eastAsia="es-ES"/>
        </w:rPr>
        <w:tab/>
        <w:t xml:space="preserve">Notas al Estado de Flujos de Efectivo </w:t>
      </w:r>
    </w:p>
    <w:p w14:paraId="795399CA" w14:textId="77777777" w:rsidR="00F46F69" w:rsidRDefault="00F46F69">
      <w:pPr>
        <w:widowControl/>
        <w:suppressAutoHyphens w:val="0"/>
        <w:spacing w:line="240" w:lineRule="exact"/>
        <w:ind w:left="360" w:hanging="360"/>
        <w:jc w:val="both"/>
        <w:textAlignment w:val="auto"/>
        <w:rPr>
          <w:rFonts w:eastAsia="Times New Roman" w:cs="DIN Pro Regular"/>
          <w:lang w:eastAsia="es-ES"/>
        </w:rPr>
      </w:pPr>
    </w:p>
    <w:p w14:paraId="173FD831" w14:textId="77777777" w:rsidR="00F46F69" w:rsidRDefault="00000000">
      <w:pPr>
        <w:widowControl/>
        <w:tabs>
          <w:tab w:val="left" w:pos="720"/>
        </w:tabs>
        <w:suppressAutoHyphens w:val="0"/>
        <w:spacing w:line="240" w:lineRule="exact"/>
        <w:ind w:left="1140" w:hanging="432"/>
        <w:jc w:val="both"/>
        <w:textAlignment w:val="auto"/>
        <w:rPr>
          <w:rFonts w:eastAsia="Times New Roman" w:cs="DIN Pro Regular"/>
          <w:b/>
          <w:bCs/>
          <w:lang w:eastAsia="es-ES"/>
        </w:rPr>
      </w:pPr>
      <w:r>
        <w:rPr>
          <w:rFonts w:eastAsia="Times New Roman" w:cs="DIN Pro Regular"/>
          <w:b/>
          <w:bCs/>
          <w:lang w:eastAsia="es-ES"/>
        </w:rPr>
        <w:t>Efectivo y equivalentes</w:t>
      </w:r>
    </w:p>
    <w:p w14:paraId="07558262" w14:textId="77777777" w:rsidR="00F46F69" w:rsidRDefault="00F46F69">
      <w:pPr>
        <w:widowControl/>
        <w:tabs>
          <w:tab w:val="left" w:pos="720"/>
        </w:tabs>
        <w:suppressAutoHyphens w:val="0"/>
        <w:spacing w:line="240" w:lineRule="exact"/>
        <w:ind w:left="1140" w:hanging="432"/>
        <w:jc w:val="both"/>
        <w:textAlignment w:val="auto"/>
        <w:rPr>
          <w:rFonts w:eastAsia="Times New Roman" w:cs="DIN Pro Regular"/>
          <w:lang w:eastAsia="es-ES"/>
        </w:rPr>
      </w:pPr>
    </w:p>
    <w:p w14:paraId="76778E04" w14:textId="77777777" w:rsidR="00F46F69" w:rsidRDefault="00000000">
      <w:pPr>
        <w:widowControl/>
        <w:numPr>
          <w:ilvl w:val="0"/>
          <w:numId w:val="25"/>
        </w:numPr>
        <w:tabs>
          <w:tab w:val="left" w:pos="-15300"/>
        </w:tabs>
        <w:suppressAutoHyphens w:val="0"/>
        <w:spacing w:line="240" w:lineRule="exact"/>
        <w:jc w:val="both"/>
        <w:textAlignment w:val="auto"/>
        <w:rPr>
          <w:rFonts w:eastAsia="Times New Roman" w:cs="DIN Pro Regular"/>
          <w:lang w:eastAsia="es-ES"/>
        </w:rPr>
      </w:pPr>
      <w:r>
        <w:rPr>
          <w:rFonts w:eastAsia="Times New Roman" w:cs="DIN Pro Regular"/>
          <w:lang w:eastAsia="es-ES"/>
        </w:rPr>
        <w:t>El análisis de los saldos inicial y final, del Estado de Flujo de Efectivo en la cuenta de efectivo y equivalentes:</w:t>
      </w:r>
    </w:p>
    <w:p w14:paraId="639013EE"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tbl>
      <w:tblPr>
        <w:tblW w:w="8497" w:type="dxa"/>
        <w:jc w:val="center"/>
        <w:tblLayout w:type="fixed"/>
        <w:tblCellMar>
          <w:left w:w="10" w:type="dxa"/>
          <w:right w:w="10" w:type="dxa"/>
        </w:tblCellMar>
        <w:tblLook w:val="04A0" w:firstRow="1" w:lastRow="0" w:firstColumn="1" w:lastColumn="0" w:noHBand="0" w:noVBand="1"/>
      </w:tblPr>
      <w:tblGrid>
        <w:gridCol w:w="5379"/>
        <w:gridCol w:w="1559"/>
        <w:gridCol w:w="1559"/>
      </w:tblGrid>
      <w:tr w:rsidR="00F46F69" w14:paraId="640CD887" w14:textId="77777777">
        <w:tblPrEx>
          <w:tblCellMar>
            <w:top w:w="0" w:type="dxa"/>
            <w:bottom w:w="0" w:type="dxa"/>
          </w:tblCellMar>
        </w:tblPrEx>
        <w:trPr>
          <w:cantSplit/>
          <w:trHeight w:val="120"/>
          <w:jc w:val="center"/>
        </w:trPr>
        <w:tc>
          <w:tcPr>
            <w:tcW w:w="537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95981A1" w14:textId="77777777" w:rsidR="00F46F69" w:rsidRDefault="00000000">
            <w:pPr>
              <w:pStyle w:val="Standard"/>
              <w:widowControl w:val="0"/>
              <w:spacing w:after="0" w:line="224" w:lineRule="exact"/>
              <w:jc w:val="center"/>
              <w:rPr>
                <w:rFonts w:eastAsia="Times New Roman" w:cs="DIN Pro Regular"/>
                <w:sz w:val="20"/>
                <w:szCs w:val="20"/>
                <w:lang w:eastAsia="es-ES"/>
              </w:rPr>
            </w:pPr>
            <w:r>
              <w:rPr>
                <w:rFonts w:eastAsia="Times New Roman" w:cs="DIN Pro Regular"/>
                <w:sz w:val="20"/>
                <w:szCs w:val="20"/>
                <w:lang w:eastAsia="es-ES"/>
              </w:rPr>
              <w:t>Concepto</w:t>
            </w: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9CED41A" w14:textId="77777777" w:rsidR="00F46F69"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EABE8C0" w14:textId="77777777" w:rsidR="00F46F69" w:rsidRDefault="00000000">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F46F69" w14:paraId="322208CF" w14:textId="77777777">
        <w:tblPrEx>
          <w:tblCellMar>
            <w:top w:w="0" w:type="dxa"/>
            <w:bottom w:w="0" w:type="dxa"/>
          </w:tblCellMar>
        </w:tblPrEx>
        <w:trPr>
          <w:cantSplit/>
          <w:trHeight w:val="202"/>
          <w:jc w:val="center"/>
        </w:trPr>
        <w:tc>
          <w:tcPr>
            <w:tcW w:w="5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DB9785" w14:textId="77777777" w:rsidR="00F46F69" w:rsidRDefault="00000000">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50B96A" w14:textId="77777777" w:rsidR="00F46F69" w:rsidRDefault="00000000">
            <w:pPr>
              <w:pStyle w:val="Standard"/>
              <w:widowControl w:val="0"/>
              <w:spacing w:after="101" w:line="224" w:lineRule="exact"/>
              <w:rPr>
                <w:rFonts w:eastAsia="Times New Roman" w:cs="DIN Pro Regular"/>
                <w:sz w:val="20"/>
                <w:szCs w:val="20"/>
                <w:lang w:eastAsia="es-ES"/>
              </w:rPr>
            </w:pPr>
            <w:r>
              <w:rPr>
                <w:rFonts w:eastAsia="Times New Roman" w:cs="DIN Pro Regular"/>
                <w:sz w:val="20"/>
                <w:szCs w:val="20"/>
                <w:lang w:eastAsia="es-ES"/>
              </w:rPr>
              <w:t>$       85,123,254</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E5C0CB" w14:textId="77777777" w:rsidR="00F46F69" w:rsidRDefault="00000000">
            <w:pPr>
              <w:pStyle w:val="Standard"/>
              <w:widowControl w:val="0"/>
              <w:spacing w:after="101" w:line="224" w:lineRule="exact"/>
              <w:rPr>
                <w:rFonts w:eastAsia="Times New Roman" w:cs="DIN Pro Regular"/>
                <w:sz w:val="20"/>
                <w:szCs w:val="20"/>
                <w:lang w:eastAsia="es-ES"/>
              </w:rPr>
            </w:pPr>
            <w:r>
              <w:rPr>
                <w:rFonts w:eastAsia="Times New Roman" w:cs="DIN Pro Regular"/>
                <w:sz w:val="20"/>
                <w:szCs w:val="20"/>
                <w:lang w:eastAsia="es-ES"/>
              </w:rPr>
              <w:t>$     153,528,018</w:t>
            </w:r>
          </w:p>
        </w:tc>
      </w:tr>
      <w:tr w:rsidR="00F46F69" w14:paraId="691E6519" w14:textId="77777777">
        <w:tblPrEx>
          <w:tblCellMar>
            <w:top w:w="0" w:type="dxa"/>
            <w:bottom w:w="0" w:type="dxa"/>
          </w:tblCellMar>
        </w:tblPrEx>
        <w:trPr>
          <w:cantSplit/>
          <w:trHeight w:val="333"/>
          <w:jc w:val="center"/>
        </w:trPr>
        <w:tc>
          <w:tcPr>
            <w:tcW w:w="5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B8B79A" w14:textId="77777777" w:rsidR="00F46F69" w:rsidRDefault="00000000">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6876F1" w14:textId="77777777" w:rsidR="00F46F69" w:rsidRDefault="00000000">
            <w:pPr>
              <w:pStyle w:val="Standard"/>
              <w:widowControl w:val="0"/>
              <w:spacing w:after="101" w:line="224" w:lineRule="exact"/>
              <w:rPr>
                <w:rFonts w:eastAsia="Times New Roman" w:cs="DIN Pro Regular"/>
                <w:sz w:val="20"/>
                <w:szCs w:val="20"/>
                <w:lang w:eastAsia="es-ES"/>
              </w:rPr>
            </w:pPr>
            <w:r>
              <w:rPr>
                <w:rFonts w:eastAsia="Times New Roman" w:cs="DIN Pro Regular"/>
                <w:sz w:val="20"/>
                <w:szCs w:val="20"/>
                <w:lang w:eastAsia="es-ES"/>
              </w:rPr>
              <w:t>$              16,211</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A80040" w14:textId="77777777" w:rsidR="00F46F69" w:rsidRDefault="00000000">
            <w:pPr>
              <w:pStyle w:val="Standard"/>
              <w:widowControl w:val="0"/>
              <w:spacing w:after="101" w:line="224" w:lineRule="exact"/>
              <w:rPr>
                <w:rFonts w:eastAsia="Times New Roman" w:cs="DIN Pro Regular"/>
                <w:sz w:val="20"/>
                <w:szCs w:val="20"/>
                <w:lang w:eastAsia="es-ES"/>
              </w:rPr>
            </w:pPr>
            <w:r>
              <w:rPr>
                <w:rFonts w:eastAsia="Times New Roman" w:cs="DIN Pro Regular"/>
                <w:sz w:val="20"/>
                <w:szCs w:val="20"/>
                <w:lang w:eastAsia="es-ES"/>
              </w:rPr>
              <w:t>$                         0</w:t>
            </w:r>
          </w:p>
        </w:tc>
      </w:tr>
      <w:tr w:rsidR="00F46F69" w14:paraId="6388486F" w14:textId="77777777">
        <w:tblPrEx>
          <w:tblCellMar>
            <w:top w:w="0" w:type="dxa"/>
            <w:bottom w:w="0" w:type="dxa"/>
          </w:tblCellMar>
        </w:tblPrEx>
        <w:trPr>
          <w:cantSplit/>
          <w:trHeight w:val="202"/>
          <w:jc w:val="center"/>
        </w:trPr>
        <w:tc>
          <w:tcPr>
            <w:tcW w:w="53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1965B8" w14:textId="77777777" w:rsidR="00F46F69" w:rsidRDefault="00000000">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Total de Efectivo y Equivalentes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60246D" w14:textId="77777777" w:rsidR="00F46F69" w:rsidRDefault="00000000">
            <w:pPr>
              <w:pStyle w:val="Standard"/>
              <w:widowControl w:val="0"/>
              <w:spacing w:after="101" w:line="224" w:lineRule="exact"/>
              <w:rPr>
                <w:rFonts w:eastAsia="Times New Roman" w:cs="DIN Pro Regular"/>
                <w:b/>
                <w:sz w:val="20"/>
                <w:szCs w:val="20"/>
                <w:lang w:eastAsia="es-ES"/>
              </w:rPr>
            </w:pPr>
            <w:r>
              <w:rPr>
                <w:rFonts w:eastAsia="Times New Roman" w:cs="DIN Pro Regular"/>
                <w:b/>
                <w:sz w:val="20"/>
                <w:szCs w:val="20"/>
                <w:lang w:eastAsia="es-ES"/>
              </w:rPr>
              <w:t>$       85,139,465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62489B" w14:textId="77777777" w:rsidR="00F46F69" w:rsidRDefault="00000000">
            <w:pPr>
              <w:pStyle w:val="Standard"/>
              <w:widowControl w:val="0"/>
              <w:spacing w:after="101" w:line="224" w:lineRule="exact"/>
              <w:rPr>
                <w:rFonts w:eastAsia="Times New Roman" w:cs="DIN Pro Regular"/>
                <w:b/>
                <w:sz w:val="20"/>
                <w:szCs w:val="20"/>
                <w:lang w:eastAsia="es-ES"/>
              </w:rPr>
            </w:pPr>
            <w:r>
              <w:rPr>
                <w:rFonts w:eastAsia="Times New Roman" w:cs="DIN Pro Regular"/>
                <w:b/>
                <w:sz w:val="20"/>
                <w:szCs w:val="20"/>
                <w:lang w:eastAsia="es-ES"/>
              </w:rPr>
              <w:t>$     153,528,018</w:t>
            </w:r>
          </w:p>
        </w:tc>
      </w:tr>
    </w:tbl>
    <w:p w14:paraId="7E4FBA43"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53A9AAC7"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2F0979AC"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198D8C1C"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6644D2BB"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p w14:paraId="7955317D" w14:textId="77777777" w:rsidR="00F46F69" w:rsidRDefault="00000000">
      <w:pPr>
        <w:pStyle w:val="Prrafodelista"/>
        <w:numPr>
          <w:ilvl w:val="0"/>
          <w:numId w:val="25"/>
        </w:numPr>
        <w:tabs>
          <w:tab w:val="left" w:pos="-4500"/>
        </w:tabs>
        <w:suppressAutoHyphens w:val="0"/>
        <w:spacing w:line="240" w:lineRule="exact"/>
        <w:jc w:val="both"/>
        <w:textAlignment w:val="auto"/>
        <w:rPr>
          <w:rFonts w:eastAsia="Times New Roman" w:cs="DIN Pro Regular"/>
          <w:sz w:val="20"/>
          <w:szCs w:val="20"/>
          <w:lang w:eastAsia="es-ES"/>
        </w:rPr>
      </w:pPr>
      <w:r>
        <w:rPr>
          <w:rFonts w:eastAsia="Times New Roman" w:cs="DIN Pro Regular"/>
          <w:sz w:val="20"/>
          <w:szCs w:val="20"/>
          <w:lang w:eastAsia="es-ES"/>
        </w:rPr>
        <w:t>Adquisiciones de Actividades de Inversión efectivamente pagadas</w:t>
      </w:r>
    </w:p>
    <w:tbl>
      <w:tblPr>
        <w:tblW w:w="8475" w:type="dxa"/>
        <w:jc w:val="right"/>
        <w:tblLayout w:type="fixed"/>
        <w:tblCellMar>
          <w:left w:w="10" w:type="dxa"/>
          <w:right w:w="10" w:type="dxa"/>
        </w:tblCellMar>
        <w:tblLook w:val="04A0" w:firstRow="1" w:lastRow="0" w:firstColumn="1" w:lastColumn="0" w:noHBand="0" w:noVBand="1"/>
      </w:tblPr>
      <w:tblGrid>
        <w:gridCol w:w="5811"/>
        <w:gridCol w:w="1276"/>
        <w:gridCol w:w="1388"/>
      </w:tblGrid>
      <w:tr w:rsidR="00F46F69" w14:paraId="60982225" w14:textId="77777777">
        <w:tblPrEx>
          <w:tblCellMar>
            <w:top w:w="0" w:type="dxa"/>
            <w:bottom w:w="0" w:type="dxa"/>
          </w:tblCellMar>
        </w:tblPrEx>
        <w:trPr>
          <w:cantSplit/>
          <w:trHeight w:val="355"/>
          <w:jc w:val="right"/>
        </w:trPr>
        <w:tc>
          <w:tcPr>
            <w:tcW w:w="8475" w:type="dxa"/>
            <w:gridSpan w:val="3"/>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4587548" w14:textId="77777777" w:rsidR="00F46F69" w:rsidRDefault="00000000">
            <w:pPr>
              <w:spacing w:line="224" w:lineRule="exact"/>
              <w:jc w:val="center"/>
            </w:pPr>
            <w:bookmarkStart w:id="17" w:name="_Hlk158389646"/>
            <w:r>
              <w:rPr>
                <w:rFonts w:eastAsia="Times New Roman" w:cs="DIN Pro Regular"/>
                <w:b/>
                <w:color w:val="FFFFFF"/>
                <w:lang w:eastAsia="es-ES"/>
              </w:rPr>
              <w:t>Adquisiciones de Actividades de Inversión efectivamente pagadas</w:t>
            </w:r>
          </w:p>
        </w:tc>
      </w:tr>
      <w:tr w:rsidR="00F46F69" w14:paraId="3EED23DC"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762E139" w14:textId="77777777" w:rsidR="00F46F69" w:rsidRDefault="00000000">
            <w:pPr>
              <w:spacing w:after="101" w:line="224" w:lineRule="exact"/>
              <w:jc w:val="center"/>
              <w:rPr>
                <w:rFonts w:cs="DIN Pro Regular"/>
                <w:b/>
              </w:rPr>
            </w:pPr>
            <w:r>
              <w:rPr>
                <w:rFonts w:cs="DIN Pro Regular"/>
                <w:b/>
              </w:rPr>
              <w:t>Concepto</w:t>
            </w:r>
          </w:p>
        </w:tc>
        <w:tc>
          <w:tcPr>
            <w:tcW w:w="12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767243F" w14:textId="77777777" w:rsidR="00F46F69" w:rsidRDefault="00000000">
            <w:pPr>
              <w:spacing w:after="101" w:line="224" w:lineRule="exact"/>
              <w:jc w:val="center"/>
              <w:rPr>
                <w:rFonts w:eastAsia="Times New Roman" w:cs="DIN Pro Regular"/>
                <w:b/>
                <w:lang w:eastAsia="es-ES"/>
              </w:rPr>
            </w:pPr>
            <w:r>
              <w:rPr>
                <w:rFonts w:eastAsia="Times New Roman" w:cs="DIN Pro Regular"/>
                <w:b/>
                <w:lang w:eastAsia="es-ES"/>
              </w:rPr>
              <w:t>2024</w:t>
            </w:r>
          </w:p>
        </w:tc>
        <w:tc>
          <w:tcPr>
            <w:tcW w:w="138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AE644E1" w14:textId="77777777" w:rsidR="00F46F69" w:rsidRDefault="00000000">
            <w:pPr>
              <w:spacing w:after="101" w:line="224" w:lineRule="exact"/>
              <w:jc w:val="center"/>
              <w:rPr>
                <w:rFonts w:eastAsia="Times New Roman" w:cs="DIN Pro Regular"/>
                <w:b/>
                <w:lang w:eastAsia="es-ES"/>
              </w:rPr>
            </w:pPr>
            <w:r>
              <w:rPr>
                <w:rFonts w:eastAsia="Times New Roman" w:cs="DIN Pro Regular"/>
                <w:b/>
                <w:lang w:eastAsia="es-ES"/>
              </w:rPr>
              <w:t>2023</w:t>
            </w:r>
          </w:p>
        </w:tc>
      </w:tr>
      <w:bookmarkEnd w:id="17"/>
      <w:tr w:rsidR="00F46F69" w14:paraId="2CCE147B" w14:textId="77777777">
        <w:tblPrEx>
          <w:tblCellMar>
            <w:top w:w="0" w:type="dxa"/>
            <w:bottom w:w="0" w:type="dxa"/>
          </w:tblCellMar>
        </w:tblPrEx>
        <w:trPr>
          <w:cantSplit/>
          <w:trHeight w:val="65"/>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858AA3" w14:textId="77777777" w:rsidR="00F46F69" w:rsidRDefault="00000000">
            <w:pPr>
              <w:spacing w:after="101" w:line="224" w:lineRule="exact"/>
              <w:jc w:val="both"/>
            </w:pPr>
            <w:r>
              <w:rPr>
                <w:rFonts w:cs="DIN Pro Regular"/>
                <w:b/>
              </w:rPr>
              <w:t>Bienes Inmuebles, Infraestructura y Construcciones en Proceso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244F47" w14:textId="77777777" w:rsidR="00F46F69" w:rsidRDefault="00000000">
            <w:pPr>
              <w:spacing w:after="101" w:line="224" w:lineRule="exact"/>
              <w:jc w:val="center"/>
              <w:rPr>
                <w:rFonts w:eastAsia="Times New Roman" w:cs="DIN Pro Regular"/>
                <w:b/>
                <w:lang w:eastAsia="es-ES"/>
              </w:rPr>
            </w:pPr>
            <w:r>
              <w:rPr>
                <w:rFonts w:eastAsia="Times New Roman" w:cs="DIN Pro Regular"/>
                <w:b/>
                <w:lang w:eastAsia="es-ES"/>
              </w:rPr>
              <w:t>$                  0</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023C3E" w14:textId="77777777" w:rsidR="00F46F69" w:rsidRDefault="00000000">
            <w:pPr>
              <w:spacing w:after="101" w:line="224" w:lineRule="exact"/>
              <w:jc w:val="center"/>
              <w:rPr>
                <w:rFonts w:eastAsia="Times New Roman" w:cs="DIN Pro Regular"/>
                <w:b/>
                <w:lang w:eastAsia="es-ES"/>
              </w:rPr>
            </w:pPr>
            <w:r>
              <w:rPr>
                <w:rFonts w:eastAsia="Times New Roman" w:cs="DIN Pro Regular"/>
                <w:b/>
                <w:lang w:eastAsia="es-ES"/>
              </w:rPr>
              <w:t>$                    0</w:t>
            </w:r>
          </w:p>
        </w:tc>
      </w:tr>
      <w:tr w:rsidR="00F46F69" w14:paraId="006CC5B0"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F47332" w14:textId="77777777" w:rsidR="00F46F69" w:rsidRDefault="00000000">
            <w:pPr>
              <w:spacing w:after="101" w:line="224" w:lineRule="exact"/>
              <w:jc w:val="both"/>
              <w:rPr>
                <w:rFonts w:eastAsia="Times New Roman" w:cs="DIN Pro Regular"/>
                <w:b/>
                <w:lang w:eastAsia="es-ES"/>
              </w:rPr>
            </w:pPr>
            <w:r>
              <w:rPr>
                <w:rFonts w:eastAsia="Times New Roman" w:cs="DIN Pro Regular"/>
                <w:b/>
                <w:lang w:eastAsia="es-ES"/>
              </w:rPr>
              <w:t>Bienes Muebles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F42E10" w14:textId="77777777" w:rsidR="00F46F69" w:rsidRDefault="00000000">
            <w:pPr>
              <w:spacing w:after="101" w:line="224" w:lineRule="exact"/>
              <w:jc w:val="center"/>
              <w:rPr>
                <w:rFonts w:eastAsia="Times New Roman" w:cs="DIN Pro Regular"/>
                <w:b/>
                <w:lang w:eastAsia="es-ES"/>
              </w:rPr>
            </w:pPr>
            <w:r>
              <w:rPr>
                <w:rFonts w:eastAsia="Times New Roman" w:cs="DIN Pro Regular"/>
                <w:b/>
                <w:lang w:eastAsia="es-ES"/>
              </w:rPr>
              <w:t>$10,804,635</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98010B" w14:textId="77777777" w:rsidR="00F46F69" w:rsidRDefault="00000000">
            <w:pPr>
              <w:spacing w:after="101" w:line="224" w:lineRule="exact"/>
              <w:jc w:val="center"/>
              <w:rPr>
                <w:rFonts w:eastAsia="Times New Roman" w:cs="DIN Pro Regular"/>
                <w:b/>
                <w:lang w:eastAsia="es-ES"/>
              </w:rPr>
            </w:pPr>
            <w:r>
              <w:rPr>
                <w:rFonts w:eastAsia="Times New Roman" w:cs="DIN Pro Regular"/>
                <w:b/>
                <w:lang w:eastAsia="es-ES"/>
              </w:rPr>
              <w:t>$       512,978</w:t>
            </w:r>
          </w:p>
        </w:tc>
      </w:tr>
      <w:tr w:rsidR="00F46F69" w14:paraId="5D628A9A"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E89760" w14:textId="77777777" w:rsidR="00F46F69" w:rsidRDefault="00000000">
            <w:pPr>
              <w:spacing w:after="101" w:line="224" w:lineRule="exact"/>
              <w:jc w:val="both"/>
              <w:rPr>
                <w:rFonts w:eastAsia="Times New Roman" w:cs="DIN Pro Regular"/>
                <w:lang w:eastAsia="es-ES"/>
              </w:rPr>
            </w:pPr>
            <w:r>
              <w:rPr>
                <w:rFonts w:eastAsia="Times New Roman" w:cs="DIN Pro Regular"/>
                <w:lang w:eastAsia="es-ES"/>
              </w:rPr>
              <w:t>Mobiliario y Equipo de Administración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041EAF"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3,501,717</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19F896"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0</w:t>
            </w:r>
          </w:p>
        </w:tc>
      </w:tr>
      <w:tr w:rsidR="00F46F69" w14:paraId="1D85245F"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6C1661" w14:textId="77777777" w:rsidR="00F46F69" w:rsidRDefault="00000000">
            <w:pPr>
              <w:spacing w:after="101" w:line="224" w:lineRule="exact"/>
              <w:jc w:val="both"/>
              <w:rPr>
                <w:rFonts w:eastAsia="Times New Roman" w:cs="DIN Pro Regular"/>
                <w:lang w:eastAsia="es-ES"/>
              </w:rPr>
            </w:pPr>
            <w:r>
              <w:rPr>
                <w:rFonts w:eastAsia="Times New Roman" w:cs="DIN Pro Regular"/>
                <w:lang w:eastAsia="es-ES"/>
              </w:rPr>
              <w:t>Mobiliario y Equipo Educacional y Recreativo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A3584F"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80,997</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7FBD11"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60,691</w:t>
            </w:r>
          </w:p>
        </w:tc>
      </w:tr>
      <w:tr w:rsidR="00F46F69" w14:paraId="668FF120"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11945" w14:textId="77777777" w:rsidR="00F46F69" w:rsidRDefault="00000000">
            <w:pPr>
              <w:spacing w:after="101" w:line="224" w:lineRule="exact"/>
              <w:jc w:val="both"/>
              <w:rPr>
                <w:rFonts w:eastAsia="Times New Roman" w:cs="DIN Pro Regular"/>
                <w:lang w:eastAsia="es-ES"/>
              </w:rPr>
            </w:pPr>
            <w:r>
              <w:rPr>
                <w:rFonts w:eastAsia="Times New Roman" w:cs="DIN Pro Regular"/>
                <w:lang w:eastAsia="es-ES"/>
              </w:rPr>
              <w:t>Equipo e Instrumental Médico y de Laboratorio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C32DDA"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0</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C2F078"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443,967</w:t>
            </w:r>
          </w:p>
        </w:tc>
      </w:tr>
      <w:tr w:rsidR="00F46F69" w14:paraId="17346A53"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22480B" w14:textId="77777777" w:rsidR="00F46F69" w:rsidRDefault="00000000">
            <w:pPr>
              <w:spacing w:after="101" w:line="224" w:lineRule="exact"/>
              <w:jc w:val="both"/>
              <w:rPr>
                <w:rFonts w:eastAsia="Times New Roman" w:cs="DIN Pro Regular"/>
                <w:lang w:eastAsia="es-ES"/>
              </w:rPr>
            </w:pPr>
            <w:r>
              <w:rPr>
                <w:rFonts w:eastAsia="Times New Roman" w:cs="DIN Pro Regular"/>
                <w:lang w:eastAsia="es-ES"/>
              </w:rPr>
              <w:t>Maquinaria, Otros Equipos y Herramientas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32ABA8"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7,217,347</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F027D2"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3,250</w:t>
            </w:r>
          </w:p>
        </w:tc>
      </w:tr>
      <w:tr w:rsidR="00F46F69" w14:paraId="7D739405"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DFAD1F" w14:textId="77777777" w:rsidR="00F46F69" w:rsidRDefault="00000000">
            <w:pPr>
              <w:spacing w:after="101" w:line="224" w:lineRule="exact"/>
              <w:jc w:val="both"/>
              <w:rPr>
                <w:rFonts w:eastAsia="Times New Roman" w:cs="DIN Pro Regular"/>
                <w:lang w:eastAsia="es-ES"/>
              </w:rPr>
            </w:pPr>
            <w:r>
              <w:rPr>
                <w:rFonts w:eastAsia="Times New Roman" w:cs="DIN Pro Regular"/>
                <w:lang w:eastAsia="es-ES"/>
              </w:rPr>
              <w:t>Activos Intangibles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01563B"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4,574</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55D25A" w14:textId="77777777" w:rsidR="00F46F69" w:rsidRDefault="00000000">
            <w:pPr>
              <w:spacing w:after="101" w:line="224" w:lineRule="exact"/>
              <w:jc w:val="center"/>
              <w:rPr>
                <w:rFonts w:eastAsia="Times New Roman" w:cs="DIN Pro Regular"/>
                <w:lang w:eastAsia="es-ES"/>
              </w:rPr>
            </w:pPr>
            <w:r>
              <w:rPr>
                <w:rFonts w:eastAsia="Times New Roman" w:cs="DIN Pro Regular"/>
                <w:lang w:eastAsia="es-ES"/>
              </w:rPr>
              <w:t>$            5,070</w:t>
            </w:r>
          </w:p>
        </w:tc>
      </w:tr>
      <w:tr w:rsidR="00F46F69" w14:paraId="5A4B68D0" w14:textId="77777777">
        <w:tblPrEx>
          <w:tblCellMar>
            <w:top w:w="0" w:type="dxa"/>
            <w:bottom w:w="0" w:type="dxa"/>
          </w:tblCellMar>
        </w:tblPrEx>
        <w:trPr>
          <w:cantSplit/>
          <w:jc w:val="right"/>
        </w:trPr>
        <w:tc>
          <w:tcPr>
            <w:tcW w:w="58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026F0A" w14:textId="77777777" w:rsidR="00F46F69" w:rsidRDefault="00000000">
            <w:pPr>
              <w:spacing w:after="101" w:line="224" w:lineRule="exact"/>
              <w:jc w:val="right"/>
            </w:pPr>
            <w:r>
              <w:rPr>
                <w:rFonts w:eastAsia="Times New Roman" w:cs="DIN Pro Regular"/>
                <w:b/>
                <w:lang w:eastAsia="es-ES"/>
              </w:rPr>
              <w:t>Total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66AA9C6" w14:textId="77777777" w:rsidR="00F46F69" w:rsidRDefault="00000000">
            <w:pPr>
              <w:spacing w:after="101" w:line="224" w:lineRule="exact"/>
              <w:jc w:val="center"/>
              <w:rPr>
                <w:rFonts w:eastAsia="Times New Roman" w:cs="DIN Pro Regular"/>
                <w:b/>
                <w:bCs/>
                <w:lang w:eastAsia="es-ES"/>
              </w:rPr>
            </w:pPr>
            <w:r>
              <w:rPr>
                <w:rFonts w:eastAsia="Times New Roman" w:cs="DIN Pro Regular"/>
                <w:b/>
                <w:bCs/>
                <w:lang w:eastAsia="es-ES"/>
              </w:rPr>
              <w:t>$10,804,635</w:t>
            </w:r>
          </w:p>
        </w:tc>
        <w:tc>
          <w:tcPr>
            <w:tcW w:w="13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FFF449" w14:textId="77777777" w:rsidR="00F46F69" w:rsidRDefault="00000000">
            <w:pPr>
              <w:spacing w:after="101" w:line="224" w:lineRule="exact"/>
              <w:jc w:val="center"/>
            </w:pPr>
            <w:r>
              <w:rPr>
                <w:rFonts w:eastAsia="Times New Roman" w:cs="DIN Pro Regular"/>
                <w:b/>
                <w:lang w:eastAsia="es-ES"/>
              </w:rPr>
              <w:t>$       512,978</w:t>
            </w:r>
          </w:p>
        </w:tc>
      </w:tr>
    </w:tbl>
    <w:p w14:paraId="1A00DAAB" w14:textId="77777777" w:rsidR="00F46F69" w:rsidRDefault="00F46F69">
      <w:pPr>
        <w:tabs>
          <w:tab w:val="left" w:pos="720"/>
        </w:tabs>
        <w:suppressAutoHyphens w:val="0"/>
        <w:spacing w:line="240" w:lineRule="exact"/>
        <w:jc w:val="both"/>
        <w:textAlignment w:val="auto"/>
        <w:rPr>
          <w:rFonts w:eastAsia="Times New Roman" w:cs="DIN Pro Regular"/>
          <w:lang w:eastAsia="es-ES"/>
        </w:rPr>
      </w:pPr>
    </w:p>
    <w:p w14:paraId="2DD18333" w14:textId="77777777" w:rsidR="00F46F69" w:rsidRDefault="00000000">
      <w:pPr>
        <w:pStyle w:val="Prrafodelista"/>
        <w:numPr>
          <w:ilvl w:val="0"/>
          <w:numId w:val="25"/>
        </w:numPr>
        <w:tabs>
          <w:tab w:val="left" w:pos="-4500"/>
        </w:tabs>
        <w:suppressAutoHyphens w:val="0"/>
        <w:spacing w:line="240" w:lineRule="exact"/>
        <w:jc w:val="both"/>
        <w:textAlignment w:val="auto"/>
        <w:rPr>
          <w:rFonts w:eastAsia="Times New Roman" w:cs="DIN Pro Regular"/>
          <w:sz w:val="20"/>
          <w:szCs w:val="20"/>
          <w:lang w:eastAsia="es-ES"/>
        </w:rPr>
      </w:pPr>
      <w:r>
        <w:rPr>
          <w:rFonts w:eastAsia="Times New Roman" w:cs="DIN Pro Regular"/>
          <w:sz w:val="20"/>
          <w:szCs w:val="20"/>
          <w:lang w:eastAsia="es-ES"/>
        </w:rPr>
        <w:t>Conciliación de los Flujos de Efectivo Netos de las Actividades de Operación y la cuenta de Ahorro/Desahorro antes de Rubros Extraordinarios:</w:t>
      </w:r>
    </w:p>
    <w:p w14:paraId="59A31464" w14:textId="77777777" w:rsidR="00F46F69" w:rsidRDefault="00F46F69">
      <w:pPr>
        <w:widowControl/>
        <w:tabs>
          <w:tab w:val="left" w:pos="720"/>
        </w:tabs>
        <w:suppressAutoHyphens w:val="0"/>
        <w:spacing w:line="240" w:lineRule="exact"/>
        <w:jc w:val="both"/>
        <w:textAlignment w:val="auto"/>
        <w:rPr>
          <w:rFonts w:eastAsia="Times New Roman" w:cs="DIN Pro Regular"/>
          <w:lang w:eastAsia="es-ES"/>
        </w:rPr>
      </w:pPr>
    </w:p>
    <w:tbl>
      <w:tblPr>
        <w:tblW w:w="8292" w:type="dxa"/>
        <w:jc w:val="right"/>
        <w:tblCellMar>
          <w:left w:w="10" w:type="dxa"/>
          <w:right w:w="10" w:type="dxa"/>
        </w:tblCellMar>
        <w:tblLook w:val="04A0" w:firstRow="1" w:lastRow="0" w:firstColumn="1" w:lastColumn="0" w:noHBand="0" w:noVBand="1"/>
      </w:tblPr>
      <w:tblGrid>
        <w:gridCol w:w="5529"/>
        <w:gridCol w:w="1417"/>
        <w:gridCol w:w="1346"/>
      </w:tblGrid>
      <w:tr w:rsidR="00F46F69" w14:paraId="40A6A2A5" w14:textId="77777777">
        <w:tblPrEx>
          <w:tblCellMar>
            <w:top w:w="0" w:type="dxa"/>
            <w:bottom w:w="0" w:type="dxa"/>
          </w:tblCellMar>
        </w:tblPrEx>
        <w:trPr>
          <w:trHeight w:val="300"/>
          <w:jc w:val="right"/>
        </w:trPr>
        <w:tc>
          <w:tcPr>
            <w:tcW w:w="5529"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0522A80"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Concepto</w:t>
            </w:r>
          </w:p>
        </w:tc>
        <w:tc>
          <w:tcPr>
            <w:tcW w:w="1417"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B355919"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2024</w:t>
            </w:r>
          </w:p>
        </w:tc>
        <w:tc>
          <w:tcPr>
            <w:tcW w:w="1346"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8A803CD" w14:textId="77777777" w:rsidR="00F46F69" w:rsidRDefault="00000000">
            <w:pPr>
              <w:widowControl/>
              <w:suppressAutoHyphens w:val="0"/>
              <w:jc w:val="center"/>
              <w:textAlignment w:val="auto"/>
              <w:rPr>
                <w:rFonts w:eastAsia="Times New Roman" w:cs="DIN Pro Regular"/>
                <w:b/>
                <w:bCs/>
                <w:lang w:eastAsia="es-ES"/>
              </w:rPr>
            </w:pPr>
            <w:r>
              <w:rPr>
                <w:rFonts w:eastAsia="Times New Roman" w:cs="DIN Pro Regular"/>
                <w:b/>
                <w:bCs/>
                <w:lang w:eastAsia="es-ES"/>
              </w:rPr>
              <w:t>2023</w:t>
            </w:r>
          </w:p>
        </w:tc>
      </w:tr>
      <w:tr w:rsidR="00F46F69" w14:paraId="7A98D92B" w14:textId="77777777">
        <w:tblPrEx>
          <w:tblCellMar>
            <w:top w:w="0" w:type="dxa"/>
            <w:bottom w:w="0" w:type="dxa"/>
          </w:tblCellMar>
        </w:tblPrEx>
        <w:trPr>
          <w:cantSplit/>
          <w:trHeight w:val="300"/>
          <w:jc w:val="right"/>
        </w:trPr>
        <w:tc>
          <w:tcPr>
            <w:tcW w:w="552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BA5F3E"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 xml:space="preserve">Resultados del Ejercicio Ahorro/Desahorro </w:t>
            </w:r>
          </w:p>
        </w:tc>
        <w:tc>
          <w:tcPr>
            <w:tcW w:w="14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E4BC6B"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52,120,536</w:t>
            </w:r>
          </w:p>
        </w:tc>
        <w:tc>
          <w:tcPr>
            <w:tcW w:w="1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1D281D"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14,004,271</w:t>
            </w:r>
          </w:p>
        </w:tc>
      </w:tr>
      <w:tr w:rsidR="00F46F69" w14:paraId="3F19E607" w14:textId="77777777">
        <w:tblPrEx>
          <w:tblCellMar>
            <w:top w:w="0" w:type="dxa"/>
            <w:bottom w:w="0" w:type="dxa"/>
          </w:tblCellMar>
        </w:tblPrEx>
        <w:trPr>
          <w:cantSplit/>
          <w:trHeight w:val="321"/>
          <w:jc w:val="right"/>
        </w:trPr>
        <w:tc>
          <w:tcPr>
            <w:tcW w:w="552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D0318B"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Movimientos de partidas (o rubros) que no afectan al efectivo.</w:t>
            </w:r>
          </w:p>
        </w:tc>
        <w:tc>
          <w:tcPr>
            <w:tcW w:w="14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098320"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w:t>
            </w:r>
          </w:p>
        </w:tc>
        <w:tc>
          <w:tcPr>
            <w:tcW w:w="1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F85677"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w:t>
            </w:r>
          </w:p>
        </w:tc>
      </w:tr>
      <w:tr w:rsidR="00F46F69" w14:paraId="7F1203B4" w14:textId="77777777">
        <w:tblPrEx>
          <w:tblCellMar>
            <w:top w:w="0" w:type="dxa"/>
            <w:bottom w:w="0" w:type="dxa"/>
          </w:tblCellMar>
        </w:tblPrEx>
        <w:trPr>
          <w:cantSplit/>
          <w:trHeight w:val="300"/>
          <w:jc w:val="right"/>
        </w:trPr>
        <w:tc>
          <w:tcPr>
            <w:tcW w:w="552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A695E"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Depreciación</w:t>
            </w:r>
          </w:p>
        </w:tc>
        <w:tc>
          <w:tcPr>
            <w:tcW w:w="14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C91849"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76,924,715</w:t>
            </w:r>
          </w:p>
        </w:tc>
        <w:tc>
          <w:tcPr>
            <w:tcW w:w="1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B579E4"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87,793,974</w:t>
            </w:r>
          </w:p>
        </w:tc>
      </w:tr>
      <w:tr w:rsidR="00F46F69" w14:paraId="24888B9F" w14:textId="77777777">
        <w:tblPrEx>
          <w:tblCellMar>
            <w:top w:w="0" w:type="dxa"/>
            <w:bottom w:w="0" w:type="dxa"/>
          </w:tblCellMar>
        </w:tblPrEx>
        <w:trPr>
          <w:cantSplit/>
          <w:trHeight w:val="300"/>
          <w:jc w:val="right"/>
        </w:trPr>
        <w:tc>
          <w:tcPr>
            <w:tcW w:w="552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51576"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Incrementos en las provisiones</w:t>
            </w:r>
          </w:p>
        </w:tc>
        <w:tc>
          <w:tcPr>
            <w:tcW w:w="14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B5407C"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24,034,503</w:t>
            </w:r>
          </w:p>
        </w:tc>
        <w:tc>
          <w:tcPr>
            <w:tcW w:w="1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77AF2F"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44,912,884</w:t>
            </w:r>
          </w:p>
        </w:tc>
      </w:tr>
      <w:tr w:rsidR="00F46F69" w14:paraId="0D7A9CC9" w14:textId="77777777">
        <w:tblPrEx>
          <w:tblCellMar>
            <w:top w:w="0" w:type="dxa"/>
            <w:bottom w:w="0" w:type="dxa"/>
          </w:tblCellMar>
        </w:tblPrEx>
        <w:trPr>
          <w:cantSplit/>
          <w:trHeight w:val="300"/>
          <w:jc w:val="right"/>
        </w:trPr>
        <w:tc>
          <w:tcPr>
            <w:tcW w:w="552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611BAB"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Incremento en cuentas por cobrar</w:t>
            </w:r>
          </w:p>
        </w:tc>
        <w:tc>
          <w:tcPr>
            <w:tcW w:w="14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6F3ED9"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3,437,785</w:t>
            </w:r>
          </w:p>
        </w:tc>
        <w:tc>
          <w:tcPr>
            <w:tcW w:w="1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CAC87F" w14:textId="77777777" w:rsidR="00F46F69" w:rsidRDefault="00000000">
            <w:pPr>
              <w:widowControl/>
              <w:suppressAutoHyphens w:val="0"/>
              <w:textAlignment w:val="auto"/>
              <w:rPr>
                <w:rFonts w:eastAsia="Times New Roman" w:cs="DIN Pro Regular"/>
                <w:lang w:eastAsia="es-ES"/>
              </w:rPr>
            </w:pPr>
            <w:r>
              <w:rPr>
                <w:rFonts w:eastAsia="Times New Roman" w:cs="DIN Pro Regular"/>
                <w:lang w:eastAsia="es-ES"/>
              </w:rPr>
              <w:t>-$    3,437,785</w:t>
            </w:r>
          </w:p>
        </w:tc>
      </w:tr>
      <w:tr w:rsidR="00F46F69" w14:paraId="1AD5B36B" w14:textId="77777777">
        <w:tblPrEx>
          <w:tblCellMar>
            <w:top w:w="0" w:type="dxa"/>
            <w:bottom w:w="0" w:type="dxa"/>
          </w:tblCellMar>
        </w:tblPrEx>
        <w:trPr>
          <w:cantSplit/>
          <w:trHeight w:val="385"/>
          <w:jc w:val="right"/>
        </w:trPr>
        <w:tc>
          <w:tcPr>
            <w:tcW w:w="552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DD8D08"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 xml:space="preserve">Flujos de Efectivo Netos de las Actividades de Operación </w:t>
            </w:r>
          </w:p>
        </w:tc>
        <w:tc>
          <w:tcPr>
            <w:tcW w:w="14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7846B8"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45,400,897</w:t>
            </w:r>
          </w:p>
        </w:tc>
        <w:tc>
          <w:tcPr>
            <w:tcW w:w="134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3DE062"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$ 115,264,801</w:t>
            </w:r>
          </w:p>
        </w:tc>
      </w:tr>
    </w:tbl>
    <w:p w14:paraId="1350E2F9" w14:textId="77777777" w:rsidR="00F46F69" w:rsidRDefault="00F46F69">
      <w:pPr>
        <w:widowControl/>
        <w:suppressAutoHyphens w:val="0"/>
        <w:spacing w:line="240" w:lineRule="exact"/>
        <w:textAlignment w:val="auto"/>
        <w:rPr>
          <w:rFonts w:eastAsia="Times New Roman" w:cs="DIN Pro Regular"/>
          <w:lang w:eastAsia="es-ES"/>
        </w:rPr>
      </w:pPr>
    </w:p>
    <w:p w14:paraId="21201F6F" w14:textId="77777777" w:rsidR="00F46F69" w:rsidRDefault="00F46F69">
      <w:pPr>
        <w:widowControl/>
        <w:suppressAutoHyphens w:val="0"/>
        <w:spacing w:line="240" w:lineRule="exact"/>
        <w:textAlignment w:val="auto"/>
        <w:rPr>
          <w:rFonts w:eastAsia="Times New Roman" w:cs="DIN Pro Regular"/>
          <w:lang w:eastAsia="es-ES"/>
        </w:rPr>
      </w:pPr>
    </w:p>
    <w:p w14:paraId="6862A8E8" w14:textId="77777777" w:rsidR="00F46F69" w:rsidRDefault="00F46F69">
      <w:pPr>
        <w:widowControl/>
        <w:suppressAutoHyphens w:val="0"/>
        <w:spacing w:line="240" w:lineRule="exact"/>
        <w:textAlignment w:val="auto"/>
        <w:rPr>
          <w:rFonts w:eastAsia="Times New Roman" w:cs="DIN Pro Regular"/>
          <w:lang w:eastAsia="es-ES"/>
        </w:rPr>
      </w:pPr>
    </w:p>
    <w:p w14:paraId="2BF6C657" w14:textId="77777777" w:rsidR="00F46F69" w:rsidRDefault="00F46F69">
      <w:pPr>
        <w:widowControl/>
        <w:suppressAutoHyphens w:val="0"/>
        <w:spacing w:line="240" w:lineRule="exact"/>
        <w:textAlignment w:val="auto"/>
        <w:rPr>
          <w:rFonts w:eastAsia="Times New Roman" w:cs="DIN Pro Regular"/>
          <w:lang w:eastAsia="es-ES"/>
        </w:rPr>
      </w:pPr>
    </w:p>
    <w:p w14:paraId="3523CD53" w14:textId="77777777" w:rsidR="00F46F69" w:rsidRDefault="00F46F69">
      <w:pPr>
        <w:widowControl/>
        <w:suppressAutoHyphens w:val="0"/>
        <w:spacing w:line="240" w:lineRule="exact"/>
        <w:textAlignment w:val="auto"/>
        <w:rPr>
          <w:rFonts w:eastAsia="Times New Roman" w:cs="DIN Pro Regular"/>
          <w:lang w:eastAsia="es-ES"/>
        </w:rPr>
      </w:pPr>
    </w:p>
    <w:p w14:paraId="3988BB33" w14:textId="77777777" w:rsidR="00F46F69" w:rsidRDefault="00F46F69">
      <w:pPr>
        <w:widowControl/>
        <w:suppressAutoHyphens w:val="0"/>
        <w:spacing w:line="240" w:lineRule="exact"/>
        <w:textAlignment w:val="auto"/>
        <w:rPr>
          <w:rFonts w:eastAsia="Times New Roman" w:cs="DIN Pro Regular"/>
          <w:lang w:eastAsia="es-ES"/>
        </w:rPr>
      </w:pPr>
    </w:p>
    <w:p w14:paraId="4D826965" w14:textId="77777777" w:rsidR="00F46F69" w:rsidRDefault="00F46F69">
      <w:pPr>
        <w:widowControl/>
        <w:suppressAutoHyphens w:val="0"/>
        <w:spacing w:line="240" w:lineRule="exact"/>
        <w:textAlignment w:val="auto"/>
        <w:rPr>
          <w:rFonts w:eastAsia="Times New Roman" w:cs="DIN Pro Regular"/>
          <w:lang w:eastAsia="es-ES"/>
        </w:rPr>
      </w:pPr>
    </w:p>
    <w:p w14:paraId="1F1227AD" w14:textId="77777777" w:rsidR="00F46F69" w:rsidRDefault="00F46F69">
      <w:pPr>
        <w:widowControl/>
        <w:suppressAutoHyphens w:val="0"/>
        <w:spacing w:line="240" w:lineRule="exact"/>
        <w:textAlignment w:val="auto"/>
        <w:rPr>
          <w:rFonts w:eastAsia="Times New Roman" w:cs="DIN Pro Regular"/>
          <w:lang w:eastAsia="es-ES"/>
        </w:rPr>
      </w:pPr>
    </w:p>
    <w:p w14:paraId="1688E57A" w14:textId="77777777" w:rsidR="00F46F69" w:rsidRDefault="00F46F69">
      <w:pPr>
        <w:widowControl/>
        <w:suppressAutoHyphens w:val="0"/>
        <w:spacing w:line="240" w:lineRule="exact"/>
        <w:textAlignment w:val="auto"/>
        <w:rPr>
          <w:rFonts w:eastAsia="Times New Roman" w:cs="DIN Pro Regular"/>
          <w:lang w:eastAsia="es-ES"/>
        </w:rPr>
      </w:pPr>
    </w:p>
    <w:p w14:paraId="1CD833B1" w14:textId="77777777" w:rsidR="00F46F69" w:rsidRDefault="00F46F69">
      <w:pPr>
        <w:widowControl/>
        <w:suppressAutoHyphens w:val="0"/>
        <w:spacing w:line="240" w:lineRule="exact"/>
        <w:textAlignment w:val="auto"/>
        <w:rPr>
          <w:rFonts w:eastAsia="Times New Roman" w:cs="DIN Pro Regular"/>
          <w:lang w:eastAsia="es-ES"/>
        </w:rPr>
      </w:pPr>
    </w:p>
    <w:p w14:paraId="2D43D3E2" w14:textId="77777777" w:rsidR="00F46F69" w:rsidRDefault="00F46F69">
      <w:pPr>
        <w:widowControl/>
        <w:suppressAutoHyphens w:val="0"/>
        <w:spacing w:line="240" w:lineRule="exact"/>
        <w:textAlignment w:val="auto"/>
        <w:rPr>
          <w:rFonts w:eastAsia="Times New Roman" w:cs="DIN Pro Regular"/>
          <w:lang w:eastAsia="es-ES"/>
        </w:rPr>
      </w:pPr>
    </w:p>
    <w:p w14:paraId="1E2462FD" w14:textId="77777777" w:rsidR="00F46F69" w:rsidRDefault="00F46F69">
      <w:pPr>
        <w:widowControl/>
        <w:suppressAutoHyphens w:val="0"/>
        <w:spacing w:line="240" w:lineRule="exact"/>
        <w:textAlignment w:val="auto"/>
        <w:rPr>
          <w:rFonts w:eastAsia="Times New Roman" w:cs="DIN Pro Regular"/>
          <w:lang w:eastAsia="es-ES"/>
        </w:rPr>
      </w:pPr>
    </w:p>
    <w:p w14:paraId="74F64E3C" w14:textId="77777777" w:rsidR="00F46F69" w:rsidRDefault="00F46F69">
      <w:pPr>
        <w:widowControl/>
        <w:suppressAutoHyphens w:val="0"/>
        <w:spacing w:line="240" w:lineRule="exact"/>
        <w:textAlignment w:val="auto"/>
        <w:rPr>
          <w:rFonts w:eastAsia="Times New Roman" w:cs="DIN Pro Regular"/>
          <w:lang w:eastAsia="es-ES"/>
        </w:rPr>
      </w:pPr>
    </w:p>
    <w:p w14:paraId="28245B32" w14:textId="77777777" w:rsidR="00F46F69" w:rsidRDefault="00F46F69">
      <w:pPr>
        <w:widowControl/>
        <w:suppressAutoHyphens w:val="0"/>
        <w:spacing w:line="240" w:lineRule="exact"/>
        <w:textAlignment w:val="auto"/>
        <w:rPr>
          <w:rFonts w:eastAsia="Times New Roman" w:cs="DIN Pro Regular"/>
          <w:lang w:eastAsia="es-ES"/>
        </w:rPr>
      </w:pPr>
    </w:p>
    <w:p w14:paraId="15CB4956" w14:textId="77777777" w:rsidR="00F46F69" w:rsidRDefault="00F46F69">
      <w:pPr>
        <w:widowControl/>
        <w:suppressAutoHyphens w:val="0"/>
        <w:spacing w:line="240" w:lineRule="exact"/>
        <w:textAlignment w:val="auto"/>
        <w:rPr>
          <w:rFonts w:eastAsia="Times New Roman" w:cs="DIN Pro Regular"/>
          <w:lang w:eastAsia="es-ES"/>
        </w:rPr>
      </w:pPr>
    </w:p>
    <w:p w14:paraId="32C91640" w14:textId="77777777" w:rsidR="00F46F69" w:rsidRDefault="00F46F69">
      <w:pPr>
        <w:widowControl/>
        <w:suppressAutoHyphens w:val="0"/>
        <w:spacing w:line="240" w:lineRule="exact"/>
        <w:textAlignment w:val="auto"/>
        <w:rPr>
          <w:rFonts w:eastAsia="Times New Roman" w:cs="DIN Pro Regular"/>
          <w:lang w:eastAsia="es-ES"/>
        </w:rPr>
      </w:pPr>
    </w:p>
    <w:p w14:paraId="67675CF4" w14:textId="77777777" w:rsidR="00F46F69" w:rsidRDefault="00F46F69">
      <w:pPr>
        <w:widowControl/>
        <w:suppressAutoHyphens w:val="0"/>
        <w:spacing w:line="240" w:lineRule="exact"/>
        <w:textAlignment w:val="auto"/>
        <w:rPr>
          <w:rFonts w:eastAsia="Times New Roman" w:cs="DIN Pro Regular"/>
          <w:lang w:eastAsia="es-ES"/>
        </w:rPr>
      </w:pPr>
    </w:p>
    <w:p w14:paraId="0365F654" w14:textId="77777777" w:rsidR="00F46F69" w:rsidRDefault="00F46F69">
      <w:pPr>
        <w:widowControl/>
        <w:suppressAutoHyphens w:val="0"/>
        <w:spacing w:line="240" w:lineRule="exact"/>
        <w:textAlignment w:val="auto"/>
        <w:rPr>
          <w:rFonts w:eastAsia="Times New Roman" w:cs="DIN Pro Regular"/>
          <w:lang w:eastAsia="es-ES"/>
        </w:rPr>
      </w:pPr>
    </w:p>
    <w:p w14:paraId="79A7A764" w14:textId="77777777" w:rsidR="00F46F69" w:rsidRDefault="00F46F69">
      <w:pPr>
        <w:widowControl/>
        <w:suppressAutoHyphens w:val="0"/>
        <w:spacing w:line="240" w:lineRule="exact"/>
        <w:textAlignment w:val="auto"/>
        <w:rPr>
          <w:rFonts w:eastAsia="Times New Roman" w:cs="DIN Pro Regular"/>
          <w:lang w:eastAsia="es-ES"/>
        </w:rPr>
      </w:pPr>
    </w:p>
    <w:p w14:paraId="2FCD8DFB" w14:textId="77777777" w:rsidR="00F46F69" w:rsidRDefault="00F46F69">
      <w:pPr>
        <w:widowControl/>
        <w:suppressAutoHyphens w:val="0"/>
        <w:spacing w:line="240" w:lineRule="exact"/>
        <w:textAlignment w:val="auto"/>
        <w:rPr>
          <w:rFonts w:eastAsia="Times New Roman" w:cs="DIN Pro Regular"/>
          <w:lang w:eastAsia="es-ES"/>
        </w:rPr>
      </w:pPr>
    </w:p>
    <w:p w14:paraId="7BCCAA53" w14:textId="77777777" w:rsidR="00F46F69" w:rsidRDefault="00F46F69">
      <w:pPr>
        <w:widowControl/>
        <w:suppressAutoHyphens w:val="0"/>
        <w:spacing w:line="240" w:lineRule="exact"/>
        <w:textAlignment w:val="auto"/>
        <w:rPr>
          <w:rFonts w:eastAsia="Times New Roman" w:cs="DIN Pro Regular"/>
          <w:lang w:eastAsia="es-ES"/>
        </w:rPr>
      </w:pPr>
    </w:p>
    <w:p w14:paraId="75AF31AD" w14:textId="77777777" w:rsidR="00F46F69" w:rsidRDefault="00F46F69">
      <w:pPr>
        <w:widowControl/>
        <w:suppressAutoHyphens w:val="0"/>
        <w:spacing w:line="240" w:lineRule="exact"/>
        <w:textAlignment w:val="auto"/>
        <w:rPr>
          <w:rFonts w:eastAsia="Times New Roman" w:cs="DIN Pro Regular"/>
          <w:lang w:eastAsia="es-ES"/>
        </w:rPr>
      </w:pPr>
    </w:p>
    <w:p w14:paraId="5D11C00B" w14:textId="77777777" w:rsidR="00F46F69" w:rsidRDefault="00000000">
      <w:pPr>
        <w:widowControl/>
        <w:suppressAutoHyphens w:val="0"/>
        <w:spacing w:line="240" w:lineRule="exact"/>
        <w:textAlignment w:val="auto"/>
        <w:rPr>
          <w:rFonts w:eastAsia="Times New Roman" w:cs="DIN Pro Regular"/>
          <w:b/>
          <w:bCs/>
          <w:lang w:eastAsia="es-ES"/>
        </w:rPr>
      </w:pPr>
      <w:r>
        <w:rPr>
          <w:rFonts w:eastAsia="Times New Roman" w:cs="DIN Pro Regular"/>
          <w:b/>
          <w:bCs/>
          <w:lang w:eastAsia="es-ES"/>
        </w:rPr>
        <w:t>V) Conciliación entre los ingresos presupuestarios y contables, así como entre los egresos presupuestarios y los gastos contables</w:t>
      </w:r>
    </w:p>
    <w:p w14:paraId="0D014C20" w14:textId="77777777" w:rsidR="00F46F69" w:rsidRDefault="00000000">
      <w:pPr>
        <w:widowControl/>
        <w:suppressAutoHyphens w:val="0"/>
        <w:textAlignment w:val="auto"/>
        <w:rPr>
          <w:rFonts w:eastAsia="Times New Roman" w:cs="DIN Pro Regular"/>
          <w:b/>
          <w:bCs/>
          <w:lang w:eastAsia="es-ES"/>
        </w:rPr>
      </w:pPr>
      <w:r>
        <w:rPr>
          <w:rFonts w:eastAsia="Times New Roman" w:cs="DIN Pro Regular"/>
          <w:b/>
          <w:bCs/>
          <w:lang w:eastAsia="es-ES"/>
        </w:rPr>
        <w:t xml:space="preserve">                                    </w:t>
      </w:r>
    </w:p>
    <w:p w14:paraId="05D23135" w14:textId="77777777" w:rsidR="00F46F69" w:rsidRDefault="00F46F69">
      <w:pPr>
        <w:pStyle w:val="INCISO"/>
        <w:spacing w:after="0" w:line="240" w:lineRule="exact"/>
        <w:ind w:left="0" w:firstLine="0"/>
      </w:pPr>
    </w:p>
    <w:p w14:paraId="6BB67FF7" w14:textId="77777777" w:rsidR="00F46F69" w:rsidRDefault="00000000">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251659264" behindDoc="0" locked="0" layoutInCell="1" allowOverlap="1" wp14:anchorId="1900E18C" wp14:editId="51D98782">
                <wp:simplePos x="0" y="0"/>
                <wp:positionH relativeFrom="column">
                  <wp:posOffset>281882</wp:posOffset>
                </wp:positionH>
                <wp:positionV relativeFrom="paragraph">
                  <wp:posOffset>111236</wp:posOffset>
                </wp:positionV>
                <wp:extent cx="5448937" cy="6398898"/>
                <wp:effectExtent l="0" t="0" r="18413" b="1902"/>
                <wp:wrapSquare wrapText="bothSides"/>
                <wp:docPr id="1498413262"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F46F69" w14:paraId="4B22C7C8"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89E2E58" w14:textId="77777777" w:rsidR="00F46F69" w:rsidRDefault="00000000">
                                  <w:pPr>
                                    <w:pStyle w:val="Standard"/>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Fiscalía General de Justicia del Estado de Tamaulipas </w:t>
                                  </w:r>
                                </w:p>
                              </w:tc>
                              <w:tc>
                                <w:tcPr>
                                  <w:tcW w:w="160" w:type="dxa"/>
                                  <w:shd w:val="clear" w:color="auto" w:fill="auto"/>
                                  <w:tcMar>
                                    <w:top w:w="0" w:type="dxa"/>
                                    <w:left w:w="70" w:type="dxa"/>
                                    <w:bottom w:w="0" w:type="dxa"/>
                                    <w:right w:w="70" w:type="dxa"/>
                                  </w:tcMar>
                                </w:tcPr>
                                <w:p w14:paraId="5764A535" w14:textId="77777777" w:rsidR="00F46F69" w:rsidRDefault="00F46F69">
                                  <w:pPr>
                                    <w:pStyle w:val="Standard"/>
                                    <w:widowControl w:val="0"/>
                                  </w:pPr>
                                </w:p>
                              </w:tc>
                            </w:tr>
                            <w:tr w:rsidR="00F46F69" w14:paraId="1B1687B4"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0572238"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9C87AA8" w14:textId="77777777" w:rsidR="00F46F69" w:rsidRDefault="00F46F69">
                                  <w:pPr>
                                    <w:pStyle w:val="Standard"/>
                                    <w:widowControl w:val="0"/>
                                  </w:pPr>
                                </w:p>
                              </w:tc>
                            </w:tr>
                            <w:tr w:rsidR="00F46F69" w14:paraId="1427FEB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A60C3DB"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D467CA0" w14:textId="77777777" w:rsidR="00F46F69" w:rsidRDefault="00F46F69">
                                  <w:pPr>
                                    <w:pStyle w:val="Standard"/>
                                    <w:widowControl w:val="0"/>
                                  </w:pPr>
                                </w:p>
                              </w:tc>
                            </w:tr>
                            <w:tr w:rsidR="00F46F69" w14:paraId="45017073"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D626374"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228E37DA" w14:textId="77777777" w:rsidR="00F46F69" w:rsidRDefault="00F46F69">
                                  <w:pPr>
                                    <w:pStyle w:val="Standard"/>
                                    <w:widowControl w:val="0"/>
                                  </w:pPr>
                                </w:p>
                              </w:tc>
                            </w:tr>
                            <w:tr w:rsidR="00F46F69" w14:paraId="50D0B8FF"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343C5D7" w14:textId="77777777" w:rsidR="00F46F69" w:rsidRDefault="00F46F6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A09AFAF"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0A5999A"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C02784C"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55CDBCCC" w14:textId="77777777" w:rsidR="00F46F69" w:rsidRDefault="00F46F69">
                                  <w:pPr>
                                    <w:pStyle w:val="Standard"/>
                                    <w:widowControl w:val="0"/>
                                  </w:pPr>
                                </w:p>
                              </w:tc>
                            </w:tr>
                            <w:tr w:rsidR="00F46F69" w14:paraId="13B4C78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55F523"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AA2C22" w14:textId="77777777" w:rsidR="00F46F69" w:rsidRDefault="00000000">
                                  <w:pPr>
                                    <w:pStyle w:val="Standard"/>
                                    <w:widowControl w:val="0"/>
                                    <w:spacing w:after="0" w:line="240" w:lineRule="auto"/>
                                    <w:jc w:val="right"/>
                                  </w:pPr>
                                  <w:r>
                                    <w:rPr>
                                      <w:rFonts w:eastAsia="Times New Roman" w:cs="DIN Pro Regular"/>
                                      <w:b/>
                                      <w:color w:val="000000"/>
                                      <w:sz w:val="20"/>
                                      <w:szCs w:val="20"/>
                                      <w:lang w:eastAsia="es-MX"/>
                                    </w:rPr>
                                    <w:t>$</w:t>
                                  </w:r>
                                  <w:r>
                                    <w:t xml:space="preserve">                          </w:t>
                                  </w:r>
                                  <w:r>
                                    <w:rPr>
                                      <w:rFonts w:eastAsia="Times New Roman" w:cs="DIN Pro Regular"/>
                                      <w:b/>
                                      <w:color w:val="000000"/>
                                      <w:sz w:val="20"/>
                                      <w:szCs w:val="20"/>
                                      <w:lang w:eastAsia="es-MX"/>
                                    </w:rPr>
                                    <w:t>1,517,385,743</w:t>
                                  </w:r>
                                </w:p>
                              </w:tc>
                              <w:tc>
                                <w:tcPr>
                                  <w:tcW w:w="160" w:type="dxa"/>
                                  <w:shd w:val="clear" w:color="auto" w:fill="auto"/>
                                  <w:tcMar>
                                    <w:top w:w="0" w:type="dxa"/>
                                    <w:left w:w="70" w:type="dxa"/>
                                    <w:bottom w:w="0" w:type="dxa"/>
                                    <w:right w:w="70" w:type="dxa"/>
                                  </w:tcMar>
                                </w:tcPr>
                                <w:p w14:paraId="296C0E43"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316BE81F" w14:textId="77777777" w:rsidR="00F46F69" w:rsidRDefault="00F46F69">
                                  <w:pPr>
                                    <w:pStyle w:val="Standard"/>
                                    <w:widowControl w:val="0"/>
                                  </w:pPr>
                                </w:p>
                              </w:tc>
                            </w:tr>
                            <w:tr w:rsidR="00F46F69" w14:paraId="053E1AB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9584158" w14:textId="77777777" w:rsidR="00F46F69" w:rsidRDefault="00F46F6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9CF8DA1"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5A795053"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B0B5D23"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7E00F183" w14:textId="77777777" w:rsidR="00F46F69" w:rsidRDefault="00F46F69">
                                  <w:pPr>
                                    <w:pStyle w:val="Standard"/>
                                    <w:widowControl w:val="0"/>
                                  </w:pPr>
                                </w:p>
                              </w:tc>
                            </w:tr>
                            <w:tr w:rsidR="00F46F69" w14:paraId="76D7276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A939627"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F42E6F"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745,282</w:t>
                                  </w:r>
                                </w:p>
                              </w:tc>
                              <w:tc>
                                <w:tcPr>
                                  <w:tcW w:w="160" w:type="dxa"/>
                                  <w:shd w:val="clear" w:color="auto" w:fill="auto"/>
                                  <w:tcMar>
                                    <w:top w:w="0" w:type="dxa"/>
                                    <w:left w:w="70" w:type="dxa"/>
                                    <w:bottom w:w="0" w:type="dxa"/>
                                    <w:right w:w="70" w:type="dxa"/>
                                  </w:tcMar>
                                </w:tcPr>
                                <w:p w14:paraId="14A6311E"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46B708BD" w14:textId="77777777" w:rsidR="00F46F69" w:rsidRDefault="00F46F69">
                                  <w:pPr>
                                    <w:pStyle w:val="Standard"/>
                                    <w:widowControl w:val="0"/>
                                  </w:pPr>
                                </w:p>
                              </w:tc>
                            </w:tr>
                            <w:tr w:rsidR="00F46F69" w14:paraId="63AADE6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0EA395" w14:textId="77777777" w:rsidR="00F46F69"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661F8"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0954F0"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745,282</w:t>
                                  </w:r>
                                </w:p>
                              </w:tc>
                              <w:tc>
                                <w:tcPr>
                                  <w:tcW w:w="160" w:type="dxa"/>
                                  <w:shd w:val="clear" w:color="auto" w:fill="auto"/>
                                  <w:tcMar>
                                    <w:top w:w="0" w:type="dxa"/>
                                    <w:left w:w="70" w:type="dxa"/>
                                    <w:bottom w:w="0" w:type="dxa"/>
                                    <w:right w:w="70" w:type="dxa"/>
                                  </w:tcMar>
                                </w:tcPr>
                                <w:p w14:paraId="620C5FF7"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0FCA6C56" w14:textId="77777777" w:rsidR="00F46F69" w:rsidRDefault="00F46F69">
                                  <w:pPr>
                                    <w:pStyle w:val="Standard"/>
                                    <w:widowControl w:val="0"/>
                                  </w:pPr>
                                </w:p>
                              </w:tc>
                            </w:tr>
                            <w:tr w:rsidR="00F46F69" w14:paraId="24A0EEC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231A58"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B65E49"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4BF8D4"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36959C7B"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C429D43"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F4344F"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879E81"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D8929B"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2F7D12AF"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59E1025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97FD70"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E29352"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3A7E44"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150AC980"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DEAC74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23074A"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B7341"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1687F"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3D72887C"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940EA0D"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ECAF09" w14:textId="77777777" w:rsidR="00F46F69"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03D2FF"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06C25B9A"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1204B17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A5FDD05"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4AAF0306"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3713E0E9"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0A81B6C"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1C30AA5F" w14:textId="77777777" w:rsidR="00F46F69" w:rsidRDefault="00F46F69">
                                  <w:pPr>
                                    <w:pStyle w:val="Standard"/>
                                    <w:widowControl w:val="0"/>
                                  </w:pPr>
                                </w:p>
                              </w:tc>
                            </w:tr>
                            <w:tr w:rsidR="00F46F69" w14:paraId="3A94B3E2"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18E97C"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C23049"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shd w:val="clear" w:color="auto" w:fill="auto"/>
                                  <w:tcMar>
                                    <w:top w:w="0" w:type="dxa"/>
                                    <w:left w:w="70" w:type="dxa"/>
                                    <w:bottom w:w="0" w:type="dxa"/>
                                    <w:right w:w="70" w:type="dxa"/>
                                  </w:tcMar>
                                </w:tcPr>
                                <w:p w14:paraId="53C32C1F"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018085AB" w14:textId="77777777" w:rsidR="00F46F69" w:rsidRDefault="00F46F69">
                                  <w:pPr>
                                    <w:pStyle w:val="Standard"/>
                                    <w:widowControl w:val="0"/>
                                  </w:pPr>
                                </w:p>
                              </w:tc>
                            </w:tr>
                            <w:tr w:rsidR="00F46F69" w14:paraId="2AD2E28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C5B8DF" w14:textId="77777777" w:rsidR="00F46F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522B2A"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4EB052"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160" w:type="dxa"/>
                                  <w:shd w:val="clear" w:color="auto" w:fill="auto"/>
                                  <w:tcMar>
                                    <w:top w:w="0" w:type="dxa"/>
                                    <w:left w:w="70" w:type="dxa"/>
                                    <w:bottom w:w="0" w:type="dxa"/>
                                    <w:right w:w="70" w:type="dxa"/>
                                  </w:tcMar>
                                </w:tcPr>
                                <w:p w14:paraId="29CEE6E6"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017CC65F" w14:textId="77777777" w:rsidR="00F46F69" w:rsidRDefault="00F46F69">
                                  <w:pPr>
                                    <w:pStyle w:val="Standard"/>
                                    <w:widowControl w:val="0"/>
                                  </w:pPr>
                                </w:p>
                              </w:tc>
                            </w:tr>
                            <w:tr w:rsidR="00F46F69" w14:paraId="2E55617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4A5CB1" w14:textId="77777777" w:rsidR="00F46F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D2E859"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28921A"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177994FD"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129C149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88C483" w14:textId="77777777" w:rsidR="00F46F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7847F"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D2CABC"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7AB87CE3"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2EB565D2"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08CDBB26" w14:textId="77777777" w:rsidR="00F46F69" w:rsidRDefault="00F46F69">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57914452"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AF6DB5F"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6B4AC6B1" w14:textId="77777777" w:rsidR="00F46F69" w:rsidRDefault="00F46F69">
                                  <w:pPr>
                                    <w:pStyle w:val="Standard"/>
                                    <w:widowControl w:val="0"/>
                                  </w:pPr>
                                </w:p>
                              </w:tc>
                            </w:tr>
                            <w:tr w:rsidR="00F46F69" w14:paraId="67F9328B"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0FE3F6" w14:textId="77777777" w:rsidR="00F46F69"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91075"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1,518,131,025</w:t>
                                  </w:r>
                                </w:p>
                              </w:tc>
                              <w:tc>
                                <w:tcPr>
                                  <w:tcW w:w="160" w:type="dxa"/>
                                  <w:shd w:val="clear" w:color="auto" w:fill="auto"/>
                                  <w:tcMar>
                                    <w:top w:w="0" w:type="dxa"/>
                                    <w:left w:w="70" w:type="dxa"/>
                                    <w:bottom w:w="0" w:type="dxa"/>
                                    <w:right w:w="70" w:type="dxa"/>
                                  </w:tcMar>
                                </w:tcPr>
                                <w:p w14:paraId="7CE94C44"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1D1FCC9C" w14:textId="77777777" w:rsidR="00F46F69" w:rsidRDefault="00F46F69">
                                  <w:pPr>
                                    <w:pStyle w:val="Standard"/>
                                    <w:widowControl w:val="0"/>
                                  </w:pPr>
                                </w:p>
                              </w:tc>
                            </w:tr>
                          </w:tbl>
                          <w:p w14:paraId="5E14EF56" w14:textId="77777777" w:rsidR="00F46F69" w:rsidRDefault="00F46F69"/>
                        </w:txbxContent>
                      </wps:txbx>
                      <wps:bodyPr vert="horz" wrap="none" lIns="0" tIns="0" rIns="0" bIns="0" anchor="t" anchorCtr="0" compatLnSpc="0">
                        <a:spAutoFit/>
                      </wps:bodyPr>
                    </wps:wsp>
                  </a:graphicData>
                </a:graphic>
              </wp:anchor>
            </w:drawing>
          </mc:Choice>
          <mc:Fallback>
            <w:pict>
              <v:shapetype w14:anchorId="1900E18C"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jc w:val="center"/>
                        <w:tblLayout w:type="fixed"/>
                        <w:tblCellMar>
                          <w:left w:w="10" w:type="dxa"/>
                          <w:right w:w="10" w:type="dxa"/>
                        </w:tblCellMar>
                        <w:tblLook w:val="04A0" w:firstRow="1" w:lastRow="0" w:firstColumn="1" w:lastColumn="0" w:noHBand="0" w:noVBand="1"/>
                      </w:tblPr>
                      <w:tblGrid>
                        <w:gridCol w:w="603"/>
                        <w:gridCol w:w="5015"/>
                        <w:gridCol w:w="2714"/>
                        <w:gridCol w:w="160"/>
                        <w:gridCol w:w="160"/>
                      </w:tblGrid>
                      <w:tr w:rsidR="00F46F69" w14:paraId="4B22C7C8" w14:textId="77777777">
                        <w:tblPrEx>
                          <w:tblCellMar>
                            <w:top w:w="0" w:type="dxa"/>
                            <w:bottom w:w="0" w:type="dxa"/>
                          </w:tblCellMar>
                        </w:tblPrEx>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289E2E58" w14:textId="77777777" w:rsidR="00F46F69" w:rsidRDefault="00000000">
                            <w:pPr>
                              <w:pStyle w:val="Standard"/>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Fiscalía General de Justicia del Estado de Tamaulipas </w:t>
                            </w:r>
                          </w:p>
                        </w:tc>
                        <w:tc>
                          <w:tcPr>
                            <w:tcW w:w="160" w:type="dxa"/>
                            <w:shd w:val="clear" w:color="auto" w:fill="auto"/>
                            <w:tcMar>
                              <w:top w:w="0" w:type="dxa"/>
                              <w:left w:w="70" w:type="dxa"/>
                              <w:bottom w:w="0" w:type="dxa"/>
                              <w:right w:w="70" w:type="dxa"/>
                            </w:tcMar>
                          </w:tcPr>
                          <w:p w14:paraId="5764A535" w14:textId="77777777" w:rsidR="00F46F69" w:rsidRDefault="00F46F69">
                            <w:pPr>
                              <w:pStyle w:val="Standard"/>
                              <w:widowControl w:val="0"/>
                            </w:pPr>
                          </w:p>
                        </w:tc>
                      </w:tr>
                      <w:tr w:rsidR="00F46F69" w14:paraId="1B1687B4"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10572238"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79C87AA8" w14:textId="77777777" w:rsidR="00F46F69" w:rsidRDefault="00F46F69">
                            <w:pPr>
                              <w:pStyle w:val="Standard"/>
                              <w:widowControl w:val="0"/>
                            </w:pPr>
                          </w:p>
                        </w:tc>
                      </w:tr>
                      <w:tr w:rsidR="00F46F69" w14:paraId="1427FEB0" w14:textId="77777777">
                        <w:tblPrEx>
                          <w:tblCellMar>
                            <w:top w:w="0" w:type="dxa"/>
                            <w:bottom w:w="0" w:type="dxa"/>
                          </w:tblCellMar>
                        </w:tblPrEx>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A60C3DB"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D467CA0" w14:textId="77777777" w:rsidR="00F46F69" w:rsidRDefault="00F46F69">
                            <w:pPr>
                              <w:pStyle w:val="Standard"/>
                              <w:widowControl w:val="0"/>
                            </w:pPr>
                          </w:p>
                        </w:tc>
                      </w:tr>
                      <w:tr w:rsidR="00F46F69" w14:paraId="45017073" w14:textId="77777777">
                        <w:tblPrEx>
                          <w:tblCellMar>
                            <w:top w:w="0" w:type="dxa"/>
                            <w:bottom w:w="0" w:type="dxa"/>
                          </w:tblCellMar>
                        </w:tblPrEx>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D626374"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228E37DA" w14:textId="77777777" w:rsidR="00F46F69" w:rsidRDefault="00F46F69">
                            <w:pPr>
                              <w:pStyle w:val="Standard"/>
                              <w:widowControl w:val="0"/>
                            </w:pPr>
                          </w:p>
                        </w:tc>
                      </w:tr>
                      <w:tr w:rsidR="00F46F69" w14:paraId="50D0B8FF"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6343C5D7" w14:textId="77777777" w:rsidR="00F46F69" w:rsidRDefault="00F46F6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3A09AFAF"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0A5999A"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C02784C"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55CDBCCC" w14:textId="77777777" w:rsidR="00F46F69" w:rsidRDefault="00F46F69">
                            <w:pPr>
                              <w:pStyle w:val="Standard"/>
                              <w:widowControl w:val="0"/>
                            </w:pPr>
                          </w:p>
                        </w:tc>
                      </w:tr>
                      <w:tr w:rsidR="00F46F69" w14:paraId="13B4C78E"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55F523"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AA2C22" w14:textId="77777777" w:rsidR="00F46F69" w:rsidRDefault="00000000">
                            <w:pPr>
                              <w:pStyle w:val="Standard"/>
                              <w:widowControl w:val="0"/>
                              <w:spacing w:after="0" w:line="240" w:lineRule="auto"/>
                              <w:jc w:val="right"/>
                            </w:pPr>
                            <w:r>
                              <w:rPr>
                                <w:rFonts w:eastAsia="Times New Roman" w:cs="DIN Pro Regular"/>
                                <w:b/>
                                <w:color w:val="000000"/>
                                <w:sz w:val="20"/>
                                <w:szCs w:val="20"/>
                                <w:lang w:eastAsia="es-MX"/>
                              </w:rPr>
                              <w:t>$</w:t>
                            </w:r>
                            <w:r>
                              <w:t xml:space="preserve">                          </w:t>
                            </w:r>
                            <w:r>
                              <w:rPr>
                                <w:rFonts w:eastAsia="Times New Roman" w:cs="DIN Pro Regular"/>
                                <w:b/>
                                <w:color w:val="000000"/>
                                <w:sz w:val="20"/>
                                <w:szCs w:val="20"/>
                                <w:lang w:eastAsia="es-MX"/>
                              </w:rPr>
                              <w:t>1,517,385,743</w:t>
                            </w:r>
                          </w:p>
                        </w:tc>
                        <w:tc>
                          <w:tcPr>
                            <w:tcW w:w="160" w:type="dxa"/>
                            <w:shd w:val="clear" w:color="auto" w:fill="auto"/>
                            <w:tcMar>
                              <w:top w:w="0" w:type="dxa"/>
                              <w:left w:w="70" w:type="dxa"/>
                              <w:bottom w:w="0" w:type="dxa"/>
                              <w:right w:w="70" w:type="dxa"/>
                            </w:tcMar>
                          </w:tcPr>
                          <w:p w14:paraId="296C0E43"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316BE81F" w14:textId="77777777" w:rsidR="00F46F69" w:rsidRDefault="00F46F69">
                            <w:pPr>
                              <w:pStyle w:val="Standard"/>
                              <w:widowControl w:val="0"/>
                            </w:pPr>
                          </w:p>
                        </w:tc>
                      </w:tr>
                      <w:tr w:rsidR="00F46F69" w14:paraId="053E1AB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19584158" w14:textId="77777777" w:rsidR="00F46F69" w:rsidRDefault="00F46F69">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9CF8DA1"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5A795053"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B0B5D23"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7E00F183" w14:textId="77777777" w:rsidR="00F46F69" w:rsidRDefault="00F46F69">
                            <w:pPr>
                              <w:pStyle w:val="Standard"/>
                              <w:widowControl w:val="0"/>
                            </w:pPr>
                          </w:p>
                        </w:tc>
                      </w:tr>
                      <w:tr w:rsidR="00F46F69" w14:paraId="76D72761"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A939627"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F42E6F"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745,282</w:t>
                            </w:r>
                          </w:p>
                        </w:tc>
                        <w:tc>
                          <w:tcPr>
                            <w:tcW w:w="160" w:type="dxa"/>
                            <w:shd w:val="clear" w:color="auto" w:fill="auto"/>
                            <w:tcMar>
                              <w:top w:w="0" w:type="dxa"/>
                              <w:left w:w="70" w:type="dxa"/>
                              <w:bottom w:w="0" w:type="dxa"/>
                              <w:right w:w="70" w:type="dxa"/>
                            </w:tcMar>
                          </w:tcPr>
                          <w:p w14:paraId="14A6311E"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46B708BD" w14:textId="77777777" w:rsidR="00F46F69" w:rsidRDefault="00F46F69">
                            <w:pPr>
                              <w:pStyle w:val="Standard"/>
                              <w:widowControl w:val="0"/>
                            </w:pPr>
                          </w:p>
                        </w:tc>
                      </w:tr>
                      <w:tr w:rsidR="00F46F69" w14:paraId="63AADE68"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0EA395" w14:textId="77777777" w:rsidR="00F46F69" w:rsidRDefault="00000000">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661F8"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0954F0"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745,282</w:t>
                            </w:r>
                          </w:p>
                        </w:tc>
                        <w:tc>
                          <w:tcPr>
                            <w:tcW w:w="160" w:type="dxa"/>
                            <w:shd w:val="clear" w:color="auto" w:fill="auto"/>
                            <w:tcMar>
                              <w:top w:w="0" w:type="dxa"/>
                              <w:left w:w="70" w:type="dxa"/>
                              <w:bottom w:w="0" w:type="dxa"/>
                              <w:right w:w="70" w:type="dxa"/>
                            </w:tcMar>
                          </w:tcPr>
                          <w:p w14:paraId="620C5FF7"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0FCA6C56" w14:textId="77777777" w:rsidR="00F46F69" w:rsidRDefault="00F46F69">
                            <w:pPr>
                              <w:pStyle w:val="Standard"/>
                              <w:widowControl w:val="0"/>
                            </w:pPr>
                          </w:p>
                        </w:tc>
                      </w:tr>
                      <w:tr w:rsidR="00F46F69" w14:paraId="24A0EEC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D231A58"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B65E49"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4BF8D4"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36959C7B"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C429D43" w14:textId="77777777">
                        <w:tblPrEx>
                          <w:tblCellMar>
                            <w:top w:w="0" w:type="dxa"/>
                            <w:bottom w:w="0" w:type="dxa"/>
                          </w:tblCellMar>
                        </w:tblPrEx>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F4344F"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879E81"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D8929B"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2F7D12AF"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59E10253"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97FD70"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E29352"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3A7E44"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150AC980"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DEAC74C"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23074A" w14:textId="77777777" w:rsidR="00F46F69" w:rsidRDefault="00000000">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B7341"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1687F"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3D72887C"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940EA0D" w14:textId="77777777">
                        <w:tblPrEx>
                          <w:tblCellMar>
                            <w:top w:w="0" w:type="dxa"/>
                            <w:bottom w:w="0" w:type="dxa"/>
                          </w:tblCellMar>
                        </w:tblPrEx>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ECAF09" w14:textId="77777777" w:rsidR="00F46F69" w:rsidRDefault="00000000">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03D2FF"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06C25B9A"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1204B177" w14:textId="77777777">
                        <w:tblPrEx>
                          <w:tblCellMar>
                            <w:top w:w="0" w:type="dxa"/>
                            <w:bottom w:w="0" w:type="dxa"/>
                          </w:tblCellMar>
                        </w:tblPrEx>
                        <w:trPr>
                          <w:trHeight w:val="334"/>
                          <w:jc w:val="center"/>
                        </w:trPr>
                        <w:tc>
                          <w:tcPr>
                            <w:tcW w:w="603" w:type="dxa"/>
                            <w:shd w:val="clear" w:color="auto" w:fill="auto"/>
                            <w:tcMar>
                              <w:top w:w="0" w:type="dxa"/>
                              <w:left w:w="70" w:type="dxa"/>
                              <w:bottom w:w="0" w:type="dxa"/>
                              <w:right w:w="70" w:type="dxa"/>
                            </w:tcMar>
                            <w:vAlign w:val="center"/>
                          </w:tcPr>
                          <w:p w14:paraId="7A5FDD05"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4AAF0306"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3713E0E9"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10A81B6C"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1C30AA5F" w14:textId="77777777" w:rsidR="00F46F69" w:rsidRDefault="00F46F69">
                            <w:pPr>
                              <w:pStyle w:val="Standard"/>
                              <w:widowControl w:val="0"/>
                            </w:pPr>
                          </w:p>
                        </w:tc>
                      </w:tr>
                      <w:tr w:rsidR="00F46F69" w14:paraId="3A94B3E2" w14:textId="77777777">
                        <w:tblPrEx>
                          <w:tblCellMar>
                            <w:top w:w="0" w:type="dxa"/>
                            <w:bottom w:w="0" w:type="dxa"/>
                          </w:tblCellMar>
                        </w:tblPrEx>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918E97C"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C23049"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0</w:t>
                            </w:r>
                          </w:p>
                        </w:tc>
                        <w:tc>
                          <w:tcPr>
                            <w:tcW w:w="160" w:type="dxa"/>
                            <w:shd w:val="clear" w:color="auto" w:fill="auto"/>
                            <w:tcMar>
                              <w:top w:w="0" w:type="dxa"/>
                              <w:left w:w="70" w:type="dxa"/>
                              <w:bottom w:w="0" w:type="dxa"/>
                              <w:right w:w="70" w:type="dxa"/>
                            </w:tcMar>
                          </w:tcPr>
                          <w:p w14:paraId="53C32C1F"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018085AB" w14:textId="77777777" w:rsidR="00F46F69" w:rsidRDefault="00F46F69">
                            <w:pPr>
                              <w:pStyle w:val="Standard"/>
                              <w:widowControl w:val="0"/>
                            </w:pPr>
                          </w:p>
                        </w:tc>
                      </w:tr>
                      <w:tr w:rsidR="00F46F69" w14:paraId="2AD2E28F"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5C5B8DF" w14:textId="77777777" w:rsidR="00F46F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522B2A"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4EB052"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160" w:type="dxa"/>
                            <w:shd w:val="clear" w:color="auto" w:fill="auto"/>
                            <w:tcMar>
                              <w:top w:w="0" w:type="dxa"/>
                              <w:left w:w="70" w:type="dxa"/>
                              <w:bottom w:w="0" w:type="dxa"/>
                              <w:right w:w="70" w:type="dxa"/>
                            </w:tcMar>
                          </w:tcPr>
                          <w:p w14:paraId="29CEE6E6"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017CC65F" w14:textId="77777777" w:rsidR="00F46F69" w:rsidRDefault="00F46F69">
                            <w:pPr>
                              <w:pStyle w:val="Standard"/>
                              <w:widowControl w:val="0"/>
                            </w:pPr>
                          </w:p>
                        </w:tc>
                      </w:tr>
                      <w:tr w:rsidR="00F46F69" w14:paraId="2E556176"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4A5CB1" w14:textId="77777777" w:rsidR="00F46F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D2E859"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28921A"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177994FD"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129C1491" w14:textId="77777777">
                        <w:tblPrEx>
                          <w:tblCellMar>
                            <w:top w:w="0" w:type="dxa"/>
                            <w:bottom w:w="0" w:type="dxa"/>
                          </w:tblCellMar>
                        </w:tblPrEx>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88C483" w14:textId="77777777" w:rsidR="00F46F69" w:rsidRDefault="00000000">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7847F"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D2CABC"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7AB87CE3"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2EB565D2" w14:textId="77777777">
                        <w:tblPrEx>
                          <w:tblCellMar>
                            <w:top w:w="0" w:type="dxa"/>
                            <w:bottom w:w="0" w:type="dxa"/>
                          </w:tblCellMar>
                        </w:tblPrEx>
                        <w:trPr>
                          <w:trHeight w:val="334"/>
                          <w:jc w:val="center"/>
                        </w:trPr>
                        <w:tc>
                          <w:tcPr>
                            <w:tcW w:w="5618" w:type="dxa"/>
                            <w:gridSpan w:val="2"/>
                            <w:shd w:val="clear" w:color="auto" w:fill="auto"/>
                            <w:tcMar>
                              <w:top w:w="0" w:type="dxa"/>
                              <w:left w:w="70" w:type="dxa"/>
                              <w:bottom w:w="0" w:type="dxa"/>
                              <w:right w:w="70" w:type="dxa"/>
                            </w:tcMar>
                            <w:vAlign w:val="center"/>
                          </w:tcPr>
                          <w:p w14:paraId="08CDBB26" w14:textId="77777777" w:rsidR="00F46F69" w:rsidRDefault="00F46F69">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57914452"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AF6DB5F"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6B4AC6B1" w14:textId="77777777" w:rsidR="00F46F69" w:rsidRDefault="00F46F69">
                            <w:pPr>
                              <w:pStyle w:val="Standard"/>
                              <w:widowControl w:val="0"/>
                            </w:pPr>
                          </w:p>
                        </w:tc>
                      </w:tr>
                      <w:tr w:rsidR="00F46F69" w14:paraId="67F9328B" w14:textId="77777777">
                        <w:tblPrEx>
                          <w:tblCellMar>
                            <w:top w:w="0" w:type="dxa"/>
                            <w:bottom w:w="0" w:type="dxa"/>
                          </w:tblCellMar>
                        </w:tblPrEx>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00FE3F6" w14:textId="77777777" w:rsidR="00F46F69" w:rsidRDefault="00000000">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91075"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1,518,131,025</w:t>
                            </w:r>
                          </w:p>
                        </w:tc>
                        <w:tc>
                          <w:tcPr>
                            <w:tcW w:w="160" w:type="dxa"/>
                            <w:shd w:val="clear" w:color="auto" w:fill="auto"/>
                            <w:tcMar>
                              <w:top w:w="0" w:type="dxa"/>
                              <w:left w:w="70" w:type="dxa"/>
                              <w:bottom w:w="0" w:type="dxa"/>
                              <w:right w:w="70" w:type="dxa"/>
                            </w:tcMar>
                          </w:tcPr>
                          <w:p w14:paraId="7CE94C44"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1D1FCC9C" w14:textId="77777777" w:rsidR="00F46F69" w:rsidRDefault="00F46F69">
                            <w:pPr>
                              <w:pStyle w:val="Standard"/>
                              <w:widowControl w:val="0"/>
                            </w:pPr>
                          </w:p>
                        </w:tc>
                      </w:tr>
                    </w:tbl>
                    <w:p w14:paraId="5E14EF56" w14:textId="77777777" w:rsidR="00F46F69" w:rsidRDefault="00F46F69"/>
                  </w:txbxContent>
                </v:textbox>
                <w10:wrap type="square"/>
              </v:shape>
            </w:pict>
          </mc:Fallback>
        </mc:AlternateContent>
      </w:r>
    </w:p>
    <w:p w14:paraId="53580C08" w14:textId="77777777" w:rsidR="00F46F69" w:rsidRDefault="00F46F69">
      <w:pPr>
        <w:pStyle w:val="INCISO"/>
        <w:spacing w:after="0" w:line="240" w:lineRule="exact"/>
        <w:ind w:left="360"/>
        <w:rPr>
          <w:rFonts w:ascii="Calibri" w:hAnsi="Calibri" w:cs="DIN Pro Regular"/>
          <w:b/>
          <w:smallCaps/>
          <w:sz w:val="20"/>
          <w:szCs w:val="20"/>
        </w:rPr>
      </w:pPr>
    </w:p>
    <w:tbl>
      <w:tblPr>
        <w:tblW w:w="7293" w:type="dxa"/>
        <w:jc w:val="center"/>
        <w:tblLayout w:type="fixed"/>
        <w:tblCellMar>
          <w:left w:w="10" w:type="dxa"/>
          <w:right w:w="10" w:type="dxa"/>
        </w:tblCellMar>
        <w:tblLook w:val="04A0" w:firstRow="1" w:lastRow="0" w:firstColumn="1" w:lastColumn="0" w:noHBand="0" w:noVBand="1"/>
      </w:tblPr>
      <w:tblGrid>
        <w:gridCol w:w="954"/>
        <w:gridCol w:w="3923"/>
        <w:gridCol w:w="2096"/>
        <w:gridCol w:w="160"/>
        <w:gridCol w:w="160"/>
      </w:tblGrid>
      <w:tr w:rsidR="00F46F69" w14:paraId="14CDFB2B" w14:textId="77777777">
        <w:tblPrEx>
          <w:tblCellMar>
            <w:top w:w="0" w:type="dxa"/>
            <w:bottom w:w="0" w:type="dxa"/>
          </w:tblCellMar>
        </w:tblPrEx>
        <w:trPr>
          <w:trHeight w:val="300"/>
          <w:jc w:val="center"/>
        </w:trPr>
        <w:tc>
          <w:tcPr>
            <w:tcW w:w="7133" w:type="dxa"/>
            <w:gridSpan w:val="4"/>
            <w:shd w:val="clear" w:color="auto" w:fill="auto"/>
            <w:tcMar>
              <w:top w:w="55" w:type="dxa"/>
              <w:left w:w="70" w:type="dxa"/>
              <w:bottom w:w="55" w:type="dxa"/>
              <w:right w:w="70" w:type="dxa"/>
            </w:tcMar>
            <w:vAlign w:val="center"/>
          </w:tcPr>
          <w:p w14:paraId="73D27EEC" w14:textId="77777777" w:rsidR="00F46F69" w:rsidRDefault="00F46F69">
            <w:pPr>
              <w:rPr>
                <w:rFonts w:eastAsia="Times New Roman" w:cs="DIN Pro Regular"/>
                <w:b/>
                <w:bCs/>
                <w:color w:val="FFFFFF"/>
              </w:rPr>
            </w:pPr>
          </w:p>
          <w:p w14:paraId="6D5C12C7" w14:textId="77777777" w:rsidR="00F46F69" w:rsidRDefault="00F46F69">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00493DA1" w14:textId="77777777" w:rsidR="00F46F69" w:rsidRDefault="00F46F69">
            <w:pPr>
              <w:pStyle w:val="Standard"/>
              <w:widowControl w:val="0"/>
            </w:pPr>
          </w:p>
        </w:tc>
      </w:tr>
      <w:tr w:rsidR="00F46F69" w14:paraId="7268CEC7"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D296482" w14:textId="77777777" w:rsidR="00F46F69" w:rsidRDefault="00000000">
            <w:pPr>
              <w:pStyle w:val="Standard"/>
              <w:widowControl w:val="0"/>
              <w:spacing w:after="0" w:line="240" w:lineRule="auto"/>
              <w:jc w:val="center"/>
            </w:pPr>
            <w:r>
              <w:rPr>
                <w:rFonts w:cs="DIN Pro Regular"/>
                <w:b/>
                <w:bCs/>
                <w:sz w:val="20"/>
                <w:szCs w:val="20"/>
              </w:rPr>
              <w:t>Fiscalía General de Justicia del Estado de Tamaulipas</w:t>
            </w:r>
          </w:p>
        </w:tc>
        <w:tc>
          <w:tcPr>
            <w:tcW w:w="160" w:type="dxa"/>
            <w:shd w:val="clear" w:color="auto" w:fill="auto"/>
            <w:tcMar>
              <w:top w:w="0" w:type="dxa"/>
              <w:left w:w="70" w:type="dxa"/>
              <w:bottom w:w="0" w:type="dxa"/>
              <w:right w:w="70" w:type="dxa"/>
            </w:tcMar>
          </w:tcPr>
          <w:p w14:paraId="7801A6CC" w14:textId="77777777" w:rsidR="00F46F69" w:rsidRDefault="00F46F69">
            <w:pPr>
              <w:pStyle w:val="Standard"/>
              <w:widowControl w:val="0"/>
            </w:pPr>
          </w:p>
        </w:tc>
      </w:tr>
      <w:tr w:rsidR="00F46F69" w14:paraId="0DF0177B"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9D18D12"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160" w:type="dxa"/>
            <w:shd w:val="clear" w:color="auto" w:fill="auto"/>
            <w:tcMar>
              <w:top w:w="0" w:type="dxa"/>
              <w:left w:w="70" w:type="dxa"/>
              <w:bottom w:w="0" w:type="dxa"/>
              <w:right w:w="70" w:type="dxa"/>
            </w:tcMar>
          </w:tcPr>
          <w:p w14:paraId="371DD138" w14:textId="77777777" w:rsidR="00F46F69" w:rsidRDefault="00F46F69">
            <w:pPr>
              <w:pStyle w:val="Standard"/>
              <w:widowControl w:val="0"/>
            </w:pPr>
          </w:p>
        </w:tc>
      </w:tr>
      <w:tr w:rsidR="00F46F69" w14:paraId="25F16631"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EC17DC2"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70025E87" w14:textId="77777777" w:rsidR="00F46F69" w:rsidRDefault="00F46F69">
            <w:pPr>
              <w:pStyle w:val="Standard"/>
              <w:widowControl w:val="0"/>
            </w:pPr>
          </w:p>
        </w:tc>
      </w:tr>
      <w:tr w:rsidR="00F46F69" w14:paraId="0ABD711C" w14:textId="77777777">
        <w:tblPrEx>
          <w:tblCellMar>
            <w:top w:w="0" w:type="dxa"/>
            <w:bottom w:w="0" w:type="dxa"/>
          </w:tblCellMar>
        </w:tblPrEx>
        <w:trPr>
          <w:trHeight w:val="315"/>
          <w:jc w:val="center"/>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8EA3719" w14:textId="77777777" w:rsidR="00F46F69" w:rsidRDefault="00000000">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0C5096FF" w14:textId="77777777" w:rsidR="00F46F69" w:rsidRDefault="00F46F69">
            <w:pPr>
              <w:pStyle w:val="Standard"/>
              <w:widowControl w:val="0"/>
            </w:pPr>
          </w:p>
        </w:tc>
      </w:tr>
      <w:tr w:rsidR="00F46F69" w14:paraId="01B4D5C4" w14:textId="77777777">
        <w:tblPrEx>
          <w:tblCellMar>
            <w:top w:w="0" w:type="dxa"/>
            <w:bottom w:w="0" w:type="dxa"/>
          </w:tblCellMar>
        </w:tblPrEx>
        <w:trPr>
          <w:trHeight w:val="90"/>
          <w:jc w:val="center"/>
        </w:trPr>
        <w:tc>
          <w:tcPr>
            <w:tcW w:w="954" w:type="dxa"/>
            <w:shd w:val="clear" w:color="auto" w:fill="auto"/>
            <w:tcMar>
              <w:top w:w="0" w:type="dxa"/>
              <w:left w:w="70" w:type="dxa"/>
              <w:bottom w:w="0" w:type="dxa"/>
              <w:right w:w="70" w:type="dxa"/>
            </w:tcMar>
            <w:vAlign w:val="bottom"/>
          </w:tcPr>
          <w:p w14:paraId="20A8E2B1"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A0D5787"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3CE38480"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F5EEDA6"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77D0009F" w14:textId="77777777" w:rsidR="00F46F69" w:rsidRDefault="00F46F69">
            <w:pPr>
              <w:pStyle w:val="Standard"/>
              <w:widowControl w:val="0"/>
            </w:pPr>
          </w:p>
        </w:tc>
      </w:tr>
      <w:tr w:rsidR="00F46F69" w14:paraId="14F7AE3C"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1797960"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C32220E" w14:textId="77777777" w:rsidR="00F46F69" w:rsidRDefault="00000000">
            <w:pPr>
              <w:pStyle w:val="Standard"/>
              <w:widowControl w:val="0"/>
              <w:spacing w:after="0" w:line="240" w:lineRule="auto"/>
              <w:jc w:val="both"/>
              <w:rPr>
                <w:rFonts w:eastAsia="Times New Roman" w:cs="DIN Pro Regular"/>
                <w:b/>
                <w:color w:val="000000"/>
                <w:sz w:val="20"/>
                <w:szCs w:val="20"/>
                <w:lang w:eastAsia="es-MX"/>
              </w:rPr>
            </w:pPr>
            <w:r>
              <w:rPr>
                <w:rFonts w:eastAsia="Times New Roman" w:cs="DIN Pro Regular"/>
                <w:b/>
                <w:color w:val="000000"/>
                <w:sz w:val="20"/>
                <w:szCs w:val="20"/>
                <w:lang w:eastAsia="es-MX"/>
              </w:rPr>
              <w:t>$               1,503,498,099</w:t>
            </w:r>
          </w:p>
        </w:tc>
        <w:tc>
          <w:tcPr>
            <w:tcW w:w="160" w:type="dxa"/>
            <w:shd w:val="clear" w:color="auto" w:fill="auto"/>
            <w:tcMar>
              <w:top w:w="0" w:type="dxa"/>
              <w:left w:w="70" w:type="dxa"/>
              <w:bottom w:w="0" w:type="dxa"/>
              <w:right w:w="70" w:type="dxa"/>
            </w:tcMar>
          </w:tcPr>
          <w:p w14:paraId="2A515D30"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0E70B5B6" w14:textId="77777777" w:rsidR="00F46F69" w:rsidRDefault="00F46F69">
            <w:pPr>
              <w:pStyle w:val="Standard"/>
              <w:widowControl w:val="0"/>
            </w:pPr>
          </w:p>
        </w:tc>
      </w:tr>
      <w:tr w:rsidR="00F46F69" w14:paraId="3C37E79B" w14:textId="77777777">
        <w:tblPrEx>
          <w:tblCellMar>
            <w:top w:w="0" w:type="dxa"/>
            <w:bottom w:w="0" w:type="dxa"/>
          </w:tblCellMar>
        </w:tblPrEx>
        <w:trPr>
          <w:trHeight w:val="135"/>
          <w:jc w:val="center"/>
        </w:trPr>
        <w:tc>
          <w:tcPr>
            <w:tcW w:w="954" w:type="dxa"/>
            <w:shd w:val="clear" w:color="auto" w:fill="auto"/>
            <w:tcMar>
              <w:top w:w="0" w:type="dxa"/>
              <w:left w:w="70" w:type="dxa"/>
              <w:bottom w:w="0" w:type="dxa"/>
              <w:right w:w="70" w:type="dxa"/>
            </w:tcMar>
            <w:vAlign w:val="bottom"/>
          </w:tcPr>
          <w:p w14:paraId="7CE3E03A"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D1E0642"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13E2EF1E"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3FBFCE9" w14:textId="77777777" w:rsidR="00F46F69" w:rsidRDefault="00F46F69">
            <w:pPr>
              <w:pStyle w:val="Standard"/>
              <w:widowControl w:val="0"/>
              <w:spacing w:line="240" w:lineRule="auto"/>
            </w:pPr>
          </w:p>
        </w:tc>
        <w:tc>
          <w:tcPr>
            <w:tcW w:w="160" w:type="dxa"/>
            <w:shd w:val="clear" w:color="auto" w:fill="auto"/>
            <w:tcMar>
              <w:top w:w="0" w:type="dxa"/>
              <w:left w:w="70" w:type="dxa"/>
              <w:bottom w:w="0" w:type="dxa"/>
              <w:right w:w="70" w:type="dxa"/>
            </w:tcMar>
          </w:tcPr>
          <w:p w14:paraId="75223428" w14:textId="77777777" w:rsidR="00F46F69" w:rsidRDefault="00F46F69">
            <w:pPr>
              <w:pStyle w:val="Standard"/>
              <w:widowControl w:val="0"/>
              <w:spacing w:line="240" w:lineRule="auto"/>
            </w:pPr>
          </w:p>
        </w:tc>
      </w:tr>
      <w:tr w:rsidR="00F46F69" w14:paraId="6159E9F8"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7BCEF90"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F4161"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10,804,635</w:t>
            </w:r>
          </w:p>
        </w:tc>
        <w:tc>
          <w:tcPr>
            <w:tcW w:w="160" w:type="dxa"/>
            <w:shd w:val="clear" w:color="auto" w:fill="auto"/>
            <w:tcMar>
              <w:top w:w="0" w:type="dxa"/>
              <w:left w:w="70" w:type="dxa"/>
              <w:bottom w:w="0" w:type="dxa"/>
              <w:right w:w="70" w:type="dxa"/>
            </w:tcMar>
          </w:tcPr>
          <w:p w14:paraId="33BBE674"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4A84BD2B" w14:textId="77777777" w:rsidR="00F46F69" w:rsidRDefault="00F46F69">
            <w:pPr>
              <w:pStyle w:val="Standard"/>
              <w:widowControl w:val="0"/>
            </w:pPr>
          </w:p>
        </w:tc>
      </w:tr>
      <w:tr w:rsidR="00F46F69" w14:paraId="13715759" w14:textId="77777777">
        <w:tblPrEx>
          <w:tblCellMar>
            <w:top w:w="0" w:type="dxa"/>
            <w:bottom w:w="0" w:type="dxa"/>
          </w:tblCellMar>
        </w:tblPrEx>
        <w:trPr>
          <w:trHeight w:val="407"/>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71B6A5"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78B2D5"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715585"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05EA9561"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3D8FE46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30B224"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2F13DA"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1966F1"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238EEFBD"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569528A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3928FD"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E66441"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A0CC22"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3,501,717</w:t>
            </w:r>
          </w:p>
        </w:tc>
        <w:tc>
          <w:tcPr>
            <w:tcW w:w="320" w:type="dxa"/>
            <w:gridSpan w:val="2"/>
            <w:shd w:val="clear" w:color="auto" w:fill="auto"/>
            <w:tcMar>
              <w:top w:w="0" w:type="dxa"/>
              <w:left w:w="70" w:type="dxa"/>
              <w:bottom w:w="0" w:type="dxa"/>
              <w:right w:w="70" w:type="dxa"/>
            </w:tcMar>
            <w:vAlign w:val="bottom"/>
          </w:tcPr>
          <w:p w14:paraId="17C408E0"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1233F01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345801C"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508C2A"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1DE082"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80,997</w:t>
            </w:r>
          </w:p>
        </w:tc>
        <w:tc>
          <w:tcPr>
            <w:tcW w:w="320" w:type="dxa"/>
            <w:gridSpan w:val="2"/>
            <w:shd w:val="clear" w:color="auto" w:fill="auto"/>
            <w:tcMar>
              <w:top w:w="0" w:type="dxa"/>
              <w:left w:w="70" w:type="dxa"/>
              <w:bottom w:w="0" w:type="dxa"/>
              <w:right w:w="70" w:type="dxa"/>
            </w:tcMar>
            <w:vAlign w:val="bottom"/>
          </w:tcPr>
          <w:p w14:paraId="5A3A8602"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5D9A25E8"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8D80E2"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964D98"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2BA4D8"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4A5FF07F"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04A9006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AD1317"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C24314"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943B7E"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17BB39E7"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2C3A241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2812CB5"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9D0BED"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DF3359"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54C1DCA2"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3E5B3BA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868B9F"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A73EBC"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1E8252"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7,217,347</w:t>
            </w:r>
          </w:p>
        </w:tc>
        <w:tc>
          <w:tcPr>
            <w:tcW w:w="320" w:type="dxa"/>
            <w:gridSpan w:val="2"/>
            <w:shd w:val="clear" w:color="auto" w:fill="auto"/>
            <w:tcMar>
              <w:top w:w="0" w:type="dxa"/>
              <w:left w:w="70" w:type="dxa"/>
              <w:bottom w:w="0" w:type="dxa"/>
              <w:right w:w="70" w:type="dxa"/>
            </w:tcMar>
            <w:vAlign w:val="bottom"/>
          </w:tcPr>
          <w:p w14:paraId="317A5D54"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12AFC59"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D0D45B9"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3896F0"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0328AA"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6B3BD36D"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BAC20F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1FD700"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87C76E"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FABC25"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5210DAF1"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59F7117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57AC17C"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5D8CCA"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ED396"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4,574</w:t>
            </w:r>
          </w:p>
        </w:tc>
        <w:tc>
          <w:tcPr>
            <w:tcW w:w="320" w:type="dxa"/>
            <w:gridSpan w:val="2"/>
            <w:shd w:val="clear" w:color="auto" w:fill="auto"/>
            <w:tcMar>
              <w:top w:w="0" w:type="dxa"/>
              <w:left w:w="70" w:type="dxa"/>
              <w:bottom w:w="0" w:type="dxa"/>
              <w:right w:w="70" w:type="dxa"/>
            </w:tcMar>
            <w:vAlign w:val="bottom"/>
          </w:tcPr>
          <w:p w14:paraId="0137EFCC"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20F64A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665F073"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C65880"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3DEF8E"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5E1BF83F"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0E9BEC4"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39607E1"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B92412"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A99E82"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40329E25"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48CB47F9"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48676D"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B4B51D"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94DE52"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2B21BFE4"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620DF4E3"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94F380"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4E3963"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FC542C"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4435E138"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50280F60" w14:textId="77777777">
        <w:tblPrEx>
          <w:tblCellMar>
            <w:top w:w="0" w:type="dxa"/>
            <w:bottom w:w="0" w:type="dxa"/>
          </w:tblCellMar>
        </w:tblPrEx>
        <w:trPr>
          <w:trHeight w:val="224"/>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C78969C"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36B8F6"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628A7C" w14:textId="77777777" w:rsidR="00F46F69" w:rsidRDefault="00000000">
            <w:pPr>
              <w:pStyle w:val="Standard"/>
              <w:widowControl w:val="0"/>
              <w:spacing w:after="0" w:line="240" w:lineRule="auto"/>
              <w:jc w:val="right"/>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06679E14"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39DBB999"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BE2B2DD"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F48BB9"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A0FDF7"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3D3BCAB1"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2B5514BE"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6BFF7E"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35679A"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46F30"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0ABA622D"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33B9F53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097FEE"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7DD588"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7596DA"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7928F7DE"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8968CA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00F250"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5C846F"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5177F5"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5F73CD44"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ED9456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9FED64" w14:textId="77777777" w:rsidR="00F46F69" w:rsidRDefault="00000000">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62EAAD" w14:textId="77777777" w:rsidR="00F46F69" w:rsidRDefault="00F46F69">
            <w:pPr>
              <w:pStyle w:val="Standard"/>
              <w:widowControl w:val="0"/>
              <w:spacing w:after="0" w:line="240" w:lineRule="auto"/>
              <w:jc w:val="both"/>
              <w:rPr>
                <w:rFonts w:eastAsia="Times New Roman" w:cs="DIN Pro Regular"/>
                <w:color w:val="000000"/>
                <w:sz w:val="20"/>
                <w:szCs w:val="20"/>
                <w:lang w:eastAsia="es-MX"/>
              </w:rPr>
            </w:pPr>
          </w:p>
          <w:p w14:paraId="49D19E0D"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09A94333" w14:textId="77777777" w:rsidR="00F46F69" w:rsidRDefault="00F46F69">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83B346"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008163AB"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3EC17172" w14:textId="77777777">
        <w:tblPrEx>
          <w:tblCellMar>
            <w:top w:w="0" w:type="dxa"/>
            <w:bottom w:w="0" w:type="dxa"/>
          </w:tblCellMar>
        </w:tblPrEx>
        <w:trPr>
          <w:trHeight w:val="283"/>
          <w:jc w:val="center"/>
        </w:trPr>
        <w:tc>
          <w:tcPr>
            <w:tcW w:w="954" w:type="dxa"/>
            <w:shd w:val="clear" w:color="auto" w:fill="auto"/>
            <w:tcMar>
              <w:top w:w="0" w:type="dxa"/>
              <w:left w:w="70" w:type="dxa"/>
              <w:bottom w:w="0" w:type="dxa"/>
              <w:right w:w="70" w:type="dxa"/>
            </w:tcMar>
            <w:vAlign w:val="center"/>
          </w:tcPr>
          <w:p w14:paraId="70494A2D" w14:textId="77777777" w:rsidR="00F46F69" w:rsidRDefault="00F46F69">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46AF9529" w14:textId="77777777" w:rsidR="00F46F69" w:rsidRDefault="00F46F69">
            <w:pPr>
              <w:pStyle w:val="Standard"/>
              <w:widowControl w:val="0"/>
              <w:spacing w:after="0" w:line="240" w:lineRule="auto"/>
              <w:jc w:val="both"/>
              <w:rPr>
                <w:rFonts w:eastAsia="Times New Roman" w:cs="DIN Pro Regular"/>
                <w:bCs/>
                <w:color w:val="000000"/>
                <w:sz w:val="20"/>
                <w:szCs w:val="20"/>
                <w:lang w:eastAsia="es-MX"/>
              </w:rPr>
            </w:pPr>
          </w:p>
          <w:p w14:paraId="58FA26A0" w14:textId="77777777" w:rsidR="00F46F69" w:rsidRDefault="00F46F69">
            <w:pPr>
              <w:pStyle w:val="Standard"/>
              <w:widowControl w:val="0"/>
              <w:spacing w:after="0" w:line="240" w:lineRule="auto"/>
              <w:jc w:val="both"/>
              <w:rPr>
                <w:rFonts w:eastAsia="Times New Roman" w:cs="DIN Pro Regular"/>
                <w:bCs/>
                <w:color w:val="000000"/>
                <w:sz w:val="20"/>
                <w:szCs w:val="20"/>
                <w:lang w:eastAsia="es-MX"/>
              </w:rPr>
            </w:pPr>
          </w:p>
          <w:p w14:paraId="0FA8B513" w14:textId="77777777" w:rsidR="00F46F69" w:rsidRDefault="00F46F69">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5637516C" w14:textId="77777777" w:rsidR="00F46F69" w:rsidRDefault="00F46F69">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233B8CEE" w14:textId="77777777" w:rsidR="00F46F69" w:rsidRDefault="00F46F69">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E9A4121" w14:textId="77777777" w:rsidR="00F46F69" w:rsidRDefault="00F46F69">
            <w:pPr>
              <w:pStyle w:val="Standard"/>
              <w:widowControl w:val="0"/>
              <w:spacing w:after="0" w:line="240" w:lineRule="auto"/>
              <w:jc w:val="both"/>
              <w:rPr>
                <w:rFonts w:eastAsia="Times New Roman" w:cs="DIN Pro Regular"/>
                <w:bCs/>
                <w:color w:val="000000"/>
                <w:sz w:val="20"/>
                <w:szCs w:val="20"/>
                <w:lang w:eastAsia="es-MX"/>
              </w:rPr>
            </w:pPr>
          </w:p>
        </w:tc>
      </w:tr>
      <w:tr w:rsidR="00F46F69" w14:paraId="196DBFAA" w14:textId="77777777">
        <w:tblPrEx>
          <w:tblCellMar>
            <w:top w:w="0" w:type="dxa"/>
            <w:bottom w:w="0" w:type="dxa"/>
          </w:tblCellMar>
        </w:tblPrEx>
        <w:trPr>
          <w:trHeight w:val="300"/>
          <w:jc w:val="center"/>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E29EFD1" w14:textId="77777777" w:rsidR="00F46F69" w:rsidRDefault="00000000">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E1F0C1" w14:textId="77777777" w:rsidR="00F46F69" w:rsidRDefault="00000000">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77,558,097</w:t>
            </w:r>
          </w:p>
        </w:tc>
        <w:tc>
          <w:tcPr>
            <w:tcW w:w="160" w:type="dxa"/>
            <w:shd w:val="clear" w:color="auto" w:fill="auto"/>
            <w:tcMar>
              <w:top w:w="0" w:type="dxa"/>
              <w:left w:w="70" w:type="dxa"/>
              <w:bottom w:w="0" w:type="dxa"/>
              <w:right w:w="70" w:type="dxa"/>
            </w:tcMar>
          </w:tcPr>
          <w:p w14:paraId="7BDDEF0E" w14:textId="77777777" w:rsidR="00F46F69" w:rsidRDefault="00F46F69">
            <w:pPr>
              <w:pStyle w:val="Standard"/>
              <w:widowControl w:val="0"/>
            </w:pPr>
          </w:p>
        </w:tc>
        <w:tc>
          <w:tcPr>
            <w:tcW w:w="160" w:type="dxa"/>
            <w:shd w:val="clear" w:color="auto" w:fill="auto"/>
            <w:tcMar>
              <w:top w:w="0" w:type="dxa"/>
              <w:left w:w="10" w:type="dxa"/>
              <w:bottom w:w="0" w:type="dxa"/>
              <w:right w:w="10" w:type="dxa"/>
            </w:tcMar>
          </w:tcPr>
          <w:p w14:paraId="0C28EF37" w14:textId="77777777" w:rsidR="00F46F69" w:rsidRDefault="00F46F69">
            <w:pPr>
              <w:pStyle w:val="Standard"/>
              <w:widowControl w:val="0"/>
            </w:pPr>
          </w:p>
        </w:tc>
      </w:tr>
      <w:tr w:rsidR="00F46F69" w14:paraId="27360750"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5E9674" w14:textId="77777777" w:rsidR="00F46F6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BEB4BD"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286CE9"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76,924,715</w:t>
            </w:r>
          </w:p>
        </w:tc>
        <w:tc>
          <w:tcPr>
            <w:tcW w:w="320" w:type="dxa"/>
            <w:gridSpan w:val="2"/>
            <w:shd w:val="clear" w:color="auto" w:fill="auto"/>
            <w:tcMar>
              <w:top w:w="0" w:type="dxa"/>
              <w:left w:w="70" w:type="dxa"/>
              <w:bottom w:w="0" w:type="dxa"/>
              <w:right w:w="70" w:type="dxa"/>
            </w:tcMar>
            <w:vAlign w:val="bottom"/>
          </w:tcPr>
          <w:p w14:paraId="25E6ED9B"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7C5C46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EC33DC9" w14:textId="77777777" w:rsidR="00F46F6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262AEE"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4996F1"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24309B62"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473143D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90DBB40" w14:textId="77777777" w:rsidR="00F46F6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D579DE"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B0F79C"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66182430"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24FF9828"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04795B" w14:textId="77777777" w:rsidR="00F46F6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B06143"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9032EF"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633,382</w:t>
            </w:r>
          </w:p>
        </w:tc>
        <w:tc>
          <w:tcPr>
            <w:tcW w:w="320" w:type="dxa"/>
            <w:gridSpan w:val="2"/>
            <w:shd w:val="clear" w:color="auto" w:fill="auto"/>
            <w:tcMar>
              <w:top w:w="0" w:type="dxa"/>
              <w:left w:w="70" w:type="dxa"/>
              <w:bottom w:w="0" w:type="dxa"/>
              <w:right w:w="70" w:type="dxa"/>
            </w:tcMar>
            <w:vAlign w:val="bottom"/>
          </w:tcPr>
          <w:p w14:paraId="59FEF4BB"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42FDBC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7CF16C" w14:textId="77777777" w:rsidR="00F46F6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46B398"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64B5B3"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199B4196"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419291F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0E40CB" w14:textId="77777777" w:rsidR="00F46F6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D8A941"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E1DFAE"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7A4EF178"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7C7F23D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F57C14" w14:textId="77777777" w:rsidR="00F46F69" w:rsidRDefault="00000000">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A5E794" w14:textId="77777777" w:rsidR="00F46F69" w:rsidRDefault="00000000">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B1EA36" w14:textId="77777777" w:rsidR="00F46F69" w:rsidRDefault="00000000">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                                      0</w:t>
            </w:r>
          </w:p>
        </w:tc>
        <w:tc>
          <w:tcPr>
            <w:tcW w:w="320" w:type="dxa"/>
            <w:gridSpan w:val="2"/>
            <w:shd w:val="clear" w:color="auto" w:fill="auto"/>
            <w:tcMar>
              <w:top w:w="0" w:type="dxa"/>
              <w:left w:w="70" w:type="dxa"/>
              <w:bottom w:w="0" w:type="dxa"/>
              <w:right w:w="70" w:type="dxa"/>
            </w:tcMar>
            <w:vAlign w:val="bottom"/>
          </w:tcPr>
          <w:p w14:paraId="69730476"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390B41CF" w14:textId="77777777">
        <w:tblPrEx>
          <w:tblCellMar>
            <w:top w:w="0" w:type="dxa"/>
            <w:bottom w:w="0" w:type="dxa"/>
          </w:tblCellMar>
        </w:tblPrEx>
        <w:trPr>
          <w:trHeight w:hRule="exact" w:val="150"/>
          <w:jc w:val="center"/>
        </w:trPr>
        <w:tc>
          <w:tcPr>
            <w:tcW w:w="954" w:type="dxa"/>
            <w:shd w:val="clear" w:color="auto" w:fill="auto"/>
            <w:tcMar>
              <w:top w:w="0" w:type="dxa"/>
              <w:left w:w="70" w:type="dxa"/>
              <w:bottom w:w="0" w:type="dxa"/>
              <w:right w:w="70" w:type="dxa"/>
            </w:tcMar>
            <w:vAlign w:val="bottom"/>
          </w:tcPr>
          <w:p w14:paraId="348DF9EB"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45B982EA"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78E01CFA" w14:textId="77777777" w:rsidR="00F46F69" w:rsidRDefault="00F46F69">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8C49815" w14:textId="77777777" w:rsidR="00F46F69" w:rsidRDefault="00F46F69">
            <w:pPr>
              <w:pStyle w:val="Standard"/>
              <w:widowControl w:val="0"/>
              <w:spacing w:after="0" w:line="240" w:lineRule="auto"/>
              <w:rPr>
                <w:rFonts w:eastAsia="Times New Roman" w:cs="DIN Pro Regular"/>
                <w:color w:val="000000"/>
                <w:sz w:val="20"/>
                <w:szCs w:val="20"/>
                <w:lang w:eastAsia="es-MX"/>
              </w:rPr>
            </w:pPr>
          </w:p>
        </w:tc>
      </w:tr>
      <w:tr w:rsidR="00F46F69" w14:paraId="0A70EA15"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7FE8766A" w14:textId="77777777" w:rsidR="00F46F69" w:rsidRDefault="00000000">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413C702" w14:textId="77777777" w:rsidR="00F46F69" w:rsidRDefault="00000000">
            <w:pPr>
              <w:pStyle w:val="Standard"/>
              <w:widowControl w:val="0"/>
              <w:spacing w:after="0" w:line="240" w:lineRule="auto"/>
              <w:jc w:val="center"/>
              <w:rPr>
                <w:rFonts w:eastAsia="Times New Roman" w:cs="DIN Pro Regular"/>
                <w:b/>
                <w:color w:val="000000"/>
                <w:sz w:val="20"/>
                <w:szCs w:val="20"/>
                <w:lang w:eastAsia="es-MX"/>
              </w:rPr>
            </w:pPr>
            <w:r>
              <w:rPr>
                <w:rFonts w:eastAsia="Times New Roman" w:cs="DIN Pro Regular"/>
                <w:b/>
                <w:color w:val="000000"/>
                <w:sz w:val="20"/>
                <w:szCs w:val="20"/>
                <w:lang w:eastAsia="es-MX"/>
              </w:rPr>
              <w:t>$               1,570,251,561</w:t>
            </w:r>
          </w:p>
        </w:tc>
        <w:tc>
          <w:tcPr>
            <w:tcW w:w="160" w:type="dxa"/>
            <w:shd w:val="clear" w:color="auto" w:fill="auto"/>
            <w:tcMar>
              <w:top w:w="0" w:type="dxa"/>
              <w:left w:w="70" w:type="dxa"/>
              <w:bottom w:w="0" w:type="dxa"/>
              <w:right w:w="70" w:type="dxa"/>
            </w:tcMar>
          </w:tcPr>
          <w:p w14:paraId="55C64D00" w14:textId="77777777" w:rsidR="00F46F69" w:rsidRDefault="00F46F69">
            <w:pPr>
              <w:pStyle w:val="Standard"/>
              <w:widowControl w:val="0"/>
            </w:pPr>
          </w:p>
        </w:tc>
        <w:tc>
          <w:tcPr>
            <w:tcW w:w="160" w:type="dxa"/>
            <w:shd w:val="clear" w:color="auto" w:fill="auto"/>
            <w:tcMar>
              <w:top w:w="0" w:type="dxa"/>
              <w:left w:w="70" w:type="dxa"/>
              <w:bottom w:w="0" w:type="dxa"/>
              <w:right w:w="70" w:type="dxa"/>
            </w:tcMar>
          </w:tcPr>
          <w:p w14:paraId="3384D876" w14:textId="77777777" w:rsidR="00F46F69" w:rsidRDefault="00F46F69">
            <w:pPr>
              <w:pStyle w:val="Standard"/>
              <w:widowControl w:val="0"/>
            </w:pPr>
          </w:p>
        </w:tc>
      </w:tr>
    </w:tbl>
    <w:p w14:paraId="28D0D87C" w14:textId="77777777" w:rsidR="00F46F69" w:rsidRDefault="00F46F69">
      <w:pPr>
        <w:widowControl/>
        <w:tabs>
          <w:tab w:val="left" w:pos="1279"/>
          <w:tab w:val="left" w:pos="1924"/>
        </w:tabs>
        <w:suppressAutoHyphens w:val="0"/>
        <w:textAlignment w:val="auto"/>
        <w:rPr>
          <w:rFonts w:eastAsia="Times New Roman" w:cs="DIN Pro Regular"/>
          <w:lang w:eastAsia="es-ES"/>
        </w:rPr>
      </w:pPr>
    </w:p>
    <w:p w14:paraId="6F0DD101" w14:textId="77777777" w:rsidR="00F46F69" w:rsidRDefault="00F46F69">
      <w:pPr>
        <w:widowControl/>
        <w:suppressAutoHyphens w:val="0"/>
        <w:textAlignment w:val="auto"/>
        <w:rPr>
          <w:rFonts w:ascii="Arial" w:eastAsia="Times New Roman" w:hAnsi="Arial" w:cs="Arial"/>
          <w:sz w:val="18"/>
          <w:szCs w:val="18"/>
        </w:rPr>
      </w:pPr>
    </w:p>
    <w:p w14:paraId="001809E7" w14:textId="77777777" w:rsidR="00F46F69" w:rsidRDefault="00F46F69">
      <w:pPr>
        <w:widowControl/>
        <w:suppressAutoHyphens w:val="0"/>
        <w:textAlignment w:val="auto"/>
        <w:rPr>
          <w:rFonts w:ascii="Arial" w:eastAsia="Times New Roman" w:hAnsi="Arial" w:cs="Arial"/>
          <w:sz w:val="18"/>
          <w:szCs w:val="18"/>
        </w:rPr>
      </w:pPr>
    </w:p>
    <w:p w14:paraId="3540A42E" w14:textId="77777777" w:rsidR="00F46F69" w:rsidRDefault="00F46F69">
      <w:pPr>
        <w:widowControl/>
        <w:suppressAutoHyphens w:val="0"/>
        <w:textAlignment w:val="auto"/>
        <w:rPr>
          <w:rFonts w:ascii="Arial" w:eastAsia="Times New Roman" w:hAnsi="Arial" w:cs="Arial"/>
          <w:sz w:val="18"/>
          <w:szCs w:val="18"/>
        </w:rPr>
      </w:pPr>
    </w:p>
    <w:p w14:paraId="0BE75A92" w14:textId="77777777" w:rsidR="00F46F69" w:rsidRDefault="00F46F69">
      <w:pPr>
        <w:widowControl/>
        <w:suppressAutoHyphens w:val="0"/>
        <w:jc w:val="both"/>
        <w:textAlignment w:val="auto"/>
        <w:rPr>
          <w:rFonts w:eastAsia="Times New Roman" w:cs="DIN Pro Regular"/>
          <w:lang w:eastAsia="es-ES"/>
        </w:rPr>
      </w:pPr>
    </w:p>
    <w:p w14:paraId="458A5CB2" w14:textId="77777777" w:rsidR="00F46F69" w:rsidRDefault="00F46F69">
      <w:pPr>
        <w:widowControl/>
        <w:suppressAutoHyphens w:val="0"/>
        <w:jc w:val="both"/>
        <w:textAlignment w:val="auto"/>
        <w:rPr>
          <w:rFonts w:eastAsia="Times New Roman" w:cs="DIN Pro Regular"/>
          <w:lang w:eastAsia="es-ES"/>
        </w:rPr>
      </w:pPr>
    </w:p>
    <w:p w14:paraId="6812E158" w14:textId="77777777" w:rsidR="00F46F69" w:rsidRDefault="00F46F69">
      <w:pPr>
        <w:widowControl/>
        <w:suppressAutoHyphens w:val="0"/>
        <w:jc w:val="both"/>
        <w:textAlignment w:val="auto"/>
        <w:rPr>
          <w:rFonts w:eastAsia="Times New Roman" w:cs="DIN Pro Regular"/>
          <w:lang w:eastAsia="es-ES"/>
        </w:rPr>
      </w:pPr>
    </w:p>
    <w:p w14:paraId="375BCE27" w14:textId="77777777" w:rsidR="00F46F69" w:rsidRDefault="00F46F69">
      <w:pPr>
        <w:widowControl/>
        <w:suppressAutoHyphens w:val="0"/>
        <w:jc w:val="both"/>
        <w:textAlignment w:val="auto"/>
        <w:rPr>
          <w:rFonts w:eastAsia="Times New Roman" w:cs="DIN Pro Regular"/>
          <w:lang w:eastAsia="es-ES"/>
        </w:rPr>
      </w:pPr>
    </w:p>
    <w:p w14:paraId="58007832" w14:textId="77777777" w:rsidR="00F46F69" w:rsidRDefault="00F46F69">
      <w:pPr>
        <w:widowControl/>
        <w:suppressAutoHyphens w:val="0"/>
        <w:jc w:val="both"/>
        <w:textAlignment w:val="auto"/>
        <w:rPr>
          <w:rFonts w:eastAsia="Times New Roman" w:cs="DIN Pro Regular"/>
          <w:lang w:eastAsia="es-ES"/>
        </w:rPr>
      </w:pPr>
    </w:p>
    <w:p w14:paraId="251001B0" w14:textId="77777777" w:rsidR="00F46F69" w:rsidRDefault="00F46F69">
      <w:pPr>
        <w:widowControl/>
        <w:suppressAutoHyphens w:val="0"/>
        <w:jc w:val="both"/>
        <w:textAlignment w:val="auto"/>
        <w:rPr>
          <w:rFonts w:eastAsia="Times New Roman" w:cs="DIN Pro Regular"/>
          <w:lang w:eastAsia="es-ES"/>
        </w:rPr>
      </w:pPr>
    </w:p>
    <w:p w14:paraId="721D8983" w14:textId="77777777" w:rsidR="00F46F69" w:rsidRDefault="00F46F69">
      <w:pPr>
        <w:widowControl/>
        <w:suppressAutoHyphens w:val="0"/>
        <w:jc w:val="both"/>
        <w:textAlignment w:val="auto"/>
        <w:rPr>
          <w:rFonts w:eastAsia="Times New Roman" w:cs="DIN Pro Regular"/>
          <w:lang w:eastAsia="es-ES"/>
        </w:rPr>
      </w:pPr>
    </w:p>
    <w:p w14:paraId="723158DA" w14:textId="77777777" w:rsidR="00F46F69" w:rsidRDefault="00F46F69">
      <w:pPr>
        <w:widowControl/>
        <w:suppressAutoHyphens w:val="0"/>
        <w:jc w:val="both"/>
        <w:textAlignment w:val="auto"/>
        <w:rPr>
          <w:rFonts w:eastAsia="Times New Roman" w:cs="DIN Pro Regular"/>
          <w:lang w:eastAsia="es-ES"/>
        </w:rPr>
      </w:pPr>
    </w:p>
    <w:p w14:paraId="6A2AA38C" w14:textId="77777777" w:rsidR="00F46F69" w:rsidRDefault="00F46F69">
      <w:pPr>
        <w:widowControl/>
        <w:suppressAutoHyphens w:val="0"/>
        <w:jc w:val="both"/>
        <w:textAlignment w:val="auto"/>
        <w:rPr>
          <w:rFonts w:eastAsia="Times New Roman" w:cs="DIN Pro Regular"/>
          <w:lang w:eastAsia="es-ES"/>
        </w:rPr>
      </w:pPr>
    </w:p>
    <w:p w14:paraId="00D1118C" w14:textId="77777777" w:rsidR="00F46F69" w:rsidRDefault="00F46F69">
      <w:pPr>
        <w:widowControl/>
        <w:suppressAutoHyphens w:val="0"/>
        <w:jc w:val="both"/>
        <w:textAlignment w:val="auto"/>
        <w:rPr>
          <w:rFonts w:eastAsia="Times New Roman" w:cs="DIN Pro Regular"/>
          <w:lang w:eastAsia="es-ES"/>
        </w:rPr>
      </w:pPr>
    </w:p>
    <w:p w14:paraId="6F9AD99C" w14:textId="77777777" w:rsidR="00F46F69" w:rsidRDefault="00F46F69">
      <w:pPr>
        <w:widowControl/>
        <w:suppressAutoHyphens w:val="0"/>
        <w:jc w:val="both"/>
        <w:textAlignment w:val="auto"/>
        <w:rPr>
          <w:rFonts w:eastAsia="Times New Roman" w:cs="DIN Pro Regular"/>
          <w:lang w:eastAsia="es-ES"/>
        </w:rPr>
      </w:pPr>
    </w:p>
    <w:p w14:paraId="229B26E4" w14:textId="77777777" w:rsidR="00F46F69" w:rsidRDefault="00F46F69">
      <w:pPr>
        <w:widowControl/>
        <w:suppressAutoHyphens w:val="0"/>
        <w:jc w:val="both"/>
        <w:textAlignment w:val="auto"/>
        <w:rPr>
          <w:rFonts w:eastAsia="Times New Roman" w:cs="DIN Pro Regular"/>
          <w:lang w:eastAsia="es-ES"/>
        </w:rPr>
      </w:pPr>
    </w:p>
    <w:p w14:paraId="352FC987" w14:textId="77777777" w:rsidR="00F46F69" w:rsidRDefault="00F46F69">
      <w:pPr>
        <w:widowControl/>
        <w:suppressAutoHyphens w:val="0"/>
        <w:jc w:val="both"/>
        <w:textAlignment w:val="auto"/>
        <w:rPr>
          <w:rFonts w:eastAsia="Times New Roman" w:cs="DIN Pro Regular"/>
          <w:lang w:eastAsia="es-ES"/>
        </w:rPr>
      </w:pPr>
    </w:p>
    <w:p w14:paraId="05530B93" w14:textId="77777777" w:rsidR="00F46F69" w:rsidRDefault="00F46F69">
      <w:pPr>
        <w:widowControl/>
        <w:suppressAutoHyphens w:val="0"/>
        <w:jc w:val="both"/>
        <w:textAlignment w:val="auto"/>
        <w:rPr>
          <w:rFonts w:eastAsia="Times New Roman" w:cs="DIN Pro Regular"/>
          <w:lang w:eastAsia="es-ES"/>
        </w:rPr>
      </w:pPr>
    </w:p>
    <w:p w14:paraId="5DEFBD79" w14:textId="77777777" w:rsidR="00F46F69" w:rsidRDefault="00F46F69">
      <w:pPr>
        <w:widowControl/>
        <w:suppressAutoHyphens w:val="0"/>
        <w:jc w:val="both"/>
        <w:textAlignment w:val="auto"/>
        <w:rPr>
          <w:rFonts w:eastAsia="Times New Roman" w:cs="DIN Pro Regular"/>
          <w:lang w:eastAsia="es-ES"/>
        </w:rPr>
      </w:pPr>
    </w:p>
    <w:p w14:paraId="5144B834" w14:textId="77777777" w:rsidR="00F46F69" w:rsidRDefault="00F46F69">
      <w:pPr>
        <w:widowControl/>
        <w:suppressAutoHyphens w:val="0"/>
        <w:jc w:val="both"/>
        <w:textAlignment w:val="auto"/>
        <w:rPr>
          <w:rFonts w:eastAsia="Times New Roman" w:cs="DIN Pro Regular"/>
          <w:lang w:eastAsia="es-ES"/>
        </w:rPr>
      </w:pPr>
    </w:p>
    <w:p w14:paraId="545B7649" w14:textId="77777777" w:rsidR="00F46F69" w:rsidRDefault="00F46F69">
      <w:pPr>
        <w:widowControl/>
        <w:suppressAutoHyphens w:val="0"/>
        <w:jc w:val="both"/>
        <w:textAlignment w:val="auto"/>
        <w:rPr>
          <w:rFonts w:eastAsia="Times New Roman" w:cs="DIN Pro Regular"/>
          <w:lang w:eastAsia="es-ES"/>
        </w:rPr>
      </w:pPr>
    </w:p>
    <w:p w14:paraId="53D5AEBA" w14:textId="77777777" w:rsidR="00F46F69" w:rsidRDefault="00F46F69">
      <w:pPr>
        <w:widowControl/>
        <w:suppressAutoHyphens w:val="0"/>
        <w:jc w:val="both"/>
        <w:textAlignment w:val="auto"/>
        <w:rPr>
          <w:rFonts w:eastAsia="Times New Roman" w:cs="DIN Pro Regular"/>
          <w:lang w:eastAsia="es-ES"/>
        </w:rPr>
      </w:pPr>
    </w:p>
    <w:p w14:paraId="479CF81A" w14:textId="77777777" w:rsidR="00F46F69" w:rsidRDefault="00F46F69">
      <w:pPr>
        <w:widowControl/>
        <w:suppressAutoHyphens w:val="0"/>
        <w:jc w:val="both"/>
        <w:textAlignment w:val="auto"/>
        <w:rPr>
          <w:rFonts w:eastAsia="Times New Roman" w:cs="DIN Pro Regular"/>
          <w:lang w:eastAsia="es-ES"/>
        </w:rPr>
      </w:pPr>
    </w:p>
    <w:p w14:paraId="6BE6D1D0" w14:textId="77777777" w:rsidR="00F46F69" w:rsidRDefault="00F46F69">
      <w:pPr>
        <w:widowControl/>
        <w:suppressAutoHyphens w:val="0"/>
        <w:jc w:val="both"/>
        <w:textAlignment w:val="auto"/>
        <w:rPr>
          <w:rFonts w:eastAsia="Times New Roman" w:cs="DIN Pro Regular"/>
          <w:lang w:eastAsia="es-ES"/>
        </w:rPr>
      </w:pPr>
    </w:p>
    <w:p w14:paraId="110C06A3" w14:textId="77777777" w:rsidR="00F46F69" w:rsidRDefault="00F46F69">
      <w:pPr>
        <w:widowControl/>
        <w:suppressAutoHyphens w:val="0"/>
        <w:jc w:val="both"/>
        <w:textAlignment w:val="auto"/>
        <w:rPr>
          <w:rFonts w:eastAsia="Times New Roman" w:cs="DIN Pro Regular"/>
          <w:lang w:eastAsia="es-ES"/>
        </w:rPr>
      </w:pPr>
    </w:p>
    <w:p w14:paraId="15674840" w14:textId="77777777" w:rsidR="00F46F69" w:rsidRDefault="00F46F69">
      <w:pPr>
        <w:widowControl/>
        <w:suppressAutoHyphens w:val="0"/>
        <w:jc w:val="both"/>
        <w:textAlignment w:val="auto"/>
        <w:rPr>
          <w:rFonts w:eastAsia="Times New Roman" w:cs="DIN Pro Regular"/>
          <w:lang w:eastAsia="es-ES"/>
        </w:rPr>
      </w:pPr>
    </w:p>
    <w:p w14:paraId="364B7918" w14:textId="77777777" w:rsidR="00F46F69" w:rsidRDefault="00F46F69">
      <w:pPr>
        <w:widowControl/>
        <w:suppressAutoHyphens w:val="0"/>
        <w:jc w:val="both"/>
        <w:textAlignment w:val="auto"/>
        <w:rPr>
          <w:rFonts w:eastAsia="Times New Roman" w:cs="DIN Pro Regular"/>
          <w:lang w:eastAsia="es-ES"/>
        </w:rPr>
      </w:pPr>
    </w:p>
    <w:p w14:paraId="08717041" w14:textId="77777777" w:rsidR="00F46F69" w:rsidRDefault="00F46F69">
      <w:pPr>
        <w:widowControl/>
        <w:suppressAutoHyphens w:val="0"/>
        <w:jc w:val="both"/>
        <w:textAlignment w:val="auto"/>
        <w:rPr>
          <w:rFonts w:eastAsia="Times New Roman" w:cs="DIN Pro Regular"/>
          <w:lang w:eastAsia="es-ES"/>
        </w:rPr>
      </w:pPr>
    </w:p>
    <w:p w14:paraId="02EC1BA0" w14:textId="77777777" w:rsidR="00F46F69" w:rsidRDefault="00F46F69">
      <w:pPr>
        <w:widowControl/>
        <w:suppressAutoHyphens w:val="0"/>
        <w:jc w:val="both"/>
        <w:textAlignment w:val="auto"/>
        <w:rPr>
          <w:rFonts w:eastAsia="Times New Roman" w:cs="DIN Pro Regular"/>
          <w:lang w:eastAsia="es-ES"/>
        </w:rPr>
      </w:pPr>
    </w:p>
    <w:p w14:paraId="36EC6A78" w14:textId="77777777" w:rsidR="00F46F69" w:rsidRDefault="00F46F69">
      <w:pPr>
        <w:widowControl/>
        <w:suppressAutoHyphens w:val="0"/>
        <w:jc w:val="both"/>
        <w:textAlignment w:val="auto"/>
        <w:rPr>
          <w:rFonts w:eastAsia="Times New Roman" w:cs="DIN Pro Regular"/>
          <w:lang w:eastAsia="es-ES"/>
        </w:rPr>
      </w:pPr>
    </w:p>
    <w:p w14:paraId="26BD50EB" w14:textId="77777777" w:rsidR="00F46F69" w:rsidRDefault="00F46F69">
      <w:pPr>
        <w:widowControl/>
        <w:suppressAutoHyphens w:val="0"/>
        <w:jc w:val="both"/>
        <w:textAlignment w:val="auto"/>
        <w:rPr>
          <w:rFonts w:eastAsia="Times New Roman" w:cs="DIN Pro Regular"/>
          <w:lang w:eastAsia="es-ES"/>
        </w:rPr>
      </w:pPr>
    </w:p>
    <w:p w14:paraId="47D61140" w14:textId="77777777" w:rsidR="00F46F69" w:rsidRDefault="00F46F69">
      <w:pPr>
        <w:widowControl/>
        <w:suppressAutoHyphens w:val="0"/>
        <w:jc w:val="both"/>
        <w:textAlignment w:val="auto"/>
        <w:rPr>
          <w:rFonts w:eastAsia="Times New Roman" w:cs="DIN Pro Regular"/>
          <w:lang w:eastAsia="es-ES"/>
        </w:rPr>
      </w:pPr>
    </w:p>
    <w:p w14:paraId="7A60A1D5" w14:textId="77777777" w:rsidR="00F46F69" w:rsidRDefault="00F46F69">
      <w:pPr>
        <w:widowControl/>
        <w:suppressAutoHyphens w:val="0"/>
        <w:jc w:val="both"/>
        <w:textAlignment w:val="auto"/>
        <w:rPr>
          <w:rFonts w:eastAsia="Times New Roman" w:cs="DIN Pro Regular"/>
          <w:lang w:eastAsia="es-ES"/>
        </w:rPr>
      </w:pPr>
    </w:p>
    <w:p w14:paraId="682D638F" w14:textId="77777777" w:rsidR="00F46F69" w:rsidRDefault="00F46F69">
      <w:pPr>
        <w:widowControl/>
        <w:suppressAutoHyphens w:val="0"/>
        <w:jc w:val="both"/>
        <w:textAlignment w:val="auto"/>
        <w:rPr>
          <w:rFonts w:eastAsia="Times New Roman" w:cs="DIN Pro Regular"/>
          <w:lang w:eastAsia="es-ES"/>
        </w:rPr>
      </w:pPr>
    </w:p>
    <w:p w14:paraId="30515678" w14:textId="77777777" w:rsidR="00F46F69" w:rsidRDefault="00F46F69">
      <w:pPr>
        <w:widowControl/>
        <w:suppressAutoHyphens w:val="0"/>
        <w:jc w:val="both"/>
        <w:textAlignment w:val="auto"/>
        <w:rPr>
          <w:rFonts w:eastAsia="Times New Roman" w:cs="DIN Pro Regular"/>
          <w:lang w:eastAsia="es-ES"/>
        </w:rPr>
      </w:pPr>
    </w:p>
    <w:p w14:paraId="3B6EF430" w14:textId="77777777" w:rsidR="00F46F69" w:rsidRDefault="00F46F69">
      <w:pPr>
        <w:widowControl/>
        <w:suppressAutoHyphens w:val="0"/>
        <w:jc w:val="both"/>
        <w:textAlignment w:val="auto"/>
        <w:rPr>
          <w:rFonts w:eastAsia="Times New Roman" w:cs="DIN Pro Regular"/>
          <w:lang w:eastAsia="es-ES"/>
        </w:rPr>
      </w:pPr>
    </w:p>
    <w:p w14:paraId="2A9AB0ED" w14:textId="77777777" w:rsidR="00F46F69" w:rsidRDefault="00F46F69">
      <w:pPr>
        <w:widowControl/>
        <w:suppressAutoHyphens w:val="0"/>
        <w:textAlignment w:val="auto"/>
        <w:rPr>
          <w:rFonts w:eastAsia="Times New Roman" w:cs="DIN Pro Regular"/>
          <w:lang w:eastAsia="es-ES"/>
        </w:rPr>
      </w:pPr>
    </w:p>
    <w:p w14:paraId="0B8245A0" w14:textId="77777777" w:rsidR="00F46F69" w:rsidRDefault="00000000">
      <w:pPr>
        <w:pStyle w:val="Text"/>
        <w:spacing w:after="0" w:line="240" w:lineRule="exact"/>
        <w:jc w:val="center"/>
      </w:pPr>
      <w:r>
        <w:rPr>
          <w:rFonts w:ascii="Calibri" w:hAnsi="Calibri" w:cs="DIN Pro Regular"/>
          <w:b/>
          <w:sz w:val="24"/>
          <w:szCs w:val="24"/>
        </w:rPr>
        <w:t>Cuenta Pública 2024</w:t>
      </w:r>
    </w:p>
    <w:p w14:paraId="1FB5B038" w14:textId="77777777" w:rsidR="00F46F69" w:rsidRDefault="00F46F69">
      <w:pPr>
        <w:pStyle w:val="Text"/>
        <w:spacing w:after="0" w:line="240" w:lineRule="exact"/>
        <w:jc w:val="center"/>
        <w:rPr>
          <w:rFonts w:ascii="Calibri" w:hAnsi="Calibri" w:cs="DIN Pro Regular"/>
          <w:b/>
          <w:sz w:val="24"/>
          <w:szCs w:val="24"/>
        </w:rPr>
      </w:pPr>
    </w:p>
    <w:p w14:paraId="18360473" w14:textId="77777777" w:rsidR="00F46F69" w:rsidRDefault="00000000">
      <w:pPr>
        <w:pStyle w:val="Text"/>
        <w:spacing w:after="0" w:line="240" w:lineRule="exact"/>
        <w:jc w:val="center"/>
      </w:pPr>
      <w:r>
        <w:rPr>
          <w:rFonts w:ascii="Calibri" w:hAnsi="Calibri" w:cs="DIN Pro Regular"/>
          <w:b/>
          <w:sz w:val="24"/>
          <w:szCs w:val="24"/>
        </w:rPr>
        <w:t>Notas a los Estados Financieros</w:t>
      </w:r>
    </w:p>
    <w:p w14:paraId="6B557AC7" w14:textId="77777777" w:rsidR="00F46F69" w:rsidRDefault="00F46F69">
      <w:pPr>
        <w:widowControl/>
        <w:suppressAutoHyphens w:val="0"/>
        <w:jc w:val="center"/>
        <w:textAlignment w:val="auto"/>
        <w:rPr>
          <w:rFonts w:eastAsia="Times New Roman" w:cs="DIN Pro Regular"/>
          <w:lang w:val="es-ES" w:eastAsia="es-ES"/>
        </w:rPr>
      </w:pPr>
    </w:p>
    <w:p w14:paraId="49541DAD" w14:textId="77777777" w:rsidR="00F46F69" w:rsidRDefault="00000000">
      <w:pPr>
        <w:widowControl/>
        <w:suppressAutoHyphens w:val="0"/>
        <w:jc w:val="center"/>
        <w:textAlignment w:val="auto"/>
        <w:rPr>
          <w:rFonts w:eastAsia="Times New Roman" w:cs="DIN Pro Regular"/>
          <w:b/>
          <w:bCs/>
          <w:sz w:val="24"/>
          <w:szCs w:val="24"/>
          <w:lang w:eastAsia="es-ES"/>
        </w:rPr>
      </w:pPr>
      <w:r>
        <w:rPr>
          <w:rFonts w:eastAsia="Times New Roman" w:cs="DIN Pro Regular"/>
          <w:b/>
          <w:bCs/>
          <w:sz w:val="24"/>
          <w:szCs w:val="24"/>
          <w:lang w:eastAsia="es-ES"/>
        </w:rPr>
        <w:t>c) NOTAS DE MEMORIA (CUENTAS DE ORDEN)</w:t>
      </w:r>
    </w:p>
    <w:p w14:paraId="3B035994" w14:textId="77777777" w:rsidR="00F46F69" w:rsidRDefault="00F46F69">
      <w:pPr>
        <w:widowControl/>
        <w:suppressAutoHyphens w:val="0"/>
        <w:jc w:val="both"/>
        <w:textAlignment w:val="auto"/>
        <w:rPr>
          <w:rFonts w:eastAsia="Times New Roman" w:cs="DIN Pro Regular"/>
          <w:lang w:eastAsia="es-ES"/>
        </w:rPr>
      </w:pPr>
    </w:p>
    <w:p w14:paraId="0A90538B" w14:textId="77777777" w:rsidR="00F46F69" w:rsidRDefault="00000000">
      <w:pPr>
        <w:widowControl/>
        <w:suppressAutoHyphens w:val="0"/>
        <w:jc w:val="both"/>
        <w:textAlignment w:val="auto"/>
        <w:rPr>
          <w:rFonts w:eastAsia="Times New Roman" w:cs="DIN Pro Regular"/>
          <w:b/>
          <w:bCs/>
          <w:sz w:val="22"/>
          <w:szCs w:val="22"/>
          <w:lang w:eastAsia="es-ES"/>
        </w:rPr>
      </w:pPr>
      <w:r>
        <w:rPr>
          <w:rFonts w:eastAsia="Times New Roman" w:cs="DIN Pro Regular"/>
          <w:b/>
          <w:bCs/>
          <w:sz w:val="22"/>
          <w:szCs w:val="22"/>
          <w:lang w:eastAsia="es-ES"/>
        </w:rPr>
        <w:t>Cuentas de Orden Contables y Presupuestarias:</w:t>
      </w:r>
    </w:p>
    <w:p w14:paraId="5DE1A7A1" w14:textId="77777777" w:rsidR="00F46F69" w:rsidRDefault="00F46F69">
      <w:pPr>
        <w:widowControl/>
        <w:suppressAutoHyphens w:val="0"/>
        <w:jc w:val="both"/>
        <w:textAlignment w:val="auto"/>
        <w:rPr>
          <w:rFonts w:eastAsia="Times New Roman" w:cs="DIN Pro Regular"/>
          <w:b/>
          <w:bCs/>
          <w:sz w:val="22"/>
          <w:szCs w:val="22"/>
          <w:lang w:eastAsia="es-ES"/>
        </w:rPr>
      </w:pPr>
    </w:p>
    <w:p w14:paraId="34E8A4CE" w14:textId="77777777" w:rsidR="00F46F69" w:rsidRDefault="00000000">
      <w:pPr>
        <w:widowControl/>
        <w:suppressAutoHyphens w:val="0"/>
        <w:jc w:val="both"/>
        <w:textAlignment w:val="auto"/>
        <w:rPr>
          <w:rFonts w:eastAsia="Times New Roman" w:cs="DIN Pro Regular"/>
          <w:b/>
          <w:bCs/>
          <w:sz w:val="22"/>
          <w:szCs w:val="22"/>
          <w:lang w:eastAsia="es-ES"/>
        </w:rPr>
      </w:pPr>
      <w:r>
        <w:rPr>
          <w:rFonts w:eastAsia="Times New Roman" w:cs="DIN Pro Regular"/>
          <w:b/>
          <w:bCs/>
          <w:sz w:val="22"/>
          <w:szCs w:val="22"/>
          <w:lang w:eastAsia="es-ES"/>
        </w:rPr>
        <w:t>Contables:</w:t>
      </w:r>
    </w:p>
    <w:p w14:paraId="5C073A17" w14:textId="77777777" w:rsidR="00F46F69" w:rsidRDefault="00F46F69">
      <w:pPr>
        <w:widowControl/>
        <w:suppressAutoHyphens w:val="0"/>
        <w:jc w:val="both"/>
        <w:textAlignment w:val="auto"/>
        <w:rPr>
          <w:rFonts w:eastAsia="Times New Roman" w:cs="DIN Pro Regular"/>
          <w:lang w:eastAsia="es-ES"/>
        </w:rPr>
      </w:pPr>
    </w:p>
    <w:p w14:paraId="1C4C7A98" w14:textId="77777777" w:rsidR="00F46F69" w:rsidRDefault="00000000">
      <w:pPr>
        <w:widowControl/>
        <w:suppressAutoHyphens w:val="0"/>
        <w:jc w:val="both"/>
        <w:textAlignment w:val="auto"/>
      </w:pPr>
      <w:r>
        <w:rPr>
          <w:rFonts w:eastAsia="Times New Roman" w:cs="DIN Pro Regular"/>
          <w:lang w:eastAsia="es-ES"/>
        </w:rPr>
        <w:tab/>
      </w:r>
      <w:r>
        <w:rPr>
          <w:rFonts w:eastAsia="Times New Roman" w:cs="DIN Pro Regular"/>
          <w:b/>
          <w:bCs/>
          <w:lang w:eastAsia="es-ES"/>
        </w:rPr>
        <w:t>Valores</w:t>
      </w:r>
    </w:p>
    <w:p w14:paraId="3D07E4D2"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                No Aplica</w:t>
      </w:r>
    </w:p>
    <w:p w14:paraId="72E230B1" w14:textId="77777777" w:rsidR="00F46F69" w:rsidRDefault="00F46F69">
      <w:pPr>
        <w:widowControl/>
        <w:suppressAutoHyphens w:val="0"/>
        <w:jc w:val="both"/>
        <w:textAlignment w:val="auto"/>
        <w:rPr>
          <w:rFonts w:eastAsia="Times New Roman" w:cs="DIN Pro Regular"/>
          <w:lang w:eastAsia="es-ES"/>
        </w:rPr>
      </w:pPr>
    </w:p>
    <w:p w14:paraId="6A72DF6C" w14:textId="77777777" w:rsidR="00F46F69" w:rsidRDefault="00000000">
      <w:pPr>
        <w:widowControl/>
        <w:suppressAutoHyphens w:val="0"/>
        <w:jc w:val="both"/>
        <w:textAlignment w:val="auto"/>
      </w:pPr>
      <w:r>
        <w:rPr>
          <w:rFonts w:eastAsia="Times New Roman" w:cs="DIN Pro Regular"/>
          <w:lang w:eastAsia="es-ES"/>
        </w:rPr>
        <w:tab/>
      </w:r>
      <w:r>
        <w:rPr>
          <w:rFonts w:eastAsia="Times New Roman" w:cs="DIN Pro Regular"/>
          <w:b/>
          <w:bCs/>
          <w:lang w:eastAsia="es-ES"/>
        </w:rPr>
        <w:t>Emisión de obligaciones</w:t>
      </w:r>
    </w:p>
    <w:p w14:paraId="53F22C71"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                No Aplica</w:t>
      </w:r>
    </w:p>
    <w:p w14:paraId="0C9FCEB5" w14:textId="77777777" w:rsidR="00F46F69" w:rsidRDefault="00F46F69">
      <w:pPr>
        <w:widowControl/>
        <w:suppressAutoHyphens w:val="0"/>
        <w:jc w:val="both"/>
        <w:textAlignment w:val="auto"/>
        <w:rPr>
          <w:rFonts w:eastAsia="Times New Roman" w:cs="DIN Pro Regular"/>
          <w:lang w:eastAsia="es-ES"/>
        </w:rPr>
      </w:pPr>
    </w:p>
    <w:p w14:paraId="69C9BF8E" w14:textId="77777777" w:rsidR="00F46F69" w:rsidRDefault="00000000">
      <w:pPr>
        <w:widowControl/>
        <w:suppressAutoHyphens w:val="0"/>
        <w:jc w:val="both"/>
        <w:textAlignment w:val="auto"/>
      </w:pPr>
      <w:r>
        <w:rPr>
          <w:rFonts w:eastAsia="Times New Roman" w:cs="DIN Pro Regular"/>
          <w:lang w:eastAsia="es-ES"/>
        </w:rPr>
        <w:tab/>
      </w:r>
      <w:r>
        <w:rPr>
          <w:rFonts w:eastAsia="Times New Roman" w:cs="DIN Pro Regular"/>
          <w:b/>
          <w:bCs/>
          <w:lang w:eastAsia="es-ES"/>
        </w:rPr>
        <w:t>Avales y garantías</w:t>
      </w:r>
    </w:p>
    <w:p w14:paraId="7BC6A790"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                No Aplica</w:t>
      </w:r>
    </w:p>
    <w:p w14:paraId="0F173E9E" w14:textId="77777777" w:rsidR="00F46F69" w:rsidRDefault="00F46F69">
      <w:pPr>
        <w:widowControl/>
        <w:suppressAutoHyphens w:val="0"/>
        <w:jc w:val="both"/>
        <w:textAlignment w:val="auto"/>
        <w:rPr>
          <w:rFonts w:eastAsia="Times New Roman" w:cs="DIN Pro Regular"/>
          <w:lang w:eastAsia="es-ES"/>
        </w:rPr>
      </w:pPr>
    </w:p>
    <w:p w14:paraId="09C9FE41" w14:textId="77777777" w:rsidR="00F46F69" w:rsidRDefault="00000000">
      <w:pPr>
        <w:widowControl/>
        <w:suppressAutoHyphens w:val="0"/>
        <w:jc w:val="both"/>
        <w:textAlignment w:val="auto"/>
      </w:pPr>
      <w:r>
        <w:rPr>
          <w:rFonts w:eastAsia="Times New Roman" w:cs="DIN Pro Regular"/>
          <w:lang w:eastAsia="es-ES"/>
        </w:rPr>
        <w:tab/>
      </w:r>
      <w:r>
        <w:rPr>
          <w:rFonts w:eastAsia="Times New Roman" w:cs="DIN Pro Regular"/>
          <w:b/>
          <w:bCs/>
          <w:lang w:eastAsia="es-ES"/>
        </w:rPr>
        <w:t>Juicios</w:t>
      </w:r>
    </w:p>
    <w:p w14:paraId="252BC8B3"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                No Aplica</w:t>
      </w:r>
    </w:p>
    <w:p w14:paraId="1BBF40A3" w14:textId="77777777" w:rsidR="00F46F69" w:rsidRDefault="00F46F69">
      <w:pPr>
        <w:widowControl/>
        <w:suppressAutoHyphens w:val="0"/>
        <w:jc w:val="both"/>
        <w:textAlignment w:val="auto"/>
        <w:rPr>
          <w:rFonts w:eastAsia="Times New Roman" w:cs="DIN Pro Regular"/>
          <w:lang w:eastAsia="es-ES"/>
        </w:rPr>
      </w:pPr>
    </w:p>
    <w:p w14:paraId="131F7D3E"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 xml:space="preserve">                Inversión Mediante Proyectos para Prestación de Servicios (PPS) y Similares</w:t>
      </w:r>
    </w:p>
    <w:p w14:paraId="3A1466B3"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                No Aplica</w:t>
      </w:r>
    </w:p>
    <w:p w14:paraId="3BB4BD31" w14:textId="77777777" w:rsidR="00F46F69" w:rsidRDefault="00F46F69">
      <w:pPr>
        <w:widowControl/>
        <w:suppressAutoHyphens w:val="0"/>
        <w:jc w:val="both"/>
        <w:textAlignment w:val="auto"/>
        <w:rPr>
          <w:rFonts w:eastAsia="Times New Roman" w:cs="DIN Pro Regular"/>
          <w:lang w:eastAsia="es-ES"/>
        </w:rPr>
      </w:pPr>
    </w:p>
    <w:p w14:paraId="1FCAC450" w14:textId="77777777" w:rsidR="00F46F69" w:rsidRDefault="00000000">
      <w:pPr>
        <w:widowControl/>
        <w:suppressAutoHyphens w:val="0"/>
        <w:jc w:val="both"/>
        <w:textAlignment w:val="auto"/>
        <w:rPr>
          <w:rFonts w:eastAsia="Times New Roman" w:cs="DIN Pro Regular"/>
          <w:b/>
          <w:bCs/>
          <w:lang w:eastAsia="es-ES"/>
        </w:rPr>
      </w:pPr>
      <w:r>
        <w:rPr>
          <w:rFonts w:eastAsia="Times New Roman" w:cs="DIN Pro Regular"/>
          <w:b/>
          <w:bCs/>
          <w:lang w:eastAsia="es-ES"/>
        </w:rPr>
        <w:t xml:space="preserve">                Bienes Concesionados o en Comodato</w:t>
      </w:r>
    </w:p>
    <w:p w14:paraId="40D9FDCA"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 xml:space="preserve">                No Aplica</w:t>
      </w:r>
    </w:p>
    <w:p w14:paraId="05EA083A" w14:textId="77777777" w:rsidR="00F46F69" w:rsidRDefault="00F46F69">
      <w:pPr>
        <w:widowControl/>
        <w:suppressAutoHyphens w:val="0"/>
        <w:jc w:val="both"/>
        <w:textAlignment w:val="auto"/>
        <w:rPr>
          <w:rFonts w:eastAsia="Times New Roman" w:cs="DIN Pro Regular"/>
          <w:lang w:eastAsia="es-ES"/>
        </w:rPr>
      </w:pPr>
    </w:p>
    <w:p w14:paraId="7E4A4460" w14:textId="77777777" w:rsidR="00F46F69" w:rsidRDefault="00000000">
      <w:pPr>
        <w:widowControl/>
        <w:suppressAutoHyphens w:val="0"/>
        <w:jc w:val="both"/>
        <w:textAlignment w:val="auto"/>
        <w:rPr>
          <w:rFonts w:eastAsia="Times New Roman" w:cs="DIN Pro Regular"/>
          <w:b/>
          <w:bCs/>
          <w:sz w:val="22"/>
          <w:szCs w:val="22"/>
          <w:lang w:eastAsia="es-ES"/>
        </w:rPr>
      </w:pPr>
      <w:r>
        <w:rPr>
          <w:rFonts w:eastAsia="Times New Roman" w:cs="DIN Pro Regular"/>
          <w:b/>
          <w:bCs/>
          <w:sz w:val="22"/>
          <w:szCs w:val="22"/>
          <w:lang w:eastAsia="es-ES"/>
        </w:rPr>
        <w:t>Presupuestarias:</w:t>
      </w:r>
    </w:p>
    <w:p w14:paraId="022E16A2" w14:textId="77777777" w:rsidR="00F46F69" w:rsidRDefault="00000000">
      <w:pPr>
        <w:widowControl/>
        <w:suppressAutoHyphens w:val="0"/>
        <w:jc w:val="both"/>
        <w:textAlignment w:val="auto"/>
        <w:rPr>
          <w:rFonts w:eastAsia="Times New Roman" w:cs="DIN Pro Regular"/>
          <w:lang w:eastAsia="es-ES"/>
        </w:rPr>
      </w:pPr>
      <w:r>
        <w:rPr>
          <w:rFonts w:eastAsia="Times New Roman" w:cs="DIN Pro Regular"/>
          <w:lang w:eastAsia="es-ES"/>
        </w:rPr>
        <w:tab/>
      </w:r>
    </w:p>
    <w:tbl>
      <w:tblPr>
        <w:tblW w:w="7190" w:type="dxa"/>
        <w:jc w:val="center"/>
        <w:tblCellMar>
          <w:left w:w="10" w:type="dxa"/>
          <w:right w:w="10" w:type="dxa"/>
        </w:tblCellMar>
        <w:tblLook w:val="04A0" w:firstRow="1" w:lastRow="0" w:firstColumn="1" w:lastColumn="0" w:noHBand="0" w:noVBand="1"/>
      </w:tblPr>
      <w:tblGrid>
        <w:gridCol w:w="976"/>
        <w:gridCol w:w="4733"/>
        <w:gridCol w:w="1481"/>
      </w:tblGrid>
      <w:tr w:rsidR="00F46F69" w14:paraId="1956D41C"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D26ECCA"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F46F69" w14:paraId="1CE5796E"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3EEAB"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EE50"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E44E3"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46F69" w14:paraId="3DC6D3DF"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036F2"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8AE6B"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03CE"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$1,525,457,873</w:t>
            </w:r>
          </w:p>
        </w:tc>
      </w:tr>
      <w:tr w:rsidR="00F46F69" w14:paraId="0481929B"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EA48"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A7E96"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FD55"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                         0</w:t>
            </w:r>
          </w:p>
        </w:tc>
      </w:tr>
      <w:tr w:rsidR="00F46F69" w14:paraId="01C77CC7"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1E6EC"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4E8CA"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36D5E"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        8,072,131</w:t>
            </w:r>
          </w:p>
        </w:tc>
      </w:tr>
      <w:tr w:rsidR="00F46F69" w14:paraId="7D824765"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A98A9"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7857"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8967E"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$1,517,385,743</w:t>
            </w:r>
          </w:p>
        </w:tc>
      </w:tr>
      <w:tr w:rsidR="00F46F69" w14:paraId="6C2108DC"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F5FD"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EADF8"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4F2BD" w14:textId="77777777" w:rsidR="00F46F69" w:rsidRDefault="00000000">
            <w:pPr>
              <w:pStyle w:val="Text"/>
              <w:spacing w:after="0" w:line="240" w:lineRule="exact"/>
              <w:ind w:firstLine="0"/>
              <w:rPr>
                <w:rFonts w:ascii="Calibri" w:hAnsi="Calibri" w:cs="DIN Pro Regular"/>
                <w:sz w:val="20"/>
              </w:rPr>
            </w:pPr>
            <w:r>
              <w:rPr>
                <w:rFonts w:ascii="Calibri" w:hAnsi="Calibri" w:cs="DIN Pro Regular"/>
                <w:sz w:val="20"/>
              </w:rPr>
              <w:t>$1,513,947,958</w:t>
            </w:r>
          </w:p>
        </w:tc>
      </w:tr>
    </w:tbl>
    <w:p w14:paraId="4A5DD5B5" w14:textId="77777777" w:rsidR="00F46F69" w:rsidRDefault="00F46F69">
      <w:pPr>
        <w:widowControl/>
        <w:suppressAutoHyphens w:val="0"/>
        <w:jc w:val="both"/>
        <w:textAlignment w:val="auto"/>
        <w:rPr>
          <w:rFonts w:eastAsia="Times New Roman" w:cs="DIN Pro Regular"/>
          <w:lang w:eastAsia="es-ES"/>
        </w:rPr>
      </w:pPr>
    </w:p>
    <w:tbl>
      <w:tblPr>
        <w:tblW w:w="7190" w:type="dxa"/>
        <w:jc w:val="center"/>
        <w:tblCellMar>
          <w:left w:w="10" w:type="dxa"/>
          <w:right w:w="10" w:type="dxa"/>
        </w:tblCellMar>
        <w:tblLook w:val="04A0" w:firstRow="1" w:lastRow="0" w:firstColumn="1" w:lastColumn="0" w:noHBand="0" w:noVBand="1"/>
      </w:tblPr>
      <w:tblGrid>
        <w:gridCol w:w="976"/>
        <w:gridCol w:w="4733"/>
        <w:gridCol w:w="1481"/>
      </w:tblGrid>
      <w:tr w:rsidR="00F46F69" w14:paraId="7FA5A731"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CDC6F47"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F46F69" w14:paraId="3FB9FFCB"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100B"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389C"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7E81" w14:textId="77777777" w:rsidR="00F46F69" w:rsidRDefault="00000000">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F46F69" w14:paraId="1E160444"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6DBEC"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FCA04"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60120"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$1,525,457,873</w:t>
            </w:r>
          </w:p>
        </w:tc>
      </w:tr>
      <w:tr w:rsidR="00F46F69" w14:paraId="5CBE63B4"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5DCC"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44AF"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C4CB"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     11,988,697</w:t>
            </w:r>
          </w:p>
        </w:tc>
      </w:tr>
      <w:tr w:rsidR="00F46F69" w14:paraId="790B4469"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E6EE"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EF993"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95052"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      9,933,558</w:t>
            </w:r>
          </w:p>
        </w:tc>
      </w:tr>
      <w:tr w:rsidR="00F46F69" w14:paraId="0F2E68E4"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C5C44"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C7ABD"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7CED"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$1,503,535,618</w:t>
            </w:r>
          </w:p>
        </w:tc>
      </w:tr>
      <w:tr w:rsidR="00F46F69" w14:paraId="0B0CAB7A"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AFAD"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21FD8"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C6A73"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$1,503,498,099</w:t>
            </w:r>
          </w:p>
        </w:tc>
      </w:tr>
      <w:tr w:rsidR="00F46F69" w14:paraId="25DBA7DD"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B17CE"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CDAF5"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8A76C"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$1,503,498,099</w:t>
            </w:r>
          </w:p>
        </w:tc>
      </w:tr>
      <w:tr w:rsidR="00F46F69" w14:paraId="09A295CF" w14:textId="77777777">
        <w:tblPrEx>
          <w:tblCellMar>
            <w:top w:w="0" w:type="dxa"/>
            <w:bottom w:w="0" w:type="dxa"/>
          </w:tblCellMar>
        </w:tblPrEx>
        <w:trPr>
          <w:jc w:val="center"/>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83A7" w14:textId="77777777" w:rsidR="00F46F69" w:rsidRDefault="00000000">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8A9D"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88711" w14:textId="77777777" w:rsidR="00F46F69" w:rsidRDefault="00000000">
            <w:pPr>
              <w:pStyle w:val="Text"/>
              <w:spacing w:after="0" w:line="240" w:lineRule="exact"/>
              <w:ind w:firstLine="0"/>
              <w:jc w:val="left"/>
              <w:rPr>
                <w:rFonts w:ascii="Calibri" w:hAnsi="Calibri" w:cs="DIN Pro Regular"/>
                <w:sz w:val="20"/>
              </w:rPr>
            </w:pPr>
            <w:r>
              <w:rPr>
                <w:rFonts w:ascii="Calibri" w:hAnsi="Calibri" w:cs="DIN Pro Regular"/>
                <w:sz w:val="20"/>
              </w:rPr>
              <w:t>$1,479,463,596</w:t>
            </w:r>
          </w:p>
        </w:tc>
      </w:tr>
    </w:tbl>
    <w:p w14:paraId="3D59D8C7" w14:textId="77777777" w:rsidR="00F46F69" w:rsidRDefault="00F46F69">
      <w:pPr>
        <w:widowControl/>
        <w:suppressAutoHyphens w:val="0"/>
        <w:jc w:val="both"/>
        <w:textAlignment w:val="auto"/>
        <w:rPr>
          <w:rFonts w:eastAsia="Times New Roman" w:cs="DIN Pro Regular"/>
          <w:lang w:eastAsia="es-ES"/>
        </w:rPr>
      </w:pPr>
    </w:p>
    <w:sectPr w:rsidR="00F46F69">
      <w:headerReference w:type="default" r:id="rId12"/>
      <w:footerReference w:type="default" r:id="rId13"/>
      <w:pgSz w:w="12240" w:h="15840"/>
      <w:pgMar w:top="1701" w:right="1440" w:bottom="10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5073D" w14:textId="77777777" w:rsidR="00D278C7" w:rsidRDefault="00D278C7">
      <w:r>
        <w:separator/>
      </w:r>
    </w:p>
  </w:endnote>
  <w:endnote w:type="continuationSeparator" w:id="0">
    <w:p w14:paraId="0811566B" w14:textId="77777777" w:rsidR="00D278C7" w:rsidRDefault="00D2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Lt BT">
    <w:charset w:val="00"/>
    <w:family w:val="swiss"/>
    <w:pitch w:val="default"/>
  </w:font>
  <w:font w:name="Bookman Old Style">
    <w:panose1 w:val="02050604050505020204"/>
    <w:charset w:val="00"/>
    <w:family w:val="roman"/>
    <w:pitch w:val="variable"/>
    <w:sig w:usb0="00000287" w:usb1="00000000" w:usb2="00000000" w:usb3="00000000" w:csb0="0000009F" w:csb1="00000000"/>
  </w:font>
  <w:font w:name="DIN Pro Regular">
    <w:charset w:val="00"/>
    <w:family w:val="swiss"/>
    <w:pitch w:val="variable"/>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04CE2" w14:textId="77777777" w:rsidR="00000000" w:rsidRDefault="00000000">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26ADEF74" wp14:editId="79C80E14">
              <wp:simplePos x="0" y="0"/>
              <wp:positionH relativeFrom="column">
                <wp:posOffset>4315</wp:posOffset>
              </wp:positionH>
              <wp:positionV relativeFrom="paragraph">
                <wp:posOffset>-55796</wp:posOffset>
              </wp:positionV>
              <wp:extent cx="6191888" cy="0"/>
              <wp:effectExtent l="0" t="0" r="0" b="0"/>
              <wp:wrapNone/>
              <wp:docPr id="2076597616"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12880DD"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DCD44" w14:textId="77777777" w:rsidR="00000000" w:rsidRDefault="00000000">
    <w:pPr>
      <w:pStyle w:val="Piedepgina"/>
      <w:jc w:val="center"/>
    </w:pPr>
    <w:r>
      <w:rPr>
        <w:noProof/>
        <w:lang w:eastAsia="es-MX"/>
      </w:rPr>
      <mc:AlternateContent>
        <mc:Choice Requires="wps">
          <w:drawing>
            <wp:anchor distT="0" distB="0" distL="114300" distR="114300" simplePos="0" relativeHeight="251669504" behindDoc="1" locked="0" layoutInCell="1" allowOverlap="1" wp14:anchorId="3ED2917E" wp14:editId="2F246D1C">
              <wp:simplePos x="0" y="0"/>
              <wp:positionH relativeFrom="column">
                <wp:posOffset>4315</wp:posOffset>
              </wp:positionH>
              <wp:positionV relativeFrom="paragraph">
                <wp:posOffset>-55796</wp:posOffset>
              </wp:positionV>
              <wp:extent cx="6191888" cy="0"/>
              <wp:effectExtent l="0" t="0" r="0" b="0"/>
              <wp:wrapNone/>
              <wp:docPr id="1668954939"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2281994C"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54AD" w14:textId="77777777" w:rsidR="00000000" w:rsidRDefault="00000000">
    <w:pPr>
      <w:pStyle w:val="Piedepgina"/>
      <w:jc w:val="center"/>
    </w:pPr>
    <w:r>
      <w:rPr>
        <w:noProof/>
        <w:lang w:eastAsia="es-MX"/>
      </w:rPr>
      <mc:AlternateContent>
        <mc:Choice Requires="wps">
          <w:drawing>
            <wp:anchor distT="0" distB="0" distL="114300" distR="114300" simplePos="0" relativeHeight="251675648" behindDoc="1" locked="0" layoutInCell="1" allowOverlap="1" wp14:anchorId="7F677C69" wp14:editId="401CB6D0">
              <wp:simplePos x="0" y="0"/>
              <wp:positionH relativeFrom="column">
                <wp:posOffset>4315</wp:posOffset>
              </wp:positionH>
              <wp:positionV relativeFrom="paragraph">
                <wp:posOffset>-55796</wp:posOffset>
              </wp:positionV>
              <wp:extent cx="6191888" cy="0"/>
              <wp:effectExtent l="0" t="0" r="0" b="0"/>
              <wp:wrapNone/>
              <wp:docPr id="1563294180"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3160D4DC"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B292" w14:textId="77777777" w:rsidR="00D278C7" w:rsidRDefault="00D278C7">
      <w:r>
        <w:rPr>
          <w:color w:val="000000"/>
        </w:rPr>
        <w:separator/>
      </w:r>
    </w:p>
  </w:footnote>
  <w:footnote w:type="continuationSeparator" w:id="0">
    <w:p w14:paraId="37675378" w14:textId="77777777" w:rsidR="00D278C7" w:rsidRDefault="00D2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FDA0" w14:textId="77777777" w:rsidR="00000000" w:rsidRDefault="00000000">
    <w:pPr>
      <w:pStyle w:val="Encabezado"/>
      <w:tabs>
        <w:tab w:val="clear" w:pos="8838"/>
        <w:tab w:val="left" w:pos="7965"/>
      </w:tabs>
    </w:pPr>
    <w:r>
      <w:rPr>
        <w:noProof/>
      </w:rPr>
      <mc:AlternateContent>
        <mc:Choice Requires="wps">
          <w:drawing>
            <wp:anchor distT="0" distB="0" distL="114300" distR="114300" simplePos="0" relativeHeight="251661312" behindDoc="0" locked="0" layoutInCell="1" allowOverlap="1" wp14:anchorId="690E8C2D" wp14:editId="6E247EC0">
              <wp:simplePos x="0" y="0"/>
              <wp:positionH relativeFrom="margin">
                <wp:posOffset>4543425</wp:posOffset>
              </wp:positionH>
              <wp:positionV relativeFrom="paragraph">
                <wp:posOffset>-12060</wp:posOffset>
              </wp:positionV>
              <wp:extent cx="1914525" cy="800100"/>
              <wp:effectExtent l="0" t="0" r="9525" b="0"/>
              <wp:wrapSquare wrapText="bothSides"/>
              <wp:docPr id="1221149582" name="Cuadro de texto 2"/>
              <wp:cNvGraphicFramePr/>
              <a:graphic xmlns:a="http://schemas.openxmlformats.org/drawingml/2006/main">
                <a:graphicData uri="http://schemas.microsoft.com/office/word/2010/wordprocessingShape">
                  <wps:wsp>
                    <wps:cNvSpPr txBox="1"/>
                    <wps:spPr>
                      <a:xfrm>
                        <a:off x="0" y="0"/>
                        <a:ext cx="1914525" cy="800100"/>
                      </a:xfrm>
                      <a:prstGeom prst="rect">
                        <a:avLst/>
                      </a:prstGeom>
                      <a:solidFill>
                        <a:srgbClr val="FFFFFF"/>
                      </a:solidFill>
                      <a:ln>
                        <a:noFill/>
                        <a:prstDash/>
                      </a:ln>
                    </wps:spPr>
                    <wps:txbx>
                      <w:txbxContent>
                        <w:p w14:paraId="40FED388" w14:textId="77777777" w:rsidR="00000000" w:rsidRDefault="00000000">
                          <w:pPr>
                            <w:jc w:val="center"/>
                          </w:pPr>
                          <w:r>
                            <w:rPr>
                              <w:noProof/>
                            </w:rPr>
                            <w:drawing>
                              <wp:inline distT="0" distB="0" distL="0" distR="0" wp14:anchorId="2A8E755B" wp14:editId="3638E27A">
                                <wp:extent cx="1588431" cy="577608"/>
                                <wp:effectExtent l="0" t="0" r="0" b="0"/>
                                <wp:docPr id="1129502869" name="Picture 2" descr="Un letrero de color negr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8431" cy="577608"/>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690E8C2D" id="_x0000_t202" coordsize="21600,21600" o:spt="202" path="m,l,21600r21600,l21600,xe">
              <v:stroke joinstyle="miter"/>
              <v:path gradientshapeok="t" o:connecttype="rect"/>
            </v:shapetype>
            <v:shape id="Cuadro de texto 2" o:spid="_x0000_s1027" type="#_x0000_t202" style="position:absolute;margin-left:357.75pt;margin-top:-.95pt;width:150.75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" stroked="f">
              <v:textbox>
                <w:txbxContent>
                  <w:p w14:paraId="40FED388" w14:textId="77777777" w:rsidR="00000000" w:rsidRDefault="00000000">
                    <w:pPr>
                      <w:jc w:val="center"/>
                    </w:pPr>
                    <w:r>
                      <w:rPr>
                        <w:noProof/>
                      </w:rPr>
                      <w:drawing>
                        <wp:inline distT="0" distB="0" distL="0" distR="0" wp14:anchorId="2A8E755B" wp14:editId="3638E27A">
                          <wp:extent cx="1588431" cy="577608"/>
                          <wp:effectExtent l="0" t="0" r="0" b="0"/>
                          <wp:docPr id="1129502869" name="Picture 2" descr="Un letrero de color negr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8431" cy="577608"/>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59264" behindDoc="0" locked="0" layoutInCell="1" allowOverlap="1" wp14:anchorId="091F74E1" wp14:editId="16D38939">
          <wp:simplePos x="0" y="0"/>
          <wp:positionH relativeFrom="column">
            <wp:posOffset>-294007</wp:posOffset>
          </wp:positionH>
          <wp:positionV relativeFrom="paragraph">
            <wp:posOffset>52706</wp:posOffset>
          </wp:positionV>
          <wp:extent cx="1798323" cy="568327"/>
          <wp:effectExtent l="0" t="0" r="0" b="3173"/>
          <wp:wrapTopAndBottom/>
          <wp:docPr id="43756637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32039F72" w14:textId="77777777" w:rsidR="00000000" w:rsidRDefault="00000000">
    <w:pPr>
      <w:pStyle w:val="Encabezado"/>
      <w:tabs>
        <w:tab w:val="clear" w:pos="8838"/>
        <w:tab w:val="left" w:pos="7965"/>
      </w:tabs>
      <w:jc w:val="center"/>
    </w:pPr>
    <w:r>
      <w:rPr>
        <w:rFonts w:ascii="Encode Sans" w:hAnsi="Encode Sans" w:cs="Arial"/>
        <w:b/>
        <w:sz w:val="24"/>
        <w:szCs w:val="24"/>
      </w:rPr>
      <w:t>Fiscalía General de Justicia del Estado de Tamaulipas</w:t>
    </w:r>
    <w:r>
      <w:rPr>
        <w:noProof/>
        <w:sz w:val="24"/>
        <w:szCs w:val="24"/>
        <w:lang w:eastAsia="es-MX"/>
      </w:rPr>
      <mc:AlternateContent>
        <mc:Choice Requires="wps">
          <w:drawing>
            <wp:anchor distT="0" distB="0" distL="114300" distR="114300" simplePos="0" relativeHeight="251660288" behindDoc="1" locked="0" layoutInCell="1" allowOverlap="1" wp14:anchorId="4C440CFF" wp14:editId="69B382CD">
              <wp:simplePos x="0" y="0"/>
              <wp:positionH relativeFrom="column">
                <wp:posOffset>33174</wp:posOffset>
              </wp:positionH>
              <wp:positionV relativeFrom="paragraph">
                <wp:posOffset>293586</wp:posOffset>
              </wp:positionV>
              <wp:extent cx="6191887" cy="0"/>
              <wp:effectExtent l="0" t="0" r="0" b="0"/>
              <wp:wrapNone/>
              <wp:docPr id="1627145029"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4E6DD014"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7E1F" w14:textId="77777777" w:rsidR="00000000" w:rsidRDefault="00000000">
    <w:pPr>
      <w:pStyle w:val="Encabezado"/>
      <w:tabs>
        <w:tab w:val="clear" w:pos="8838"/>
        <w:tab w:val="left" w:pos="7965"/>
      </w:tabs>
    </w:pPr>
    <w:bookmarkStart w:id="1" w:name="_Hlk190711400"/>
    <w:bookmarkStart w:id="2" w:name="_Hlk190711401"/>
    <w:r>
      <w:rPr>
        <w:noProof/>
      </w:rPr>
      <mc:AlternateContent>
        <mc:Choice Requires="wps">
          <w:drawing>
            <wp:anchor distT="0" distB="0" distL="114300" distR="114300" simplePos="0" relativeHeight="251667456" behindDoc="0" locked="0" layoutInCell="1" allowOverlap="1" wp14:anchorId="0AD10669" wp14:editId="0FEFA86A">
              <wp:simplePos x="0" y="0"/>
              <wp:positionH relativeFrom="margin">
                <wp:posOffset>4543425</wp:posOffset>
              </wp:positionH>
              <wp:positionV relativeFrom="paragraph">
                <wp:posOffset>-12060</wp:posOffset>
              </wp:positionV>
              <wp:extent cx="1914525" cy="800100"/>
              <wp:effectExtent l="0" t="0" r="9525" b="0"/>
              <wp:wrapSquare wrapText="bothSides"/>
              <wp:docPr id="1552826529" name="Cuadro de texto 2"/>
              <wp:cNvGraphicFramePr/>
              <a:graphic xmlns:a="http://schemas.openxmlformats.org/drawingml/2006/main">
                <a:graphicData uri="http://schemas.microsoft.com/office/word/2010/wordprocessingShape">
                  <wps:wsp>
                    <wps:cNvSpPr txBox="1"/>
                    <wps:spPr>
                      <a:xfrm>
                        <a:off x="0" y="0"/>
                        <a:ext cx="1914525" cy="800100"/>
                      </a:xfrm>
                      <a:prstGeom prst="rect">
                        <a:avLst/>
                      </a:prstGeom>
                      <a:solidFill>
                        <a:srgbClr val="FFFFFF"/>
                      </a:solidFill>
                      <a:ln>
                        <a:noFill/>
                        <a:prstDash/>
                      </a:ln>
                    </wps:spPr>
                    <wps:txbx>
                      <w:txbxContent>
                        <w:p w14:paraId="78A080C4" w14:textId="77777777" w:rsidR="00000000" w:rsidRDefault="00000000">
                          <w:pPr>
                            <w:jc w:val="center"/>
                          </w:pPr>
                          <w:r>
                            <w:rPr>
                              <w:noProof/>
                            </w:rPr>
                            <w:drawing>
                              <wp:inline distT="0" distB="0" distL="0" distR="0" wp14:anchorId="3F55218F" wp14:editId="3FF5507A">
                                <wp:extent cx="1588431" cy="577608"/>
                                <wp:effectExtent l="0" t="0" r="0" b="0"/>
                                <wp:docPr id="1051083824" name="Picture 2" descr="Un letrero de color negr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8431" cy="577608"/>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0AD10669" id="_x0000_t202" coordsize="21600,21600" o:spt="202" path="m,l,21600r21600,l21600,xe">
              <v:stroke joinstyle="miter"/>
              <v:path gradientshapeok="t" o:connecttype="rect"/>
            </v:shapetype>
            <v:shape id="_x0000_s1028" type="#_x0000_t202" style="position:absolute;margin-left:357.75pt;margin-top:-.95pt;width:150.75pt;height:63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" stroked="f">
              <v:textbox>
                <w:txbxContent>
                  <w:p w14:paraId="78A080C4" w14:textId="77777777" w:rsidR="00000000" w:rsidRDefault="00000000">
                    <w:pPr>
                      <w:jc w:val="center"/>
                    </w:pPr>
                    <w:r>
                      <w:rPr>
                        <w:noProof/>
                      </w:rPr>
                      <w:drawing>
                        <wp:inline distT="0" distB="0" distL="0" distR="0" wp14:anchorId="3F55218F" wp14:editId="3FF5507A">
                          <wp:extent cx="1588431" cy="577608"/>
                          <wp:effectExtent l="0" t="0" r="0" b="0"/>
                          <wp:docPr id="1051083824" name="Picture 2" descr="Un letrero de color negr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8431" cy="577608"/>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65408" behindDoc="0" locked="0" layoutInCell="1" allowOverlap="1" wp14:anchorId="781C9BCF" wp14:editId="7C9241F7">
          <wp:simplePos x="0" y="0"/>
          <wp:positionH relativeFrom="column">
            <wp:posOffset>-294007</wp:posOffset>
          </wp:positionH>
          <wp:positionV relativeFrom="paragraph">
            <wp:posOffset>52706</wp:posOffset>
          </wp:positionV>
          <wp:extent cx="1798323" cy="568327"/>
          <wp:effectExtent l="0" t="0" r="0" b="3173"/>
          <wp:wrapTopAndBottom/>
          <wp:docPr id="63693438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231C105A" w14:textId="77777777" w:rsidR="00000000" w:rsidRDefault="00000000">
    <w:pPr>
      <w:pStyle w:val="Encabezado"/>
      <w:tabs>
        <w:tab w:val="clear" w:pos="8838"/>
        <w:tab w:val="left" w:pos="7965"/>
      </w:tabs>
      <w:jc w:val="center"/>
    </w:pPr>
    <w:r>
      <w:rPr>
        <w:rFonts w:ascii="Encode Sans" w:hAnsi="Encode Sans" w:cs="Arial"/>
        <w:b/>
        <w:sz w:val="24"/>
        <w:szCs w:val="24"/>
      </w:rPr>
      <w:t>Fiscalía General de Justicia del Estado de Tamaulipas</w:t>
    </w:r>
    <w:r>
      <w:rPr>
        <w:noProof/>
        <w:sz w:val="24"/>
        <w:szCs w:val="24"/>
        <w:lang w:eastAsia="es-MX"/>
      </w:rPr>
      <mc:AlternateContent>
        <mc:Choice Requires="wps">
          <w:drawing>
            <wp:anchor distT="0" distB="0" distL="114300" distR="114300" simplePos="0" relativeHeight="251666432" behindDoc="1" locked="0" layoutInCell="1" allowOverlap="1" wp14:anchorId="11F9A4FB" wp14:editId="313AFB97">
              <wp:simplePos x="0" y="0"/>
              <wp:positionH relativeFrom="column">
                <wp:posOffset>33174</wp:posOffset>
              </wp:positionH>
              <wp:positionV relativeFrom="paragraph">
                <wp:posOffset>293586</wp:posOffset>
              </wp:positionV>
              <wp:extent cx="6191887" cy="0"/>
              <wp:effectExtent l="0" t="0" r="0" b="0"/>
              <wp:wrapNone/>
              <wp:docPr id="676316349"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1DA8A787"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                                  </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5EB28" w14:textId="77777777" w:rsidR="00000000" w:rsidRDefault="00000000">
    <w:pPr>
      <w:pStyle w:val="Encabezado"/>
      <w:tabs>
        <w:tab w:val="clear" w:pos="8838"/>
        <w:tab w:val="left" w:pos="7965"/>
      </w:tabs>
    </w:pPr>
    <w:r>
      <w:rPr>
        <w:noProof/>
      </w:rPr>
      <mc:AlternateContent>
        <mc:Choice Requires="wps">
          <w:drawing>
            <wp:anchor distT="0" distB="0" distL="114300" distR="114300" simplePos="0" relativeHeight="251673600" behindDoc="0" locked="0" layoutInCell="1" allowOverlap="1" wp14:anchorId="237A98F3" wp14:editId="314A6A96">
              <wp:simplePos x="0" y="0"/>
              <wp:positionH relativeFrom="margin">
                <wp:posOffset>4543425</wp:posOffset>
              </wp:positionH>
              <wp:positionV relativeFrom="paragraph">
                <wp:posOffset>-12060</wp:posOffset>
              </wp:positionV>
              <wp:extent cx="1914525" cy="800100"/>
              <wp:effectExtent l="0" t="0" r="9525" b="0"/>
              <wp:wrapSquare wrapText="bothSides"/>
              <wp:docPr id="1558198205" name="Cuadro de texto 2"/>
              <wp:cNvGraphicFramePr/>
              <a:graphic xmlns:a="http://schemas.openxmlformats.org/drawingml/2006/main">
                <a:graphicData uri="http://schemas.microsoft.com/office/word/2010/wordprocessingShape">
                  <wps:wsp>
                    <wps:cNvSpPr txBox="1"/>
                    <wps:spPr>
                      <a:xfrm>
                        <a:off x="0" y="0"/>
                        <a:ext cx="1914525" cy="800100"/>
                      </a:xfrm>
                      <a:prstGeom prst="rect">
                        <a:avLst/>
                      </a:prstGeom>
                      <a:solidFill>
                        <a:srgbClr val="FFFFFF"/>
                      </a:solidFill>
                      <a:ln>
                        <a:noFill/>
                        <a:prstDash/>
                      </a:ln>
                    </wps:spPr>
                    <wps:txbx>
                      <w:txbxContent>
                        <w:p w14:paraId="78812621" w14:textId="77777777" w:rsidR="00000000" w:rsidRDefault="00000000">
                          <w:pPr>
                            <w:jc w:val="center"/>
                          </w:pPr>
                          <w:r>
                            <w:rPr>
                              <w:noProof/>
                            </w:rPr>
                            <w:drawing>
                              <wp:inline distT="0" distB="0" distL="0" distR="0" wp14:anchorId="411D36E1" wp14:editId="18CF386C">
                                <wp:extent cx="1588431" cy="577608"/>
                                <wp:effectExtent l="0" t="0" r="0" b="0"/>
                                <wp:docPr id="637807017" name="Picture 2" descr="Un letrero de color negr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8431" cy="577608"/>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w14:anchorId="237A98F3" id="_x0000_t202" coordsize="21600,21600" o:spt="202" path="m,l,21600r21600,l21600,xe">
              <v:stroke joinstyle="miter"/>
              <v:path gradientshapeok="t" o:connecttype="rect"/>
            </v:shapetype>
            <v:shape id="_x0000_s1029" type="#_x0000_t202" style="position:absolute;margin-left:357.75pt;margin-top:-.95pt;width:150.75pt;height:63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" stroked="f">
              <v:textbox>
                <w:txbxContent>
                  <w:p w14:paraId="78812621" w14:textId="77777777" w:rsidR="00000000" w:rsidRDefault="00000000">
                    <w:pPr>
                      <w:jc w:val="center"/>
                    </w:pPr>
                    <w:r>
                      <w:rPr>
                        <w:noProof/>
                      </w:rPr>
                      <w:drawing>
                        <wp:inline distT="0" distB="0" distL="0" distR="0" wp14:anchorId="411D36E1" wp14:editId="18CF386C">
                          <wp:extent cx="1588431" cy="577608"/>
                          <wp:effectExtent l="0" t="0" r="0" b="0"/>
                          <wp:docPr id="637807017" name="Picture 2" descr="Un letrero de color negr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8431" cy="577608"/>
                                  </a:xfrm>
                                  <a:prstGeom prst="rect">
                                    <a:avLst/>
                                  </a:prstGeom>
                                  <a:noFill/>
                                  <a:ln>
                                    <a:noFill/>
                                    <a:prstDash/>
                                  </a:ln>
                                </pic:spPr>
                              </pic:pic>
                            </a:graphicData>
                          </a:graphic>
                        </wp:inline>
                      </w:drawing>
                    </w:r>
                  </w:p>
                </w:txbxContent>
              </v:textbox>
              <w10:wrap type="square" anchorx="margin"/>
            </v:shape>
          </w:pict>
        </mc:Fallback>
      </mc:AlternateContent>
    </w:r>
    <w:r>
      <w:rPr>
        <w:rFonts w:ascii="Arial" w:hAnsi="Arial" w:cs="Arial"/>
        <w:noProof/>
        <w:lang w:eastAsia="es-MX"/>
      </w:rPr>
      <w:drawing>
        <wp:anchor distT="0" distB="0" distL="114300" distR="114300" simplePos="0" relativeHeight="251671552" behindDoc="0" locked="0" layoutInCell="1" allowOverlap="1" wp14:anchorId="0EE7BAD6" wp14:editId="6AF75C03">
          <wp:simplePos x="0" y="0"/>
          <wp:positionH relativeFrom="column">
            <wp:posOffset>-294007</wp:posOffset>
          </wp:positionH>
          <wp:positionV relativeFrom="paragraph">
            <wp:posOffset>52706</wp:posOffset>
          </wp:positionV>
          <wp:extent cx="1798323" cy="568327"/>
          <wp:effectExtent l="0" t="0" r="0" b="3173"/>
          <wp:wrapTopAndBottom/>
          <wp:docPr id="42415570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19BB07F1" w14:textId="77777777" w:rsidR="00000000" w:rsidRDefault="00000000">
    <w:pPr>
      <w:pStyle w:val="Encabezado"/>
      <w:tabs>
        <w:tab w:val="clear" w:pos="8838"/>
        <w:tab w:val="left" w:pos="7965"/>
      </w:tabs>
      <w:jc w:val="center"/>
    </w:pPr>
    <w:r>
      <w:rPr>
        <w:rFonts w:ascii="Encode Sans" w:hAnsi="Encode Sans" w:cs="Arial"/>
        <w:b/>
        <w:sz w:val="24"/>
        <w:szCs w:val="24"/>
      </w:rPr>
      <w:t>Fiscalía General de Justicia del Estado de Tamaulipas</w:t>
    </w:r>
    <w:r>
      <w:rPr>
        <w:noProof/>
        <w:sz w:val="24"/>
        <w:szCs w:val="24"/>
        <w:lang w:eastAsia="es-MX"/>
      </w:rPr>
      <mc:AlternateContent>
        <mc:Choice Requires="wps">
          <w:drawing>
            <wp:anchor distT="0" distB="0" distL="114300" distR="114300" simplePos="0" relativeHeight="251672576" behindDoc="1" locked="0" layoutInCell="1" allowOverlap="1" wp14:anchorId="2E91C8BD" wp14:editId="29CED8FF">
              <wp:simplePos x="0" y="0"/>
              <wp:positionH relativeFrom="column">
                <wp:posOffset>33174</wp:posOffset>
              </wp:positionH>
              <wp:positionV relativeFrom="paragraph">
                <wp:posOffset>293586</wp:posOffset>
              </wp:positionV>
              <wp:extent cx="6191887" cy="0"/>
              <wp:effectExtent l="0" t="0" r="0" b="0"/>
              <wp:wrapNone/>
              <wp:docPr id="1831680200"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51576999"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4781"/>
    <w:multiLevelType w:val="multilevel"/>
    <w:tmpl w:val="CE60D3FC"/>
    <w:styleLink w:val="NoList"/>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068D7F84"/>
    <w:multiLevelType w:val="multilevel"/>
    <w:tmpl w:val="83BE7C58"/>
    <w:lvl w:ilvl="0">
      <w:start w:val="7"/>
      <w:numFmt w:val="decimal"/>
      <w:lvlText w:val="%1."/>
      <w:lvlJc w:val="left"/>
      <w:pPr>
        <w:ind w:left="708" w:hanging="4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097B5962"/>
    <w:multiLevelType w:val="multilevel"/>
    <w:tmpl w:val="A0A0B894"/>
    <w:lvl w:ilvl="0">
      <w:start w:val="1"/>
      <w:numFmt w:val="decimal"/>
      <w:lvlText w:val="%1."/>
      <w:lvlJc w:val="left"/>
      <w:pPr>
        <w:ind w:left="1008" w:hanging="360"/>
      </w:pPr>
      <w:rPr>
        <w:b/>
        <w:i w:val="0"/>
      </w:rPr>
    </w:lvl>
    <w:lvl w:ilvl="1">
      <w:start w:val="1"/>
      <w:numFmt w:val="lowerLetter"/>
      <w:lvlText w:val="."/>
      <w:lvlJc w:val="left"/>
      <w:pPr>
        <w:ind w:left="1728" w:hanging="360"/>
      </w:pPr>
    </w:lvl>
    <w:lvl w:ilvl="2">
      <w:start w:val="1"/>
      <w:numFmt w:val="lowerRoman"/>
      <w:lvlText w:val="."/>
      <w:lvlJc w:val="right"/>
      <w:pPr>
        <w:ind w:left="2448" w:hanging="180"/>
      </w:pPr>
    </w:lvl>
    <w:lvl w:ilvl="3">
      <w:start w:val="1"/>
      <w:numFmt w:val="decimal"/>
      <w:lvlText w:val="."/>
      <w:lvlJc w:val="left"/>
      <w:pPr>
        <w:ind w:left="3168" w:hanging="360"/>
      </w:pPr>
    </w:lvl>
    <w:lvl w:ilvl="4">
      <w:start w:val="1"/>
      <w:numFmt w:val="lowerLetter"/>
      <w:lvlText w:val="."/>
      <w:lvlJc w:val="left"/>
      <w:pPr>
        <w:ind w:left="3888" w:hanging="360"/>
      </w:pPr>
    </w:lvl>
    <w:lvl w:ilvl="5">
      <w:start w:val="1"/>
      <w:numFmt w:val="lowerRoman"/>
      <w:lvlText w:val="."/>
      <w:lvlJc w:val="right"/>
      <w:pPr>
        <w:ind w:left="4608" w:hanging="180"/>
      </w:pPr>
    </w:lvl>
    <w:lvl w:ilvl="6">
      <w:start w:val="1"/>
      <w:numFmt w:val="decimal"/>
      <w:lvlText w:val="."/>
      <w:lvlJc w:val="left"/>
      <w:pPr>
        <w:ind w:left="5328" w:hanging="360"/>
      </w:pPr>
    </w:lvl>
    <w:lvl w:ilvl="7">
      <w:start w:val="1"/>
      <w:numFmt w:val="lowerLetter"/>
      <w:lvlText w:val="."/>
      <w:lvlJc w:val="left"/>
      <w:pPr>
        <w:ind w:left="6048" w:hanging="360"/>
      </w:pPr>
    </w:lvl>
    <w:lvl w:ilvl="8">
      <w:start w:val="1"/>
      <w:numFmt w:val="lowerRoman"/>
      <w:lvlText w:val="."/>
      <w:lvlJc w:val="right"/>
      <w:pPr>
        <w:ind w:left="6768" w:hanging="180"/>
      </w:pPr>
    </w:lvl>
  </w:abstractNum>
  <w:abstractNum w:abstractNumId="3" w15:restartNumberingAfterBreak="0">
    <w:nsid w:val="0C3F6D5B"/>
    <w:multiLevelType w:val="multilevel"/>
    <w:tmpl w:val="F3EAF4DC"/>
    <w:lvl w:ilvl="0">
      <w:start w:val="1"/>
      <w:numFmt w:val="lowerLetter"/>
      <w:lvlText w:val="%1)"/>
      <w:lvlJc w:val="left"/>
      <w:pPr>
        <w:ind w:left="1644" w:hanging="360"/>
      </w:pPr>
      <w:rPr>
        <w:b/>
        <w:bCs w:val="0"/>
        <w:i w:val="0"/>
      </w:rPr>
    </w:lvl>
    <w:lvl w:ilvl="1">
      <w:start w:val="1"/>
      <w:numFmt w:val="lowerLetter"/>
      <w:lvlText w:val="."/>
      <w:lvlJc w:val="left"/>
      <w:pPr>
        <w:ind w:left="1728" w:hanging="360"/>
      </w:pPr>
    </w:lvl>
    <w:lvl w:ilvl="2">
      <w:start w:val="1"/>
      <w:numFmt w:val="lowerRoman"/>
      <w:lvlText w:val="."/>
      <w:lvlJc w:val="right"/>
      <w:pPr>
        <w:ind w:left="2448" w:hanging="180"/>
      </w:pPr>
    </w:lvl>
    <w:lvl w:ilvl="3">
      <w:start w:val="1"/>
      <w:numFmt w:val="decimal"/>
      <w:lvlText w:val="."/>
      <w:lvlJc w:val="left"/>
      <w:pPr>
        <w:ind w:left="3168" w:hanging="360"/>
      </w:pPr>
    </w:lvl>
    <w:lvl w:ilvl="4">
      <w:start w:val="1"/>
      <w:numFmt w:val="lowerLetter"/>
      <w:lvlText w:val="."/>
      <w:lvlJc w:val="left"/>
      <w:pPr>
        <w:ind w:left="3888" w:hanging="360"/>
      </w:pPr>
    </w:lvl>
    <w:lvl w:ilvl="5">
      <w:start w:val="1"/>
      <w:numFmt w:val="lowerRoman"/>
      <w:lvlText w:val="."/>
      <w:lvlJc w:val="right"/>
      <w:pPr>
        <w:ind w:left="4608" w:hanging="180"/>
      </w:pPr>
    </w:lvl>
    <w:lvl w:ilvl="6">
      <w:start w:val="1"/>
      <w:numFmt w:val="decimal"/>
      <w:lvlText w:val="."/>
      <w:lvlJc w:val="left"/>
      <w:pPr>
        <w:ind w:left="5328" w:hanging="360"/>
      </w:pPr>
    </w:lvl>
    <w:lvl w:ilvl="7">
      <w:start w:val="1"/>
      <w:numFmt w:val="lowerLetter"/>
      <w:lvlText w:val="."/>
      <w:lvlJc w:val="left"/>
      <w:pPr>
        <w:ind w:left="6048" w:hanging="360"/>
      </w:pPr>
    </w:lvl>
    <w:lvl w:ilvl="8">
      <w:start w:val="1"/>
      <w:numFmt w:val="lowerRoman"/>
      <w:lvlText w:val="."/>
      <w:lvlJc w:val="right"/>
      <w:pPr>
        <w:ind w:left="6768" w:hanging="180"/>
      </w:pPr>
    </w:lvl>
  </w:abstractNum>
  <w:abstractNum w:abstractNumId="4" w15:restartNumberingAfterBreak="0">
    <w:nsid w:val="0F4B57A3"/>
    <w:multiLevelType w:val="multilevel"/>
    <w:tmpl w:val="AD7E3DC6"/>
    <w:lvl w:ilvl="0">
      <w:start w:val="1"/>
      <w:numFmt w:val="lowerLetter"/>
      <w:lvlText w:val="%1)"/>
      <w:lvlJc w:val="left"/>
      <w:pPr>
        <w:ind w:left="1440" w:hanging="360"/>
      </w:pPr>
      <w:rPr>
        <w:b/>
        <w:bCs w:val="0"/>
        <w:i w:val="0"/>
      </w:rPr>
    </w:lvl>
    <w:lvl w:ilvl="1">
      <w:start w:val="1"/>
      <w:numFmt w:val="upperRoman"/>
      <w:lvlText w:val="."/>
      <w:lvlJc w:val="left"/>
      <w:pPr>
        <w:ind w:left="2520" w:hanging="72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5" w15:restartNumberingAfterBreak="0">
    <w:nsid w:val="12765999"/>
    <w:multiLevelType w:val="multilevel"/>
    <w:tmpl w:val="F20082A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142A40EE"/>
    <w:multiLevelType w:val="multilevel"/>
    <w:tmpl w:val="44D2B4C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146F1D30"/>
    <w:multiLevelType w:val="multilevel"/>
    <w:tmpl w:val="C6F40CB8"/>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14C909B0"/>
    <w:multiLevelType w:val="multilevel"/>
    <w:tmpl w:val="A6269AB4"/>
    <w:lvl w:ilvl="0">
      <w:start w:val="1"/>
      <w:numFmt w:val="decimal"/>
      <w:lvlText w:val="%1."/>
      <w:lvlJc w:val="left"/>
      <w:pPr>
        <w:ind w:left="1068" w:hanging="360"/>
      </w:pPr>
      <w:rPr>
        <w:b/>
        <w:bCs/>
      </w:rPr>
    </w:lvl>
    <w:lvl w:ilvl="1">
      <w:start w:val="1"/>
      <w:numFmt w:val="lowerLetter"/>
      <w:lvlText w:val="."/>
      <w:lvlJc w:val="left"/>
      <w:pPr>
        <w:ind w:left="1788" w:hanging="360"/>
      </w:pPr>
    </w:lvl>
    <w:lvl w:ilvl="2">
      <w:start w:val="1"/>
      <w:numFmt w:val="lowerRoman"/>
      <w:lvlText w:val="."/>
      <w:lvlJc w:val="right"/>
      <w:pPr>
        <w:ind w:left="2508" w:hanging="180"/>
      </w:pPr>
    </w:lvl>
    <w:lvl w:ilvl="3">
      <w:start w:val="1"/>
      <w:numFmt w:val="decimal"/>
      <w:lvlText w:val="."/>
      <w:lvlJc w:val="left"/>
      <w:pPr>
        <w:ind w:left="3228" w:hanging="360"/>
      </w:pPr>
    </w:lvl>
    <w:lvl w:ilvl="4">
      <w:start w:val="1"/>
      <w:numFmt w:val="lowerLetter"/>
      <w:lvlText w:val="."/>
      <w:lvlJc w:val="left"/>
      <w:pPr>
        <w:ind w:left="3948" w:hanging="360"/>
      </w:pPr>
    </w:lvl>
    <w:lvl w:ilvl="5">
      <w:start w:val="1"/>
      <w:numFmt w:val="lowerRoman"/>
      <w:lvlText w:val="."/>
      <w:lvlJc w:val="right"/>
      <w:pPr>
        <w:ind w:left="4668" w:hanging="180"/>
      </w:pPr>
    </w:lvl>
    <w:lvl w:ilvl="6">
      <w:start w:val="1"/>
      <w:numFmt w:val="decimal"/>
      <w:lvlText w:val="."/>
      <w:lvlJc w:val="left"/>
      <w:pPr>
        <w:ind w:left="5388" w:hanging="360"/>
      </w:pPr>
    </w:lvl>
    <w:lvl w:ilvl="7">
      <w:start w:val="1"/>
      <w:numFmt w:val="lowerLetter"/>
      <w:lvlText w:val="."/>
      <w:lvlJc w:val="left"/>
      <w:pPr>
        <w:ind w:left="6108" w:hanging="360"/>
      </w:pPr>
    </w:lvl>
    <w:lvl w:ilvl="8">
      <w:start w:val="1"/>
      <w:numFmt w:val="lowerRoman"/>
      <w:lvlText w:val="."/>
      <w:lvlJc w:val="right"/>
      <w:pPr>
        <w:ind w:left="6828" w:hanging="180"/>
      </w:pPr>
    </w:lvl>
  </w:abstractNum>
  <w:abstractNum w:abstractNumId="9" w15:restartNumberingAfterBreak="0">
    <w:nsid w:val="251D7259"/>
    <w:multiLevelType w:val="multilevel"/>
    <w:tmpl w:val="3814E562"/>
    <w:lvl w:ilvl="0">
      <w:start w:val="1"/>
      <w:numFmt w:val="lowerLetter"/>
      <w:lvlText w:val="%1)"/>
      <w:lvlJc w:val="left"/>
      <w:pPr>
        <w:ind w:left="1644" w:hanging="360"/>
      </w:pPr>
    </w:lvl>
    <w:lvl w:ilvl="1">
      <w:start w:val="1"/>
      <w:numFmt w:val="lowerLetter"/>
      <w:lvlText w:val="."/>
      <w:lvlJc w:val="left"/>
      <w:pPr>
        <w:ind w:left="1728" w:hanging="360"/>
      </w:pPr>
    </w:lvl>
    <w:lvl w:ilvl="2">
      <w:start w:val="1"/>
      <w:numFmt w:val="lowerRoman"/>
      <w:lvlText w:val="."/>
      <w:lvlJc w:val="right"/>
      <w:pPr>
        <w:ind w:left="2448" w:hanging="180"/>
      </w:pPr>
    </w:lvl>
    <w:lvl w:ilvl="3">
      <w:start w:val="1"/>
      <w:numFmt w:val="decimal"/>
      <w:lvlText w:val="."/>
      <w:lvlJc w:val="left"/>
      <w:pPr>
        <w:ind w:left="3168" w:hanging="360"/>
      </w:pPr>
    </w:lvl>
    <w:lvl w:ilvl="4">
      <w:start w:val="1"/>
      <w:numFmt w:val="lowerLetter"/>
      <w:lvlText w:val="."/>
      <w:lvlJc w:val="left"/>
      <w:pPr>
        <w:ind w:left="3888" w:hanging="360"/>
      </w:pPr>
    </w:lvl>
    <w:lvl w:ilvl="5">
      <w:start w:val="1"/>
      <w:numFmt w:val="lowerRoman"/>
      <w:lvlText w:val="."/>
      <w:lvlJc w:val="right"/>
      <w:pPr>
        <w:ind w:left="4608" w:hanging="180"/>
      </w:pPr>
    </w:lvl>
    <w:lvl w:ilvl="6">
      <w:start w:val="1"/>
      <w:numFmt w:val="decimal"/>
      <w:lvlText w:val="."/>
      <w:lvlJc w:val="left"/>
      <w:pPr>
        <w:ind w:left="5328" w:hanging="360"/>
      </w:pPr>
    </w:lvl>
    <w:lvl w:ilvl="7">
      <w:start w:val="1"/>
      <w:numFmt w:val="lowerLetter"/>
      <w:lvlText w:val="."/>
      <w:lvlJc w:val="left"/>
      <w:pPr>
        <w:ind w:left="6048" w:hanging="360"/>
      </w:pPr>
    </w:lvl>
    <w:lvl w:ilvl="8">
      <w:start w:val="1"/>
      <w:numFmt w:val="lowerRoman"/>
      <w:lvlText w:val="."/>
      <w:lvlJc w:val="right"/>
      <w:pPr>
        <w:ind w:left="6768" w:hanging="180"/>
      </w:pPr>
    </w:lvl>
  </w:abstractNum>
  <w:abstractNum w:abstractNumId="10" w15:restartNumberingAfterBreak="0">
    <w:nsid w:val="28B263B3"/>
    <w:multiLevelType w:val="multilevel"/>
    <w:tmpl w:val="32680546"/>
    <w:styleLink w:val="WWNum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2F0F0FBC"/>
    <w:multiLevelType w:val="multilevel"/>
    <w:tmpl w:val="BE041608"/>
    <w:lvl w:ilvl="0">
      <w:start w:val="1"/>
      <w:numFmt w:val="decimal"/>
      <w:lvlText w:val="%1."/>
      <w:lvlJc w:val="left"/>
      <w:pPr>
        <w:ind w:left="1083" w:hanging="360"/>
      </w:pPr>
    </w:lvl>
    <w:lvl w:ilvl="1">
      <w:start w:val="1"/>
      <w:numFmt w:val="lowerLetter"/>
      <w:lvlText w:val="."/>
      <w:lvlJc w:val="left"/>
      <w:pPr>
        <w:ind w:left="1803" w:hanging="360"/>
      </w:pPr>
    </w:lvl>
    <w:lvl w:ilvl="2">
      <w:start w:val="1"/>
      <w:numFmt w:val="lowerRoman"/>
      <w:lvlText w:val="."/>
      <w:lvlJc w:val="right"/>
      <w:pPr>
        <w:ind w:left="2523" w:hanging="180"/>
      </w:pPr>
    </w:lvl>
    <w:lvl w:ilvl="3">
      <w:start w:val="1"/>
      <w:numFmt w:val="decimal"/>
      <w:lvlText w:val="."/>
      <w:lvlJc w:val="left"/>
      <w:pPr>
        <w:ind w:left="3243" w:hanging="360"/>
      </w:pPr>
    </w:lvl>
    <w:lvl w:ilvl="4">
      <w:start w:val="1"/>
      <w:numFmt w:val="lowerLetter"/>
      <w:lvlText w:val="."/>
      <w:lvlJc w:val="left"/>
      <w:pPr>
        <w:ind w:left="3963" w:hanging="360"/>
      </w:pPr>
    </w:lvl>
    <w:lvl w:ilvl="5">
      <w:start w:val="1"/>
      <w:numFmt w:val="lowerRoman"/>
      <w:lvlText w:val="."/>
      <w:lvlJc w:val="right"/>
      <w:pPr>
        <w:ind w:left="4683" w:hanging="180"/>
      </w:pPr>
    </w:lvl>
    <w:lvl w:ilvl="6">
      <w:start w:val="1"/>
      <w:numFmt w:val="decimal"/>
      <w:lvlText w:val="."/>
      <w:lvlJc w:val="left"/>
      <w:pPr>
        <w:ind w:left="5403" w:hanging="360"/>
      </w:pPr>
    </w:lvl>
    <w:lvl w:ilvl="7">
      <w:start w:val="1"/>
      <w:numFmt w:val="lowerLetter"/>
      <w:lvlText w:val="."/>
      <w:lvlJc w:val="left"/>
      <w:pPr>
        <w:ind w:left="6123" w:hanging="360"/>
      </w:pPr>
    </w:lvl>
    <w:lvl w:ilvl="8">
      <w:start w:val="1"/>
      <w:numFmt w:val="lowerRoman"/>
      <w:lvlText w:val="."/>
      <w:lvlJc w:val="right"/>
      <w:pPr>
        <w:ind w:left="6843" w:hanging="180"/>
      </w:pPr>
    </w:lvl>
  </w:abstractNum>
  <w:abstractNum w:abstractNumId="12" w15:restartNumberingAfterBreak="0">
    <w:nsid w:val="39DF4F6D"/>
    <w:multiLevelType w:val="multilevel"/>
    <w:tmpl w:val="C31802FC"/>
    <w:lvl w:ilvl="0">
      <w:start w:val="1"/>
      <w:numFmt w:val="lowerLetter"/>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3" w15:restartNumberingAfterBreak="0">
    <w:nsid w:val="3B8467ED"/>
    <w:multiLevelType w:val="multilevel"/>
    <w:tmpl w:val="77162506"/>
    <w:lvl w:ilvl="0">
      <w:start w:val="1"/>
      <w:numFmt w:val="lowerLetter"/>
      <w:lvlText w:val="%1)"/>
      <w:lvlJc w:val="left"/>
      <w:pPr>
        <w:ind w:left="1428" w:hanging="360"/>
      </w:pPr>
      <w:rPr>
        <w:b w:val="0"/>
        <w:bCs/>
        <w:i w:val="0"/>
      </w:rPr>
    </w:lvl>
    <w:lvl w:ilvl="1">
      <w:start w:val="1"/>
      <w:numFmt w:val="lowerLetter"/>
      <w:lvlText w:val="."/>
      <w:lvlJc w:val="left"/>
      <w:pPr>
        <w:ind w:left="2148" w:hanging="360"/>
      </w:pPr>
    </w:lvl>
    <w:lvl w:ilvl="2">
      <w:start w:val="1"/>
      <w:numFmt w:val="lowerRoman"/>
      <w:lvlText w:val="."/>
      <w:lvlJc w:val="right"/>
      <w:pPr>
        <w:ind w:left="2868" w:hanging="180"/>
      </w:pPr>
    </w:lvl>
    <w:lvl w:ilvl="3">
      <w:start w:val="1"/>
      <w:numFmt w:val="decimal"/>
      <w:lvlText w:val="."/>
      <w:lvlJc w:val="left"/>
      <w:pPr>
        <w:ind w:left="3588" w:hanging="360"/>
      </w:pPr>
    </w:lvl>
    <w:lvl w:ilvl="4">
      <w:start w:val="1"/>
      <w:numFmt w:val="lowerLetter"/>
      <w:lvlText w:val="."/>
      <w:lvlJc w:val="left"/>
      <w:pPr>
        <w:ind w:left="4308" w:hanging="360"/>
      </w:pPr>
    </w:lvl>
    <w:lvl w:ilvl="5">
      <w:start w:val="1"/>
      <w:numFmt w:val="lowerRoman"/>
      <w:lvlText w:val="."/>
      <w:lvlJc w:val="right"/>
      <w:pPr>
        <w:ind w:left="5028" w:hanging="180"/>
      </w:pPr>
    </w:lvl>
    <w:lvl w:ilvl="6">
      <w:start w:val="1"/>
      <w:numFmt w:val="decimal"/>
      <w:lvlText w:val="."/>
      <w:lvlJc w:val="left"/>
      <w:pPr>
        <w:ind w:left="5748" w:hanging="360"/>
      </w:pPr>
    </w:lvl>
    <w:lvl w:ilvl="7">
      <w:start w:val="1"/>
      <w:numFmt w:val="lowerLetter"/>
      <w:lvlText w:val="."/>
      <w:lvlJc w:val="left"/>
      <w:pPr>
        <w:ind w:left="6468" w:hanging="360"/>
      </w:pPr>
    </w:lvl>
    <w:lvl w:ilvl="8">
      <w:start w:val="1"/>
      <w:numFmt w:val="lowerRoman"/>
      <w:lvlText w:val="."/>
      <w:lvlJc w:val="right"/>
      <w:pPr>
        <w:ind w:left="7188" w:hanging="180"/>
      </w:pPr>
    </w:lvl>
  </w:abstractNum>
  <w:abstractNum w:abstractNumId="14" w15:restartNumberingAfterBreak="0">
    <w:nsid w:val="3E8657AD"/>
    <w:multiLevelType w:val="multilevel"/>
    <w:tmpl w:val="AF0A800C"/>
    <w:lvl w:ilvl="0">
      <w:start w:val="1"/>
      <w:numFmt w:val="lowerLetter"/>
      <w:lvlText w:val="%1)"/>
      <w:lvlJc w:val="left"/>
      <w:pPr>
        <w:ind w:left="1356" w:hanging="360"/>
      </w:pPr>
      <w:rPr>
        <w:b/>
        <w:bCs w:val="0"/>
        <w:i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5" w15:restartNumberingAfterBreak="0">
    <w:nsid w:val="44F22EF6"/>
    <w:multiLevelType w:val="multilevel"/>
    <w:tmpl w:val="795ACF24"/>
    <w:lvl w:ilvl="0">
      <w:start w:val="1"/>
      <w:numFmt w:val="lowerLetter"/>
      <w:lvlText w:val="%1)"/>
      <w:lvlJc w:val="left"/>
      <w:pPr>
        <w:ind w:left="1008" w:hanging="360"/>
      </w:pPr>
      <w:rPr>
        <w:b/>
        <w:bCs/>
      </w:rPr>
    </w:lvl>
    <w:lvl w:ilvl="1">
      <w:start w:val="1"/>
      <w:numFmt w:val="lowerLetter"/>
      <w:lvlText w:val="."/>
      <w:lvlJc w:val="left"/>
      <w:pPr>
        <w:ind w:left="1728" w:hanging="360"/>
      </w:pPr>
    </w:lvl>
    <w:lvl w:ilvl="2">
      <w:start w:val="1"/>
      <w:numFmt w:val="lowerRoman"/>
      <w:lvlText w:val="."/>
      <w:lvlJc w:val="right"/>
      <w:pPr>
        <w:ind w:left="2448" w:hanging="180"/>
      </w:pPr>
    </w:lvl>
    <w:lvl w:ilvl="3">
      <w:start w:val="1"/>
      <w:numFmt w:val="decimal"/>
      <w:lvlText w:val="."/>
      <w:lvlJc w:val="left"/>
      <w:pPr>
        <w:ind w:left="3168" w:hanging="360"/>
      </w:pPr>
    </w:lvl>
    <w:lvl w:ilvl="4">
      <w:start w:val="1"/>
      <w:numFmt w:val="lowerLetter"/>
      <w:lvlText w:val="."/>
      <w:lvlJc w:val="left"/>
      <w:pPr>
        <w:ind w:left="3888" w:hanging="360"/>
      </w:pPr>
    </w:lvl>
    <w:lvl w:ilvl="5">
      <w:start w:val="1"/>
      <w:numFmt w:val="lowerRoman"/>
      <w:lvlText w:val="."/>
      <w:lvlJc w:val="right"/>
      <w:pPr>
        <w:ind w:left="4608" w:hanging="180"/>
      </w:pPr>
    </w:lvl>
    <w:lvl w:ilvl="6">
      <w:start w:val="1"/>
      <w:numFmt w:val="decimal"/>
      <w:lvlText w:val="."/>
      <w:lvlJc w:val="left"/>
      <w:pPr>
        <w:ind w:left="5328" w:hanging="360"/>
      </w:pPr>
    </w:lvl>
    <w:lvl w:ilvl="7">
      <w:start w:val="1"/>
      <w:numFmt w:val="lowerLetter"/>
      <w:lvlText w:val="."/>
      <w:lvlJc w:val="left"/>
      <w:pPr>
        <w:ind w:left="6048" w:hanging="360"/>
      </w:pPr>
    </w:lvl>
    <w:lvl w:ilvl="8">
      <w:start w:val="1"/>
      <w:numFmt w:val="lowerRoman"/>
      <w:lvlText w:val="."/>
      <w:lvlJc w:val="right"/>
      <w:pPr>
        <w:ind w:left="6768" w:hanging="180"/>
      </w:pPr>
    </w:lvl>
  </w:abstractNum>
  <w:abstractNum w:abstractNumId="16" w15:restartNumberingAfterBreak="0">
    <w:nsid w:val="48CB50A8"/>
    <w:multiLevelType w:val="multilevel"/>
    <w:tmpl w:val="F5904804"/>
    <w:lvl w:ilvl="0">
      <w:start w:val="1"/>
      <w:numFmt w:val="lowerLetter"/>
      <w:lvlText w:val="%1)"/>
      <w:lvlJc w:val="left"/>
      <w:pPr>
        <w:ind w:left="1644" w:hanging="360"/>
      </w:pPr>
      <w:rPr>
        <w:b/>
        <w:bCs w:val="0"/>
        <w:i w:val="0"/>
      </w:rPr>
    </w:lvl>
    <w:lvl w:ilvl="1">
      <w:start w:val="1"/>
      <w:numFmt w:val="lowerLetter"/>
      <w:lvlText w:val="."/>
      <w:lvlJc w:val="left"/>
      <w:pPr>
        <w:ind w:left="1728" w:hanging="360"/>
      </w:pPr>
    </w:lvl>
    <w:lvl w:ilvl="2">
      <w:start w:val="1"/>
      <w:numFmt w:val="lowerRoman"/>
      <w:lvlText w:val="."/>
      <w:lvlJc w:val="right"/>
      <w:pPr>
        <w:ind w:left="2448" w:hanging="180"/>
      </w:pPr>
    </w:lvl>
    <w:lvl w:ilvl="3">
      <w:start w:val="1"/>
      <w:numFmt w:val="decimal"/>
      <w:lvlText w:val="."/>
      <w:lvlJc w:val="left"/>
      <w:pPr>
        <w:ind w:left="3168" w:hanging="360"/>
      </w:pPr>
    </w:lvl>
    <w:lvl w:ilvl="4">
      <w:start w:val="1"/>
      <w:numFmt w:val="lowerLetter"/>
      <w:lvlText w:val="."/>
      <w:lvlJc w:val="left"/>
      <w:pPr>
        <w:ind w:left="3888" w:hanging="360"/>
      </w:pPr>
    </w:lvl>
    <w:lvl w:ilvl="5">
      <w:start w:val="1"/>
      <w:numFmt w:val="lowerRoman"/>
      <w:lvlText w:val="."/>
      <w:lvlJc w:val="right"/>
      <w:pPr>
        <w:ind w:left="4608" w:hanging="180"/>
      </w:pPr>
    </w:lvl>
    <w:lvl w:ilvl="6">
      <w:start w:val="1"/>
      <w:numFmt w:val="decimal"/>
      <w:lvlText w:val="."/>
      <w:lvlJc w:val="left"/>
      <w:pPr>
        <w:ind w:left="5328" w:hanging="360"/>
      </w:pPr>
    </w:lvl>
    <w:lvl w:ilvl="7">
      <w:start w:val="1"/>
      <w:numFmt w:val="lowerLetter"/>
      <w:lvlText w:val="."/>
      <w:lvlJc w:val="left"/>
      <w:pPr>
        <w:ind w:left="6048" w:hanging="360"/>
      </w:pPr>
    </w:lvl>
    <w:lvl w:ilvl="8">
      <w:start w:val="1"/>
      <w:numFmt w:val="lowerRoman"/>
      <w:lvlText w:val="."/>
      <w:lvlJc w:val="right"/>
      <w:pPr>
        <w:ind w:left="6768" w:hanging="180"/>
      </w:pPr>
    </w:lvl>
  </w:abstractNum>
  <w:abstractNum w:abstractNumId="17" w15:restartNumberingAfterBreak="0">
    <w:nsid w:val="4BFB1F9B"/>
    <w:multiLevelType w:val="multilevel"/>
    <w:tmpl w:val="46E677E2"/>
    <w:lvl w:ilvl="0">
      <w:start w:val="1"/>
      <w:numFmt w:val="lowerLetter"/>
      <w:lvlText w:val="%1)"/>
      <w:lvlJc w:val="left"/>
      <w:pPr>
        <w:ind w:left="1429" w:hanging="360"/>
      </w:pPr>
      <w:rPr>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8" w15:restartNumberingAfterBreak="0">
    <w:nsid w:val="4C9109CB"/>
    <w:multiLevelType w:val="multilevel"/>
    <w:tmpl w:val="A504F68A"/>
    <w:lvl w:ilvl="0">
      <w:start w:val="1"/>
      <w:numFmt w:val="lowerLetter"/>
      <w:lvlText w:val="%1)"/>
      <w:lvlJc w:val="left"/>
      <w:pPr>
        <w:ind w:left="1455" w:hanging="360"/>
      </w:pPr>
      <w:rPr>
        <w:b/>
        <w:bCs w:val="0"/>
        <w:i w:val="0"/>
      </w:rPr>
    </w:lvl>
    <w:lvl w:ilvl="1">
      <w:start w:val="1"/>
      <w:numFmt w:val="lowerLetter"/>
      <w:lvlText w:val="."/>
      <w:lvlJc w:val="left"/>
      <w:pPr>
        <w:ind w:left="2175" w:hanging="360"/>
      </w:pPr>
    </w:lvl>
    <w:lvl w:ilvl="2">
      <w:start w:val="1"/>
      <w:numFmt w:val="lowerRoman"/>
      <w:lvlText w:val="."/>
      <w:lvlJc w:val="right"/>
      <w:pPr>
        <w:ind w:left="2895" w:hanging="180"/>
      </w:pPr>
    </w:lvl>
    <w:lvl w:ilvl="3">
      <w:start w:val="1"/>
      <w:numFmt w:val="decimal"/>
      <w:lvlText w:val="."/>
      <w:lvlJc w:val="left"/>
      <w:pPr>
        <w:ind w:left="3615" w:hanging="360"/>
      </w:pPr>
    </w:lvl>
    <w:lvl w:ilvl="4">
      <w:start w:val="1"/>
      <w:numFmt w:val="lowerLetter"/>
      <w:lvlText w:val="."/>
      <w:lvlJc w:val="left"/>
      <w:pPr>
        <w:ind w:left="4335" w:hanging="360"/>
      </w:pPr>
    </w:lvl>
    <w:lvl w:ilvl="5">
      <w:start w:val="1"/>
      <w:numFmt w:val="lowerRoman"/>
      <w:lvlText w:val="."/>
      <w:lvlJc w:val="right"/>
      <w:pPr>
        <w:ind w:left="5055" w:hanging="180"/>
      </w:pPr>
    </w:lvl>
    <w:lvl w:ilvl="6">
      <w:start w:val="1"/>
      <w:numFmt w:val="decimal"/>
      <w:lvlText w:val="."/>
      <w:lvlJc w:val="left"/>
      <w:pPr>
        <w:ind w:left="5775" w:hanging="360"/>
      </w:pPr>
    </w:lvl>
    <w:lvl w:ilvl="7">
      <w:start w:val="1"/>
      <w:numFmt w:val="lowerLetter"/>
      <w:lvlText w:val="."/>
      <w:lvlJc w:val="left"/>
      <w:pPr>
        <w:ind w:left="6495" w:hanging="360"/>
      </w:pPr>
    </w:lvl>
    <w:lvl w:ilvl="8">
      <w:start w:val="1"/>
      <w:numFmt w:val="lowerRoman"/>
      <w:lvlText w:val="."/>
      <w:lvlJc w:val="right"/>
      <w:pPr>
        <w:ind w:left="7215" w:hanging="180"/>
      </w:pPr>
    </w:lvl>
  </w:abstractNum>
  <w:abstractNum w:abstractNumId="19" w15:restartNumberingAfterBreak="0">
    <w:nsid w:val="572605ED"/>
    <w:multiLevelType w:val="multilevel"/>
    <w:tmpl w:val="E6AACE48"/>
    <w:lvl w:ilvl="0">
      <w:start w:val="1"/>
      <w:numFmt w:val="lowerLetter"/>
      <w:lvlText w:val="%1)"/>
      <w:lvlJc w:val="left"/>
      <w:pPr>
        <w:ind w:left="1356" w:hanging="360"/>
      </w:pPr>
      <w:rPr>
        <w:b/>
        <w:bCs w:val="0"/>
        <w:i w:val="0"/>
      </w:rPr>
    </w:lvl>
    <w:lvl w:ilvl="1">
      <w:start w:val="1"/>
      <w:numFmt w:val="lowerLetter"/>
      <w:lvlText w:val="."/>
      <w:lvlJc w:val="left"/>
      <w:pPr>
        <w:ind w:left="2076" w:hanging="360"/>
      </w:pPr>
    </w:lvl>
    <w:lvl w:ilvl="2">
      <w:start w:val="1"/>
      <w:numFmt w:val="lowerRoman"/>
      <w:lvlText w:val="."/>
      <w:lvlJc w:val="right"/>
      <w:pPr>
        <w:ind w:left="2796" w:hanging="180"/>
      </w:pPr>
    </w:lvl>
    <w:lvl w:ilvl="3">
      <w:start w:val="1"/>
      <w:numFmt w:val="decimal"/>
      <w:lvlText w:val="."/>
      <w:lvlJc w:val="left"/>
      <w:pPr>
        <w:ind w:left="3516" w:hanging="360"/>
      </w:pPr>
    </w:lvl>
    <w:lvl w:ilvl="4">
      <w:start w:val="1"/>
      <w:numFmt w:val="lowerLetter"/>
      <w:lvlText w:val="."/>
      <w:lvlJc w:val="left"/>
      <w:pPr>
        <w:ind w:left="4236" w:hanging="360"/>
      </w:pPr>
    </w:lvl>
    <w:lvl w:ilvl="5">
      <w:start w:val="1"/>
      <w:numFmt w:val="lowerRoman"/>
      <w:lvlText w:val="."/>
      <w:lvlJc w:val="right"/>
      <w:pPr>
        <w:ind w:left="4956" w:hanging="180"/>
      </w:pPr>
    </w:lvl>
    <w:lvl w:ilvl="6">
      <w:start w:val="1"/>
      <w:numFmt w:val="decimal"/>
      <w:lvlText w:val="."/>
      <w:lvlJc w:val="left"/>
      <w:pPr>
        <w:ind w:left="5676" w:hanging="360"/>
      </w:pPr>
    </w:lvl>
    <w:lvl w:ilvl="7">
      <w:start w:val="1"/>
      <w:numFmt w:val="lowerLetter"/>
      <w:lvlText w:val="."/>
      <w:lvlJc w:val="left"/>
      <w:pPr>
        <w:ind w:left="6396" w:hanging="360"/>
      </w:pPr>
    </w:lvl>
    <w:lvl w:ilvl="8">
      <w:start w:val="1"/>
      <w:numFmt w:val="lowerRoman"/>
      <w:lvlText w:val="."/>
      <w:lvlJc w:val="right"/>
      <w:pPr>
        <w:ind w:left="7116" w:hanging="180"/>
      </w:pPr>
    </w:lvl>
  </w:abstractNum>
  <w:abstractNum w:abstractNumId="20" w15:restartNumberingAfterBreak="0">
    <w:nsid w:val="6F0D1072"/>
    <w:multiLevelType w:val="multilevel"/>
    <w:tmpl w:val="0EF07CEA"/>
    <w:lvl w:ilvl="0">
      <w:start w:val="1"/>
      <w:numFmt w:val="upperRoman"/>
      <w:lvlText w:val="%1."/>
      <w:lvlJc w:val="left"/>
      <w:pPr>
        <w:ind w:left="2160" w:hanging="360"/>
      </w:pPr>
      <w:rPr>
        <w:sz w:val="18"/>
        <w:szCs w:val="18"/>
      </w:rPr>
    </w:lvl>
    <w:lvl w:ilvl="1">
      <w:start w:val="1"/>
      <w:numFmt w:val="lowerLetter"/>
      <w:lvlText w:val="."/>
      <w:lvlJc w:val="left"/>
      <w:pPr>
        <w:ind w:left="2880" w:hanging="360"/>
      </w:pPr>
    </w:lvl>
    <w:lvl w:ilvl="2">
      <w:start w:val="1"/>
      <w:numFmt w:val="lowerRoman"/>
      <w:lvlText w:val="."/>
      <w:lvlJc w:val="right"/>
      <w:pPr>
        <w:ind w:left="3600" w:hanging="180"/>
      </w:pPr>
    </w:lvl>
    <w:lvl w:ilvl="3">
      <w:start w:val="1"/>
      <w:numFmt w:val="decimal"/>
      <w:lvlText w:val="."/>
      <w:lvlJc w:val="left"/>
      <w:pPr>
        <w:ind w:left="4320" w:hanging="360"/>
      </w:pPr>
    </w:lvl>
    <w:lvl w:ilvl="4">
      <w:start w:val="1"/>
      <w:numFmt w:val="lowerLetter"/>
      <w:lvlText w:val="."/>
      <w:lvlJc w:val="left"/>
      <w:pPr>
        <w:ind w:left="5040" w:hanging="360"/>
      </w:pPr>
    </w:lvl>
    <w:lvl w:ilvl="5">
      <w:start w:val="1"/>
      <w:numFmt w:val="lowerRoman"/>
      <w:lvlText w:val="."/>
      <w:lvlJc w:val="right"/>
      <w:pPr>
        <w:ind w:left="5760" w:hanging="180"/>
      </w:pPr>
    </w:lvl>
    <w:lvl w:ilvl="6">
      <w:start w:val="1"/>
      <w:numFmt w:val="decimal"/>
      <w:lvlText w:val="."/>
      <w:lvlJc w:val="left"/>
      <w:pPr>
        <w:ind w:left="6480" w:hanging="360"/>
      </w:pPr>
    </w:lvl>
    <w:lvl w:ilvl="7">
      <w:start w:val="1"/>
      <w:numFmt w:val="lowerLetter"/>
      <w:lvlText w:val="."/>
      <w:lvlJc w:val="left"/>
      <w:pPr>
        <w:ind w:left="7200" w:hanging="360"/>
      </w:pPr>
    </w:lvl>
    <w:lvl w:ilvl="8">
      <w:start w:val="1"/>
      <w:numFmt w:val="lowerRoman"/>
      <w:lvlText w:val="."/>
      <w:lvlJc w:val="right"/>
      <w:pPr>
        <w:ind w:left="7920" w:hanging="180"/>
      </w:pPr>
    </w:lvl>
  </w:abstractNum>
  <w:abstractNum w:abstractNumId="21" w15:restartNumberingAfterBreak="0">
    <w:nsid w:val="74EC5D69"/>
    <w:multiLevelType w:val="multilevel"/>
    <w:tmpl w:val="AE8CAB88"/>
    <w:lvl w:ilvl="0">
      <w:start w:val="6"/>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22" w15:restartNumberingAfterBreak="0">
    <w:nsid w:val="78C866FD"/>
    <w:multiLevelType w:val="multilevel"/>
    <w:tmpl w:val="6646F80A"/>
    <w:lvl w:ilvl="0">
      <w:numFmt w:val="bullet"/>
      <w:lvlText w:val=""/>
      <w:lvlJc w:val="left"/>
      <w:pPr>
        <w:ind w:left="1008" w:hanging="360"/>
      </w:pPr>
      <w:rPr>
        <w:rFonts w:ascii="Symbol" w:hAnsi="Symbol"/>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23" w15:restartNumberingAfterBreak="0">
    <w:nsid w:val="7AB40D8B"/>
    <w:multiLevelType w:val="multilevel"/>
    <w:tmpl w:val="5944FC5A"/>
    <w:lvl w:ilvl="0">
      <w:start w:val="1"/>
      <w:numFmt w:val="decimal"/>
      <w:lvlText w:val="%1."/>
      <w:lvlJc w:val="left"/>
      <w:pPr>
        <w:ind w:left="708" w:hanging="420"/>
      </w:pPr>
    </w:lvl>
    <w:lvl w:ilvl="1">
      <w:start w:val="1"/>
      <w:numFmt w:val="lowerLetter"/>
      <w:lvlText w:val="."/>
      <w:lvlJc w:val="left"/>
      <w:pPr>
        <w:ind w:left="1368" w:hanging="360"/>
      </w:pPr>
    </w:lvl>
    <w:lvl w:ilvl="2">
      <w:start w:val="1"/>
      <w:numFmt w:val="lowerRoman"/>
      <w:lvlText w:val="."/>
      <w:lvlJc w:val="right"/>
      <w:pPr>
        <w:ind w:left="2088" w:hanging="180"/>
      </w:pPr>
    </w:lvl>
    <w:lvl w:ilvl="3">
      <w:start w:val="1"/>
      <w:numFmt w:val="decimal"/>
      <w:lvlText w:val="."/>
      <w:lvlJc w:val="left"/>
      <w:pPr>
        <w:ind w:left="2808" w:hanging="360"/>
      </w:pPr>
    </w:lvl>
    <w:lvl w:ilvl="4">
      <w:start w:val="1"/>
      <w:numFmt w:val="lowerLetter"/>
      <w:lvlText w:val="."/>
      <w:lvlJc w:val="left"/>
      <w:pPr>
        <w:ind w:left="3528" w:hanging="360"/>
      </w:pPr>
    </w:lvl>
    <w:lvl w:ilvl="5">
      <w:start w:val="1"/>
      <w:numFmt w:val="lowerRoman"/>
      <w:lvlText w:val="."/>
      <w:lvlJc w:val="right"/>
      <w:pPr>
        <w:ind w:left="4248" w:hanging="180"/>
      </w:pPr>
    </w:lvl>
    <w:lvl w:ilvl="6">
      <w:start w:val="1"/>
      <w:numFmt w:val="decimal"/>
      <w:lvlText w:val="."/>
      <w:lvlJc w:val="left"/>
      <w:pPr>
        <w:ind w:left="4968" w:hanging="360"/>
      </w:pPr>
    </w:lvl>
    <w:lvl w:ilvl="7">
      <w:start w:val="1"/>
      <w:numFmt w:val="lowerLetter"/>
      <w:lvlText w:val="."/>
      <w:lvlJc w:val="left"/>
      <w:pPr>
        <w:ind w:left="5688" w:hanging="360"/>
      </w:pPr>
    </w:lvl>
    <w:lvl w:ilvl="8">
      <w:start w:val="1"/>
      <w:numFmt w:val="lowerRoman"/>
      <w:lvlText w:val="."/>
      <w:lvlJc w:val="right"/>
      <w:pPr>
        <w:ind w:left="6408" w:hanging="180"/>
      </w:pPr>
    </w:lvl>
  </w:abstractNum>
  <w:abstractNum w:abstractNumId="24" w15:restartNumberingAfterBreak="0">
    <w:nsid w:val="7F220AF5"/>
    <w:multiLevelType w:val="multilevel"/>
    <w:tmpl w:val="2D94E3F0"/>
    <w:lvl w:ilvl="0">
      <w:start w:val="1"/>
      <w:numFmt w:val="lowerLetter"/>
      <w:lvlText w:val="%1)"/>
      <w:lvlJc w:val="left"/>
      <w:pPr>
        <w:ind w:left="1686" w:hanging="360"/>
      </w:pPr>
      <w:rPr>
        <w:b/>
        <w:bCs w:val="0"/>
        <w:i w:val="0"/>
      </w:rPr>
    </w:lvl>
    <w:lvl w:ilvl="1">
      <w:start w:val="1"/>
      <w:numFmt w:val="lowerLetter"/>
      <w:lvlText w:val="."/>
      <w:lvlJc w:val="left"/>
      <w:pPr>
        <w:ind w:left="1770" w:hanging="360"/>
      </w:pPr>
    </w:lvl>
    <w:lvl w:ilvl="2">
      <w:start w:val="1"/>
      <w:numFmt w:val="lowerRoman"/>
      <w:lvlText w:val="."/>
      <w:lvlJc w:val="right"/>
      <w:pPr>
        <w:ind w:left="2490" w:hanging="180"/>
      </w:pPr>
    </w:lvl>
    <w:lvl w:ilvl="3">
      <w:start w:val="1"/>
      <w:numFmt w:val="decimal"/>
      <w:lvlText w:val="."/>
      <w:lvlJc w:val="left"/>
      <w:pPr>
        <w:ind w:left="3210" w:hanging="360"/>
      </w:pPr>
    </w:lvl>
    <w:lvl w:ilvl="4">
      <w:start w:val="1"/>
      <w:numFmt w:val="lowerLetter"/>
      <w:lvlText w:val="."/>
      <w:lvlJc w:val="left"/>
      <w:pPr>
        <w:ind w:left="3930" w:hanging="360"/>
      </w:pPr>
    </w:lvl>
    <w:lvl w:ilvl="5">
      <w:start w:val="1"/>
      <w:numFmt w:val="lowerRoman"/>
      <w:lvlText w:val="."/>
      <w:lvlJc w:val="right"/>
      <w:pPr>
        <w:ind w:left="4650" w:hanging="180"/>
      </w:pPr>
    </w:lvl>
    <w:lvl w:ilvl="6">
      <w:start w:val="1"/>
      <w:numFmt w:val="decimal"/>
      <w:lvlText w:val="."/>
      <w:lvlJc w:val="left"/>
      <w:pPr>
        <w:ind w:left="5370" w:hanging="360"/>
      </w:pPr>
    </w:lvl>
    <w:lvl w:ilvl="7">
      <w:start w:val="1"/>
      <w:numFmt w:val="lowerLetter"/>
      <w:lvlText w:val="."/>
      <w:lvlJc w:val="left"/>
      <w:pPr>
        <w:ind w:left="6090" w:hanging="360"/>
      </w:pPr>
    </w:lvl>
    <w:lvl w:ilvl="8">
      <w:start w:val="1"/>
      <w:numFmt w:val="lowerRoman"/>
      <w:lvlText w:val="."/>
      <w:lvlJc w:val="right"/>
      <w:pPr>
        <w:ind w:left="6810" w:hanging="180"/>
      </w:pPr>
    </w:lvl>
  </w:abstractNum>
  <w:num w:numId="1" w16cid:durableId="165170471">
    <w:abstractNumId w:val="0"/>
  </w:num>
  <w:num w:numId="2" w16cid:durableId="772941713">
    <w:abstractNumId w:val="7"/>
  </w:num>
  <w:num w:numId="3" w16cid:durableId="1662196634">
    <w:abstractNumId w:val="5"/>
  </w:num>
  <w:num w:numId="4" w16cid:durableId="1649162425">
    <w:abstractNumId w:val="10"/>
  </w:num>
  <w:num w:numId="5" w16cid:durableId="1343823569">
    <w:abstractNumId w:val="23"/>
  </w:num>
  <w:num w:numId="6" w16cid:durableId="1789467069">
    <w:abstractNumId w:val="13"/>
  </w:num>
  <w:num w:numId="7" w16cid:durableId="294723920">
    <w:abstractNumId w:val="22"/>
  </w:num>
  <w:num w:numId="8" w16cid:durableId="890926652">
    <w:abstractNumId w:val="4"/>
  </w:num>
  <w:num w:numId="9" w16cid:durableId="247232117">
    <w:abstractNumId w:val="6"/>
  </w:num>
  <w:num w:numId="10" w16cid:durableId="1087731287">
    <w:abstractNumId w:val="20"/>
  </w:num>
  <w:num w:numId="11" w16cid:durableId="246958376">
    <w:abstractNumId w:val="19"/>
  </w:num>
  <w:num w:numId="12" w16cid:durableId="1728644428">
    <w:abstractNumId w:val="14"/>
  </w:num>
  <w:num w:numId="13" w16cid:durableId="50428542">
    <w:abstractNumId w:val="21"/>
  </w:num>
  <w:num w:numId="14" w16cid:durableId="626083547">
    <w:abstractNumId w:val="3"/>
  </w:num>
  <w:num w:numId="15" w16cid:durableId="1705867772">
    <w:abstractNumId w:val="1"/>
  </w:num>
  <w:num w:numId="16" w16cid:durableId="314073916">
    <w:abstractNumId w:val="24"/>
  </w:num>
  <w:num w:numId="17" w16cid:durableId="520239438">
    <w:abstractNumId w:val="16"/>
  </w:num>
  <w:num w:numId="18" w16cid:durableId="968246458">
    <w:abstractNumId w:val="9"/>
  </w:num>
  <w:num w:numId="19" w16cid:durableId="1207795553">
    <w:abstractNumId w:val="18"/>
  </w:num>
  <w:num w:numId="20" w16cid:durableId="1253008846">
    <w:abstractNumId w:val="2"/>
  </w:num>
  <w:num w:numId="21" w16cid:durableId="1508979439">
    <w:abstractNumId w:val="17"/>
  </w:num>
  <w:num w:numId="22" w16cid:durableId="1392651698">
    <w:abstractNumId w:val="11"/>
  </w:num>
  <w:num w:numId="23" w16cid:durableId="367072802">
    <w:abstractNumId w:val="15"/>
  </w:num>
  <w:num w:numId="24" w16cid:durableId="1520042234">
    <w:abstractNumId w:val="12"/>
  </w:num>
  <w:num w:numId="25" w16cid:durableId="1049767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6F69"/>
    <w:rsid w:val="00205C36"/>
    <w:rsid w:val="002B1B7F"/>
    <w:rsid w:val="00D278C7"/>
    <w:rsid w:val="00F46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FB2C"/>
  <w15:docId w15:val="{3EE53DAC-0FD5-42F7-98A9-CF81FC1B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styleId="Textonotapie">
    <w:name w:val="footnote text"/>
    <w:basedOn w:val="Normal"/>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rPr>
      <w:position w:val="0"/>
      <w:vertAlign w:val="superscript"/>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paragraph" w:customStyle="1" w:styleId="Pa3">
    <w:name w:val="Pa3"/>
    <w:basedOn w:val="Normal"/>
    <w:next w:val="Normal"/>
    <w:pPr>
      <w:widowControl/>
      <w:suppressAutoHyphens w:val="0"/>
      <w:autoSpaceDE w:val="0"/>
      <w:spacing w:line="201" w:lineRule="atLeast"/>
      <w:textAlignment w:val="auto"/>
    </w:pPr>
    <w:rPr>
      <w:rFonts w:ascii="Zurich Lt BT" w:eastAsia="Times New Roman" w:hAnsi="Zurich Lt BT"/>
      <w:sz w:val="24"/>
      <w:szCs w:val="24"/>
    </w:rPr>
  </w:style>
  <w:style w:type="paragraph" w:customStyle="1" w:styleId="Default">
    <w:name w:val="Default"/>
    <w:pPr>
      <w:widowControl/>
      <w:autoSpaceDE w:val="0"/>
      <w:textAlignment w:val="auto"/>
    </w:pPr>
    <w:rPr>
      <w:rFonts w:ascii="Zurich Lt BT" w:hAnsi="Zurich Lt BT" w:cs="Zurich Lt BT"/>
      <w:color w:val="000000"/>
      <w:sz w:val="24"/>
      <w:szCs w:val="24"/>
    </w:rPr>
  </w:style>
  <w:style w:type="paragraph" w:customStyle="1" w:styleId="Pa4">
    <w:name w:val="Pa4"/>
    <w:basedOn w:val="Default"/>
    <w:next w:val="Default"/>
    <w:pPr>
      <w:spacing w:line="201" w:lineRule="atLeast"/>
    </w:pPr>
    <w:rPr>
      <w:rFonts w:cs="Times New Roman"/>
      <w:color w:val="auto"/>
    </w:rPr>
  </w:style>
  <w:style w:type="paragraph" w:customStyle="1" w:styleId="Pa1">
    <w:name w:val="Pa1"/>
    <w:basedOn w:val="Default"/>
    <w:next w:val="Default"/>
    <w:pPr>
      <w:spacing w:line="381" w:lineRule="atLeast"/>
    </w:pPr>
    <w:rPr>
      <w:rFonts w:cs="Times New Roman"/>
      <w:color w:val="auto"/>
    </w:rPr>
  </w:style>
  <w:style w:type="character" w:customStyle="1" w:styleId="A5">
    <w:name w:val="A5"/>
    <w:rPr>
      <w:rFonts w:ascii="Bookman Old Style" w:hAnsi="Bookman Old Style" w:cs="Bookman Old Style"/>
      <w:color w:val="000000"/>
      <w:sz w:val="12"/>
      <w:szCs w:val="12"/>
    </w:rPr>
  </w:style>
  <w:style w:type="character" w:customStyle="1" w:styleId="A0">
    <w:name w:val="A0"/>
    <w:rPr>
      <w:rFonts w:ascii="Bookman Old Style" w:hAnsi="Bookman Old Style" w:cs="Bookman Old Style"/>
      <w:color w:val="000000"/>
      <w:sz w:val="16"/>
      <w:szCs w:val="16"/>
    </w:rPr>
  </w:style>
  <w:style w:type="paragraph" w:styleId="Sinespaciado">
    <w:name w:val="No Spacing"/>
    <w:pPr>
      <w:widowControl/>
      <w:textAlignment w:val="auto"/>
    </w:pPr>
    <w:rPr>
      <w:sz w:val="22"/>
      <w:szCs w:val="22"/>
      <w:lang w:eastAsia="en-U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6917</Words>
  <Characters>38045</Characters>
  <Application>Microsoft Office Word</Application>
  <DocSecurity>0</DocSecurity>
  <Lines>317</Lines>
  <Paragraphs>89</Paragraphs>
  <ScaleCrop>false</ScaleCrop>
  <Company/>
  <LinksUpToDate>false</LinksUpToDate>
  <CharactersWithSpaces>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finanzas.contabilidad.tam2@hotmail.com</cp:lastModifiedBy>
  <cp:revision>2</cp:revision>
  <cp:lastPrinted>2025-02-19T01:19:00Z</cp:lastPrinted>
  <dcterms:created xsi:type="dcterms:W3CDTF">2025-03-11T20:12:00Z</dcterms:created>
  <dcterms:modified xsi:type="dcterms:W3CDTF">2025-03-11T20:12:00Z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