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4E256" w14:textId="77777777" w:rsidR="00BA1871" w:rsidRDefault="00BA1871" w:rsidP="00BA1871">
      <w:pPr>
        <w:pStyle w:val="Text"/>
      </w:pPr>
    </w:p>
    <w:p w14:paraId="353BE1F2" w14:textId="77777777" w:rsidR="00BA1871" w:rsidRDefault="00BA1871" w:rsidP="00BA1871">
      <w:pPr>
        <w:pStyle w:val="Text"/>
        <w:spacing w:after="0" w:line="240" w:lineRule="exact"/>
        <w:jc w:val="center"/>
      </w:pPr>
      <w:r>
        <w:rPr>
          <w:rFonts w:ascii="Calibri" w:hAnsi="Calibri" w:cs="DIN Pro Regular"/>
          <w:b/>
          <w:sz w:val="24"/>
          <w:szCs w:val="24"/>
        </w:rPr>
        <w:t>Cuenta Pública 2024</w:t>
      </w:r>
    </w:p>
    <w:p w14:paraId="5557DF8C" w14:textId="77777777" w:rsidR="00BA1871" w:rsidRDefault="00BA1871" w:rsidP="00BA1871">
      <w:pPr>
        <w:pStyle w:val="Text"/>
        <w:spacing w:after="0" w:line="240" w:lineRule="exact"/>
        <w:jc w:val="center"/>
        <w:rPr>
          <w:rFonts w:ascii="Calibri" w:hAnsi="Calibri" w:cs="DIN Pro Regular"/>
          <w:b/>
          <w:sz w:val="24"/>
          <w:szCs w:val="24"/>
        </w:rPr>
      </w:pPr>
    </w:p>
    <w:p w14:paraId="2727E783" w14:textId="77777777" w:rsidR="00BA1871" w:rsidRDefault="00BA1871" w:rsidP="00BA1871">
      <w:pPr>
        <w:pStyle w:val="Text"/>
        <w:spacing w:after="0" w:line="240" w:lineRule="exact"/>
        <w:jc w:val="center"/>
      </w:pPr>
      <w:r>
        <w:rPr>
          <w:rFonts w:ascii="Calibri" w:hAnsi="Calibri" w:cs="DIN Pro Regular"/>
          <w:b/>
          <w:sz w:val="24"/>
          <w:szCs w:val="24"/>
        </w:rPr>
        <w:t>Notas a los Estados Financieros</w:t>
      </w:r>
    </w:p>
    <w:p w14:paraId="40E94469" w14:textId="77777777" w:rsidR="00BA1871" w:rsidRDefault="00BA1871" w:rsidP="00BA1871">
      <w:pPr>
        <w:pStyle w:val="Text"/>
        <w:spacing w:after="0" w:line="240" w:lineRule="exact"/>
        <w:ind w:firstLine="0"/>
        <w:rPr>
          <w:rFonts w:ascii="Calibri" w:hAnsi="Calibri" w:cs="DIN Pro Regular"/>
          <w:b/>
          <w:sz w:val="24"/>
          <w:szCs w:val="24"/>
        </w:rPr>
      </w:pPr>
    </w:p>
    <w:p w14:paraId="4FF25659" w14:textId="77777777" w:rsidR="00BA1871" w:rsidRDefault="00BA1871" w:rsidP="00BA1871">
      <w:pPr>
        <w:pStyle w:val="Text"/>
        <w:spacing w:after="0" w:line="240" w:lineRule="exact"/>
        <w:ind w:firstLine="0"/>
        <w:rPr>
          <w:rFonts w:ascii="Calibri" w:hAnsi="Calibri" w:cs="DIN Pro Regular"/>
          <w:b/>
          <w:sz w:val="24"/>
          <w:szCs w:val="24"/>
        </w:rPr>
      </w:pPr>
    </w:p>
    <w:p w14:paraId="1EE764E2" w14:textId="77777777" w:rsidR="00BA1871" w:rsidRDefault="00BA1871" w:rsidP="00BA1871">
      <w:pPr>
        <w:pStyle w:val="Text"/>
        <w:spacing w:after="0" w:line="240" w:lineRule="exact"/>
        <w:ind w:firstLine="0"/>
        <w:jc w:val="center"/>
      </w:pPr>
      <w:r>
        <w:rPr>
          <w:rFonts w:ascii="Calibri" w:hAnsi="Calibri" w:cs="DIN Pro Regular"/>
          <w:b/>
          <w:sz w:val="22"/>
          <w:szCs w:val="22"/>
          <w:lang w:val="es-MX"/>
        </w:rPr>
        <w:t>a) NOTAS DE GESTIÓN ADMINISTRATIVA</w:t>
      </w:r>
    </w:p>
    <w:p w14:paraId="2E15EFB2" w14:textId="77777777" w:rsidR="00BA1871" w:rsidRDefault="00BA1871" w:rsidP="00BA1871">
      <w:pPr>
        <w:pStyle w:val="Text"/>
        <w:spacing w:after="0" w:line="240" w:lineRule="exact"/>
        <w:ind w:firstLine="0"/>
        <w:jc w:val="left"/>
        <w:rPr>
          <w:rFonts w:ascii="Calibri" w:hAnsi="Calibri" w:cs="DIN Pro Regular"/>
          <w:b/>
          <w:sz w:val="20"/>
          <w:lang w:val="es-MX"/>
        </w:rPr>
      </w:pPr>
    </w:p>
    <w:p w14:paraId="1A993EFB"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1.</w:t>
      </w:r>
      <w:r>
        <w:rPr>
          <w:rFonts w:ascii="Calibri" w:hAnsi="Calibri" w:cs="DIN Pro Regular"/>
          <w:sz w:val="20"/>
          <w:lang w:val="es-MX"/>
        </w:rPr>
        <w:tab/>
        <w:t>Autorización e Historia</w:t>
      </w:r>
    </w:p>
    <w:p w14:paraId="0411E952"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La Auditoría Superior del Estado tiene su origen en la Constitución Política del Estado de Tamaulipas de 1921, en la cual se estipula la facultad del Congreso del Estado de revisar las Cuentas Públicas del Estado y Municipios por conducto de la Contaduría Mayor de Glosa quien dependía en lo absoluto del Congreso del Estado siendo vigilada por la Comisión de Hacienda. No se registra en el archivo del H. Congreso del Estado de Tamaulipas antecedente de la Ley que determina y organiza el funcionamiento de dicha contaduría, sólo se registra como antecedente el Decreto número 304 de fecha 9 de noviembre de 1982, publicado en el Periódico Oficial del Estado número 19 de fecha 5 de marzo de 1983, mediante el cual se publica la Ley Orgánica de la Contaduría Mayor de Glosa.</w:t>
      </w:r>
    </w:p>
    <w:p w14:paraId="3E30A2DD" w14:textId="77777777" w:rsidR="00BA1871" w:rsidRDefault="00BA1871" w:rsidP="00BA1871">
      <w:pPr>
        <w:pStyle w:val="Text"/>
        <w:spacing w:line="240" w:lineRule="exact"/>
        <w:rPr>
          <w:rFonts w:ascii="Calibri" w:hAnsi="Calibri" w:cs="DIN Pro Regular"/>
          <w:sz w:val="20"/>
          <w:lang w:val="es-MX"/>
        </w:rPr>
      </w:pPr>
    </w:p>
    <w:p w14:paraId="6AE4DB57"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El 1 de octubre de 1986, mediante Decreto número 396, publicado en el Periódico Oficial del Estado número 98 de fecha 6 de diciembre de 1986, se abroga la Ley Orgánica de la Contaduría Mayor de Glosa y se crea la Contaduría Mayor de Hacienda, misma que es normada por la Ley Orgánica de la Contaduría Mayor de Hacienda.</w:t>
      </w:r>
    </w:p>
    <w:p w14:paraId="68BF7763" w14:textId="77777777" w:rsidR="00BA1871" w:rsidRDefault="00BA1871" w:rsidP="00BA1871">
      <w:pPr>
        <w:pStyle w:val="Text"/>
        <w:spacing w:line="240" w:lineRule="exact"/>
        <w:rPr>
          <w:rFonts w:ascii="Calibri" w:hAnsi="Calibri" w:cs="DIN Pro Regular"/>
          <w:sz w:val="20"/>
          <w:lang w:val="es-MX"/>
        </w:rPr>
      </w:pPr>
    </w:p>
    <w:p w14:paraId="145408A1"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El 12 de diciembre de 2001, mediante Decreto número 610, publicado en el Periódico Oficial del Estado número 154 de fecha 25 de diciembre de 2001, se abroga la Ley Orgánica de la Contaduría Mayor de Hacienda y se crea la Auditoría Superior del Estado, misma que es normada por la Ley de Fiscalización Superior del Estado de Tamaulipas, dotándose de personalidad jurídica y patrimonio propio, así como de una autonomía técnica, presupuestal y de gestión.</w:t>
      </w:r>
    </w:p>
    <w:p w14:paraId="76DBBF08" w14:textId="77777777" w:rsidR="00BA1871" w:rsidRDefault="00BA1871" w:rsidP="00BA1871">
      <w:pPr>
        <w:pStyle w:val="Text"/>
        <w:spacing w:line="240" w:lineRule="exact"/>
        <w:rPr>
          <w:rFonts w:ascii="Calibri" w:hAnsi="Calibri" w:cs="DIN Pro Regular"/>
          <w:sz w:val="20"/>
          <w:lang w:val="es-MX"/>
        </w:rPr>
      </w:pPr>
    </w:p>
    <w:p w14:paraId="673C9F19"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Por Decretos número LIX-886 de fecha 23 de marzo de 2007, publicado en el Periódico Oficial del Estado número 37 de fecha 27 de marzo de 2007 y LIX-936 de fecha 31 de mayo de 2007, publicado en el Periódico Oficial del Estado número 67 de fecha 5 de junio de 2007, se realizaron una serie de reformas a la Ley de Fiscalización Superior del Estado de Tamaulipas.</w:t>
      </w:r>
    </w:p>
    <w:p w14:paraId="1BB07267" w14:textId="77777777" w:rsidR="00BA1871" w:rsidRDefault="00BA1871" w:rsidP="00BA1871">
      <w:pPr>
        <w:pStyle w:val="Text"/>
        <w:spacing w:line="240" w:lineRule="exact"/>
        <w:rPr>
          <w:rFonts w:ascii="Calibri" w:hAnsi="Calibri" w:cs="DIN Pro Regular"/>
          <w:sz w:val="20"/>
          <w:lang w:val="es-MX"/>
        </w:rPr>
      </w:pPr>
    </w:p>
    <w:p w14:paraId="5B21979B"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 xml:space="preserve">Posteriormente, la LXI Legislatura del H. Congreso del Estado de Tamaulipas aprobó el Decreto número LXI-908 mediante el cual se expide la Ley de Fiscalización y Rendición de Cuentas para el Estado de Tamaulipas, publicado en el Anexo al Periódico Oficial del Estado número 116 de fecha 25 de septiembre de 2013, abrogando la Ley de Fiscalización Superior del Estado de Tamaulipas. Con la nueva Ley, se le otorgan mayores facultades e instrumentos legales a la Auditoría Superior del Estado para realizar un mejor desempeño en las tareas de fiscalización. </w:t>
      </w:r>
    </w:p>
    <w:p w14:paraId="32C20C5F" w14:textId="77777777" w:rsidR="00BA1871" w:rsidRDefault="00BA1871" w:rsidP="00BA1871">
      <w:pPr>
        <w:pStyle w:val="Text"/>
        <w:spacing w:line="240" w:lineRule="exact"/>
        <w:rPr>
          <w:rFonts w:ascii="Calibri" w:hAnsi="Calibri" w:cs="DIN Pro Regular"/>
          <w:sz w:val="20"/>
          <w:lang w:val="es-MX"/>
        </w:rPr>
      </w:pPr>
    </w:p>
    <w:p w14:paraId="5961640A"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El 02 de junio de 2017, por medio de Decreto número LXIII-184 se expide nuevamente la Ley de Fiscalización y Rendición de Cuentas del Estado de Tamaulipas, misma que sustituye a la Ley de Fiscalización y Rendición de Cuentas para el Estado de Tamaulipas.</w:t>
      </w:r>
    </w:p>
    <w:p w14:paraId="0847B112" w14:textId="77777777" w:rsidR="00BA1871" w:rsidRDefault="00BA1871" w:rsidP="00BA1871">
      <w:pPr>
        <w:pStyle w:val="Text"/>
        <w:spacing w:line="240" w:lineRule="exact"/>
        <w:rPr>
          <w:rFonts w:ascii="Calibri" w:hAnsi="Calibri" w:cs="DIN Pro Regular"/>
          <w:sz w:val="20"/>
          <w:lang w:val="es-MX"/>
        </w:rPr>
      </w:pPr>
    </w:p>
    <w:p w14:paraId="4160C66C"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 xml:space="preserve">El antecedente más remoto de la fiscalización en el Estado de Tamaulipas se encuentra establecido en la Constitución Política del Estado de Tamaulipas de 1825, en la cual se establecía como atribución del H. Congreso del Estado de Tamaulipas y su Comisión permanente la de examinar y aprobar las cuentas de todos los caudales del Estado y para ello cada año el Congreso nombraba cinco individuos de su seno o de fuera para que revisaran y glosaran las cuentas de la Tesorería del Estado y estos con su informe las pasaban al Congreso para su aprobación. </w:t>
      </w:r>
    </w:p>
    <w:p w14:paraId="38A8F0A1" w14:textId="77777777" w:rsidR="00BA1871" w:rsidRDefault="00BA1871" w:rsidP="00BA1871">
      <w:pPr>
        <w:pStyle w:val="Text"/>
        <w:spacing w:line="240" w:lineRule="exact"/>
        <w:rPr>
          <w:rFonts w:ascii="Calibri" w:hAnsi="Calibri" w:cs="DIN Pro Regular"/>
          <w:sz w:val="20"/>
          <w:lang w:val="es-MX"/>
        </w:rPr>
      </w:pPr>
    </w:p>
    <w:p w14:paraId="442430B2"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En la Constitución del Estado de 1848, cada año el H. Congreso del Estado de Tamaulipas circunscribió la designación a cinco diputados para examinar las cuentas de los caudales del Estado y después presentar un informe al Pleno para su aprobación; condiciones que se repitieron en las constituciones del Estado de los años 1857 y 1871, con la salvedad de reducir a tres el número de diputados revisores.</w:t>
      </w:r>
    </w:p>
    <w:p w14:paraId="3B6CFF32" w14:textId="77777777" w:rsidR="00BA1871" w:rsidRDefault="00BA1871" w:rsidP="00BA1871">
      <w:pPr>
        <w:pStyle w:val="Text"/>
        <w:spacing w:line="240" w:lineRule="exact"/>
        <w:rPr>
          <w:rFonts w:ascii="Calibri" w:hAnsi="Calibri" w:cs="DIN Pro Regular"/>
          <w:sz w:val="20"/>
          <w:lang w:val="es-MX"/>
        </w:rPr>
      </w:pPr>
    </w:p>
    <w:p w14:paraId="5F86F588"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2.</w:t>
      </w:r>
      <w:r>
        <w:rPr>
          <w:rFonts w:ascii="Calibri" w:hAnsi="Calibri" w:cs="DIN Pro Regular"/>
          <w:sz w:val="20"/>
          <w:lang w:val="es-MX"/>
        </w:rPr>
        <w:tab/>
        <w:t>Panorama Económico y Financiero</w:t>
      </w:r>
    </w:p>
    <w:p w14:paraId="5786507A"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En el año 2023 el presupuesto autorizado para la Auditoría Superior del Estado ascendió a un monto de $106,657,305.55 incluyendo los recursos federales, y este año 2024, el presupuesto autorizado fue de $118,406,983.40, según el Periódico Oficial del Estado publicado el 23 de diciembre del 2023.</w:t>
      </w:r>
    </w:p>
    <w:p w14:paraId="56CA2BA4" w14:textId="77777777" w:rsidR="00BA1871" w:rsidRDefault="00BA1871" w:rsidP="00BA1871">
      <w:pPr>
        <w:pStyle w:val="Text"/>
        <w:spacing w:line="240" w:lineRule="exact"/>
        <w:rPr>
          <w:rFonts w:ascii="Calibri" w:hAnsi="Calibri" w:cs="DIN Pro Regular"/>
          <w:sz w:val="20"/>
          <w:lang w:val="es-MX"/>
        </w:rPr>
      </w:pPr>
    </w:p>
    <w:p w14:paraId="24F90BD2"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3.</w:t>
      </w:r>
      <w:r>
        <w:rPr>
          <w:rFonts w:ascii="Calibri" w:hAnsi="Calibri" w:cs="DIN Pro Regular"/>
          <w:sz w:val="20"/>
          <w:lang w:val="es-MX"/>
        </w:rPr>
        <w:tab/>
        <w:t>Organización y Objeto Social</w:t>
      </w:r>
    </w:p>
    <w:p w14:paraId="01473795"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a)</w:t>
      </w:r>
      <w:r>
        <w:rPr>
          <w:rFonts w:ascii="Calibri" w:hAnsi="Calibri" w:cs="DIN Pro Regular"/>
          <w:sz w:val="20"/>
          <w:lang w:val="es-MX"/>
        </w:rPr>
        <w:tab/>
        <w:t>Objeto Social:</w:t>
      </w:r>
    </w:p>
    <w:p w14:paraId="242BFCC3"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La Auditoría Superior del Estado es el órgano técnico de fiscalización, control y evaluación gubernamental del H. Congreso del Estado de Tamaulipas, la cual cuenta con personalidad jurídica y patrimonio propios; autonomía técnica y de gestión. Se regula por la Ley de Fiscalización y Rendición de Cuentas del Estado de Tamaulipas, la cual tiene como objeto regular la función de fiscalización, control y evaluación de la actividad financiera pública del Estado y de sus Municipios, así como de las entidades que dentro del mismo realicen gasto público federal, estatal o municipal, según sea el caso.</w:t>
      </w:r>
    </w:p>
    <w:p w14:paraId="468C9012"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b)</w:t>
      </w:r>
      <w:r>
        <w:rPr>
          <w:rFonts w:ascii="Calibri" w:hAnsi="Calibri" w:cs="DIN Pro Regular"/>
          <w:sz w:val="20"/>
          <w:lang w:val="es-MX"/>
        </w:rPr>
        <w:tab/>
        <w:t>Principal actividad:</w:t>
      </w:r>
    </w:p>
    <w:p w14:paraId="197FCF9B"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La Auditoría, tiene por objeto revisar las cuentas públicas presentadas por las entidades sujetas de fiscalización en los términos del artículo 11 de la Ley de Fiscalización y Rendición de Cuentas del Estado de Tamaulipas.</w:t>
      </w:r>
    </w:p>
    <w:p w14:paraId="574C2CFF"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La revisión se realizará mediante las pruebas selectivas que determine la Auditoría y comprenderá la comprobación del ejercicio de las partidas de ingresos y egresos, asimismo incluirá una revisión legal y contable de dichas partidas, cuidando que estén debidamente justificadas y comprobadas; así mismo verificará el cumplimiento de los requisitos y obligaciones establecidos en la Ley General de Contabilidad Gubernamental y normatividad aplicable.</w:t>
      </w:r>
    </w:p>
    <w:p w14:paraId="20671B9D"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La fiscalización que realice la Auditoría se realizará de manera independiente y autónoma de cualquier otra forma de revisión interna que practiquen las entidades sujetas de fiscalización.</w:t>
      </w:r>
    </w:p>
    <w:p w14:paraId="2E9B1BDF"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En cualquier caso, la función de fiscalización se desarrollará conforme a los principios constitucionales de posterioridad, anualidad, legalidad, definitividad, imparcialidad, confiabilidad y de acuerdo a las normas establecidas en la Ley General de Contabilidad Gubernamental.</w:t>
      </w:r>
    </w:p>
    <w:p w14:paraId="0F88F895"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c)</w:t>
      </w:r>
      <w:r>
        <w:rPr>
          <w:rFonts w:ascii="Calibri" w:hAnsi="Calibri" w:cs="DIN Pro Regular"/>
          <w:sz w:val="20"/>
          <w:lang w:val="es-MX"/>
        </w:rPr>
        <w:tab/>
        <w:t>Ejercicio fiscal:</w:t>
      </w:r>
    </w:p>
    <w:p w14:paraId="14B512F2"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El presente informe corresponde al ejercicio fiscal 2024.</w:t>
      </w:r>
    </w:p>
    <w:p w14:paraId="01A484D7"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d)</w:t>
      </w:r>
      <w:r>
        <w:rPr>
          <w:rFonts w:ascii="Calibri" w:hAnsi="Calibri" w:cs="DIN Pro Regular"/>
          <w:sz w:val="20"/>
          <w:lang w:val="es-MX"/>
        </w:rPr>
        <w:tab/>
        <w:t>Régimen jurídico:</w:t>
      </w:r>
    </w:p>
    <w:p w14:paraId="1F88E50E"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w:t>
      </w:r>
      <w:r>
        <w:rPr>
          <w:rFonts w:ascii="Calibri" w:hAnsi="Calibri" w:cs="DIN Pro Regular"/>
          <w:sz w:val="20"/>
          <w:lang w:val="es-MX"/>
        </w:rPr>
        <w:tab/>
        <w:t>Constitución Política del Estado de Tamaulipas</w:t>
      </w:r>
    </w:p>
    <w:p w14:paraId="61C7FF5C" w14:textId="77777777" w:rsidR="00BA1871" w:rsidRDefault="00BA1871" w:rsidP="00BA1871">
      <w:pPr>
        <w:suppressAutoHyphens w:val="0"/>
      </w:pPr>
      <w:r>
        <w:rPr>
          <w:rFonts w:cs="DIN Pro Regular"/>
        </w:rPr>
        <w:t>ARTÍCULO 76.- El Congreso del Estado contará con una entidad de fiscalización denominada Auditoría Superior del Estado, la cual será un órgano con autonomía técnica y de gestión en el ejercicio de sus atribuciones y para decidir sobre su organización interna, funcionamiento y resoluciones, en los términos que disponga su ley. La función de fiscalización se desarrollará conforme a los principios de legalidad, imparcialidad y confiabilidad.</w:t>
      </w:r>
    </w:p>
    <w:p w14:paraId="509C5762"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e)</w:t>
      </w:r>
      <w:r>
        <w:rPr>
          <w:rFonts w:ascii="Calibri" w:hAnsi="Calibri" w:cs="DIN Pro Regular"/>
          <w:sz w:val="20"/>
          <w:lang w:val="es-MX"/>
        </w:rPr>
        <w:tab/>
        <w:t>Consideraciones fiscales del ente:</w:t>
      </w:r>
    </w:p>
    <w:p w14:paraId="18D11C6D"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 xml:space="preserve">1) Presentar la declaración y pago provisional de retenciones de Impuesto Sobre la Renta (ISR) por sueldos y salarios. </w:t>
      </w:r>
    </w:p>
    <w:p w14:paraId="293C4290" w14:textId="77777777" w:rsidR="00BA1871" w:rsidRDefault="00BA1871" w:rsidP="00BA1871">
      <w:pPr>
        <w:pStyle w:val="Text"/>
        <w:spacing w:line="240" w:lineRule="exact"/>
        <w:rPr>
          <w:rFonts w:ascii="Calibri" w:hAnsi="Calibri" w:cs="DIN Pro Regular"/>
          <w:sz w:val="20"/>
          <w:lang w:val="es-MX"/>
        </w:rPr>
      </w:pPr>
    </w:p>
    <w:p w14:paraId="07D2544D" w14:textId="77777777" w:rsidR="00BA1871" w:rsidRDefault="00BA1871" w:rsidP="00BA1871">
      <w:pPr>
        <w:pStyle w:val="Text"/>
        <w:spacing w:line="240" w:lineRule="exact"/>
        <w:rPr>
          <w:rFonts w:ascii="Calibri" w:hAnsi="Calibri" w:cs="DIN Pro Regular"/>
          <w:sz w:val="20"/>
          <w:lang w:val="es-MX"/>
        </w:rPr>
      </w:pPr>
    </w:p>
    <w:p w14:paraId="2AF8B41D"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2) Presentar la declaración anual del Impuesto del 3% sobre nómina ante las oficinas fiscales, donde se informe sobre los importes pagados por concepto de nómina durante el ejercicio, para verificar si existen diferencias ante los pagos mensuales.</w:t>
      </w:r>
    </w:p>
    <w:p w14:paraId="22228179" w14:textId="77777777" w:rsidR="00BA1871" w:rsidRDefault="00BA1871" w:rsidP="00BA1871">
      <w:pPr>
        <w:pStyle w:val="Text"/>
        <w:spacing w:line="240" w:lineRule="exact"/>
        <w:rPr>
          <w:rFonts w:ascii="Calibri" w:hAnsi="Calibri" w:cs="DIN Pro Regular"/>
          <w:sz w:val="20"/>
          <w:lang w:val="es-MX"/>
        </w:rPr>
      </w:pPr>
    </w:p>
    <w:p w14:paraId="20CDB6A2"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4.</w:t>
      </w:r>
      <w:r>
        <w:rPr>
          <w:rFonts w:ascii="Calibri" w:hAnsi="Calibri" w:cs="DIN Pro Regular"/>
          <w:sz w:val="20"/>
          <w:lang w:val="es-MX"/>
        </w:rPr>
        <w:tab/>
        <w:t>Bases de Preparación de los Estados Financieros</w:t>
      </w:r>
    </w:p>
    <w:p w14:paraId="0EE416C2"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Los Estados Financieros que se presentan en este documento han sido preparados con apego a las disposiciones establecidas en la Ley General de Contabilidad Gubernamental y con sujeción a la normatividad y lineamientos emitidos por el Consejo Nacional de Armonización Contable (CONAC).</w:t>
      </w:r>
    </w:p>
    <w:p w14:paraId="5F49C2E7"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En forma particular, se informa que la elaboración de los estados contables y presupuestarios se ha realizado en base a las normas y metodología previstas en el apartado de Estados Financieros del Manual de Contabilidad Gubernamental.</w:t>
      </w:r>
    </w:p>
    <w:p w14:paraId="2BC6FB20"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Así mismo, en el registro de las operaciones y en la emisión de información financiera y presupuestal se da debido cumplimiento a los Postulados Básicos de Contabilidad Gubernamental, ya que éstos proporcionan el sustento técnico para la práctica contable a través de definiciones, explicaciones y razonamientos en la materia.</w:t>
      </w:r>
    </w:p>
    <w:p w14:paraId="0B9CC0FC" w14:textId="77777777" w:rsidR="00BA1871" w:rsidRDefault="00BA1871" w:rsidP="00BA1871">
      <w:pPr>
        <w:pStyle w:val="Text"/>
        <w:spacing w:line="240" w:lineRule="exact"/>
        <w:rPr>
          <w:rFonts w:ascii="Calibri" w:hAnsi="Calibri" w:cs="DIN Pro Regular"/>
          <w:sz w:val="20"/>
          <w:lang w:val="es-MX"/>
        </w:rPr>
      </w:pPr>
    </w:p>
    <w:p w14:paraId="17A44C88"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5.</w:t>
      </w:r>
      <w:r>
        <w:rPr>
          <w:rFonts w:ascii="Calibri" w:hAnsi="Calibri" w:cs="DIN Pro Regular"/>
          <w:sz w:val="20"/>
          <w:lang w:val="es-MX"/>
        </w:rPr>
        <w:tab/>
        <w:t>Políticas de Contabilidad Significativas</w:t>
      </w:r>
    </w:p>
    <w:p w14:paraId="1518ADBD"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La Auditoría Superior del Estado ha estado cumpliendo con las disposiciones marcadas en la Ley General de Contabilidad Gubernamental que tiene por objeto establecer los criterios generales que regirán la contabilidad gubernamental y la emisión de información financiera de los entes públicos, con el fin de lograr su adecuada armonización.</w:t>
      </w:r>
    </w:p>
    <w:p w14:paraId="6ECDE534"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Con tal motivo, las principales Políticas de la Entidad en materia de Rendición de Cuentas están orientadas a que la contabilidad gubernamental facilite el registro y la fiscalización de los activos, pasivos, ingresos y gastos y, en general, contribuir a medir la eficacia, economía y eficiencia del gasto e ingresos públicos, incluyendo las obligaciones contingentes y el patrimonio del Estado, en cumplimiento a lo estipulado en el artículo 2 de la Ley comentada.</w:t>
      </w:r>
    </w:p>
    <w:p w14:paraId="6BDEE8E9"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Asimismo, otro de los objetivos centrales que persigue la Auditoría Superior del Estado consiste en que la contabilidad gubernamental permita la expresión fiable de las transacciones en los estados financieros y considere las mejores prácticas contables nacionales e internacionales, ello en términos de lo señalado por el artículo 33 de la citada Ley.</w:t>
      </w:r>
    </w:p>
    <w:p w14:paraId="619A1792"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En ese tenor, se han adoptado e implementado la normatividad y lineamientos emitidos por el Consejo Nacional de Armonización Contable (CONAC), reforzándose con las actividades promovidas por el Consejo de Armonización Contable del Estado de Tamaulipas (CACET) encaminadas a la difusión y aplicación de tales disposiciones, para transparentar y armonizar la información pública al interior del Estado.</w:t>
      </w:r>
    </w:p>
    <w:p w14:paraId="6F872FA7"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En términos generales, en la Contabilidad de la Auditoría Superior del Estado se están aplicando las políticas contables emanadas de los Postulados Básicos de Contabilidad Gubernamental, las Normas y Metodología para la Determinación de los Momentos Contables de los Ingresos y de los Egresos, los Clasificadores presupuestarios de Ingresos y Gastos, el Manual de Contabilidad Gubernamental y otros documentos publicados a la fecha.</w:t>
      </w:r>
    </w:p>
    <w:p w14:paraId="303BFDEC" w14:textId="77777777" w:rsidR="00BA1871" w:rsidRDefault="00BA1871" w:rsidP="00BA1871">
      <w:pPr>
        <w:pStyle w:val="Text"/>
        <w:spacing w:line="240" w:lineRule="exact"/>
        <w:rPr>
          <w:rFonts w:ascii="Calibri" w:hAnsi="Calibri" w:cs="DIN Pro Regular"/>
          <w:sz w:val="20"/>
          <w:lang w:val="es-MX"/>
        </w:rPr>
      </w:pPr>
    </w:p>
    <w:p w14:paraId="08892213"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6.</w:t>
      </w:r>
      <w:r>
        <w:rPr>
          <w:rFonts w:ascii="Calibri" w:hAnsi="Calibri" w:cs="DIN Pro Regular"/>
          <w:sz w:val="20"/>
          <w:lang w:val="es-MX"/>
        </w:rPr>
        <w:tab/>
        <w:t>Posición en Moneda Extranjera y Protección por Riesgo Cambiario</w:t>
      </w:r>
    </w:p>
    <w:p w14:paraId="0FECF67E"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Este apartado de las Notas de Gestión Administrativa no aplica en nuestro caso, ya que durante el Ejercicio Fiscal 2024 la Auditoría Superior del Estado no ha realizado operaciones en moneda extranjera que afectaran los rubros de activo y pasivo.</w:t>
      </w:r>
    </w:p>
    <w:p w14:paraId="10B8ED1C" w14:textId="77777777" w:rsidR="00BA1871" w:rsidRDefault="00BA1871" w:rsidP="00BA1871">
      <w:pPr>
        <w:pStyle w:val="Text"/>
        <w:spacing w:line="240" w:lineRule="exact"/>
        <w:rPr>
          <w:rFonts w:ascii="Calibri" w:hAnsi="Calibri" w:cs="DIN Pro Regular"/>
          <w:sz w:val="20"/>
          <w:lang w:val="es-MX"/>
        </w:rPr>
      </w:pPr>
    </w:p>
    <w:p w14:paraId="216CFA87" w14:textId="77777777" w:rsidR="00BA1871" w:rsidRDefault="00BA1871" w:rsidP="00BA1871">
      <w:pPr>
        <w:pStyle w:val="Text"/>
        <w:spacing w:line="240" w:lineRule="exact"/>
        <w:rPr>
          <w:rFonts w:ascii="Calibri" w:hAnsi="Calibri" w:cs="DIN Pro Regular"/>
          <w:sz w:val="20"/>
          <w:lang w:val="es-MX"/>
        </w:rPr>
      </w:pPr>
    </w:p>
    <w:p w14:paraId="6CD3DF16" w14:textId="77777777" w:rsidR="00BA1871" w:rsidRDefault="00BA1871" w:rsidP="00BA1871">
      <w:pPr>
        <w:pStyle w:val="Text"/>
        <w:spacing w:line="240" w:lineRule="exact"/>
        <w:rPr>
          <w:rFonts w:ascii="Calibri" w:hAnsi="Calibri" w:cs="DIN Pro Regular"/>
          <w:sz w:val="20"/>
          <w:lang w:val="es-MX"/>
        </w:rPr>
      </w:pPr>
    </w:p>
    <w:p w14:paraId="17224B3A"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7.</w:t>
      </w:r>
      <w:r>
        <w:rPr>
          <w:rFonts w:ascii="Calibri" w:hAnsi="Calibri" w:cs="DIN Pro Regular"/>
          <w:sz w:val="20"/>
          <w:lang w:val="es-MX"/>
        </w:rPr>
        <w:tab/>
        <w:t>Reporte Analítico del Activo</w:t>
      </w:r>
    </w:p>
    <w:p w14:paraId="19ACA9D8"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Este reporte representa el comportamiento de las cuentas de Activo Fijo durante el Ejercicio Fiscal 2024. De cada uno de los diferentes tipos de bienes muebles como se muestra a continuación:</w:t>
      </w:r>
    </w:p>
    <w:tbl>
      <w:tblPr>
        <w:tblW w:w="6173" w:type="dxa"/>
        <w:jc w:val="center"/>
        <w:tblCellMar>
          <w:left w:w="10" w:type="dxa"/>
          <w:right w:w="10" w:type="dxa"/>
        </w:tblCellMar>
        <w:tblLook w:val="0000" w:firstRow="0" w:lastRow="0" w:firstColumn="0" w:lastColumn="0" w:noHBand="0" w:noVBand="0"/>
      </w:tblPr>
      <w:tblGrid>
        <w:gridCol w:w="4017"/>
        <w:gridCol w:w="1078"/>
        <w:gridCol w:w="1078"/>
      </w:tblGrid>
      <w:tr w:rsidR="00BA1871" w14:paraId="1059D2FE" w14:textId="77777777" w:rsidTr="00324A31">
        <w:tblPrEx>
          <w:tblCellMar>
            <w:top w:w="0" w:type="dxa"/>
            <w:bottom w:w="0" w:type="dxa"/>
          </w:tblCellMar>
        </w:tblPrEx>
        <w:trPr>
          <w:trHeight w:val="280"/>
          <w:jc w:val="center"/>
        </w:trPr>
        <w:tc>
          <w:tcPr>
            <w:tcW w:w="4017" w:type="dxa"/>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vAlign w:val="center"/>
          </w:tcPr>
          <w:p w14:paraId="0FFC78AC" w14:textId="77777777" w:rsidR="00BA1871" w:rsidRDefault="00BA1871" w:rsidP="00324A31">
            <w:pPr>
              <w:widowControl/>
              <w:suppressAutoHyphens w:val="0"/>
              <w:textAlignment w:val="auto"/>
              <w:rPr>
                <w:rFonts w:ascii="DIN Pro Regular" w:eastAsia="Times New Roman" w:hAnsi="DIN Pro Regular" w:cs="DIN Pro Regular"/>
                <w:b/>
                <w:bCs/>
                <w:color w:val="FFFFFF"/>
                <w:sz w:val="16"/>
                <w:szCs w:val="16"/>
              </w:rPr>
            </w:pPr>
            <w:r>
              <w:rPr>
                <w:rFonts w:ascii="DIN Pro Regular" w:eastAsia="Times New Roman" w:hAnsi="DIN Pro Regular" w:cs="DIN Pro Regular"/>
                <w:b/>
                <w:bCs/>
                <w:color w:val="FFFFFF"/>
                <w:sz w:val="16"/>
                <w:szCs w:val="16"/>
              </w:rPr>
              <w:t>Nombre</w:t>
            </w:r>
          </w:p>
        </w:tc>
        <w:tc>
          <w:tcPr>
            <w:tcW w:w="1078" w:type="dxa"/>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vAlign w:val="center"/>
          </w:tcPr>
          <w:p w14:paraId="63AE109C" w14:textId="77777777" w:rsidR="00BA1871" w:rsidRDefault="00BA1871" w:rsidP="00324A31">
            <w:pPr>
              <w:widowControl/>
              <w:suppressAutoHyphens w:val="0"/>
              <w:jc w:val="right"/>
              <w:textAlignment w:val="auto"/>
              <w:rPr>
                <w:rFonts w:ascii="DIN Pro Regular" w:eastAsia="Times New Roman" w:hAnsi="DIN Pro Regular" w:cs="DIN Pro Regular"/>
                <w:b/>
                <w:bCs/>
                <w:color w:val="FFFFFF"/>
                <w:sz w:val="16"/>
                <w:szCs w:val="16"/>
              </w:rPr>
            </w:pPr>
            <w:r>
              <w:rPr>
                <w:rFonts w:ascii="DIN Pro Regular" w:eastAsia="Times New Roman" w:hAnsi="DIN Pro Regular" w:cs="DIN Pro Regular"/>
                <w:b/>
                <w:bCs/>
                <w:color w:val="FFFFFF"/>
                <w:sz w:val="16"/>
                <w:szCs w:val="16"/>
              </w:rPr>
              <w:t xml:space="preserve">% </w:t>
            </w:r>
            <w:proofErr w:type="spellStart"/>
            <w:r>
              <w:rPr>
                <w:rFonts w:ascii="DIN Pro Regular" w:eastAsia="Times New Roman" w:hAnsi="DIN Pro Regular" w:cs="DIN Pro Regular"/>
                <w:b/>
                <w:bCs/>
                <w:color w:val="FFFFFF"/>
                <w:sz w:val="16"/>
                <w:szCs w:val="16"/>
              </w:rPr>
              <w:t>Deprec</w:t>
            </w:r>
            <w:proofErr w:type="spellEnd"/>
            <w:r>
              <w:rPr>
                <w:rFonts w:ascii="DIN Pro Regular" w:eastAsia="Times New Roman" w:hAnsi="DIN Pro Regular" w:cs="DIN Pro Regular"/>
                <w:b/>
                <w:bCs/>
                <w:color w:val="FFFFFF"/>
                <w:sz w:val="16"/>
                <w:szCs w:val="16"/>
              </w:rPr>
              <w:t>.</w:t>
            </w:r>
          </w:p>
        </w:tc>
        <w:tc>
          <w:tcPr>
            <w:tcW w:w="1078" w:type="dxa"/>
            <w:tcBorders>
              <w:top w:val="single" w:sz="4" w:space="0" w:color="000000"/>
              <w:left w:val="single" w:sz="4" w:space="0" w:color="000000"/>
              <w:bottom w:val="single" w:sz="4" w:space="0" w:color="000000"/>
              <w:right w:val="single" w:sz="4" w:space="0" w:color="000000"/>
            </w:tcBorders>
            <w:shd w:val="clear" w:color="auto" w:fill="808080"/>
            <w:tcMar>
              <w:top w:w="0" w:type="dxa"/>
              <w:left w:w="10" w:type="dxa"/>
              <w:bottom w:w="0" w:type="dxa"/>
              <w:right w:w="10" w:type="dxa"/>
            </w:tcMar>
          </w:tcPr>
          <w:p w14:paraId="27C01E5E" w14:textId="77777777" w:rsidR="00BA1871" w:rsidRDefault="00BA1871" w:rsidP="00324A31">
            <w:pPr>
              <w:widowControl/>
              <w:suppressAutoHyphens w:val="0"/>
              <w:jc w:val="right"/>
              <w:textAlignment w:val="auto"/>
              <w:rPr>
                <w:rFonts w:ascii="DIN Pro Regular" w:eastAsia="Times New Roman" w:hAnsi="DIN Pro Regular" w:cs="DIN Pro Regular"/>
                <w:b/>
                <w:bCs/>
                <w:color w:val="FFFFFF"/>
                <w:sz w:val="16"/>
                <w:szCs w:val="16"/>
              </w:rPr>
            </w:pPr>
            <w:r>
              <w:rPr>
                <w:rFonts w:ascii="DIN Pro Regular" w:eastAsia="Times New Roman" w:hAnsi="DIN Pro Regular" w:cs="DIN Pro Regular"/>
                <w:b/>
                <w:bCs/>
                <w:color w:val="FFFFFF"/>
                <w:sz w:val="16"/>
                <w:szCs w:val="16"/>
              </w:rPr>
              <w:t>Años Vida Útil</w:t>
            </w:r>
          </w:p>
        </w:tc>
      </w:tr>
      <w:tr w:rsidR="00BA1871" w14:paraId="0BC3267E" w14:textId="77777777" w:rsidTr="00324A31">
        <w:tblPrEx>
          <w:tblCellMar>
            <w:top w:w="0" w:type="dxa"/>
            <w:bottom w:w="0" w:type="dxa"/>
          </w:tblCellMar>
        </w:tblPrEx>
        <w:trPr>
          <w:trHeight w:val="85"/>
          <w:jc w:val="center"/>
        </w:trPr>
        <w:tc>
          <w:tcPr>
            <w:tcW w:w="4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610021C1" w14:textId="77777777" w:rsidR="00BA1871" w:rsidRDefault="00BA1871" w:rsidP="00324A31">
            <w:pPr>
              <w:widowControl/>
              <w:suppressAutoHyphens w:val="0"/>
              <w:textAlignment w:val="auto"/>
              <w:rPr>
                <w:rFonts w:ascii="DIN Pro Regular" w:eastAsia="Times New Roman" w:hAnsi="DIN Pro Regular" w:cs="DIN Pro Regular"/>
                <w:b/>
                <w:bCs/>
                <w:color w:val="000000"/>
                <w:sz w:val="16"/>
                <w:szCs w:val="16"/>
              </w:rPr>
            </w:pPr>
            <w:r>
              <w:rPr>
                <w:rFonts w:ascii="DIN Pro Regular" w:eastAsia="Times New Roman" w:hAnsi="DIN Pro Regular" w:cs="DIN Pro Regular"/>
                <w:b/>
                <w:bCs/>
                <w:color w:val="000000"/>
                <w:sz w:val="16"/>
                <w:szCs w:val="16"/>
              </w:rPr>
              <w:t>Depreciación de infraestructura</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5D1BCDE4" w14:textId="77777777" w:rsidR="00BA1871" w:rsidRDefault="00BA1871" w:rsidP="00324A31">
            <w:pPr>
              <w:widowControl/>
              <w:suppressAutoHyphens w:val="0"/>
              <w:jc w:val="right"/>
              <w:textAlignment w:val="auto"/>
              <w:rPr>
                <w:rFonts w:ascii="DIN Pro Regular" w:eastAsia="Times New Roman" w:hAnsi="DIN Pro Regular" w:cs="DIN Pro Regular"/>
                <w:color w:val="000000"/>
                <w:sz w:val="16"/>
                <w:szCs w:val="16"/>
              </w:rPr>
            </w:pPr>
            <w:r>
              <w:rPr>
                <w:rFonts w:ascii="DIN Pro Regular" w:eastAsia="Times New Roman" w:hAnsi="DIN Pro Regular" w:cs="DIN Pro Regular"/>
                <w:color w:val="000000"/>
                <w:sz w:val="16"/>
                <w:szCs w:val="16"/>
              </w:rPr>
              <w:t> </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EB6896F" w14:textId="77777777" w:rsidR="00BA1871" w:rsidRDefault="00BA1871" w:rsidP="00324A31">
            <w:pPr>
              <w:widowControl/>
              <w:suppressAutoHyphens w:val="0"/>
              <w:jc w:val="center"/>
              <w:textAlignment w:val="auto"/>
              <w:rPr>
                <w:rFonts w:ascii="DIN Pro Regular" w:eastAsia="Times New Roman" w:hAnsi="DIN Pro Regular" w:cs="DIN Pro Regular"/>
                <w:color w:val="000000"/>
                <w:sz w:val="16"/>
                <w:szCs w:val="16"/>
              </w:rPr>
            </w:pPr>
          </w:p>
        </w:tc>
      </w:tr>
      <w:tr w:rsidR="00BA1871" w14:paraId="3C88E8A0" w14:textId="77777777" w:rsidTr="00324A31">
        <w:tblPrEx>
          <w:tblCellMar>
            <w:top w:w="0" w:type="dxa"/>
            <w:bottom w:w="0" w:type="dxa"/>
          </w:tblCellMar>
        </w:tblPrEx>
        <w:trPr>
          <w:trHeight w:val="158"/>
          <w:jc w:val="center"/>
        </w:trPr>
        <w:tc>
          <w:tcPr>
            <w:tcW w:w="4017"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bottom"/>
          </w:tcPr>
          <w:p w14:paraId="58A867F8" w14:textId="77777777" w:rsidR="00BA1871" w:rsidRDefault="00BA1871" w:rsidP="00324A31">
            <w:pPr>
              <w:widowControl/>
              <w:suppressAutoHyphens w:val="0"/>
              <w:textAlignment w:val="auto"/>
              <w:rPr>
                <w:rFonts w:ascii="DIN Pro Regular" w:eastAsia="Times New Roman" w:hAnsi="DIN Pro Regular" w:cs="DIN Pro Regular"/>
                <w:color w:val="000000"/>
                <w:sz w:val="16"/>
                <w:szCs w:val="16"/>
              </w:rPr>
            </w:pPr>
            <w:r>
              <w:rPr>
                <w:rFonts w:ascii="DIN Pro Regular" w:eastAsia="Times New Roman" w:hAnsi="DIN Pro Regular" w:cs="DIN Pro Regular"/>
                <w:color w:val="000000"/>
                <w:sz w:val="16"/>
                <w:szCs w:val="16"/>
              </w:rPr>
              <w:t>Muebles de Oficina y Estantería</w:t>
            </w:r>
          </w:p>
        </w:tc>
        <w:tc>
          <w:tcPr>
            <w:tcW w:w="107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bottom"/>
          </w:tcPr>
          <w:p w14:paraId="4FA977C6" w14:textId="77777777" w:rsidR="00BA1871" w:rsidRDefault="00BA1871" w:rsidP="00324A31">
            <w:pPr>
              <w:widowControl/>
              <w:suppressAutoHyphens w:val="0"/>
              <w:jc w:val="right"/>
              <w:textAlignment w:val="auto"/>
              <w:rPr>
                <w:rFonts w:ascii="DIN Pro Regular" w:eastAsia="Times New Roman" w:hAnsi="DIN Pro Regular" w:cs="DIN Pro Regular"/>
                <w:color w:val="000000"/>
                <w:sz w:val="16"/>
                <w:szCs w:val="16"/>
              </w:rPr>
            </w:pPr>
            <w:r>
              <w:rPr>
                <w:rFonts w:ascii="DIN Pro Regular" w:eastAsia="Times New Roman" w:hAnsi="DIN Pro Regular" w:cs="DIN Pro Regular"/>
                <w:color w:val="000000"/>
                <w:sz w:val="16"/>
                <w:szCs w:val="16"/>
              </w:rPr>
              <w:t>10%</w:t>
            </w:r>
          </w:p>
        </w:tc>
        <w:tc>
          <w:tcPr>
            <w:tcW w:w="107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 w:type="dxa"/>
              <w:bottom w:w="0" w:type="dxa"/>
              <w:right w:w="10" w:type="dxa"/>
            </w:tcMar>
          </w:tcPr>
          <w:p w14:paraId="3364C93D" w14:textId="77777777" w:rsidR="00BA1871" w:rsidRDefault="00BA1871" w:rsidP="00324A31">
            <w:pPr>
              <w:widowControl/>
              <w:suppressAutoHyphens w:val="0"/>
              <w:jc w:val="center"/>
              <w:textAlignment w:val="auto"/>
              <w:rPr>
                <w:rFonts w:ascii="DIN Pro Regular" w:eastAsia="Times New Roman" w:hAnsi="DIN Pro Regular" w:cs="DIN Pro Regular"/>
                <w:color w:val="000000"/>
                <w:sz w:val="16"/>
                <w:szCs w:val="16"/>
              </w:rPr>
            </w:pPr>
            <w:r>
              <w:rPr>
                <w:rFonts w:ascii="DIN Pro Regular" w:eastAsia="Times New Roman" w:hAnsi="DIN Pro Regular" w:cs="DIN Pro Regular"/>
                <w:color w:val="000000"/>
                <w:sz w:val="16"/>
                <w:szCs w:val="16"/>
              </w:rPr>
              <w:t>10</w:t>
            </w:r>
          </w:p>
        </w:tc>
      </w:tr>
      <w:tr w:rsidR="00BA1871" w14:paraId="6F3F7FAE" w14:textId="77777777" w:rsidTr="00324A31">
        <w:tblPrEx>
          <w:tblCellMar>
            <w:top w:w="0" w:type="dxa"/>
            <w:bottom w:w="0" w:type="dxa"/>
          </w:tblCellMar>
        </w:tblPrEx>
        <w:trPr>
          <w:trHeight w:val="90"/>
          <w:jc w:val="center"/>
        </w:trPr>
        <w:tc>
          <w:tcPr>
            <w:tcW w:w="4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6B511631" w14:textId="77777777" w:rsidR="00BA1871" w:rsidRDefault="00BA1871" w:rsidP="00324A31">
            <w:pPr>
              <w:widowControl/>
              <w:suppressAutoHyphens w:val="0"/>
              <w:textAlignment w:val="auto"/>
              <w:rPr>
                <w:rFonts w:ascii="DIN Pro Regular" w:eastAsia="Times New Roman" w:hAnsi="DIN Pro Regular" w:cs="DIN Pro Regular"/>
                <w:color w:val="000000"/>
                <w:sz w:val="16"/>
                <w:szCs w:val="16"/>
              </w:rPr>
            </w:pPr>
            <w:r>
              <w:rPr>
                <w:rFonts w:ascii="DIN Pro Regular" w:eastAsia="Times New Roman" w:hAnsi="DIN Pro Regular" w:cs="DIN Pro Regular"/>
                <w:color w:val="000000"/>
                <w:sz w:val="16"/>
                <w:szCs w:val="16"/>
              </w:rPr>
              <w:t>Muebles, excepto de Oficina y Estantería</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20CD4E5D" w14:textId="77777777" w:rsidR="00BA1871" w:rsidRDefault="00BA1871" w:rsidP="00324A31">
            <w:pPr>
              <w:widowControl/>
              <w:suppressAutoHyphens w:val="0"/>
              <w:jc w:val="right"/>
              <w:textAlignment w:val="auto"/>
              <w:rPr>
                <w:rFonts w:ascii="DIN Pro Regular" w:eastAsia="Times New Roman" w:hAnsi="DIN Pro Regular" w:cs="DIN Pro Regular"/>
                <w:color w:val="000000"/>
                <w:sz w:val="16"/>
                <w:szCs w:val="16"/>
              </w:rPr>
            </w:pPr>
            <w:r>
              <w:rPr>
                <w:rFonts w:ascii="DIN Pro Regular" w:eastAsia="Times New Roman" w:hAnsi="DIN Pro Regular" w:cs="DIN Pro Regular"/>
                <w:color w:val="000000"/>
                <w:sz w:val="16"/>
                <w:szCs w:val="16"/>
              </w:rPr>
              <w:t>10%</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F44034C" w14:textId="77777777" w:rsidR="00BA1871" w:rsidRDefault="00BA1871" w:rsidP="00324A31">
            <w:pPr>
              <w:widowControl/>
              <w:suppressAutoHyphens w:val="0"/>
              <w:jc w:val="center"/>
              <w:textAlignment w:val="auto"/>
              <w:rPr>
                <w:rFonts w:ascii="DIN Pro Regular" w:eastAsia="Times New Roman" w:hAnsi="DIN Pro Regular" w:cs="DIN Pro Regular"/>
                <w:color w:val="000000"/>
                <w:sz w:val="16"/>
                <w:szCs w:val="16"/>
              </w:rPr>
            </w:pPr>
            <w:r>
              <w:rPr>
                <w:rFonts w:ascii="DIN Pro Regular" w:eastAsia="Times New Roman" w:hAnsi="DIN Pro Regular" w:cs="DIN Pro Regular"/>
                <w:color w:val="000000"/>
                <w:sz w:val="16"/>
                <w:szCs w:val="16"/>
              </w:rPr>
              <w:t>10</w:t>
            </w:r>
          </w:p>
        </w:tc>
      </w:tr>
      <w:tr w:rsidR="00BA1871" w14:paraId="5CB13B41" w14:textId="77777777" w:rsidTr="00324A31">
        <w:tblPrEx>
          <w:tblCellMar>
            <w:top w:w="0" w:type="dxa"/>
            <w:bottom w:w="0" w:type="dxa"/>
          </w:tblCellMar>
        </w:tblPrEx>
        <w:trPr>
          <w:trHeight w:val="164"/>
          <w:jc w:val="center"/>
        </w:trPr>
        <w:tc>
          <w:tcPr>
            <w:tcW w:w="4017"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bottom"/>
          </w:tcPr>
          <w:p w14:paraId="721226D3" w14:textId="77777777" w:rsidR="00BA1871" w:rsidRDefault="00BA1871" w:rsidP="00324A31">
            <w:pPr>
              <w:widowControl/>
              <w:suppressAutoHyphens w:val="0"/>
              <w:textAlignment w:val="auto"/>
              <w:rPr>
                <w:rFonts w:ascii="DIN Pro Regular" w:eastAsia="Times New Roman" w:hAnsi="DIN Pro Regular" w:cs="DIN Pro Regular"/>
                <w:color w:val="000000"/>
                <w:sz w:val="16"/>
                <w:szCs w:val="16"/>
              </w:rPr>
            </w:pPr>
            <w:r>
              <w:rPr>
                <w:rFonts w:ascii="DIN Pro Regular" w:eastAsia="Times New Roman" w:hAnsi="DIN Pro Regular" w:cs="DIN Pro Regular"/>
                <w:color w:val="000000"/>
                <w:sz w:val="16"/>
                <w:szCs w:val="16"/>
              </w:rPr>
              <w:t>Equipo de Cómputo y de Tecnologías</w:t>
            </w:r>
          </w:p>
        </w:tc>
        <w:tc>
          <w:tcPr>
            <w:tcW w:w="107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bottom"/>
          </w:tcPr>
          <w:p w14:paraId="3D686D28" w14:textId="77777777" w:rsidR="00BA1871" w:rsidRDefault="00BA1871" w:rsidP="00324A31">
            <w:pPr>
              <w:widowControl/>
              <w:suppressAutoHyphens w:val="0"/>
              <w:jc w:val="right"/>
              <w:textAlignment w:val="auto"/>
              <w:rPr>
                <w:rFonts w:ascii="DIN Pro Regular" w:eastAsia="Times New Roman" w:hAnsi="DIN Pro Regular" w:cs="DIN Pro Regular"/>
                <w:color w:val="000000"/>
                <w:sz w:val="16"/>
                <w:szCs w:val="16"/>
              </w:rPr>
            </w:pPr>
            <w:r>
              <w:rPr>
                <w:rFonts w:ascii="DIN Pro Regular" w:eastAsia="Times New Roman" w:hAnsi="DIN Pro Regular" w:cs="DIN Pro Regular"/>
                <w:color w:val="000000"/>
                <w:sz w:val="16"/>
                <w:szCs w:val="16"/>
              </w:rPr>
              <w:t>30%</w:t>
            </w:r>
          </w:p>
        </w:tc>
        <w:tc>
          <w:tcPr>
            <w:tcW w:w="107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 w:type="dxa"/>
              <w:bottom w:w="0" w:type="dxa"/>
              <w:right w:w="10" w:type="dxa"/>
            </w:tcMar>
          </w:tcPr>
          <w:p w14:paraId="6A305EC9" w14:textId="77777777" w:rsidR="00BA1871" w:rsidRDefault="00BA1871" w:rsidP="00324A31">
            <w:pPr>
              <w:widowControl/>
              <w:suppressAutoHyphens w:val="0"/>
              <w:jc w:val="center"/>
              <w:textAlignment w:val="auto"/>
              <w:rPr>
                <w:rFonts w:ascii="DIN Pro Regular" w:eastAsia="Times New Roman" w:hAnsi="DIN Pro Regular" w:cs="DIN Pro Regular"/>
                <w:color w:val="000000"/>
                <w:sz w:val="16"/>
                <w:szCs w:val="16"/>
              </w:rPr>
            </w:pPr>
            <w:r>
              <w:rPr>
                <w:rFonts w:ascii="DIN Pro Regular" w:eastAsia="Times New Roman" w:hAnsi="DIN Pro Regular" w:cs="DIN Pro Regular"/>
                <w:color w:val="000000"/>
                <w:sz w:val="16"/>
                <w:szCs w:val="16"/>
              </w:rPr>
              <w:t>3.3</w:t>
            </w:r>
          </w:p>
        </w:tc>
      </w:tr>
      <w:tr w:rsidR="00BA1871" w14:paraId="49F7DD3B" w14:textId="77777777" w:rsidTr="00324A31">
        <w:tblPrEx>
          <w:tblCellMar>
            <w:top w:w="0" w:type="dxa"/>
            <w:bottom w:w="0" w:type="dxa"/>
          </w:tblCellMar>
        </w:tblPrEx>
        <w:trPr>
          <w:trHeight w:val="96"/>
          <w:jc w:val="center"/>
        </w:trPr>
        <w:tc>
          <w:tcPr>
            <w:tcW w:w="4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163B1E95" w14:textId="77777777" w:rsidR="00BA1871" w:rsidRDefault="00BA1871" w:rsidP="00324A31">
            <w:pPr>
              <w:widowControl/>
              <w:suppressAutoHyphens w:val="0"/>
              <w:textAlignment w:val="auto"/>
              <w:rPr>
                <w:rFonts w:ascii="DIN Pro Regular" w:eastAsia="Times New Roman" w:hAnsi="DIN Pro Regular" w:cs="DIN Pro Regular"/>
                <w:color w:val="000000"/>
                <w:sz w:val="16"/>
                <w:szCs w:val="16"/>
              </w:rPr>
            </w:pPr>
            <w:r>
              <w:rPr>
                <w:rFonts w:ascii="DIN Pro Regular" w:eastAsia="Times New Roman" w:hAnsi="DIN Pro Regular" w:cs="DIN Pro Regular"/>
                <w:color w:val="000000"/>
                <w:sz w:val="16"/>
                <w:szCs w:val="16"/>
              </w:rPr>
              <w:t>Otros Mobiliarios y Equipo De Administración</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7510F82B" w14:textId="77777777" w:rsidR="00BA1871" w:rsidRDefault="00BA1871" w:rsidP="00324A31">
            <w:pPr>
              <w:widowControl/>
              <w:suppressAutoHyphens w:val="0"/>
              <w:jc w:val="right"/>
              <w:textAlignment w:val="auto"/>
              <w:rPr>
                <w:rFonts w:ascii="DIN Pro Regular" w:eastAsia="Times New Roman" w:hAnsi="DIN Pro Regular" w:cs="DIN Pro Regular"/>
                <w:color w:val="000000"/>
                <w:sz w:val="16"/>
                <w:szCs w:val="16"/>
              </w:rPr>
            </w:pPr>
            <w:r>
              <w:rPr>
                <w:rFonts w:ascii="DIN Pro Regular" w:eastAsia="Times New Roman" w:hAnsi="DIN Pro Regular" w:cs="DIN Pro Regular"/>
                <w:color w:val="000000"/>
                <w:sz w:val="16"/>
                <w:szCs w:val="16"/>
              </w:rPr>
              <w:t>10%</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70D72BF" w14:textId="77777777" w:rsidR="00BA1871" w:rsidRDefault="00BA1871" w:rsidP="00324A31">
            <w:pPr>
              <w:widowControl/>
              <w:suppressAutoHyphens w:val="0"/>
              <w:jc w:val="center"/>
              <w:textAlignment w:val="auto"/>
              <w:rPr>
                <w:rFonts w:ascii="DIN Pro Regular" w:eastAsia="Times New Roman" w:hAnsi="DIN Pro Regular" w:cs="DIN Pro Regular"/>
                <w:color w:val="000000"/>
                <w:sz w:val="16"/>
                <w:szCs w:val="16"/>
              </w:rPr>
            </w:pPr>
            <w:r>
              <w:rPr>
                <w:rFonts w:ascii="DIN Pro Regular" w:eastAsia="Times New Roman" w:hAnsi="DIN Pro Regular" w:cs="DIN Pro Regular"/>
                <w:color w:val="000000"/>
                <w:sz w:val="16"/>
                <w:szCs w:val="16"/>
              </w:rPr>
              <w:t>10</w:t>
            </w:r>
          </w:p>
        </w:tc>
      </w:tr>
      <w:tr w:rsidR="00BA1871" w14:paraId="221DD988" w14:textId="77777777" w:rsidTr="00324A31">
        <w:tblPrEx>
          <w:tblCellMar>
            <w:top w:w="0" w:type="dxa"/>
            <w:bottom w:w="0" w:type="dxa"/>
          </w:tblCellMar>
        </w:tblPrEx>
        <w:trPr>
          <w:trHeight w:val="170"/>
          <w:jc w:val="center"/>
        </w:trPr>
        <w:tc>
          <w:tcPr>
            <w:tcW w:w="4017"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bottom"/>
          </w:tcPr>
          <w:p w14:paraId="44EF0417" w14:textId="77777777" w:rsidR="00BA1871" w:rsidRDefault="00BA1871" w:rsidP="00324A31">
            <w:pPr>
              <w:widowControl/>
              <w:suppressAutoHyphens w:val="0"/>
              <w:textAlignment w:val="auto"/>
              <w:rPr>
                <w:rFonts w:ascii="DIN Pro Regular" w:eastAsia="Times New Roman" w:hAnsi="DIN Pro Regular" w:cs="DIN Pro Regular"/>
                <w:color w:val="000000"/>
                <w:sz w:val="16"/>
                <w:szCs w:val="16"/>
              </w:rPr>
            </w:pPr>
            <w:r>
              <w:rPr>
                <w:rFonts w:ascii="DIN Pro Regular" w:eastAsia="Times New Roman" w:hAnsi="DIN Pro Regular" w:cs="DIN Pro Regular"/>
                <w:color w:val="000000"/>
                <w:sz w:val="16"/>
                <w:szCs w:val="16"/>
              </w:rPr>
              <w:t>Equipos y Aparatos Audiovisuales</w:t>
            </w:r>
          </w:p>
        </w:tc>
        <w:tc>
          <w:tcPr>
            <w:tcW w:w="107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bottom"/>
          </w:tcPr>
          <w:p w14:paraId="207CB029" w14:textId="77777777" w:rsidR="00BA1871" w:rsidRDefault="00BA1871" w:rsidP="00324A31">
            <w:pPr>
              <w:widowControl/>
              <w:suppressAutoHyphens w:val="0"/>
              <w:jc w:val="right"/>
              <w:textAlignment w:val="auto"/>
              <w:rPr>
                <w:rFonts w:ascii="DIN Pro Regular" w:eastAsia="Times New Roman" w:hAnsi="DIN Pro Regular" w:cs="DIN Pro Regular"/>
                <w:color w:val="000000"/>
                <w:sz w:val="16"/>
                <w:szCs w:val="16"/>
              </w:rPr>
            </w:pPr>
            <w:r>
              <w:rPr>
                <w:rFonts w:ascii="DIN Pro Regular" w:eastAsia="Times New Roman" w:hAnsi="DIN Pro Regular" w:cs="DIN Pro Regular"/>
                <w:color w:val="000000"/>
                <w:sz w:val="16"/>
                <w:szCs w:val="16"/>
              </w:rPr>
              <w:t>30%</w:t>
            </w:r>
          </w:p>
        </w:tc>
        <w:tc>
          <w:tcPr>
            <w:tcW w:w="107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 w:type="dxa"/>
              <w:bottom w:w="0" w:type="dxa"/>
              <w:right w:w="10" w:type="dxa"/>
            </w:tcMar>
          </w:tcPr>
          <w:p w14:paraId="6A7EEB82" w14:textId="77777777" w:rsidR="00BA1871" w:rsidRDefault="00BA1871" w:rsidP="00324A31">
            <w:pPr>
              <w:widowControl/>
              <w:suppressAutoHyphens w:val="0"/>
              <w:jc w:val="center"/>
              <w:textAlignment w:val="auto"/>
              <w:rPr>
                <w:rFonts w:ascii="DIN Pro Regular" w:eastAsia="Times New Roman" w:hAnsi="DIN Pro Regular" w:cs="DIN Pro Regular"/>
                <w:color w:val="000000"/>
                <w:sz w:val="16"/>
                <w:szCs w:val="16"/>
              </w:rPr>
            </w:pPr>
            <w:r>
              <w:rPr>
                <w:rFonts w:ascii="DIN Pro Regular" w:eastAsia="Times New Roman" w:hAnsi="DIN Pro Regular" w:cs="DIN Pro Regular"/>
                <w:color w:val="000000"/>
                <w:sz w:val="16"/>
                <w:szCs w:val="16"/>
              </w:rPr>
              <w:t>3.3</w:t>
            </w:r>
          </w:p>
        </w:tc>
      </w:tr>
      <w:tr w:rsidR="00BA1871" w14:paraId="02CEABF3" w14:textId="77777777" w:rsidTr="00324A31">
        <w:tblPrEx>
          <w:tblCellMar>
            <w:top w:w="0" w:type="dxa"/>
            <w:bottom w:w="0" w:type="dxa"/>
          </w:tblCellMar>
        </w:tblPrEx>
        <w:trPr>
          <w:trHeight w:val="101"/>
          <w:jc w:val="center"/>
        </w:trPr>
        <w:tc>
          <w:tcPr>
            <w:tcW w:w="4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6E2F012F" w14:textId="77777777" w:rsidR="00BA1871" w:rsidRDefault="00BA1871" w:rsidP="00324A31">
            <w:pPr>
              <w:widowControl/>
              <w:suppressAutoHyphens w:val="0"/>
              <w:textAlignment w:val="auto"/>
              <w:rPr>
                <w:rFonts w:ascii="DIN Pro Regular" w:eastAsia="Times New Roman" w:hAnsi="DIN Pro Regular" w:cs="DIN Pro Regular"/>
                <w:color w:val="000000"/>
                <w:sz w:val="16"/>
                <w:szCs w:val="16"/>
              </w:rPr>
            </w:pPr>
            <w:r>
              <w:rPr>
                <w:rFonts w:ascii="DIN Pro Regular" w:eastAsia="Times New Roman" w:hAnsi="DIN Pro Regular" w:cs="DIN Pro Regular"/>
                <w:color w:val="000000"/>
                <w:sz w:val="16"/>
                <w:szCs w:val="16"/>
              </w:rPr>
              <w:t>Cámaras Fotográficas y de Video</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1C4D4C8E" w14:textId="77777777" w:rsidR="00BA1871" w:rsidRDefault="00BA1871" w:rsidP="00324A31">
            <w:pPr>
              <w:widowControl/>
              <w:suppressAutoHyphens w:val="0"/>
              <w:jc w:val="right"/>
              <w:textAlignment w:val="auto"/>
              <w:rPr>
                <w:rFonts w:ascii="DIN Pro Regular" w:eastAsia="Times New Roman" w:hAnsi="DIN Pro Regular" w:cs="DIN Pro Regular"/>
                <w:color w:val="000000"/>
                <w:sz w:val="16"/>
                <w:szCs w:val="16"/>
              </w:rPr>
            </w:pPr>
            <w:r>
              <w:rPr>
                <w:rFonts w:ascii="DIN Pro Regular" w:eastAsia="Times New Roman" w:hAnsi="DIN Pro Regular" w:cs="DIN Pro Regular"/>
                <w:color w:val="000000"/>
                <w:sz w:val="16"/>
                <w:szCs w:val="16"/>
              </w:rPr>
              <w:t>30%</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C7EAD64" w14:textId="77777777" w:rsidR="00BA1871" w:rsidRDefault="00BA1871" w:rsidP="00324A31">
            <w:pPr>
              <w:widowControl/>
              <w:suppressAutoHyphens w:val="0"/>
              <w:jc w:val="center"/>
              <w:textAlignment w:val="auto"/>
              <w:rPr>
                <w:rFonts w:ascii="DIN Pro Regular" w:eastAsia="Times New Roman" w:hAnsi="DIN Pro Regular" w:cs="DIN Pro Regular"/>
                <w:color w:val="000000"/>
                <w:sz w:val="16"/>
                <w:szCs w:val="16"/>
              </w:rPr>
            </w:pPr>
            <w:r>
              <w:rPr>
                <w:rFonts w:ascii="DIN Pro Regular" w:eastAsia="Times New Roman" w:hAnsi="DIN Pro Regular" w:cs="DIN Pro Regular"/>
                <w:color w:val="000000"/>
                <w:sz w:val="16"/>
                <w:szCs w:val="16"/>
              </w:rPr>
              <w:t>3.3</w:t>
            </w:r>
          </w:p>
        </w:tc>
      </w:tr>
      <w:tr w:rsidR="00BA1871" w14:paraId="7CD9E93B" w14:textId="77777777" w:rsidTr="00324A31">
        <w:tblPrEx>
          <w:tblCellMar>
            <w:top w:w="0" w:type="dxa"/>
            <w:bottom w:w="0" w:type="dxa"/>
          </w:tblCellMar>
        </w:tblPrEx>
        <w:trPr>
          <w:trHeight w:val="70"/>
          <w:jc w:val="center"/>
        </w:trPr>
        <w:tc>
          <w:tcPr>
            <w:tcW w:w="4017"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bottom"/>
          </w:tcPr>
          <w:p w14:paraId="4DA73BDA" w14:textId="77777777" w:rsidR="00BA1871" w:rsidRDefault="00BA1871" w:rsidP="00324A31">
            <w:pPr>
              <w:widowControl/>
              <w:suppressAutoHyphens w:val="0"/>
              <w:textAlignment w:val="auto"/>
              <w:rPr>
                <w:rFonts w:ascii="DIN Pro Regular" w:eastAsia="Times New Roman" w:hAnsi="DIN Pro Regular" w:cs="DIN Pro Regular"/>
                <w:color w:val="000000"/>
                <w:sz w:val="16"/>
                <w:szCs w:val="16"/>
              </w:rPr>
            </w:pPr>
            <w:r>
              <w:rPr>
                <w:rFonts w:ascii="DIN Pro Regular" w:eastAsia="Times New Roman" w:hAnsi="DIN Pro Regular" w:cs="DIN Pro Regular"/>
                <w:color w:val="000000"/>
                <w:sz w:val="16"/>
                <w:szCs w:val="16"/>
              </w:rPr>
              <w:t>Instrumental Médico y de Laboratorio</w:t>
            </w:r>
          </w:p>
        </w:tc>
        <w:tc>
          <w:tcPr>
            <w:tcW w:w="107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bottom"/>
          </w:tcPr>
          <w:p w14:paraId="23B00B57" w14:textId="77777777" w:rsidR="00BA1871" w:rsidRDefault="00BA1871" w:rsidP="00324A31">
            <w:pPr>
              <w:widowControl/>
              <w:suppressAutoHyphens w:val="0"/>
              <w:jc w:val="right"/>
              <w:textAlignment w:val="auto"/>
              <w:rPr>
                <w:rFonts w:ascii="DIN Pro Regular" w:eastAsia="Times New Roman" w:hAnsi="DIN Pro Regular" w:cs="DIN Pro Regular"/>
                <w:color w:val="000000"/>
                <w:sz w:val="16"/>
                <w:szCs w:val="16"/>
              </w:rPr>
            </w:pPr>
            <w:r>
              <w:rPr>
                <w:rFonts w:ascii="DIN Pro Regular" w:eastAsia="Times New Roman" w:hAnsi="DIN Pro Regular" w:cs="DIN Pro Regular"/>
                <w:color w:val="000000"/>
                <w:sz w:val="16"/>
                <w:szCs w:val="16"/>
              </w:rPr>
              <w:t>10%</w:t>
            </w:r>
          </w:p>
        </w:tc>
        <w:tc>
          <w:tcPr>
            <w:tcW w:w="107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 w:type="dxa"/>
              <w:bottom w:w="0" w:type="dxa"/>
              <w:right w:w="10" w:type="dxa"/>
            </w:tcMar>
          </w:tcPr>
          <w:p w14:paraId="33AFDDBA" w14:textId="77777777" w:rsidR="00BA1871" w:rsidRDefault="00BA1871" w:rsidP="00324A31">
            <w:pPr>
              <w:widowControl/>
              <w:suppressAutoHyphens w:val="0"/>
              <w:jc w:val="center"/>
              <w:textAlignment w:val="auto"/>
              <w:rPr>
                <w:rFonts w:ascii="DIN Pro Regular" w:eastAsia="Times New Roman" w:hAnsi="DIN Pro Regular" w:cs="DIN Pro Regular"/>
                <w:color w:val="000000"/>
                <w:sz w:val="16"/>
                <w:szCs w:val="16"/>
              </w:rPr>
            </w:pPr>
            <w:r>
              <w:rPr>
                <w:rFonts w:ascii="DIN Pro Regular" w:eastAsia="Times New Roman" w:hAnsi="DIN Pro Regular" w:cs="DIN Pro Regular"/>
                <w:color w:val="000000"/>
                <w:sz w:val="16"/>
                <w:szCs w:val="16"/>
              </w:rPr>
              <w:t>10</w:t>
            </w:r>
          </w:p>
        </w:tc>
      </w:tr>
      <w:tr w:rsidR="00BA1871" w14:paraId="485AAD5E" w14:textId="77777777" w:rsidTr="00324A31">
        <w:tblPrEx>
          <w:tblCellMar>
            <w:top w:w="0" w:type="dxa"/>
            <w:bottom w:w="0" w:type="dxa"/>
          </w:tblCellMar>
        </w:tblPrEx>
        <w:trPr>
          <w:trHeight w:val="122"/>
          <w:jc w:val="center"/>
        </w:trPr>
        <w:tc>
          <w:tcPr>
            <w:tcW w:w="4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4ED57345" w14:textId="77777777" w:rsidR="00BA1871" w:rsidRDefault="00BA1871" w:rsidP="00324A31">
            <w:pPr>
              <w:widowControl/>
              <w:suppressAutoHyphens w:val="0"/>
              <w:textAlignment w:val="auto"/>
              <w:rPr>
                <w:rFonts w:ascii="DIN Pro Regular" w:eastAsia="Times New Roman" w:hAnsi="DIN Pro Regular" w:cs="DIN Pro Regular"/>
                <w:color w:val="000000"/>
                <w:sz w:val="16"/>
                <w:szCs w:val="16"/>
              </w:rPr>
            </w:pPr>
            <w:r>
              <w:rPr>
                <w:rFonts w:ascii="DIN Pro Regular" w:eastAsia="Times New Roman" w:hAnsi="DIN Pro Regular" w:cs="DIN Pro Regular"/>
                <w:color w:val="000000"/>
                <w:sz w:val="16"/>
                <w:szCs w:val="16"/>
              </w:rPr>
              <w:t>Vehículos y equipo de transporte</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6DB3FB33" w14:textId="77777777" w:rsidR="00BA1871" w:rsidRDefault="00BA1871" w:rsidP="00324A31">
            <w:pPr>
              <w:widowControl/>
              <w:suppressAutoHyphens w:val="0"/>
              <w:jc w:val="right"/>
              <w:textAlignment w:val="auto"/>
              <w:rPr>
                <w:rFonts w:ascii="DIN Pro Regular" w:eastAsia="Times New Roman" w:hAnsi="DIN Pro Regular" w:cs="DIN Pro Regular"/>
                <w:color w:val="000000"/>
                <w:sz w:val="16"/>
                <w:szCs w:val="16"/>
              </w:rPr>
            </w:pPr>
            <w:r>
              <w:rPr>
                <w:rFonts w:ascii="DIN Pro Regular" w:eastAsia="Times New Roman" w:hAnsi="DIN Pro Regular" w:cs="DIN Pro Regular"/>
                <w:color w:val="000000"/>
                <w:sz w:val="16"/>
                <w:szCs w:val="16"/>
              </w:rPr>
              <w:t>25%</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CB8CB44" w14:textId="77777777" w:rsidR="00BA1871" w:rsidRDefault="00BA1871" w:rsidP="00324A31">
            <w:pPr>
              <w:widowControl/>
              <w:suppressAutoHyphens w:val="0"/>
              <w:jc w:val="center"/>
              <w:textAlignment w:val="auto"/>
              <w:rPr>
                <w:rFonts w:ascii="DIN Pro Regular" w:eastAsia="Times New Roman" w:hAnsi="DIN Pro Regular" w:cs="DIN Pro Regular"/>
                <w:color w:val="000000"/>
                <w:sz w:val="16"/>
                <w:szCs w:val="16"/>
              </w:rPr>
            </w:pPr>
            <w:r>
              <w:rPr>
                <w:rFonts w:ascii="DIN Pro Regular" w:eastAsia="Times New Roman" w:hAnsi="DIN Pro Regular" w:cs="DIN Pro Regular"/>
                <w:color w:val="000000"/>
                <w:sz w:val="16"/>
                <w:szCs w:val="16"/>
              </w:rPr>
              <w:t>4</w:t>
            </w:r>
          </w:p>
        </w:tc>
      </w:tr>
      <w:tr w:rsidR="00BA1871" w14:paraId="7C2D736F" w14:textId="77777777" w:rsidTr="00324A31">
        <w:tblPrEx>
          <w:tblCellMar>
            <w:top w:w="0" w:type="dxa"/>
            <w:bottom w:w="0" w:type="dxa"/>
          </w:tblCellMar>
        </w:tblPrEx>
        <w:trPr>
          <w:trHeight w:val="195"/>
          <w:jc w:val="center"/>
        </w:trPr>
        <w:tc>
          <w:tcPr>
            <w:tcW w:w="4017"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bottom"/>
          </w:tcPr>
          <w:p w14:paraId="59B9DBCB" w14:textId="77777777" w:rsidR="00BA1871" w:rsidRDefault="00BA1871" w:rsidP="00324A31">
            <w:pPr>
              <w:widowControl/>
              <w:suppressAutoHyphens w:val="0"/>
              <w:textAlignment w:val="auto"/>
              <w:rPr>
                <w:rFonts w:ascii="DIN Pro Regular" w:eastAsia="Times New Roman" w:hAnsi="DIN Pro Regular" w:cs="DIN Pro Regular"/>
                <w:color w:val="000000"/>
                <w:sz w:val="16"/>
                <w:szCs w:val="16"/>
              </w:rPr>
            </w:pPr>
            <w:r>
              <w:rPr>
                <w:rFonts w:ascii="DIN Pro Regular" w:eastAsia="Times New Roman" w:hAnsi="DIN Pro Regular" w:cs="DIN Pro Regular"/>
                <w:color w:val="000000"/>
                <w:sz w:val="16"/>
                <w:szCs w:val="16"/>
              </w:rPr>
              <w:t>Otros Equipos de Transporte</w:t>
            </w:r>
          </w:p>
        </w:tc>
        <w:tc>
          <w:tcPr>
            <w:tcW w:w="107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bottom"/>
          </w:tcPr>
          <w:p w14:paraId="4A31E31F" w14:textId="77777777" w:rsidR="00BA1871" w:rsidRDefault="00BA1871" w:rsidP="00324A31">
            <w:pPr>
              <w:widowControl/>
              <w:suppressAutoHyphens w:val="0"/>
              <w:jc w:val="right"/>
              <w:textAlignment w:val="auto"/>
              <w:rPr>
                <w:rFonts w:ascii="DIN Pro Regular" w:eastAsia="Times New Roman" w:hAnsi="DIN Pro Regular" w:cs="DIN Pro Regular"/>
                <w:color w:val="000000"/>
                <w:sz w:val="16"/>
                <w:szCs w:val="16"/>
              </w:rPr>
            </w:pPr>
            <w:r>
              <w:rPr>
                <w:rFonts w:ascii="DIN Pro Regular" w:eastAsia="Times New Roman" w:hAnsi="DIN Pro Regular" w:cs="DIN Pro Regular"/>
                <w:color w:val="000000"/>
                <w:sz w:val="16"/>
                <w:szCs w:val="16"/>
              </w:rPr>
              <w:t>25%</w:t>
            </w:r>
          </w:p>
        </w:tc>
        <w:tc>
          <w:tcPr>
            <w:tcW w:w="107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 w:type="dxa"/>
              <w:bottom w:w="0" w:type="dxa"/>
              <w:right w:w="10" w:type="dxa"/>
            </w:tcMar>
          </w:tcPr>
          <w:p w14:paraId="76E2F712" w14:textId="77777777" w:rsidR="00BA1871" w:rsidRDefault="00BA1871" w:rsidP="00324A31">
            <w:pPr>
              <w:widowControl/>
              <w:suppressAutoHyphens w:val="0"/>
              <w:jc w:val="center"/>
              <w:textAlignment w:val="auto"/>
              <w:rPr>
                <w:rFonts w:ascii="DIN Pro Regular" w:eastAsia="Times New Roman" w:hAnsi="DIN Pro Regular" w:cs="DIN Pro Regular"/>
                <w:color w:val="000000"/>
                <w:sz w:val="16"/>
                <w:szCs w:val="16"/>
              </w:rPr>
            </w:pPr>
            <w:r>
              <w:rPr>
                <w:rFonts w:ascii="DIN Pro Regular" w:eastAsia="Times New Roman" w:hAnsi="DIN Pro Regular" w:cs="DIN Pro Regular"/>
                <w:color w:val="000000"/>
                <w:sz w:val="16"/>
                <w:szCs w:val="16"/>
              </w:rPr>
              <w:t>4</w:t>
            </w:r>
          </w:p>
        </w:tc>
      </w:tr>
      <w:tr w:rsidR="00BA1871" w14:paraId="18A7E2D3" w14:textId="77777777" w:rsidTr="00324A31">
        <w:tblPrEx>
          <w:tblCellMar>
            <w:top w:w="0" w:type="dxa"/>
            <w:bottom w:w="0" w:type="dxa"/>
          </w:tblCellMar>
        </w:tblPrEx>
        <w:trPr>
          <w:trHeight w:val="128"/>
          <w:jc w:val="center"/>
        </w:trPr>
        <w:tc>
          <w:tcPr>
            <w:tcW w:w="4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76B259F0" w14:textId="77777777" w:rsidR="00BA1871" w:rsidRDefault="00BA1871" w:rsidP="00324A31">
            <w:pPr>
              <w:widowControl/>
              <w:suppressAutoHyphens w:val="0"/>
              <w:textAlignment w:val="auto"/>
              <w:rPr>
                <w:rFonts w:ascii="DIN Pro Regular" w:eastAsia="Times New Roman" w:hAnsi="DIN Pro Regular" w:cs="DIN Pro Regular"/>
                <w:color w:val="000000"/>
                <w:sz w:val="16"/>
                <w:szCs w:val="16"/>
              </w:rPr>
            </w:pPr>
            <w:r>
              <w:rPr>
                <w:rFonts w:ascii="DIN Pro Regular" w:eastAsia="Times New Roman" w:hAnsi="DIN Pro Regular" w:cs="DIN Pro Regular"/>
                <w:color w:val="000000"/>
                <w:sz w:val="16"/>
                <w:szCs w:val="16"/>
              </w:rPr>
              <w:t>Maquinaria y Equipo De Construcción</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33314CB1" w14:textId="77777777" w:rsidR="00BA1871" w:rsidRDefault="00BA1871" w:rsidP="00324A31">
            <w:pPr>
              <w:widowControl/>
              <w:suppressAutoHyphens w:val="0"/>
              <w:jc w:val="right"/>
              <w:textAlignment w:val="auto"/>
              <w:rPr>
                <w:rFonts w:ascii="DIN Pro Regular" w:eastAsia="Times New Roman" w:hAnsi="DIN Pro Regular" w:cs="DIN Pro Regular"/>
                <w:color w:val="000000"/>
                <w:sz w:val="16"/>
                <w:szCs w:val="16"/>
              </w:rPr>
            </w:pPr>
            <w:r>
              <w:rPr>
                <w:rFonts w:ascii="DIN Pro Regular" w:eastAsia="Times New Roman" w:hAnsi="DIN Pro Regular" w:cs="DIN Pro Regular"/>
                <w:color w:val="000000"/>
                <w:sz w:val="16"/>
                <w:szCs w:val="16"/>
              </w:rPr>
              <w:t>35%</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557E990" w14:textId="77777777" w:rsidR="00BA1871" w:rsidRDefault="00BA1871" w:rsidP="00324A31">
            <w:pPr>
              <w:widowControl/>
              <w:suppressAutoHyphens w:val="0"/>
              <w:jc w:val="center"/>
              <w:textAlignment w:val="auto"/>
              <w:rPr>
                <w:rFonts w:ascii="DIN Pro Regular" w:eastAsia="Times New Roman" w:hAnsi="DIN Pro Regular" w:cs="DIN Pro Regular"/>
                <w:color w:val="000000"/>
                <w:sz w:val="16"/>
                <w:szCs w:val="16"/>
              </w:rPr>
            </w:pPr>
            <w:r>
              <w:rPr>
                <w:rFonts w:ascii="DIN Pro Regular" w:eastAsia="Times New Roman" w:hAnsi="DIN Pro Regular" w:cs="DIN Pro Regular"/>
                <w:color w:val="000000"/>
                <w:sz w:val="16"/>
                <w:szCs w:val="16"/>
              </w:rPr>
              <w:t>3</w:t>
            </w:r>
          </w:p>
        </w:tc>
      </w:tr>
      <w:tr w:rsidR="00BA1871" w14:paraId="4E62019C" w14:textId="77777777" w:rsidTr="00324A31">
        <w:tblPrEx>
          <w:tblCellMar>
            <w:top w:w="0" w:type="dxa"/>
            <w:bottom w:w="0" w:type="dxa"/>
          </w:tblCellMar>
        </w:tblPrEx>
        <w:trPr>
          <w:trHeight w:val="70"/>
          <w:jc w:val="center"/>
        </w:trPr>
        <w:tc>
          <w:tcPr>
            <w:tcW w:w="4017"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bottom"/>
          </w:tcPr>
          <w:p w14:paraId="7BB58440" w14:textId="77777777" w:rsidR="00BA1871" w:rsidRDefault="00BA1871" w:rsidP="00324A31">
            <w:pPr>
              <w:widowControl/>
              <w:suppressAutoHyphens w:val="0"/>
              <w:textAlignment w:val="auto"/>
              <w:rPr>
                <w:rFonts w:ascii="DIN Pro Regular" w:eastAsia="Times New Roman" w:hAnsi="DIN Pro Regular" w:cs="DIN Pro Regular"/>
                <w:color w:val="000000"/>
                <w:sz w:val="16"/>
                <w:szCs w:val="16"/>
              </w:rPr>
            </w:pPr>
            <w:r>
              <w:rPr>
                <w:rFonts w:ascii="DIN Pro Regular" w:eastAsia="Times New Roman" w:hAnsi="DIN Pro Regular" w:cs="DIN Pro Regular"/>
                <w:color w:val="000000"/>
                <w:sz w:val="16"/>
                <w:szCs w:val="16"/>
              </w:rPr>
              <w:t>Equipo de Comunicación y Telecomunicaciones</w:t>
            </w:r>
          </w:p>
        </w:tc>
        <w:tc>
          <w:tcPr>
            <w:tcW w:w="107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bottom"/>
          </w:tcPr>
          <w:p w14:paraId="7D9F9604" w14:textId="77777777" w:rsidR="00BA1871" w:rsidRDefault="00BA1871" w:rsidP="00324A31">
            <w:pPr>
              <w:widowControl/>
              <w:suppressAutoHyphens w:val="0"/>
              <w:jc w:val="right"/>
              <w:textAlignment w:val="auto"/>
              <w:rPr>
                <w:rFonts w:ascii="DIN Pro Regular" w:eastAsia="Times New Roman" w:hAnsi="DIN Pro Regular" w:cs="DIN Pro Regular"/>
                <w:color w:val="000000"/>
                <w:sz w:val="16"/>
                <w:szCs w:val="16"/>
              </w:rPr>
            </w:pPr>
            <w:r>
              <w:rPr>
                <w:rFonts w:ascii="DIN Pro Regular" w:eastAsia="Times New Roman" w:hAnsi="DIN Pro Regular" w:cs="DIN Pro Regular"/>
                <w:color w:val="000000"/>
                <w:sz w:val="16"/>
                <w:szCs w:val="16"/>
              </w:rPr>
              <w:t>10%</w:t>
            </w:r>
          </w:p>
        </w:tc>
        <w:tc>
          <w:tcPr>
            <w:tcW w:w="107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 w:type="dxa"/>
              <w:bottom w:w="0" w:type="dxa"/>
              <w:right w:w="10" w:type="dxa"/>
            </w:tcMar>
          </w:tcPr>
          <w:p w14:paraId="6E4B0093" w14:textId="77777777" w:rsidR="00BA1871" w:rsidRDefault="00BA1871" w:rsidP="00324A31">
            <w:pPr>
              <w:widowControl/>
              <w:suppressAutoHyphens w:val="0"/>
              <w:jc w:val="center"/>
              <w:textAlignment w:val="auto"/>
              <w:rPr>
                <w:rFonts w:ascii="DIN Pro Regular" w:eastAsia="Times New Roman" w:hAnsi="DIN Pro Regular" w:cs="DIN Pro Regular"/>
                <w:color w:val="000000"/>
                <w:sz w:val="16"/>
                <w:szCs w:val="16"/>
              </w:rPr>
            </w:pPr>
            <w:r>
              <w:rPr>
                <w:rFonts w:ascii="DIN Pro Regular" w:eastAsia="Times New Roman" w:hAnsi="DIN Pro Regular" w:cs="DIN Pro Regular"/>
                <w:color w:val="000000"/>
                <w:sz w:val="16"/>
                <w:szCs w:val="16"/>
              </w:rPr>
              <w:t>10</w:t>
            </w:r>
          </w:p>
        </w:tc>
      </w:tr>
      <w:tr w:rsidR="00BA1871" w14:paraId="4954E400" w14:textId="77777777" w:rsidTr="00324A31">
        <w:tblPrEx>
          <w:tblCellMar>
            <w:top w:w="0" w:type="dxa"/>
            <w:bottom w:w="0" w:type="dxa"/>
          </w:tblCellMar>
        </w:tblPrEx>
        <w:trPr>
          <w:trHeight w:val="70"/>
          <w:jc w:val="center"/>
        </w:trPr>
        <w:tc>
          <w:tcPr>
            <w:tcW w:w="4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20E4A167" w14:textId="77777777" w:rsidR="00BA1871" w:rsidRDefault="00BA1871" w:rsidP="00324A31">
            <w:pPr>
              <w:widowControl/>
              <w:suppressAutoHyphens w:val="0"/>
              <w:textAlignment w:val="auto"/>
              <w:rPr>
                <w:rFonts w:ascii="DIN Pro Regular" w:eastAsia="Times New Roman" w:hAnsi="DIN Pro Regular" w:cs="DIN Pro Regular"/>
                <w:color w:val="000000"/>
                <w:sz w:val="16"/>
                <w:szCs w:val="16"/>
              </w:rPr>
            </w:pPr>
            <w:r>
              <w:rPr>
                <w:rFonts w:ascii="DIN Pro Regular" w:eastAsia="Times New Roman" w:hAnsi="DIN Pro Regular" w:cs="DIN Pro Regular"/>
                <w:color w:val="000000"/>
                <w:sz w:val="16"/>
                <w:szCs w:val="16"/>
              </w:rPr>
              <w:t xml:space="preserve">Herramientas y Maquinas </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7E10BD30" w14:textId="77777777" w:rsidR="00BA1871" w:rsidRDefault="00BA1871" w:rsidP="00324A31">
            <w:pPr>
              <w:widowControl/>
              <w:suppressAutoHyphens w:val="0"/>
              <w:jc w:val="right"/>
              <w:textAlignment w:val="auto"/>
              <w:rPr>
                <w:rFonts w:ascii="DIN Pro Regular" w:eastAsia="Times New Roman" w:hAnsi="DIN Pro Regular" w:cs="DIN Pro Regular"/>
                <w:color w:val="000000"/>
                <w:sz w:val="16"/>
                <w:szCs w:val="16"/>
              </w:rPr>
            </w:pPr>
            <w:r>
              <w:rPr>
                <w:rFonts w:ascii="DIN Pro Regular" w:eastAsia="Times New Roman" w:hAnsi="DIN Pro Regular" w:cs="DIN Pro Regular"/>
                <w:color w:val="000000"/>
                <w:sz w:val="16"/>
                <w:szCs w:val="16"/>
              </w:rPr>
              <w:t>35%</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336D34C" w14:textId="77777777" w:rsidR="00BA1871" w:rsidRDefault="00BA1871" w:rsidP="00324A31">
            <w:pPr>
              <w:widowControl/>
              <w:suppressAutoHyphens w:val="0"/>
              <w:jc w:val="center"/>
              <w:textAlignment w:val="auto"/>
              <w:rPr>
                <w:rFonts w:ascii="DIN Pro Regular" w:eastAsia="Times New Roman" w:hAnsi="DIN Pro Regular" w:cs="DIN Pro Regular"/>
                <w:color w:val="000000"/>
                <w:sz w:val="16"/>
                <w:szCs w:val="16"/>
              </w:rPr>
            </w:pPr>
            <w:r>
              <w:rPr>
                <w:rFonts w:ascii="DIN Pro Regular" w:eastAsia="Times New Roman" w:hAnsi="DIN Pro Regular" w:cs="DIN Pro Regular"/>
                <w:color w:val="000000"/>
                <w:sz w:val="16"/>
                <w:szCs w:val="16"/>
              </w:rPr>
              <w:t>3</w:t>
            </w:r>
          </w:p>
        </w:tc>
      </w:tr>
      <w:tr w:rsidR="00BA1871" w14:paraId="0EA80960" w14:textId="77777777" w:rsidTr="00324A31">
        <w:tblPrEx>
          <w:tblCellMar>
            <w:top w:w="0" w:type="dxa"/>
            <w:bottom w:w="0" w:type="dxa"/>
          </w:tblCellMar>
        </w:tblPrEx>
        <w:trPr>
          <w:trHeight w:val="70"/>
          <w:jc w:val="center"/>
        </w:trPr>
        <w:tc>
          <w:tcPr>
            <w:tcW w:w="4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58BBA239" w14:textId="77777777" w:rsidR="00BA1871" w:rsidRDefault="00BA1871" w:rsidP="00324A31">
            <w:pPr>
              <w:widowControl/>
              <w:suppressAutoHyphens w:val="0"/>
              <w:textAlignment w:val="auto"/>
              <w:rPr>
                <w:rFonts w:ascii="DIN Pro Regular" w:eastAsia="Times New Roman" w:hAnsi="DIN Pro Regular" w:cs="DIN Pro Regular"/>
                <w:b/>
                <w:bCs/>
                <w:color w:val="000000"/>
                <w:sz w:val="16"/>
                <w:szCs w:val="16"/>
              </w:rPr>
            </w:pPr>
            <w:r>
              <w:rPr>
                <w:rFonts w:ascii="DIN Pro Regular" w:eastAsia="Times New Roman" w:hAnsi="DIN Pro Regular" w:cs="DIN Pro Regular"/>
                <w:b/>
                <w:bCs/>
                <w:color w:val="000000"/>
                <w:sz w:val="16"/>
                <w:szCs w:val="16"/>
              </w:rPr>
              <w:t>Amortización de activos intangibles</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314B56D3" w14:textId="77777777" w:rsidR="00BA1871" w:rsidRDefault="00BA1871" w:rsidP="00324A31">
            <w:pPr>
              <w:widowControl/>
              <w:suppressAutoHyphens w:val="0"/>
              <w:jc w:val="right"/>
              <w:textAlignment w:val="auto"/>
              <w:rPr>
                <w:rFonts w:ascii="DIN Pro Regular" w:eastAsia="Times New Roman" w:hAnsi="DIN Pro Regular" w:cs="DIN Pro Regular"/>
                <w:color w:val="000000"/>
                <w:sz w:val="16"/>
                <w:szCs w:val="16"/>
              </w:rPr>
            </w:pPr>
            <w:r>
              <w:rPr>
                <w:rFonts w:ascii="DIN Pro Regular" w:eastAsia="Times New Roman" w:hAnsi="DIN Pro Regular" w:cs="DIN Pro Regular"/>
                <w:color w:val="000000"/>
                <w:sz w:val="16"/>
                <w:szCs w:val="16"/>
              </w:rPr>
              <w:t> </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24EA8A1" w14:textId="77777777" w:rsidR="00BA1871" w:rsidRDefault="00BA1871" w:rsidP="00324A31">
            <w:pPr>
              <w:widowControl/>
              <w:suppressAutoHyphens w:val="0"/>
              <w:jc w:val="center"/>
              <w:textAlignment w:val="auto"/>
              <w:rPr>
                <w:rFonts w:ascii="DIN Pro Regular" w:eastAsia="Times New Roman" w:hAnsi="DIN Pro Regular" w:cs="DIN Pro Regular"/>
                <w:color w:val="000000"/>
                <w:sz w:val="16"/>
                <w:szCs w:val="16"/>
              </w:rPr>
            </w:pPr>
          </w:p>
        </w:tc>
      </w:tr>
      <w:tr w:rsidR="00BA1871" w14:paraId="73FD15F5" w14:textId="77777777" w:rsidTr="00324A31">
        <w:tblPrEx>
          <w:tblCellMar>
            <w:top w:w="0" w:type="dxa"/>
            <w:bottom w:w="0" w:type="dxa"/>
          </w:tblCellMar>
        </w:tblPrEx>
        <w:trPr>
          <w:trHeight w:val="70"/>
          <w:jc w:val="center"/>
        </w:trPr>
        <w:tc>
          <w:tcPr>
            <w:tcW w:w="4017"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bottom"/>
          </w:tcPr>
          <w:p w14:paraId="5F7C5607" w14:textId="77777777" w:rsidR="00BA1871" w:rsidRDefault="00BA1871" w:rsidP="00324A31">
            <w:pPr>
              <w:widowControl/>
              <w:suppressAutoHyphens w:val="0"/>
              <w:textAlignment w:val="auto"/>
              <w:rPr>
                <w:rFonts w:ascii="DIN Pro Regular" w:eastAsia="Times New Roman" w:hAnsi="DIN Pro Regular" w:cs="DIN Pro Regular"/>
                <w:color w:val="000000"/>
                <w:sz w:val="16"/>
                <w:szCs w:val="16"/>
              </w:rPr>
            </w:pPr>
            <w:r>
              <w:rPr>
                <w:rFonts w:ascii="DIN Pro Regular" w:eastAsia="Times New Roman" w:hAnsi="DIN Pro Regular" w:cs="DIN Pro Regular"/>
                <w:color w:val="000000"/>
                <w:sz w:val="16"/>
                <w:szCs w:val="16"/>
              </w:rPr>
              <w:t>Software</w:t>
            </w:r>
          </w:p>
        </w:tc>
        <w:tc>
          <w:tcPr>
            <w:tcW w:w="107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bottom"/>
          </w:tcPr>
          <w:p w14:paraId="3FFD468D" w14:textId="77777777" w:rsidR="00BA1871" w:rsidRDefault="00BA1871" w:rsidP="00324A31">
            <w:pPr>
              <w:widowControl/>
              <w:suppressAutoHyphens w:val="0"/>
              <w:jc w:val="right"/>
              <w:textAlignment w:val="auto"/>
              <w:rPr>
                <w:rFonts w:ascii="DIN Pro Regular" w:eastAsia="Times New Roman" w:hAnsi="DIN Pro Regular" w:cs="DIN Pro Regular"/>
                <w:color w:val="000000"/>
                <w:sz w:val="16"/>
                <w:szCs w:val="16"/>
              </w:rPr>
            </w:pPr>
            <w:r>
              <w:rPr>
                <w:rFonts w:ascii="DIN Pro Regular" w:eastAsia="Times New Roman" w:hAnsi="DIN Pro Regular" w:cs="DIN Pro Regular"/>
                <w:color w:val="000000"/>
                <w:sz w:val="16"/>
                <w:szCs w:val="16"/>
              </w:rPr>
              <w:t>33%</w:t>
            </w:r>
          </w:p>
        </w:tc>
        <w:tc>
          <w:tcPr>
            <w:tcW w:w="107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 w:type="dxa"/>
              <w:bottom w:w="0" w:type="dxa"/>
              <w:right w:w="10" w:type="dxa"/>
            </w:tcMar>
          </w:tcPr>
          <w:p w14:paraId="72885A4C" w14:textId="77777777" w:rsidR="00BA1871" w:rsidRDefault="00BA1871" w:rsidP="00324A31">
            <w:pPr>
              <w:widowControl/>
              <w:suppressAutoHyphens w:val="0"/>
              <w:jc w:val="center"/>
              <w:textAlignment w:val="auto"/>
              <w:rPr>
                <w:rFonts w:ascii="DIN Pro Regular" w:eastAsia="Times New Roman" w:hAnsi="DIN Pro Regular" w:cs="DIN Pro Regular"/>
                <w:color w:val="000000"/>
                <w:sz w:val="16"/>
                <w:szCs w:val="16"/>
              </w:rPr>
            </w:pPr>
            <w:r>
              <w:rPr>
                <w:rFonts w:ascii="DIN Pro Regular" w:eastAsia="Times New Roman" w:hAnsi="DIN Pro Regular" w:cs="DIN Pro Regular"/>
                <w:color w:val="000000"/>
                <w:sz w:val="16"/>
                <w:szCs w:val="16"/>
              </w:rPr>
              <w:t>3</w:t>
            </w:r>
          </w:p>
        </w:tc>
      </w:tr>
      <w:tr w:rsidR="00BA1871" w14:paraId="468E3657" w14:textId="77777777" w:rsidTr="00324A31">
        <w:tblPrEx>
          <w:tblCellMar>
            <w:top w:w="0" w:type="dxa"/>
            <w:bottom w:w="0" w:type="dxa"/>
          </w:tblCellMar>
        </w:tblPrEx>
        <w:trPr>
          <w:trHeight w:val="72"/>
          <w:jc w:val="center"/>
        </w:trPr>
        <w:tc>
          <w:tcPr>
            <w:tcW w:w="4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4F405E0D" w14:textId="77777777" w:rsidR="00BA1871" w:rsidRDefault="00BA1871" w:rsidP="00324A31">
            <w:pPr>
              <w:widowControl/>
              <w:suppressAutoHyphens w:val="0"/>
              <w:textAlignment w:val="auto"/>
              <w:rPr>
                <w:rFonts w:ascii="DIN Pro Regular" w:eastAsia="Times New Roman" w:hAnsi="DIN Pro Regular" w:cs="DIN Pro Regular"/>
                <w:color w:val="000000"/>
                <w:sz w:val="16"/>
                <w:szCs w:val="16"/>
              </w:rPr>
            </w:pPr>
            <w:r>
              <w:rPr>
                <w:rFonts w:ascii="DIN Pro Regular" w:eastAsia="Times New Roman" w:hAnsi="DIN Pro Regular" w:cs="DIN Pro Regular"/>
                <w:color w:val="000000"/>
                <w:sz w:val="16"/>
                <w:szCs w:val="16"/>
              </w:rPr>
              <w:t>Licencias</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tcPr>
          <w:p w14:paraId="7364F0E9" w14:textId="77777777" w:rsidR="00BA1871" w:rsidRDefault="00BA1871" w:rsidP="00324A31">
            <w:pPr>
              <w:widowControl/>
              <w:suppressAutoHyphens w:val="0"/>
              <w:jc w:val="right"/>
              <w:textAlignment w:val="auto"/>
              <w:rPr>
                <w:rFonts w:ascii="DIN Pro Regular" w:eastAsia="Times New Roman" w:hAnsi="DIN Pro Regular" w:cs="DIN Pro Regular"/>
                <w:color w:val="000000"/>
                <w:sz w:val="16"/>
                <w:szCs w:val="16"/>
              </w:rPr>
            </w:pPr>
            <w:r>
              <w:rPr>
                <w:rFonts w:ascii="DIN Pro Regular" w:eastAsia="Times New Roman" w:hAnsi="DIN Pro Regular" w:cs="DIN Pro Regular"/>
                <w:color w:val="000000"/>
                <w:sz w:val="16"/>
                <w:szCs w:val="16"/>
              </w:rPr>
              <w:t>33%</w:t>
            </w:r>
          </w:p>
        </w:tc>
        <w:tc>
          <w:tcPr>
            <w:tcW w:w="1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27B12D5" w14:textId="77777777" w:rsidR="00BA1871" w:rsidRDefault="00BA1871" w:rsidP="00324A31">
            <w:pPr>
              <w:widowControl/>
              <w:suppressAutoHyphens w:val="0"/>
              <w:jc w:val="center"/>
              <w:textAlignment w:val="auto"/>
              <w:rPr>
                <w:rFonts w:ascii="DIN Pro Regular" w:eastAsia="Times New Roman" w:hAnsi="DIN Pro Regular" w:cs="DIN Pro Regular"/>
                <w:color w:val="000000"/>
                <w:sz w:val="16"/>
                <w:szCs w:val="16"/>
              </w:rPr>
            </w:pPr>
            <w:r>
              <w:rPr>
                <w:rFonts w:ascii="DIN Pro Regular" w:eastAsia="Times New Roman" w:hAnsi="DIN Pro Regular" w:cs="DIN Pro Regular"/>
                <w:color w:val="000000"/>
                <w:sz w:val="16"/>
                <w:szCs w:val="16"/>
              </w:rPr>
              <w:t>3</w:t>
            </w:r>
          </w:p>
        </w:tc>
      </w:tr>
    </w:tbl>
    <w:p w14:paraId="58C793F4" w14:textId="77777777" w:rsidR="00BA1871" w:rsidRDefault="00BA1871" w:rsidP="00BA1871">
      <w:pPr>
        <w:pStyle w:val="Text"/>
        <w:spacing w:line="240" w:lineRule="exact"/>
        <w:rPr>
          <w:rFonts w:ascii="Calibri" w:hAnsi="Calibri" w:cs="DIN Pro Regular"/>
          <w:sz w:val="20"/>
          <w:lang w:val="es-MX"/>
        </w:rPr>
      </w:pPr>
    </w:p>
    <w:p w14:paraId="7B83DB24"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8.</w:t>
      </w:r>
      <w:r>
        <w:rPr>
          <w:rFonts w:ascii="Calibri" w:hAnsi="Calibri" w:cs="DIN Pro Regular"/>
          <w:sz w:val="20"/>
          <w:lang w:val="es-MX"/>
        </w:rPr>
        <w:tab/>
        <w:t>Fideicomisos, Mandatos y Análogos</w:t>
      </w:r>
    </w:p>
    <w:p w14:paraId="0C7AFCAD"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Se informa que la Auditoría Superior del Estado no cuenta con Fideicomisos, Mandatos u otros Análogos.</w:t>
      </w:r>
    </w:p>
    <w:p w14:paraId="653C316B" w14:textId="77777777" w:rsidR="00BA1871" w:rsidRDefault="00BA1871" w:rsidP="00BA1871">
      <w:pPr>
        <w:pStyle w:val="Text"/>
        <w:spacing w:line="240" w:lineRule="exact"/>
        <w:rPr>
          <w:rFonts w:ascii="Calibri" w:hAnsi="Calibri" w:cs="DIN Pro Regular"/>
          <w:sz w:val="20"/>
          <w:lang w:val="es-MX"/>
        </w:rPr>
      </w:pPr>
    </w:p>
    <w:p w14:paraId="5140B507"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9.</w:t>
      </w:r>
      <w:r>
        <w:rPr>
          <w:rFonts w:ascii="Calibri" w:hAnsi="Calibri" w:cs="DIN Pro Regular"/>
          <w:sz w:val="20"/>
          <w:lang w:val="es-MX"/>
        </w:rPr>
        <w:tab/>
        <w:t>Reporte de la Recaudación</w:t>
      </w:r>
    </w:p>
    <w:p w14:paraId="3A6DC19C"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Durante el ejercicio 2024 se han recaudado ingresos del 01 de enero al 31 de diciembre de 2024 integrados de la siguiente manera:</w:t>
      </w:r>
    </w:p>
    <w:tbl>
      <w:tblPr>
        <w:tblW w:w="8616" w:type="dxa"/>
        <w:tblCellMar>
          <w:left w:w="10" w:type="dxa"/>
          <w:right w:w="10" w:type="dxa"/>
        </w:tblCellMar>
        <w:tblLook w:val="0000" w:firstRow="0" w:lastRow="0" w:firstColumn="0" w:lastColumn="0" w:noHBand="0" w:noVBand="0"/>
      </w:tblPr>
      <w:tblGrid>
        <w:gridCol w:w="7028"/>
        <w:gridCol w:w="1588"/>
      </w:tblGrid>
      <w:tr w:rsidR="00BA1871" w14:paraId="3531B77C" w14:textId="77777777" w:rsidTr="00324A31">
        <w:tblPrEx>
          <w:tblCellMar>
            <w:top w:w="0" w:type="dxa"/>
            <w:bottom w:w="0" w:type="dxa"/>
          </w:tblCellMar>
        </w:tblPrEx>
        <w:trPr>
          <w:trHeight w:hRule="exact" w:val="227"/>
        </w:trPr>
        <w:tc>
          <w:tcPr>
            <w:tcW w:w="7028" w:type="dxa"/>
            <w:tcBorders>
              <w:top w:val="single" w:sz="4" w:space="0" w:color="000000"/>
              <w:left w:val="single" w:sz="4" w:space="0" w:color="000000"/>
              <w:bottom w:val="single" w:sz="4" w:space="0" w:color="000000"/>
              <w:right w:val="single" w:sz="4" w:space="0" w:color="000000"/>
            </w:tcBorders>
            <w:shd w:val="clear" w:color="auto" w:fill="808080"/>
            <w:noWrap/>
            <w:tcMar>
              <w:top w:w="0" w:type="dxa"/>
              <w:left w:w="108" w:type="dxa"/>
              <w:bottom w:w="0" w:type="dxa"/>
              <w:right w:w="108" w:type="dxa"/>
            </w:tcMar>
          </w:tcPr>
          <w:p w14:paraId="1FA93F03" w14:textId="77777777" w:rsidR="00BA1871" w:rsidRDefault="00BA1871" w:rsidP="00324A31">
            <w:pPr>
              <w:widowControl/>
              <w:suppressAutoHyphens w:val="0"/>
              <w:spacing w:after="101" w:line="240" w:lineRule="exact"/>
              <w:jc w:val="center"/>
              <w:textAlignment w:val="auto"/>
              <w:rPr>
                <w:rFonts w:eastAsia="Times New Roman" w:cs="Calibri"/>
                <w:b/>
                <w:bCs/>
                <w:sz w:val="16"/>
                <w:szCs w:val="16"/>
                <w:lang w:val="es-ES" w:eastAsia="es-ES"/>
              </w:rPr>
            </w:pPr>
            <w:r>
              <w:rPr>
                <w:rFonts w:eastAsia="Times New Roman" w:cs="Calibri"/>
                <w:b/>
                <w:bCs/>
                <w:sz w:val="16"/>
                <w:szCs w:val="16"/>
                <w:lang w:val="es-ES" w:eastAsia="es-ES"/>
              </w:rPr>
              <w:t>Nombre</w:t>
            </w:r>
          </w:p>
        </w:tc>
        <w:tc>
          <w:tcPr>
            <w:tcW w:w="1588" w:type="dxa"/>
            <w:tcBorders>
              <w:top w:val="single" w:sz="4" w:space="0" w:color="000000"/>
              <w:left w:val="single" w:sz="4" w:space="0" w:color="000000"/>
              <w:bottom w:val="single" w:sz="4" w:space="0" w:color="000000"/>
              <w:right w:val="single" w:sz="4" w:space="0" w:color="000000"/>
            </w:tcBorders>
            <w:shd w:val="clear" w:color="auto" w:fill="808080"/>
            <w:noWrap/>
            <w:tcMar>
              <w:top w:w="0" w:type="dxa"/>
              <w:left w:w="108" w:type="dxa"/>
              <w:bottom w:w="0" w:type="dxa"/>
              <w:right w:w="108" w:type="dxa"/>
            </w:tcMar>
          </w:tcPr>
          <w:p w14:paraId="3AE3188D" w14:textId="77777777" w:rsidR="00BA1871" w:rsidRDefault="00BA1871" w:rsidP="00324A31">
            <w:pPr>
              <w:widowControl/>
              <w:suppressAutoHyphens w:val="0"/>
              <w:spacing w:after="101" w:line="240" w:lineRule="exact"/>
              <w:jc w:val="center"/>
              <w:textAlignment w:val="auto"/>
              <w:rPr>
                <w:rFonts w:eastAsia="Times New Roman" w:cs="Calibri"/>
                <w:b/>
                <w:bCs/>
                <w:sz w:val="16"/>
                <w:szCs w:val="16"/>
                <w:lang w:val="es-ES" w:eastAsia="es-ES"/>
              </w:rPr>
            </w:pPr>
            <w:r>
              <w:rPr>
                <w:rFonts w:eastAsia="Times New Roman" w:cs="Calibri"/>
                <w:b/>
                <w:bCs/>
                <w:sz w:val="16"/>
                <w:szCs w:val="16"/>
                <w:lang w:val="es-ES" w:eastAsia="es-ES"/>
              </w:rPr>
              <w:t>al 31-dic-24</w:t>
            </w:r>
          </w:p>
        </w:tc>
      </w:tr>
      <w:tr w:rsidR="00BA1871" w14:paraId="4CD0B6E0" w14:textId="77777777" w:rsidTr="00324A31">
        <w:tblPrEx>
          <w:tblCellMar>
            <w:top w:w="0" w:type="dxa"/>
            <w:bottom w:w="0" w:type="dxa"/>
          </w:tblCellMar>
        </w:tblPrEx>
        <w:trPr>
          <w:trHeight w:hRule="exact" w:val="227"/>
        </w:trPr>
        <w:tc>
          <w:tcPr>
            <w:tcW w:w="7028" w:type="dxa"/>
            <w:tcBorders>
              <w:top w:val="single" w:sz="4" w:space="0" w:color="000000"/>
              <w:left w:val="single" w:sz="4" w:space="0" w:color="000000"/>
              <w:bottom w:val="single" w:sz="4" w:space="0" w:color="000000"/>
              <w:right w:val="single" w:sz="4" w:space="0" w:color="000000"/>
            </w:tcBorders>
            <w:shd w:val="clear" w:color="auto" w:fill="BFBFBF"/>
            <w:noWrap/>
            <w:tcMar>
              <w:top w:w="0" w:type="dxa"/>
              <w:left w:w="108" w:type="dxa"/>
              <w:bottom w:w="0" w:type="dxa"/>
              <w:right w:w="108" w:type="dxa"/>
            </w:tcMar>
          </w:tcPr>
          <w:p w14:paraId="4F58D6DA" w14:textId="77777777" w:rsidR="00BA1871" w:rsidRDefault="00BA1871" w:rsidP="00324A31">
            <w:pPr>
              <w:widowControl/>
              <w:suppressAutoHyphens w:val="0"/>
              <w:textAlignment w:val="auto"/>
            </w:pPr>
            <w:r>
              <w:rPr>
                <w:rFonts w:eastAsia="Times New Roman" w:cs="Calibri"/>
                <w:sz w:val="16"/>
                <w:szCs w:val="16"/>
                <w:lang w:val="es-ES" w:eastAsia="es-ES"/>
              </w:rPr>
              <w:t>Aprovechamientos</w:t>
            </w:r>
          </w:p>
        </w:tc>
        <w:tc>
          <w:tcPr>
            <w:tcW w:w="1588" w:type="dxa"/>
            <w:tcBorders>
              <w:top w:val="single" w:sz="4" w:space="0" w:color="000000"/>
              <w:left w:val="single" w:sz="4" w:space="0" w:color="000000"/>
              <w:bottom w:val="single" w:sz="4" w:space="0" w:color="000000"/>
              <w:right w:val="single" w:sz="4" w:space="0" w:color="000000"/>
            </w:tcBorders>
            <w:shd w:val="clear" w:color="auto" w:fill="BFBFBF"/>
            <w:noWrap/>
            <w:tcMar>
              <w:top w:w="0" w:type="dxa"/>
              <w:left w:w="108" w:type="dxa"/>
              <w:bottom w:w="0" w:type="dxa"/>
              <w:right w:w="108" w:type="dxa"/>
            </w:tcMar>
          </w:tcPr>
          <w:p w14:paraId="1E375BFD" w14:textId="77777777" w:rsidR="00BA1871" w:rsidRDefault="00BA1871" w:rsidP="00324A31">
            <w:pPr>
              <w:widowControl/>
              <w:suppressAutoHyphens w:val="0"/>
              <w:jc w:val="right"/>
              <w:textAlignment w:val="auto"/>
              <w:rPr>
                <w:rFonts w:eastAsia="Times New Roman" w:cs="Calibri"/>
                <w:sz w:val="16"/>
                <w:szCs w:val="16"/>
              </w:rPr>
            </w:pPr>
            <w:r>
              <w:rPr>
                <w:rFonts w:eastAsia="Times New Roman" w:cs="Calibri"/>
                <w:sz w:val="16"/>
                <w:szCs w:val="16"/>
              </w:rPr>
              <w:t>6,142,708</w:t>
            </w:r>
          </w:p>
        </w:tc>
      </w:tr>
      <w:tr w:rsidR="00BA1871" w14:paraId="6442CDFE" w14:textId="77777777" w:rsidTr="00324A31">
        <w:tblPrEx>
          <w:tblCellMar>
            <w:top w:w="0" w:type="dxa"/>
            <w:bottom w:w="0" w:type="dxa"/>
          </w:tblCellMar>
        </w:tblPrEx>
        <w:trPr>
          <w:trHeight w:hRule="exact" w:val="227"/>
        </w:trPr>
        <w:tc>
          <w:tcPr>
            <w:tcW w:w="70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049187" w14:textId="77777777" w:rsidR="00BA1871" w:rsidRDefault="00BA1871" w:rsidP="00324A31">
            <w:pPr>
              <w:widowControl/>
              <w:suppressAutoHyphens w:val="0"/>
              <w:spacing w:after="101" w:line="240" w:lineRule="exact"/>
              <w:jc w:val="both"/>
              <w:textAlignment w:val="auto"/>
            </w:pPr>
            <w:r>
              <w:rPr>
                <w:rFonts w:eastAsia="Times New Roman" w:cs="Calibri"/>
                <w:sz w:val="16"/>
                <w:szCs w:val="16"/>
                <w:u w:val="single"/>
              </w:rPr>
              <w:t>Ingresos por Venta de Bienes y Prestación de Servicios</w:t>
            </w:r>
          </w:p>
        </w:tc>
        <w:tc>
          <w:tcPr>
            <w:tcW w:w="15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4FE64D" w14:textId="77777777" w:rsidR="00BA1871" w:rsidRDefault="00BA1871" w:rsidP="00324A31">
            <w:pPr>
              <w:widowControl/>
              <w:suppressAutoHyphens w:val="0"/>
              <w:spacing w:after="101" w:line="240" w:lineRule="exact"/>
              <w:ind w:firstLine="288"/>
              <w:jc w:val="right"/>
              <w:textAlignment w:val="auto"/>
              <w:rPr>
                <w:rFonts w:eastAsia="Times New Roman" w:cs="Calibri"/>
                <w:sz w:val="16"/>
                <w:szCs w:val="16"/>
                <w:lang w:val="es-ES" w:eastAsia="es-ES"/>
              </w:rPr>
            </w:pPr>
          </w:p>
        </w:tc>
      </w:tr>
      <w:tr w:rsidR="00BA1871" w14:paraId="7E58B3D0" w14:textId="77777777" w:rsidTr="00324A31">
        <w:tblPrEx>
          <w:tblCellMar>
            <w:top w:w="0" w:type="dxa"/>
            <w:bottom w:w="0" w:type="dxa"/>
          </w:tblCellMar>
        </w:tblPrEx>
        <w:trPr>
          <w:trHeight w:hRule="exact" w:val="227"/>
        </w:trPr>
        <w:tc>
          <w:tcPr>
            <w:tcW w:w="7028" w:type="dxa"/>
            <w:tcBorders>
              <w:top w:val="single" w:sz="4" w:space="0" w:color="000000"/>
              <w:left w:val="single" w:sz="4" w:space="0" w:color="000000"/>
              <w:bottom w:val="single" w:sz="4" w:space="0" w:color="000000"/>
              <w:right w:val="single" w:sz="4" w:space="0" w:color="000000"/>
            </w:tcBorders>
            <w:shd w:val="clear" w:color="auto" w:fill="BFBFBF"/>
            <w:noWrap/>
            <w:tcMar>
              <w:top w:w="0" w:type="dxa"/>
              <w:left w:w="108" w:type="dxa"/>
              <w:bottom w:w="0" w:type="dxa"/>
              <w:right w:w="108" w:type="dxa"/>
            </w:tcMar>
          </w:tcPr>
          <w:p w14:paraId="71E5880D" w14:textId="77777777" w:rsidR="00BA1871" w:rsidRDefault="00BA1871" w:rsidP="00324A31">
            <w:pPr>
              <w:widowControl/>
              <w:suppressAutoHyphens w:val="0"/>
              <w:textAlignment w:val="auto"/>
            </w:pPr>
            <w:r>
              <w:rPr>
                <w:rFonts w:eastAsia="Times New Roman" w:cs="Calibri"/>
                <w:sz w:val="16"/>
                <w:szCs w:val="16"/>
              </w:rPr>
              <w:t>Participaciones, Aportaciones, Transferencias, Asignaciones, Subsidios y Otras Ayudas</w:t>
            </w:r>
          </w:p>
        </w:tc>
        <w:tc>
          <w:tcPr>
            <w:tcW w:w="1588" w:type="dxa"/>
            <w:tcBorders>
              <w:top w:val="single" w:sz="4" w:space="0" w:color="000000"/>
              <w:left w:val="single" w:sz="4" w:space="0" w:color="000000"/>
              <w:bottom w:val="single" w:sz="4" w:space="0" w:color="000000"/>
              <w:right w:val="single" w:sz="4" w:space="0" w:color="000000"/>
            </w:tcBorders>
            <w:shd w:val="clear" w:color="auto" w:fill="BFBFBF"/>
            <w:noWrap/>
            <w:tcMar>
              <w:top w:w="0" w:type="dxa"/>
              <w:left w:w="108" w:type="dxa"/>
              <w:bottom w:w="0" w:type="dxa"/>
              <w:right w:w="108" w:type="dxa"/>
            </w:tcMar>
          </w:tcPr>
          <w:p w14:paraId="0DA14174" w14:textId="77777777" w:rsidR="00BA1871" w:rsidRDefault="00BA1871" w:rsidP="00324A31">
            <w:pPr>
              <w:widowControl/>
              <w:suppressAutoHyphens w:val="0"/>
              <w:jc w:val="right"/>
              <w:textAlignment w:val="auto"/>
              <w:rPr>
                <w:rFonts w:eastAsia="Times New Roman" w:cs="Calibri"/>
                <w:sz w:val="16"/>
                <w:szCs w:val="16"/>
              </w:rPr>
            </w:pPr>
          </w:p>
        </w:tc>
      </w:tr>
      <w:tr w:rsidR="00BA1871" w14:paraId="6E78EBAB" w14:textId="77777777" w:rsidTr="00324A31">
        <w:tblPrEx>
          <w:tblCellMar>
            <w:top w:w="0" w:type="dxa"/>
            <w:bottom w:w="0" w:type="dxa"/>
          </w:tblCellMar>
        </w:tblPrEx>
        <w:trPr>
          <w:trHeight w:hRule="exact" w:val="227"/>
        </w:trPr>
        <w:tc>
          <w:tcPr>
            <w:tcW w:w="70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F72701" w14:textId="77777777" w:rsidR="00BA1871" w:rsidRDefault="00BA1871" w:rsidP="00324A31">
            <w:pPr>
              <w:widowControl/>
              <w:suppressAutoHyphens w:val="0"/>
              <w:textAlignment w:val="auto"/>
            </w:pPr>
            <w:r>
              <w:rPr>
                <w:rFonts w:eastAsia="Times New Roman" w:cs="Calibri"/>
                <w:sz w:val="16"/>
                <w:szCs w:val="16"/>
                <w:u w:val="single"/>
              </w:rPr>
              <w:t>Participaciones y Aportaciones</w:t>
            </w:r>
          </w:p>
        </w:tc>
        <w:tc>
          <w:tcPr>
            <w:tcW w:w="15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A00F54" w14:textId="77777777" w:rsidR="00BA1871" w:rsidRDefault="00BA1871" w:rsidP="00324A31">
            <w:pPr>
              <w:widowControl/>
              <w:suppressAutoHyphens w:val="0"/>
              <w:jc w:val="right"/>
              <w:textAlignment w:val="auto"/>
              <w:rPr>
                <w:rFonts w:eastAsia="Times New Roman" w:cs="Calibri"/>
                <w:sz w:val="16"/>
                <w:szCs w:val="16"/>
              </w:rPr>
            </w:pPr>
          </w:p>
        </w:tc>
      </w:tr>
      <w:tr w:rsidR="00BA1871" w14:paraId="06436AC2" w14:textId="77777777" w:rsidTr="00324A31">
        <w:tblPrEx>
          <w:tblCellMar>
            <w:top w:w="0" w:type="dxa"/>
            <w:bottom w:w="0" w:type="dxa"/>
          </w:tblCellMar>
        </w:tblPrEx>
        <w:trPr>
          <w:trHeight w:hRule="exact" w:val="227"/>
        </w:trPr>
        <w:tc>
          <w:tcPr>
            <w:tcW w:w="7028" w:type="dxa"/>
            <w:tcBorders>
              <w:top w:val="single" w:sz="4" w:space="0" w:color="000000"/>
              <w:left w:val="single" w:sz="4" w:space="0" w:color="000000"/>
              <w:bottom w:val="single" w:sz="4" w:space="0" w:color="000000"/>
              <w:right w:val="single" w:sz="4" w:space="0" w:color="000000"/>
            </w:tcBorders>
            <w:shd w:val="clear" w:color="auto" w:fill="BFBFBF"/>
            <w:noWrap/>
            <w:tcMar>
              <w:top w:w="0" w:type="dxa"/>
              <w:left w:w="108" w:type="dxa"/>
              <w:bottom w:w="0" w:type="dxa"/>
              <w:right w:w="108" w:type="dxa"/>
            </w:tcMar>
          </w:tcPr>
          <w:p w14:paraId="2FF5FD60" w14:textId="77777777" w:rsidR="00BA1871" w:rsidRDefault="00BA1871" w:rsidP="00324A31">
            <w:pPr>
              <w:widowControl/>
              <w:suppressAutoHyphens w:val="0"/>
              <w:textAlignment w:val="auto"/>
            </w:pPr>
            <w:r>
              <w:rPr>
                <w:rFonts w:eastAsia="Times New Roman" w:cs="Calibri"/>
                <w:sz w:val="16"/>
                <w:szCs w:val="16"/>
                <w:u w:val="single"/>
              </w:rPr>
              <w:t>Transferencias, Asignaciones, Subsidios y Subvenciones, y Pensiones y Jubilaciones</w:t>
            </w:r>
          </w:p>
        </w:tc>
        <w:tc>
          <w:tcPr>
            <w:tcW w:w="1588" w:type="dxa"/>
            <w:tcBorders>
              <w:top w:val="single" w:sz="4" w:space="0" w:color="000000"/>
              <w:left w:val="single" w:sz="4" w:space="0" w:color="000000"/>
              <w:bottom w:val="single" w:sz="4" w:space="0" w:color="000000"/>
              <w:right w:val="single" w:sz="4" w:space="0" w:color="000000"/>
            </w:tcBorders>
            <w:shd w:val="clear" w:color="auto" w:fill="BFBFBF"/>
            <w:noWrap/>
            <w:tcMar>
              <w:top w:w="0" w:type="dxa"/>
              <w:left w:w="108" w:type="dxa"/>
              <w:bottom w:w="0" w:type="dxa"/>
              <w:right w:w="108" w:type="dxa"/>
            </w:tcMar>
          </w:tcPr>
          <w:p w14:paraId="0B062844" w14:textId="77777777" w:rsidR="00BA1871" w:rsidRDefault="00BA1871" w:rsidP="00324A31">
            <w:pPr>
              <w:widowControl/>
              <w:suppressAutoHyphens w:val="0"/>
              <w:jc w:val="right"/>
              <w:textAlignment w:val="auto"/>
              <w:rPr>
                <w:rFonts w:eastAsia="Times New Roman" w:cs="Calibri"/>
                <w:sz w:val="16"/>
                <w:szCs w:val="16"/>
              </w:rPr>
            </w:pPr>
            <w:r>
              <w:rPr>
                <w:rFonts w:eastAsia="Times New Roman" w:cs="Calibri"/>
                <w:sz w:val="16"/>
                <w:szCs w:val="16"/>
              </w:rPr>
              <w:t>150,799,918</w:t>
            </w:r>
          </w:p>
        </w:tc>
      </w:tr>
      <w:tr w:rsidR="00BA1871" w14:paraId="354254A6" w14:textId="77777777" w:rsidTr="00324A31">
        <w:tblPrEx>
          <w:tblCellMar>
            <w:top w:w="0" w:type="dxa"/>
            <w:bottom w:w="0" w:type="dxa"/>
          </w:tblCellMar>
        </w:tblPrEx>
        <w:trPr>
          <w:trHeight w:hRule="exact" w:val="227"/>
        </w:trPr>
        <w:tc>
          <w:tcPr>
            <w:tcW w:w="702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6354D7" w14:textId="77777777" w:rsidR="00BA1871" w:rsidRDefault="00BA1871" w:rsidP="00324A31">
            <w:pPr>
              <w:widowControl/>
              <w:suppressAutoHyphens w:val="0"/>
              <w:textAlignment w:val="auto"/>
              <w:rPr>
                <w:rFonts w:eastAsia="Times New Roman" w:cs="Calibri"/>
                <w:sz w:val="16"/>
                <w:szCs w:val="16"/>
                <w:u w:val="single"/>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BA9711" w14:textId="77777777" w:rsidR="00BA1871" w:rsidRDefault="00BA1871" w:rsidP="00324A31">
            <w:pPr>
              <w:widowControl/>
              <w:suppressAutoHyphens w:val="0"/>
              <w:jc w:val="right"/>
              <w:textAlignment w:val="auto"/>
              <w:rPr>
                <w:rFonts w:eastAsia="Times New Roman" w:cs="Calibri"/>
                <w:sz w:val="16"/>
                <w:szCs w:val="16"/>
              </w:rPr>
            </w:pPr>
          </w:p>
        </w:tc>
      </w:tr>
      <w:tr w:rsidR="00BA1871" w14:paraId="37F01FB2" w14:textId="77777777" w:rsidTr="00324A31">
        <w:tblPrEx>
          <w:tblCellMar>
            <w:top w:w="0" w:type="dxa"/>
            <w:bottom w:w="0" w:type="dxa"/>
          </w:tblCellMar>
        </w:tblPrEx>
        <w:trPr>
          <w:trHeight w:hRule="exact" w:val="227"/>
        </w:trPr>
        <w:tc>
          <w:tcPr>
            <w:tcW w:w="7028" w:type="dxa"/>
            <w:tcBorders>
              <w:top w:val="single" w:sz="4" w:space="0" w:color="000000"/>
              <w:left w:val="single" w:sz="4" w:space="0" w:color="000000"/>
              <w:bottom w:val="single" w:sz="4" w:space="0" w:color="000000"/>
              <w:right w:val="single" w:sz="4" w:space="0" w:color="000000"/>
            </w:tcBorders>
            <w:shd w:val="clear" w:color="auto" w:fill="BFBFBF"/>
            <w:noWrap/>
            <w:tcMar>
              <w:top w:w="0" w:type="dxa"/>
              <w:left w:w="108" w:type="dxa"/>
              <w:bottom w:w="0" w:type="dxa"/>
              <w:right w:w="108" w:type="dxa"/>
            </w:tcMar>
          </w:tcPr>
          <w:p w14:paraId="4CB62651" w14:textId="77777777" w:rsidR="00BA1871" w:rsidRDefault="00BA1871" w:rsidP="00324A31">
            <w:pPr>
              <w:widowControl/>
              <w:suppressAutoHyphens w:val="0"/>
              <w:textAlignment w:val="auto"/>
              <w:rPr>
                <w:rFonts w:eastAsia="Times New Roman" w:cs="Calibri"/>
                <w:sz w:val="16"/>
                <w:szCs w:val="16"/>
              </w:rPr>
            </w:pPr>
            <w:r>
              <w:rPr>
                <w:rFonts w:eastAsia="Times New Roman" w:cs="Calibri"/>
                <w:sz w:val="16"/>
                <w:szCs w:val="16"/>
              </w:rPr>
              <w:t>Total Recaudado</w:t>
            </w:r>
          </w:p>
        </w:tc>
        <w:tc>
          <w:tcPr>
            <w:tcW w:w="1588" w:type="dxa"/>
            <w:tcBorders>
              <w:top w:val="single" w:sz="4" w:space="0" w:color="000000"/>
              <w:left w:val="single" w:sz="4" w:space="0" w:color="000000"/>
              <w:bottom w:val="single" w:sz="4" w:space="0" w:color="000000"/>
              <w:right w:val="single" w:sz="4" w:space="0" w:color="000000"/>
            </w:tcBorders>
            <w:shd w:val="clear" w:color="auto" w:fill="BFBFBF"/>
            <w:noWrap/>
            <w:tcMar>
              <w:top w:w="0" w:type="dxa"/>
              <w:left w:w="108" w:type="dxa"/>
              <w:bottom w:w="0" w:type="dxa"/>
              <w:right w:w="108" w:type="dxa"/>
            </w:tcMar>
          </w:tcPr>
          <w:p w14:paraId="02E8CC3E" w14:textId="77777777" w:rsidR="00BA1871" w:rsidRDefault="00BA1871" w:rsidP="00324A31">
            <w:pPr>
              <w:widowControl/>
              <w:suppressAutoHyphens w:val="0"/>
              <w:ind w:left="129" w:hanging="129"/>
              <w:jc w:val="right"/>
              <w:textAlignment w:val="auto"/>
              <w:rPr>
                <w:rFonts w:eastAsia="Times New Roman" w:cs="Calibri"/>
                <w:sz w:val="16"/>
                <w:szCs w:val="16"/>
              </w:rPr>
            </w:pPr>
            <w:r>
              <w:rPr>
                <w:rFonts w:eastAsia="Times New Roman" w:cs="Calibri"/>
                <w:sz w:val="16"/>
                <w:szCs w:val="16"/>
              </w:rPr>
              <w:t>156,942,626</w:t>
            </w:r>
          </w:p>
        </w:tc>
      </w:tr>
    </w:tbl>
    <w:p w14:paraId="11FCB9D9"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ab/>
      </w:r>
    </w:p>
    <w:p w14:paraId="27727D92"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10.</w:t>
      </w:r>
      <w:r>
        <w:rPr>
          <w:rFonts w:ascii="Calibri" w:hAnsi="Calibri" w:cs="DIN Pro Regular"/>
          <w:sz w:val="20"/>
          <w:lang w:val="es-MX"/>
        </w:rPr>
        <w:tab/>
        <w:t>Información sobre la Deuda y el Reporte Analítico de la Deuda</w:t>
      </w:r>
    </w:p>
    <w:p w14:paraId="6E48054E"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Este punto no aplica a esta Auditoría ya que no se cuenta con Deuda que reportar.</w:t>
      </w:r>
    </w:p>
    <w:p w14:paraId="5C00752C" w14:textId="77777777" w:rsidR="00BA1871" w:rsidRDefault="00BA1871" w:rsidP="00BA1871">
      <w:pPr>
        <w:pStyle w:val="Text"/>
        <w:spacing w:line="240" w:lineRule="exact"/>
        <w:rPr>
          <w:rFonts w:ascii="Calibri" w:hAnsi="Calibri" w:cs="DIN Pro Regular"/>
          <w:sz w:val="20"/>
          <w:lang w:val="es-MX"/>
        </w:rPr>
      </w:pPr>
    </w:p>
    <w:p w14:paraId="189C124C"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11.</w:t>
      </w:r>
      <w:r>
        <w:rPr>
          <w:rFonts w:ascii="Calibri" w:hAnsi="Calibri" w:cs="DIN Pro Regular"/>
          <w:sz w:val="20"/>
          <w:lang w:val="es-MX"/>
        </w:rPr>
        <w:tab/>
        <w:t>Calificaciones otorgadas</w:t>
      </w:r>
    </w:p>
    <w:p w14:paraId="3676A402"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Se informa que la Auditoría Superior del Estado no realiza transacciones que sean sujetas a una calificación crediticia.</w:t>
      </w:r>
    </w:p>
    <w:p w14:paraId="007EB5A0" w14:textId="77777777" w:rsidR="00BA1871" w:rsidRDefault="00BA1871" w:rsidP="00BA1871">
      <w:pPr>
        <w:pageBreakBefore/>
        <w:suppressAutoHyphens w:val="0"/>
      </w:pPr>
    </w:p>
    <w:p w14:paraId="180A66E3" w14:textId="77777777" w:rsidR="00BA1871" w:rsidRDefault="00BA1871" w:rsidP="00BA1871">
      <w:pPr>
        <w:pStyle w:val="Text"/>
        <w:spacing w:line="240" w:lineRule="exact"/>
        <w:rPr>
          <w:rFonts w:ascii="Calibri" w:hAnsi="Calibri" w:cs="DIN Pro Regular"/>
          <w:sz w:val="20"/>
          <w:lang w:val="es-MX"/>
        </w:rPr>
      </w:pPr>
    </w:p>
    <w:p w14:paraId="6219C8F0"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12.</w:t>
      </w:r>
      <w:r>
        <w:rPr>
          <w:rFonts w:ascii="Calibri" w:hAnsi="Calibri" w:cs="DIN Pro Regular"/>
          <w:sz w:val="20"/>
          <w:lang w:val="es-MX"/>
        </w:rPr>
        <w:tab/>
        <w:t>Proceso de Mejora</w:t>
      </w:r>
    </w:p>
    <w:p w14:paraId="123E868E"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 xml:space="preserve">Con el objeto de acreditar nuestro desempeño conforme al Sistema de Gestión de Calidad de la Auditoría Superior del Estado bajo la norma mexicana NMX-CC-9001-IMNC-2008/ISO 9001:2015, la empresa de consultoría especializada en Gestión de Calidad Global </w:t>
      </w:r>
      <w:proofErr w:type="spellStart"/>
      <w:r>
        <w:rPr>
          <w:rFonts w:ascii="Calibri" w:hAnsi="Calibri" w:cs="DIN Pro Regular"/>
          <w:sz w:val="20"/>
          <w:lang w:val="es-MX"/>
        </w:rPr>
        <w:t>Certification</w:t>
      </w:r>
      <w:proofErr w:type="spellEnd"/>
      <w:r>
        <w:rPr>
          <w:rFonts w:ascii="Calibri" w:hAnsi="Calibri" w:cs="DIN Pro Regular"/>
          <w:sz w:val="20"/>
          <w:lang w:val="es-MX"/>
        </w:rPr>
        <w:t xml:space="preserve"> Bureau S.A., efectuó la Auditoría de Seguimiento Anual durante el mes de agosto de 2024.</w:t>
      </w:r>
    </w:p>
    <w:p w14:paraId="03BCABD7"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El resultado de la auditoría fue satisfactorio al no detectarse incumplimiento alguno al Sistema de Gestión de Calidad.</w:t>
      </w:r>
    </w:p>
    <w:p w14:paraId="7818F7B2"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El dictamen resultante fue el siguiente: Se encuentra implementado un Sistema de Gestión de Calidad eficaz y de acuerdo a la Norma.</w:t>
      </w:r>
    </w:p>
    <w:p w14:paraId="70E36863"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Con lo anterior, se demuestra que estamos debidamente capacitados para asegurar la calidad de nuestro trabajo y la mejora continua del mismo. Asimismo, nuestro Sistema de Gestión de Calidad cuenta con 6 objetivos, los cuales son evaluados y controlados a través de 60 indicadores de evaluación y 50 indicadores de calidad.</w:t>
      </w:r>
    </w:p>
    <w:p w14:paraId="5F28A090"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Por lo tanto, la filosofía de mejora continua de esta Auditoría Superior ha redundado beneficios a favor de la fiscalización en nuestro Estado.</w:t>
      </w:r>
    </w:p>
    <w:p w14:paraId="34A4A53B"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13.</w:t>
      </w:r>
      <w:r>
        <w:rPr>
          <w:rFonts w:ascii="Calibri" w:hAnsi="Calibri" w:cs="DIN Pro Regular"/>
          <w:sz w:val="20"/>
          <w:lang w:val="es-MX"/>
        </w:rPr>
        <w:tab/>
        <w:t>Información por Segmentos</w:t>
      </w:r>
    </w:p>
    <w:p w14:paraId="2B639802"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Se informa que en cuanto a la información financiera que se genera, no es necesario hacer mención de manera segmentada ya que no se cuenta con diversidad de actividades y operaciones relevantes que ameriten mención.</w:t>
      </w:r>
    </w:p>
    <w:p w14:paraId="26CB5AD2" w14:textId="77777777" w:rsidR="00BA1871" w:rsidRDefault="00BA1871" w:rsidP="00BA1871">
      <w:pPr>
        <w:pStyle w:val="Text"/>
        <w:spacing w:line="240" w:lineRule="exact"/>
        <w:rPr>
          <w:rFonts w:ascii="Calibri" w:hAnsi="Calibri" w:cs="DIN Pro Regular"/>
          <w:sz w:val="20"/>
          <w:lang w:val="es-MX"/>
        </w:rPr>
      </w:pPr>
    </w:p>
    <w:p w14:paraId="6267F8D0"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14.</w:t>
      </w:r>
      <w:r>
        <w:rPr>
          <w:rFonts w:ascii="Calibri" w:hAnsi="Calibri" w:cs="DIN Pro Regular"/>
          <w:sz w:val="20"/>
          <w:lang w:val="es-MX"/>
        </w:rPr>
        <w:tab/>
        <w:t>Eventos Posteriores al Cierre</w:t>
      </w:r>
    </w:p>
    <w:p w14:paraId="49C12B30"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No existen eventos posteriores al cierre.</w:t>
      </w:r>
    </w:p>
    <w:p w14:paraId="12A2B24C" w14:textId="77777777" w:rsidR="00BA1871" w:rsidRDefault="00BA1871" w:rsidP="00BA1871">
      <w:pPr>
        <w:pStyle w:val="Text"/>
        <w:spacing w:line="240" w:lineRule="exact"/>
        <w:rPr>
          <w:rFonts w:ascii="Calibri" w:hAnsi="Calibri" w:cs="DIN Pro Regular"/>
          <w:sz w:val="20"/>
          <w:lang w:val="es-MX"/>
        </w:rPr>
      </w:pPr>
    </w:p>
    <w:p w14:paraId="069EC9A1"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15.</w:t>
      </w:r>
      <w:r>
        <w:rPr>
          <w:rFonts w:ascii="Calibri" w:hAnsi="Calibri" w:cs="DIN Pro Regular"/>
          <w:sz w:val="20"/>
          <w:lang w:val="es-MX"/>
        </w:rPr>
        <w:tab/>
        <w:t>Partes Relacionadas</w:t>
      </w:r>
    </w:p>
    <w:p w14:paraId="14A9EBED"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Se informa que durante el Ejercicio Fiscal 2024 no han existido partes relacionadas que pudieran ejercer influencia significativa sobre la toma de decisiones financieras y operativas.</w:t>
      </w:r>
    </w:p>
    <w:p w14:paraId="55CC8CAF" w14:textId="77777777" w:rsidR="00BA1871" w:rsidRDefault="00BA1871" w:rsidP="00BA1871">
      <w:pPr>
        <w:pStyle w:val="Text"/>
        <w:spacing w:line="240" w:lineRule="exact"/>
        <w:rPr>
          <w:rFonts w:ascii="Calibri" w:hAnsi="Calibri" w:cs="DIN Pro Regular"/>
          <w:sz w:val="20"/>
          <w:lang w:val="es-MX"/>
        </w:rPr>
      </w:pPr>
    </w:p>
    <w:p w14:paraId="233DE826"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16.    Responsabilidad Sobre la Presentación Razonable de la Información Contable</w:t>
      </w:r>
    </w:p>
    <w:p w14:paraId="18FFB3BA" w14:textId="77777777" w:rsidR="00BA1871" w:rsidRDefault="00BA1871" w:rsidP="00BA1871">
      <w:pPr>
        <w:pStyle w:val="Text"/>
        <w:spacing w:line="240" w:lineRule="exact"/>
        <w:rPr>
          <w:rFonts w:ascii="Calibri" w:hAnsi="Calibri" w:cs="DIN Pro Regular"/>
          <w:sz w:val="20"/>
          <w:lang w:val="es-MX"/>
        </w:rPr>
      </w:pPr>
      <w:r>
        <w:rPr>
          <w:rFonts w:ascii="Calibri" w:hAnsi="Calibri" w:cs="DIN Pro Regular"/>
          <w:sz w:val="20"/>
          <w:lang w:val="es-MX"/>
        </w:rPr>
        <w:t>Bajo protesta de decir verdad declaramos que los Estados Financieros y sus Notas, son razonablemente correctos y son responsabilidad del emisor.</w:t>
      </w:r>
    </w:p>
    <w:p w14:paraId="249EA9B5" w14:textId="77777777" w:rsidR="00BA1871" w:rsidRDefault="00BA1871" w:rsidP="00BA1871">
      <w:pPr>
        <w:pStyle w:val="Text"/>
        <w:spacing w:line="240" w:lineRule="exact"/>
        <w:rPr>
          <w:rFonts w:ascii="Calibri" w:hAnsi="Calibri" w:cs="DIN Pro Regular"/>
          <w:sz w:val="20"/>
          <w:lang w:val="es-MX"/>
        </w:rPr>
      </w:pPr>
    </w:p>
    <w:p w14:paraId="75E15500" w14:textId="77777777" w:rsidR="00BA1871" w:rsidRDefault="00BA1871" w:rsidP="00BA1871">
      <w:pPr>
        <w:pStyle w:val="Text"/>
        <w:spacing w:line="240" w:lineRule="exact"/>
        <w:rPr>
          <w:rFonts w:ascii="Calibri" w:hAnsi="Calibri" w:cs="DIN Pro Regular"/>
          <w:sz w:val="20"/>
          <w:lang w:val="es-MX"/>
        </w:rPr>
      </w:pPr>
    </w:p>
    <w:p w14:paraId="6086CF71" w14:textId="77777777" w:rsidR="00BA1871" w:rsidRDefault="00BA1871" w:rsidP="00BA1871">
      <w:pPr>
        <w:pStyle w:val="Text"/>
        <w:spacing w:line="240" w:lineRule="exact"/>
        <w:rPr>
          <w:rFonts w:ascii="Calibri" w:hAnsi="Calibri" w:cs="DIN Pro Regular"/>
          <w:sz w:val="20"/>
          <w:lang w:val="es-MX"/>
        </w:rPr>
      </w:pPr>
    </w:p>
    <w:p w14:paraId="138A600F" w14:textId="5F39EF87" w:rsidR="00BA1871" w:rsidRDefault="00BA1871">
      <w:pPr>
        <w:widowControl/>
        <w:suppressAutoHyphens w:val="0"/>
        <w:autoSpaceDN/>
        <w:spacing w:after="160" w:line="259" w:lineRule="auto"/>
        <w:textAlignment w:val="auto"/>
        <w:rPr>
          <w:rFonts w:eastAsia="Times New Roman" w:cs="DIN Pro Regular"/>
          <w:lang w:eastAsia="es-ES"/>
        </w:rPr>
      </w:pPr>
      <w:r>
        <w:rPr>
          <w:rFonts w:cs="DIN Pro Regular"/>
        </w:rPr>
        <w:br w:type="page"/>
      </w:r>
    </w:p>
    <w:p w14:paraId="2B0C25B0" w14:textId="77777777" w:rsidR="00BA1871" w:rsidRDefault="00BA1871" w:rsidP="00BA1871">
      <w:pPr>
        <w:pageBreakBefore/>
        <w:suppressAutoHyphens w:val="0"/>
      </w:pPr>
    </w:p>
    <w:p w14:paraId="0C0E9BDF" w14:textId="77777777" w:rsidR="00BA1871" w:rsidRDefault="00BA1871" w:rsidP="00BA1871">
      <w:pPr>
        <w:pStyle w:val="Text"/>
        <w:spacing w:after="0" w:line="240" w:lineRule="exact"/>
        <w:ind w:firstLine="0"/>
        <w:jc w:val="center"/>
      </w:pPr>
      <w:r>
        <w:rPr>
          <w:rFonts w:ascii="Calibri" w:hAnsi="Calibri" w:cs="DIN Pro Regular"/>
          <w:b/>
          <w:sz w:val="24"/>
          <w:szCs w:val="24"/>
        </w:rPr>
        <w:t>Cuenta Pública 2024</w:t>
      </w:r>
    </w:p>
    <w:p w14:paraId="277E5FB4" w14:textId="77777777" w:rsidR="00BA1871" w:rsidRDefault="00BA1871" w:rsidP="00BA1871">
      <w:pPr>
        <w:pStyle w:val="Text"/>
        <w:spacing w:after="0" w:line="240" w:lineRule="exact"/>
        <w:jc w:val="center"/>
      </w:pPr>
      <w:r>
        <w:rPr>
          <w:rFonts w:ascii="Calibri" w:hAnsi="Calibri" w:cs="DIN Pro Regular"/>
          <w:b/>
          <w:sz w:val="24"/>
          <w:szCs w:val="24"/>
        </w:rPr>
        <w:t>Notas a los Estados Financieros</w:t>
      </w:r>
    </w:p>
    <w:p w14:paraId="362A3DE1" w14:textId="77777777" w:rsidR="00BA1871" w:rsidRDefault="00BA1871" w:rsidP="00BA1871">
      <w:pPr>
        <w:pStyle w:val="Text"/>
        <w:spacing w:after="0" w:line="240" w:lineRule="exact"/>
        <w:jc w:val="center"/>
      </w:pPr>
      <w:r>
        <w:rPr>
          <w:rFonts w:ascii="Calibri" w:hAnsi="Calibri" w:cs="DIN Pro Regular"/>
          <w:b/>
          <w:sz w:val="24"/>
          <w:szCs w:val="24"/>
        </w:rPr>
        <w:t>b) NOTAS DE DESGLOSE</w:t>
      </w:r>
    </w:p>
    <w:p w14:paraId="0D94B124" w14:textId="77777777" w:rsidR="00BA1871" w:rsidRDefault="00BA1871" w:rsidP="00BA1871">
      <w:pPr>
        <w:pStyle w:val="Text"/>
        <w:spacing w:after="0" w:line="240" w:lineRule="exact"/>
        <w:jc w:val="center"/>
        <w:rPr>
          <w:rFonts w:ascii="Calibri" w:hAnsi="Calibri" w:cs="DIN Pro Regular"/>
          <w:b/>
          <w:sz w:val="20"/>
        </w:rPr>
      </w:pPr>
    </w:p>
    <w:p w14:paraId="1C5C61BC" w14:textId="77777777" w:rsidR="00BA1871" w:rsidRDefault="00BA1871" w:rsidP="00BA1871">
      <w:pPr>
        <w:pStyle w:val="INCISO"/>
        <w:spacing w:after="0" w:line="240" w:lineRule="exact"/>
        <w:ind w:left="426" w:hanging="426"/>
      </w:pPr>
      <w:r>
        <w:rPr>
          <w:rFonts w:ascii="Calibri" w:hAnsi="Calibri" w:cs="DIN Pro Regular"/>
          <w:b/>
          <w:smallCaps/>
          <w:sz w:val="20"/>
          <w:szCs w:val="20"/>
        </w:rPr>
        <w:t xml:space="preserve">I) </w:t>
      </w:r>
      <w:r>
        <w:rPr>
          <w:rFonts w:ascii="Calibri" w:hAnsi="Calibri" w:cs="DIN Pro Regular"/>
          <w:b/>
          <w:smallCaps/>
          <w:sz w:val="20"/>
          <w:szCs w:val="20"/>
        </w:rPr>
        <w:tab/>
        <w:t>Notas al Estado de Estado de Actividades</w:t>
      </w:r>
    </w:p>
    <w:p w14:paraId="1F1E30DB" w14:textId="77777777" w:rsidR="00BA1871" w:rsidRDefault="00BA1871" w:rsidP="00BA1871">
      <w:pPr>
        <w:pStyle w:val="Text"/>
        <w:spacing w:after="0" w:line="240" w:lineRule="exact"/>
        <w:rPr>
          <w:rFonts w:ascii="Calibri" w:hAnsi="Calibri" w:cs="DIN Pro Regular"/>
          <w:sz w:val="20"/>
          <w:lang w:val="es-MX"/>
        </w:rPr>
      </w:pPr>
    </w:p>
    <w:p w14:paraId="644506F1" w14:textId="77777777" w:rsidR="00BA1871" w:rsidRDefault="00BA1871" w:rsidP="00BA1871">
      <w:pPr>
        <w:pStyle w:val="ROMANOS"/>
        <w:spacing w:after="0" w:line="240" w:lineRule="exact"/>
        <w:ind w:left="1140"/>
      </w:pPr>
      <w:r>
        <w:rPr>
          <w:rFonts w:ascii="Calibri" w:hAnsi="Calibri" w:cs="DIN Pro Regular"/>
          <w:b/>
          <w:sz w:val="20"/>
          <w:szCs w:val="20"/>
          <w:lang w:val="es-MX"/>
        </w:rPr>
        <w:t>Ingresos y Otros Beneficios:</w:t>
      </w:r>
    </w:p>
    <w:p w14:paraId="47282D08" w14:textId="77777777" w:rsidR="00BA1871" w:rsidRDefault="00BA1871" w:rsidP="00BA1871">
      <w:pPr>
        <w:widowControl/>
        <w:tabs>
          <w:tab w:val="left" w:pos="284"/>
        </w:tabs>
        <w:suppressAutoHyphens w:val="0"/>
        <w:spacing w:line="240" w:lineRule="exact"/>
        <w:jc w:val="both"/>
        <w:textAlignment w:val="auto"/>
        <w:rPr>
          <w:rFonts w:eastAsia="Times New Roman" w:cs="DIN Pro Regular"/>
          <w:bCs/>
          <w:lang w:eastAsia="es-ES"/>
        </w:rPr>
      </w:pPr>
      <w:r>
        <w:rPr>
          <w:rFonts w:eastAsia="Times New Roman" w:cs="DIN Pro Regular"/>
          <w:bCs/>
          <w:lang w:eastAsia="es-ES"/>
        </w:rPr>
        <w:tab/>
        <w:t>El importe de Ingresos y otros Beneficios que obtuvo la Auditoría Superior del Estado al 31 de diciembre de 2024 se integra de la siguiente manera:</w:t>
      </w:r>
    </w:p>
    <w:p w14:paraId="6B5471CE" w14:textId="77777777" w:rsidR="00BA1871" w:rsidRDefault="00BA1871" w:rsidP="00BA1871">
      <w:pPr>
        <w:widowControl/>
        <w:tabs>
          <w:tab w:val="left" w:pos="284"/>
        </w:tabs>
        <w:suppressAutoHyphens w:val="0"/>
        <w:spacing w:line="240" w:lineRule="exact"/>
        <w:jc w:val="both"/>
        <w:textAlignment w:val="auto"/>
      </w:pPr>
      <w:r>
        <w:rPr>
          <w:rFonts w:eastAsia="Times New Roman" w:cs="DIN Pro Regular"/>
          <w:bCs/>
          <w:lang w:eastAsia="es-ES"/>
        </w:rPr>
        <w:object w:dxaOrig="1440" w:dyaOrig="1440" w14:anchorId="2AC8C8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s1026" type="#_x0000_t75" style="position:absolute;left:0;text-align:left;margin-left:57.9pt;margin-top:11.35pt;width:367.6pt;height:113.9pt;z-index:251660288;visibility:visible;mso-wrap-style:square;mso-position-horizontal-relative:text;mso-position-vertical-relative:text">
            <v:imagedata r:id="rId5" o:title=""/>
          </v:shape>
          <o:OLEObject Type="Embed" ProgID="Excel.Sheet.12" ShapeID="Object 3" DrawAspect="Content" ObjectID="_1801478373" r:id="rId6"/>
        </w:object>
      </w:r>
    </w:p>
    <w:p w14:paraId="219EED3D" w14:textId="77777777" w:rsidR="00BA1871" w:rsidRDefault="00BA1871" w:rsidP="00BA1871">
      <w:pPr>
        <w:widowControl/>
        <w:tabs>
          <w:tab w:val="left" w:pos="284"/>
        </w:tabs>
        <w:suppressAutoHyphens w:val="0"/>
        <w:spacing w:line="240" w:lineRule="exact"/>
        <w:jc w:val="both"/>
        <w:textAlignment w:val="auto"/>
        <w:rPr>
          <w:rFonts w:eastAsia="Times New Roman" w:cs="DIN Pro Regular"/>
          <w:bCs/>
          <w:lang w:eastAsia="es-ES"/>
        </w:rPr>
      </w:pPr>
    </w:p>
    <w:p w14:paraId="69000B4F" w14:textId="77777777" w:rsidR="00BA1871" w:rsidRDefault="00BA1871" w:rsidP="00BA1871">
      <w:pPr>
        <w:widowControl/>
        <w:tabs>
          <w:tab w:val="left" w:pos="720"/>
        </w:tabs>
        <w:suppressAutoHyphens w:val="0"/>
        <w:spacing w:line="240" w:lineRule="exact"/>
        <w:ind w:left="1140" w:hanging="432"/>
        <w:jc w:val="both"/>
        <w:textAlignment w:val="auto"/>
        <w:rPr>
          <w:rFonts w:eastAsia="Times New Roman" w:cs="DIN Pro Regular"/>
          <w:b/>
          <w:lang w:eastAsia="es-ES"/>
        </w:rPr>
      </w:pPr>
    </w:p>
    <w:p w14:paraId="41BEC0D9" w14:textId="77777777" w:rsidR="00BA1871" w:rsidRDefault="00BA1871" w:rsidP="00BA1871">
      <w:pPr>
        <w:pStyle w:val="ROMANOS"/>
        <w:spacing w:after="0" w:line="240" w:lineRule="exact"/>
        <w:ind w:left="1140"/>
        <w:rPr>
          <w:rFonts w:ascii="Calibri" w:hAnsi="Calibri" w:cs="DIN Pro Regular"/>
          <w:b/>
          <w:sz w:val="20"/>
          <w:szCs w:val="20"/>
          <w:lang w:val="es-MX"/>
        </w:rPr>
      </w:pPr>
    </w:p>
    <w:p w14:paraId="4DF914EE" w14:textId="77777777" w:rsidR="00BA1871" w:rsidRDefault="00BA1871" w:rsidP="00BA1871">
      <w:pPr>
        <w:pStyle w:val="ROMANOS"/>
        <w:spacing w:after="0" w:line="240" w:lineRule="exact"/>
        <w:ind w:left="1140"/>
        <w:rPr>
          <w:rFonts w:ascii="Calibri" w:hAnsi="Calibri" w:cs="DIN Pro Regular"/>
          <w:b/>
          <w:sz w:val="20"/>
          <w:szCs w:val="20"/>
          <w:lang w:val="es-MX"/>
        </w:rPr>
      </w:pPr>
    </w:p>
    <w:p w14:paraId="67A4CEF7" w14:textId="77777777" w:rsidR="00BA1871" w:rsidRDefault="00BA1871" w:rsidP="00BA1871">
      <w:pPr>
        <w:pStyle w:val="ROMANOS"/>
        <w:spacing w:after="0" w:line="240" w:lineRule="exact"/>
        <w:ind w:left="1140"/>
        <w:rPr>
          <w:rFonts w:ascii="Calibri" w:hAnsi="Calibri" w:cs="DIN Pro Regular"/>
          <w:b/>
          <w:sz w:val="20"/>
          <w:szCs w:val="20"/>
          <w:lang w:val="es-MX"/>
        </w:rPr>
      </w:pPr>
    </w:p>
    <w:p w14:paraId="38A4D823" w14:textId="77777777" w:rsidR="00BA1871" w:rsidRDefault="00BA1871" w:rsidP="00BA1871">
      <w:pPr>
        <w:pStyle w:val="ROMANOS"/>
        <w:spacing w:after="0" w:line="240" w:lineRule="exact"/>
        <w:ind w:left="1140"/>
        <w:rPr>
          <w:rFonts w:ascii="Calibri" w:hAnsi="Calibri" w:cs="DIN Pro Regular"/>
          <w:b/>
          <w:sz w:val="20"/>
          <w:szCs w:val="20"/>
          <w:lang w:val="es-MX"/>
        </w:rPr>
      </w:pPr>
    </w:p>
    <w:p w14:paraId="27047A9A" w14:textId="77777777" w:rsidR="00BA1871" w:rsidRDefault="00BA1871" w:rsidP="00BA1871">
      <w:pPr>
        <w:pStyle w:val="ROMANOS"/>
        <w:spacing w:after="0" w:line="240" w:lineRule="exact"/>
        <w:ind w:left="1140"/>
        <w:rPr>
          <w:rFonts w:ascii="Calibri" w:hAnsi="Calibri" w:cs="DIN Pro Regular"/>
          <w:b/>
          <w:sz w:val="20"/>
          <w:szCs w:val="20"/>
          <w:lang w:val="es-MX"/>
        </w:rPr>
      </w:pPr>
    </w:p>
    <w:p w14:paraId="71E02F26" w14:textId="77777777" w:rsidR="00BA1871" w:rsidRDefault="00BA1871" w:rsidP="00BA1871">
      <w:pPr>
        <w:pStyle w:val="ROMANOS"/>
        <w:spacing w:after="0" w:line="240" w:lineRule="exact"/>
        <w:ind w:left="1140"/>
        <w:rPr>
          <w:rFonts w:ascii="Calibri" w:hAnsi="Calibri" w:cs="DIN Pro Regular"/>
          <w:b/>
          <w:sz w:val="20"/>
          <w:szCs w:val="20"/>
          <w:lang w:val="es-MX"/>
        </w:rPr>
      </w:pPr>
    </w:p>
    <w:p w14:paraId="407DB067" w14:textId="77777777" w:rsidR="00BA1871" w:rsidRDefault="00BA1871" w:rsidP="00BA1871">
      <w:pPr>
        <w:pStyle w:val="ROMANOS"/>
        <w:spacing w:after="0" w:line="240" w:lineRule="exact"/>
        <w:ind w:left="1140"/>
        <w:rPr>
          <w:rFonts w:ascii="Calibri" w:hAnsi="Calibri" w:cs="DIN Pro Regular"/>
          <w:b/>
          <w:sz w:val="20"/>
          <w:szCs w:val="20"/>
          <w:lang w:val="es-MX"/>
        </w:rPr>
      </w:pPr>
    </w:p>
    <w:p w14:paraId="30E532F7" w14:textId="77777777" w:rsidR="00BA1871" w:rsidRDefault="00BA1871" w:rsidP="00BA1871">
      <w:pPr>
        <w:pStyle w:val="ROMANOS"/>
        <w:spacing w:after="0" w:line="240" w:lineRule="exact"/>
        <w:ind w:left="1140"/>
        <w:rPr>
          <w:rFonts w:ascii="Calibri" w:hAnsi="Calibri" w:cs="DIN Pro Regular"/>
          <w:b/>
          <w:sz w:val="20"/>
          <w:szCs w:val="20"/>
          <w:lang w:val="es-MX"/>
        </w:rPr>
      </w:pPr>
    </w:p>
    <w:p w14:paraId="63E0F583" w14:textId="77777777" w:rsidR="00BA1871" w:rsidRDefault="00BA1871" w:rsidP="00BA1871">
      <w:pPr>
        <w:pStyle w:val="ROMANOS"/>
        <w:spacing w:after="0" w:line="240" w:lineRule="exact"/>
        <w:ind w:left="1140"/>
      </w:pPr>
      <w:r>
        <w:rPr>
          <w:rFonts w:ascii="Calibri" w:hAnsi="Calibri" w:cs="DIN Pro Regular"/>
          <w:b/>
          <w:sz w:val="20"/>
          <w:szCs w:val="20"/>
          <w:lang w:val="es-MX"/>
        </w:rPr>
        <w:t>Gastos y Otras Pérdidas</w:t>
      </w:r>
      <w:r>
        <w:rPr>
          <w:rFonts w:ascii="Calibri" w:hAnsi="Calibri" w:cs="DIN Pro Regular"/>
          <w:sz w:val="20"/>
          <w:szCs w:val="20"/>
          <w:lang w:val="es-MX"/>
        </w:rPr>
        <w:t>:</w:t>
      </w:r>
    </w:p>
    <w:p w14:paraId="48377CE1" w14:textId="77777777" w:rsidR="00BA1871" w:rsidRDefault="00BA1871" w:rsidP="00BA1871">
      <w:pPr>
        <w:widowControl/>
        <w:tabs>
          <w:tab w:val="left" w:pos="284"/>
        </w:tabs>
        <w:suppressAutoHyphens w:val="0"/>
        <w:spacing w:line="240" w:lineRule="exact"/>
        <w:jc w:val="both"/>
        <w:textAlignment w:val="auto"/>
        <w:rPr>
          <w:rFonts w:eastAsia="Times New Roman" w:cs="DIN Pro Regular"/>
          <w:bCs/>
          <w:lang w:eastAsia="es-ES"/>
        </w:rPr>
      </w:pPr>
      <w:r>
        <w:rPr>
          <w:rFonts w:eastAsia="Times New Roman" w:cs="DIN Pro Regular"/>
          <w:bCs/>
          <w:lang w:eastAsia="es-ES"/>
        </w:rPr>
        <w:tab/>
        <w:t>El importe de los Gastos y Otras Pérdidas que realizó la Auditoría Superior del Estado del 01 de enero al 31 de diciembre de 2024 se integra de la siguiente manera:</w:t>
      </w:r>
    </w:p>
    <w:p w14:paraId="13BE98DC" w14:textId="77777777" w:rsidR="00BA1871" w:rsidRDefault="00BA1871" w:rsidP="00BA1871">
      <w:pPr>
        <w:widowControl/>
        <w:tabs>
          <w:tab w:val="left" w:pos="284"/>
        </w:tabs>
        <w:suppressAutoHyphens w:val="0"/>
        <w:spacing w:line="240" w:lineRule="exact"/>
        <w:jc w:val="both"/>
        <w:textAlignment w:val="auto"/>
      </w:pPr>
      <w:r>
        <w:rPr>
          <w:rFonts w:eastAsia="Times New Roman" w:cs="DIN Pro Regular"/>
          <w:bCs/>
          <w:lang w:eastAsia="es-ES"/>
        </w:rPr>
        <w:object w:dxaOrig="1440" w:dyaOrig="1440" w14:anchorId="73CB00BC">
          <v:shape id="Object 4" o:spid="_x0000_s1027" type="#_x0000_t75" style="position:absolute;left:0;text-align:left;margin-left:35.3pt;margin-top:4.65pt;width:412.4pt;height:339.5pt;z-index:251658240;visibility:visible;mso-wrap-style:square;mso-position-horizontal-relative:text;mso-position-vertical-relative:text">
            <v:imagedata r:id="rId7" o:title=""/>
          </v:shape>
          <o:OLEObject Type="Embed" ProgID="Excel.Sheet.12" ShapeID="Object 4" DrawAspect="Content" ObjectID="_1801478374" r:id="rId8"/>
        </w:object>
      </w:r>
    </w:p>
    <w:p w14:paraId="11FAF097" w14:textId="77777777" w:rsidR="00BA1871" w:rsidRDefault="00BA1871" w:rsidP="00BA1871">
      <w:pPr>
        <w:widowControl/>
        <w:tabs>
          <w:tab w:val="left" w:pos="284"/>
        </w:tabs>
        <w:suppressAutoHyphens w:val="0"/>
        <w:spacing w:line="240" w:lineRule="exact"/>
        <w:jc w:val="both"/>
        <w:textAlignment w:val="auto"/>
        <w:rPr>
          <w:rFonts w:eastAsia="Times New Roman" w:cs="DIN Pro Regular"/>
          <w:bCs/>
          <w:lang w:eastAsia="es-ES"/>
        </w:rPr>
      </w:pPr>
    </w:p>
    <w:p w14:paraId="62EC7AF7" w14:textId="77777777" w:rsidR="00BA1871" w:rsidRDefault="00BA1871" w:rsidP="00BA1871">
      <w:pPr>
        <w:widowControl/>
        <w:tabs>
          <w:tab w:val="left" w:pos="284"/>
        </w:tabs>
        <w:suppressAutoHyphens w:val="0"/>
        <w:spacing w:line="240" w:lineRule="exact"/>
        <w:jc w:val="both"/>
        <w:textAlignment w:val="auto"/>
        <w:rPr>
          <w:rFonts w:eastAsia="Times New Roman" w:cs="DIN Pro Regular"/>
          <w:bCs/>
          <w:lang w:eastAsia="es-ES"/>
        </w:rPr>
      </w:pPr>
    </w:p>
    <w:p w14:paraId="253632B8" w14:textId="77777777" w:rsidR="00BA1871" w:rsidRDefault="00BA1871" w:rsidP="00BA1871">
      <w:pPr>
        <w:widowControl/>
        <w:tabs>
          <w:tab w:val="left" w:pos="284"/>
        </w:tabs>
        <w:suppressAutoHyphens w:val="0"/>
        <w:spacing w:line="240" w:lineRule="exact"/>
        <w:jc w:val="both"/>
        <w:textAlignment w:val="auto"/>
        <w:rPr>
          <w:rFonts w:eastAsia="Times New Roman" w:cs="DIN Pro Regular"/>
          <w:bCs/>
          <w:lang w:eastAsia="es-ES"/>
        </w:rPr>
      </w:pPr>
    </w:p>
    <w:p w14:paraId="2B448048" w14:textId="77777777" w:rsidR="00BA1871" w:rsidRDefault="00BA1871" w:rsidP="00BA1871">
      <w:pPr>
        <w:widowControl/>
        <w:tabs>
          <w:tab w:val="left" w:pos="284"/>
        </w:tabs>
        <w:suppressAutoHyphens w:val="0"/>
        <w:spacing w:line="240" w:lineRule="exact"/>
        <w:jc w:val="both"/>
        <w:textAlignment w:val="auto"/>
        <w:rPr>
          <w:rFonts w:eastAsia="Times New Roman" w:cs="DIN Pro Regular"/>
          <w:bCs/>
          <w:lang w:eastAsia="es-ES"/>
        </w:rPr>
      </w:pPr>
    </w:p>
    <w:p w14:paraId="7DFA0FE9" w14:textId="77777777" w:rsidR="00BA1871" w:rsidRDefault="00BA1871" w:rsidP="00BA1871">
      <w:pPr>
        <w:widowControl/>
        <w:tabs>
          <w:tab w:val="left" w:pos="284"/>
        </w:tabs>
        <w:suppressAutoHyphens w:val="0"/>
        <w:spacing w:line="240" w:lineRule="exact"/>
        <w:jc w:val="both"/>
        <w:textAlignment w:val="auto"/>
        <w:rPr>
          <w:rFonts w:eastAsia="Times New Roman" w:cs="DIN Pro Regular"/>
          <w:bCs/>
          <w:lang w:eastAsia="es-ES"/>
        </w:rPr>
      </w:pPr>
    </w:p>
    <w:p w14:paraId="7D4161F7" w14:textId="77777777" w:rsidR="00BA1871" w:rsidRDefault="00BA1871" w:rsidP="00BA1871">
      <w:pPr>
        <w:widowControl/>
        <w:tabs>
          <w:tab w:val="left" w:pos="284"/>
        </w:tabs>
        <w:suppressAutoHyphens w:val="0"/>
        <w:spacing w:line="240" w:lineRule="exact"/>
        <w:jc w:val="both"/>
        <w:textAlignment w:val="auto"/>
        <w:rPr>
          <w:rFonts w:eastAsia="Times New Roman" w:cs="DIN Pro Regular"/>
          <w:bCs/>
          <w:lang w:eastAsia="es-ES"/>
        </w:rPr>
      </w:pPr>
    </w:p>
    <w:p w14:paraId="5058388A" w14:textId="77777777" w:rsidR="00BA1871" w:rsidRDefault="00BA1871" w:rsidP="00BA1871">
      <w:pPr>
        <w:widowControl/>
        <w:tabs>
          <w:tab w:val="left" w:pos="284"/>
        </w:tabs>
        <w:suppressAutoHyphens w:val="0"/>
        <w:spacing w:line="240" w:lineRule="exact"/>
        <w:jc w:val="both"/>
        <w:textAlignment w:val="auto"/>
        <w:rPr>
          <w:rFonts w:eastAsia="Times New Roman" w:cs="DIN Pro Regular"/>
          <w:bCs/>
          <w:lang w:eastAsia="es-ES"/>
        </w:rPr>
      </w:pPr>
    </w:p>
    <w:p w14:paraId="637DF10E" w14:textId="77777777" w:rsidR="00BA1871" w:rsidRDefault="00BA1871" w:rsidP="00BA1871">
      <w:pPr>
        <w:widowControl/>
        <w:tabs>
          <w:tab w:val="left" w:pos="284"/>
        </w:tabs>
        <w:suppressAutoHyphens w:val="0"/>
        <w:spacing w:line="240" w:lineRule="exact"/>
        <w:jc w:val="both"/>
        <w:textAlignment w:val="auto"/>
        <w:rPr>
          <w:rFonts w:eastAsia="Times New Roman" w:cs="DIN Pro Regular"/>
          <w:bCs/>
          <w:lang w:eastAsia="es-ES"/>
        </w:rPr>
      </w:pPr>
    </w:p>
    <w:p w14:paraId="719587A4" w14:textId="77777777" w:rsidR="00BA1871" w:rsidRDefault="00BA1871" w:rsidP="00BA1871">
      <w:pPr>
        <w:pageBreakBefore/>
        <w:suppressAutoHyphens w:val="0"/>
      </w:pPr>
    </w:p>
    <w:p w14:paraId="10818B74" w14:textId="77777777" w:rsidR="00BA1871" w:rsidRDefault="00BA1871" w:rsidP="00BA1871">
      <w:pPr>
        <w:pStyle w:val="INCISO"/>
        <w:spacing w:after="0" w:line="240" w:lineRule="exact"/>
        <w:ind w:left="426" w:hanging="426"/>
        <w:rPr>
          <w:rFonts w:ascii="Calibri" w:hAnsi="Calibri" w:cs="DIN Pro Regular"/>
          <w:b/>
          <w:smallCaps/>
          <w:sz w:val="20"/>
          <w:szCs w:val="20"/>
        </w:rPr>
      </w:pPr>
    </w:p>
    <w:p w14:paraId="54CF91C5" w14:textId="77777777" w:rsidR="00BA1871" w:rsidRDefault="00BA1871" w:rsidP="00BA1871">
      <w:pPr>
        <w:pStyle w:val="INCISO"/>
        <w:spacing w:after="0" w:line="240" w:lineRule="exact"/>
        <w:ind w:left="426" w:hanging="426"/>
      </w:pPr>
      <w:r>
        <w:rPr>
          <w:rFonts w:ascii="Calibri" w:hAnsi="Calibri" w:cs="DIN Pro Regular"/>
          <w:b/>
          <w:smallCaps/>
          <w:sz w:val="20"/>
          <w:szCs w:val="20"/>
        </w:rPr>
        <w:t>II)</w:t>
      </w:r>
      <w:r>
        <w:rPr>
          <w:rFonts w:ascii="Calibri" w:hAnsi="Calibri" w:cs="DIN Pro Regular"/>
          <w:b/>
          <w:smallCaps/>
          <w:sz w:val="20"/>
          <w:szCs w:val="20"/>
        </w:rPr>
        <w:tab/>
        <w:t>Notas al estado de Situación Financiera</w:t>
      </w:r>
    </w:p>
    <w:p w14:paraId="3A1807FC" w14:textId="77777777" w:rsidR="00BA1871" w:rsidRDefault="00BA1871" w:rsidP="00BA1871">
      <w:pPr>
        <w:pStyle w:val="INCISO"/>
        <w:spacing w:after="0" w:line="240" w:lineRule="exact"/>
        <w:ind w:left="360"/>
        <w:rPr>
          <w:rFonts w:ascii="Calibri" w:hAnsi="Calibri" w:cs="DIN Pro Regular"/>
          <w:b/>
          <w:smallCaps/>
          <w:sz w:val="20"/>
          <w:szCs w:val="20"/>
        </w:rPr>
      </w:pPr>
    </w:p>
    <w:p w14:paraId="46F72B15" w14:textId="77777777" w:rsidR="00BA1871" w:rsidRDefault="00BA1871" w:rsidP="00BA1871">
      <w:pPr>
        <w:pStyle w:val="Text"/>
        <w:spacing w:after="80" w:line="203" w:lineRule="exact"/>
      </w:pPr>
      <w:r>
        <w:rPr>
          <w:rFonts w:ascii="Calibri" w:hAnsi="Calibri" w:cs="DIN Pro Regular"/>
          <w:b/>
          <w:sz w:val="20"/>
          <w:lang w:val="es-MX"/>
        </w:rPr>
        <w:t>Activo</w:t>
      </w:r>
    </w:p>
    <w:p w14:paraId="133CAAFC" w14:textId="77777777" w:rsidR="00BA1871" w:rsidRDefault="00BA1871" w:rsidP="00BA1871">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Efectivo y Equivalentes</w:t>
      </w:r>
    </w:p>
    <w:p w14:paraId="19783DAC" w14:textId="77777777" w:rsidR="00BA1871" w:rsidRDefault="00BA1871" w:rsidP="00BA1871">
      <w:pPr>
        <w:widowControl/>
        <w:suppressAutoHyphens w:val="0"/>
        <w:spacing w:after="80" w:line="203" w:lineRule="exact"/>
        <w:ind w:firstLine="288"/>
        <w:jc w:val="both"/>
        <w:textAlignment w:val="auto"/>
        <w:rPr>
          <w:rFonts w:eastAsia="Times New Roman" w:cs="DIN Pro Regular"/>
          <w:bCs/>
          <w:lang w:eastAsia="es-ES"/>
        </w:rPr>
      </w:pPr>
      <w:r>
        <w:rPr>
          <w:rFonts w:eastAsia="Times New Roman" w:cs="DIN Pro Regular"/>
          <w:bCs/>
          <w:lang w:eastAsia="es-ES"/>
        </w:rPr>
        <w:t>El importe reflejado en el Estado de Situación Financiera al 31 de diciembre de 2024, está compuesto de la siguiente manera:</w:t>
      </w:r>
    </w:p>
    <w:p w14:paraId="34E2A4D6" w14:textId="77777777" w:rsidR="00BA1871" w:rsidRDefault="00BA1871" w:rsidP="00BA1871">
      <w:pPr>
        <w:widowControl/>
        <w:suppressAutoHyphens w:val="0"/>
        <w:spacing w:after="80" w:line="203" w:lineRule="exact"/>
        <w:ind w:firstLine="288"/>
        <w:jc w:val="both"/>
        <w:textAlignment w:val="auto"/>
      </w:pPr>
      <w:r>
        <w:rPr>
          <w:rFonts w:eastAsia="Times New Roman" w:cs="DIN Pro Regular"/>
          <w:b/>
          <w:lang w:eastAsia="es-ES"/>
        </w:rPr>
        <w:object w:dxaOrig="1440" w:dyaOrig="1440" w14:anchorId="4DE81DF6">
          <v:shape id="Object 5" o:spid="_x0000_s1028" type="#_x0000_t75" style="position:absolute;left:0;text-align:left;margin-left:48pt;margin-top:5.4pt;width:374.6pt;height:329.05pt;z-index:251662336;visibility:visible;mso-wrap-style:square;mso-position-horizontal-relative:text;mso-position-vertical-relative:text">
            <v:imagedata r:id="rId9" o:title=""/>
          </v:shape>
          <o:OLEObject Type="Embed" ProgID="Excel.Sheet.12" ShapeID="Object 5" DrawAspect="Content" ObjectID="_1801478375" r:id="rId10"/>
        </w:object>
      </w:r>
    </w:p>
    <w:p w14:paraId="75DA65CE" w14:textId="77777777" w:rsidR="00BA1871" w:rsidRDefault="00BA1871" w:rsidP="00BA1871">
      <w:pPr>
        <w:widowControl/>
        <w:suppressAutoHyphens w:val="0"/>
        <w:spacing w:after="80" w:line="203" w:lineRule="exact"/>
        <w:ind w:firstLine="288"/>
        <w:jc w:val="both"/>
        <w:textAlignment w:val="auto"/>
        <w:rPr>
          <w:rFonts w:eastAsia="Times New Roman" w:cs="DIN Pro Regular"/>
          <w:b/>
          <w:lang w:eastAsia="es-ES"/>
        </w:rPr>
      </w:pPr>
    </w:p>
    <w:p w14:paraId="5680754A" w14:textId="77777777" w:rsidR="00BA1871" w:rsidRDefault="00BA1871" w:rsidP="00BA1871">
      <w:pPr>
        <w:pStyle w:val="Text"/>
        <w:spacing w:after="80" w:line="203" w:lineRule="exact"/>
        <w:ind w:firstLine="0"/>
      </w:pPr>
    </w:p>
    <w:p w14:paraId="19206FA0" w14:textId="77777777" w:rsidR="00BA1871" w:rsidRDefault="00BA1871" w:rsidP="00BA1871">
      <w:pPr>
        <w:pStyle w:val="Text"/>
        <w:spacing w:after="80" w:line="203" w:lineRule="exact"/>
        <w:ind w:firstLine="0"/>
      </w:pPr>
    </w:p>
    <w:p w14:paraId="0C671B81" w14:textId="77777777" w:rsidR="00BA1871" w:rsidRDefault="00BA1871" w:rsidP="00BA1871">
      <w:pPr>
        <w:pStyle w:val="Text"/>
        <w:spacing w:after="80" w:line="203" w:lineRule="exact"/>
        <w:ind w:firstLine="0"/>
      </w:pPr>
    </w:p>
    <w:p w14:paraId="6A96D730" w14:textId="77777777" w:rsidR="00BA1871" w:rsidRDefault="00BA1871" w:rsidP="00BA1871">
      <w:pPr>
        <w:pStyle w:val="Text"/>
        <w:spacing w:after="80" w:line="203" w:lineRule="exact"/>
        <w:ind w:firstLine="0"/>
      </w:pPr>
    </w:p>
    <w:p w14:paraId="37CA3689" w14:textId="77777777" w:rsidR="00BA1871" w:rsidRDefault="00BA1871" w:rsidP="00BA1871">
      <w:pPr>
        <w:pStyle w:val="Text"/>
        <w:spacing w:after="80" w:line="203" w:lineRule="exact"/>
        <w:ind w:firstLine="0"/>
      </w:pPr>
    </w:p>
    <w:p w14:paraId="639B0766" w14:textId="77777777" w:rsidR="00BA1871" w:rsidRDefault="00BA1871" w:rsidP="00BA1871">
      <w:pPr>
        <w:pStyle w:val="Text"/>
        <w:spacing w:after="80" w:line="203" w:lineRule="exact"/>
        <w:ind w:firstLine="0"/>
      </w:pPr>
    </w:p>
    <w:p w14:paraId="4D77C7E5" w14:textId="77777777" w:rsidR="00BA1871" w:rsidRDefault="00BA1871" w:rsidP="00BA1871">
      <w:pPr>
        <w:pStyle w:val="Text"/>
        <w:spacing w:after="80" w:line="203" w:lineRule="exact"/>
        <w:ind w:firstLine="0"/>
      </w:pPr>
    </w:p>
    <w:p w14:paraId="073C6EFE" w14:textId="77777777" w:rsidR="00BA1871" w:rsidRDefault="00BA1871" w:rsidP="00BA1871">
      <w:pPr>
        <w:pStyle w:val="Text"/>
        <w:spacing w:after="80" w:line="203" w:lineRule="exact"/>
        <w:ind w:firstLine="0"/>
      </w:pPr>
    </w:p>
    <w:p w14:paraId="347AAEBC" w14:textId="77777777" w:rsidR="00BA1871" w:rsidRDefault="00BA1871" w:rsidP="00BA1871">
      <w:pPr>
        <w:pStyle w:val="Text"/>
        <w:spacing w:after="80" w:line="203" w:lineRule="exact"/>
        <w:ind w:firstLine="0"/>
      </w:pPr>
    </w:p>
    <w:p w14:paraId="618E3F6E" w14:textId="77777777" w:rsidR="00BA1871" w:rsidRDefault="00BA1871" w:rsidP="00BA1871">
      <w:pPr>
        <w:pStyle w:val="Text"/>
        <w:spacing w:after="80" w:line="203" w:lineRule="exact"/>
        <w:ind w:firstLine="0"/>
      </w:pPr>
    </w:p>
    <w:p w14:paraId="292456B3" w14:textId="77777777" w:rsidR="00BA1871" w:rsidRDefault="00BA1871" w:rsidP="00BA1871">
      <w:pPr>
        <w:pStyle w:val="Text"/>
        <w:spacing w:after="80" w:line="203" w:lineRule="exact"/>
        <w:ind w:firstLine="0"/>
      </w:pPr>
    </w:p>
    <w:p w14:paraId="721ECE8A" w14:textId="77777777" w:rsidR="00BA1871" w:rsidRDefault="00BA1871" w:rsidP="00BA1871">
      <w:pPr>
        <w:pStyle w:val="Text"/>
        <w:spacing w:after="80" w:line="203" w:lineRule="exact"/>
        <w:ind w:firstLine="0"/>
      </w:pPr>
    </w:p>
    <w:p w14:paraId="22E68935" w14:textId="77777777" w:rsidR="00BA1871" w:rsidRDefault="00BA1871" w:rsidP="00BA1871">
      <w:pPr>
        <w:pStyle w:val="Text"/>
        <w:spacing w:after="80" w:line="203" w:lineRule="exact"/>
        <w:ind w:firstLine="0"/>
      </w:pPr>
    </w:p>
    <w:p w14:paraId="012A8083" w14:textId="77777777" w:rsidR="00BA1871" w:rsidRDefault="00BA1871" w:rsidP="00BA1871">
      <w:pPr>
        <w:pStyle w:val="Text"/>
        <w:spacing w:after="80" w:line="203" w:lineRule="exact"/>
        <w:ind w:firstLine="0"/>
      </w:pPr>
    </w:p>
    <w:p w14:paraId="5690D54A" w14:textId="77777777" w:rsidR="00BA1871" w:rsidRDefault="00BA1871" w:rsidP="00BA1871">
      <w:pPr>
        <w:pStyle w:val="Text"/>
        <w:spacing w:after="80" w:line="203" w:lineRule="exact"/>
        <w:ind w:firstLine="0"/>
      </w:pPr>
    </w:p>
    <w:p w14:paraId="0D535E77" w14:textId="77777777" w:rsidR="00BA1871" w:rsidRDefault="00BA1871" w:rsidP="00BA1871">
      <w:pPr>
        <w:pStyle w:val="Text"/>
        <w:spacing w:after="80" w:line="203" w:lineRule="exact"/>
        <w:ind w:firstLine="0"/>
      </w:pPr>
    </w:p>
    <w:p w14:paraId="525BAD5B" w14:textId="77777777" w:rsidR="00BA1871" w:rsidRDefault="00BA1871" w:rsidP="00BA1871">
      <w:pPr>
        <w:pStyle w:val="Text"/>
        <w:spacing w:after="80" w:line="203" w:lineRule="exact"/>
        <w:ind w:left="624" w:firstLine="0"/>
        <w:rPr>
          <w:rFonts w:ascii="Calibri" w:hAnsi="Calibri" w:cs="DIN Pro Regular"/>
          <w:b/>
          <w:sz w:val="20"/>
          <w:lang w:val="es-MX"/>
        </w:rPr>
      </w:pPr>
    </w:p>
    <w:p w14:paraId="221669C1" w14:textId="77777777" w:rsidR="00BA1871" w:rsidRDefault="00BA1871" w:rsidP="00BA1871">
      <w:pPr>
        <w:pStyle w:val="Text"/>
        <w:spacing w:after="80" w:line="203" w:lineRule="exact"/>
        <w:ind w:left="624" w:firstLine="0"/>
        <w:rPr>
          <w:rFonts w:ascii="Calibri" w:hAnsi="Calibri" w:cs="DIN Pro Regular"/>
          <w:b/>
          <w:sz w:val="20"/>
          <w:lang w:val="es-MX"/>
        </w:rPr>
      </w:pPr>
    </w:p>
    <w:p w14:paraId="50E3E7F4" w14:textId="77777777" w:rsidR="00BA1871" w:rsidRDefault="00BA1871" w:rsidP="00BA1871">
      <w:pPr>
        <w:pStyle w:val="Text"/>
        <w:spacing w:after="80" w:line="203" w:lineRule="exact"/>
        <w:ind w:left="624" w:firstLine="0"/>
        <w:rPr>
          <w:rFonts w:ascii="Calibri" w:hAnsi="Calibri" w:cs="DIN Pro Regular"/>
          <w:b/>
          <w:sz w:val="20"/>
          <w:lang w:val="es-MX"/>
        </w:rPr>
      </w:pPr>
    </w:p>
    <w:p w14:paraId="5246697C" w14:textId="77777777" w:rsidR="00BA1871" w:rsidRDefault="00BA1871" w:rsidP="00BA1871">
      <w:pPr>
        <w:pStyle w:val="Text"/>
        <w:spacing w:after="80" w:line="203" w:lineRule="exact"/>
        <w:ind w:left="624" w:firstLine="0"/>
        <w:rPr>
          <w:rFonts w:ascii="Calibri" w:hAnsi="Calibri" w:cs="DIN Pro Regular"/>
          <w:b/>
          <w:sz w:val="20"/>
          <w:lang w:val="es-MX"/>
        </w:rPr>
      </w:pPr>
    </w:p>
    <w:p w14:paraId="72499ED3" w14:textId="77777777" w:rsidR="00BA1871" w:rsidRDefault="00BA1871" w:rsidP="00BA1871">
      <w:pPr>
        <w:pStyle w:val="Text"/>
        <w:spacing w:after="80" w:line="203" w:lineRule="exact"/>
        <w:ind w:left="624" w:firstLine="0"/>
        <w:rPr>
          <w:rFonts w:ascii="Calibri" w:hAnsi="Calibri" w:cs="DIN Pro Regular"/>
          <w:b/>
          <w:sz w:val="20"/>
          <w:lang w:val="es-MX"/>
        </w:rPr>
      </w:pPr>
    </w:p>
    <w:p w14:paraId="0D5EEA42" w14:textId="77777777" w:rsidR="00BA1871" w:rsidRDefault="00BA1871" w:rsidP="00BA1871">
      <w:pPr>
        <w:pStyle w:val="Text"/>
        <w:spacing w:after="80" w:line="203" w:lineRule="exact"/>
        <w:ind w:left="624" w:firstLine="0"/>
        <w:rPr>
          <w:rFonts w:ascii="Calibri" w:hAnsi="Calibri" w:cs="DIN Pro Regular"/>
          <w:b/>
          <w:sz w:val="20"/>
          <w:lang w:val="es-MX"/>
        </w:rPr>
      </w:pPr>
    </w:p>
    <w:p w14:paraId="0D4DA525" w14:textId="77777777" w:rsidR="00BA1871" w:rsidRDefault="00BA1871" w:rsidP="00BA1871">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Derechos a recibir Efectivo y Equivalentes y Bienes o Servicios a Recibir</w:t>
      </w:r>
    </w:p>
    <w:p w14:paraId="76C534A2" w14:textId="77777777" w:rsidR="00BA1871" w:rsidRDefault="00BA1871" w:rsidP="00BA1871">
      <w:pPr>
        <w:pStyle w:val="Text"/>
        <w:spacing w:after="80" w:line="203" w:lineRule="exact"/>
        <w:ind w:firstLine="0"/>
        <w:rPr>
          <w:rFonts w:ascii="Calibri" w:hAnsi="Calibri" w:cs="DIN Pro Regular"/>
          <w:b/>
          <w:sz w:val="20"/>
          <w:lang w:val="es-MX"/>
        </w:rPr>
      </w:pPr>
    </w:p>
    <w:p w14:paraId="068133E6" w14:textId="77777777" w:rsidR="00BA1871" w:rsidRDefault="00BA1871" w:rsidP="00BA1871">
      <w:pPr>
        <w:widowControl/>
        <w:suppressAutoHyphens w:val="0"/>
        <w:spacing w:after="80" w:line="203" w:lineRule="exact"/>
        <w:ind w:firstLine="288"/>
        <w:jc w:val="both"/>
        <w:textAlignment w:val="auto"/>
        <w:rPr>
          <w:rFonts w:eastAsia="Times New Roman" w:cs="DIN Pro Regular"/>
          <w:bCs/>
          <w:lang w:eastAsia="es-ES"/>
        </w:rPr>
      </w:pPr>
      <w:r>
        <w:rPr>
          <w:rFonts w:eastAsia="Times New Roman" w:cs="DIN Pro Regular"/>
          <w:bCs/>
          <w:lang w:eastAsia="es-ES"/>
        </w:rPr>
        <w:t>El saldo que muestra la cuenta de Derechos a Recibir Efectivo o Equivalentes en el Estado de Situación Financiera al 31 de Diciembre del 2024, se integra de la siguiente manera:</w:t>
      </w:r>
    </w:p>
    <w:p w14:paraId="25B0BA93" w14:textId="77777777" w:rsidR="00BA1871" w:rsidRDefault="00BA1871" w:rsidP="00BA1871">
      <w:pPr>
        <w:widowControl/>
        <w:suppressAutoHyphens w:val="0"/>
        <w:spacing w:after="80" w:line="203" w:lineRule="exact"/>
        <w:ind w:firstLine="288"/>
        <w:jc w:val="both"/>
        <w:textAlignment w:val="auto"/>
      </w:pPr>
      <w:r>
        <w:rPr>
          <w:rFonts w:eastAsia="Times New Roman" w:cs="DIN Pro Regular"/>
          <w:bCs/>
          <w:lang w:eastAsia="es-ES"/>
        </w:rPr>
        <w:object w:dxaOrig="1440" w:dyaOrig="1440" w14:anchorId="5CD25556">
          <v:shape id="Object 6" o:spid="_x0000_s1029" type="#_x0000_t75" style="position:absolute;left:0;text-align:left;margin-left:104.25pt;margin-top:4pt;width:299.2pt;height:94.45pt;z-index:251663360;visibility:visible;mso-wrap-style:square;mso-position-horizontal-relative:text;mso-position-vertical-relative:text">
            <v:imagedata r:id="rId11" o:title=""/>
          </v:shape>
          <o:OLEObject Type="Embed" ProgID="Excel.Sheet.12" ShapeID="Object 6" DrawAspect="Content" ObjectID="_1801478376" r:id="rId12"/>
        </w:object>
      </w:r>
    </w:p>
    <w:p w14:paraId="07F25FD7" w14:textId="77777777" w:rsidR="00BA1871" w:rsidRDefault="00BA1871" w:rsidP="00BA1871">
      <w:pPr>
        <w:widowControl/>
        <w:suppressAutoHyphens w:val="0"/>
        <w:spacing w:after="80" w:line="203" w:lineRule="exact"/>
        <w:ind w:firstLine="288"/>
        <w:jc w:val="both"/>
        <w:textAlignment w:val="auto"/>
        <w:rPr>
          <w:rFonts w:eastAsia="Times New Roman" w:cs="DIN Pro Regular"/>
          <w:bCs/>
          <w:lang w:eastAsia="es-ES"/>
        </w:rPr>
      </w:pPr>
    </w:p>
    <w:p w14:paraId="785364B0" w14:textId="77777777" w:rsidR="00BA1871" w:rsidRDefault="00BA1871" w:rsidP="00BA1871">
      <w:pPr>
        <w:widowControl/>
        <w:suppressAutoHyphens w:val="0"/>
        <w:spacing w:after="80" w:line="203" w:lineRule="exact"/>
        <w:ind w:firstLine="288"/>
        <w:jc w:val="both"/>
        <w:textAlignment w:val="auto"/>
        <w:rPr>
          <w:rFonts w:eastAsia="Times New Roman" w:cs="DIN Pro Regular"/>
          <w:bCs/>
          <w:lang w:eastAsia="es-ES"/>
        </w:rPr>
      </w:pPr>
    </w:p>
    <w:p w14:paraId="324AACDF" w14:textId="77777777" w:rsidR="00BA1871" w:rsidRDefault="00BA1871" w:rsidP="00BA1871">
      <w:pPr>
        <w:pStyle w:val="Text"/>
        <w:spacing w:after="80" w:line="203" w:lineRule="exact"/>
        <w:ind w:firstLine="0"/>
      </w:pPr>
    </w:p>
    <w:p w14:paraId="75D6C771" w14:textId="77777777" w:rsidR="00BA1871" w:rsidRDefault="00BA1871" w:rsidP="00BA1871">
      <w:pPr>
        <w:pStyle w:val="Text"/>
        <w:spacing w:after="80" w:line="203" w:lineRule="exact"/>
        <w:ind w:firstLine="0"/>
      </w:pPr>
    </w:p>
    <w:p w14:paraId="4BAE317C" w14:textId="77777777" w:rsidR="00BA1871" w:rsidRDefault="00BA1871" w:rsidP="00BA1871">
      <w:pPr>
        <w:pStyle w:val="Text"/>
        <w:spacing w:after="80" w:line="203" w:lineRule="exact"/>
        <w:ind w:firstLine="0"/>
      </w:pPr>
    </w:p>
    <w:p w14:paraId="74AD5090" w14:textId="77777777" w:rsidR="00BA1871" w:rsidRDefault="00BA1871" w:rsidP="00BA1871">
      <w:pPr>
        <w:pStyle w:val="Text"/>
        <w:spacing w:after="80" w:line="203" w:lineRule="exact"/>
        <w:ind w:firstLine="0"/>
      </w:pPr>
    </w:p>
    <w:p w14:paraId="37F8A172" w14:textId="77777777" w:rsidR="00BA1871" w:rsidRDefault="00BA1871" w:rsidP="00BA1871">
      <w:pPr>
        <w:pStyle w:val="Text"/>
        <w:spacing w:after="80" w:line="203" w:lineRule="exact"/>
        <w:ind w:left="624" w:firstLine="0"/>
      </w:pPr>
      <w:r>
        <w:rPr>
          <w:rFonts w:ascii="Calibri" w:hAnsi="Calibri" w:cs="DIN Pro Regular"/>
          <w:b/>
          <w:sz w:val="20"/>
          <w:lang w:val="es-MX"/>
        </w:rPr>
        <w:t xml:space="preserve">Inventarios </w:t>
      </w:r>
      <w:bookmarkStart w:id="0" w:name="_Hlk189561819"/>
      <w:r>
        <w:rPr>
          <w:rFonts w:ascii="Calibri" w:hAnsi="Calibri" w:cs="DIN Pro Regular"/>
          <w:b/>
          <w:sz w:val="20"/>
          <w:lang w:val="es-MX"/>
        </w:rPr>
        <w:t>(NO APLICA)</w:t>
      </w:r>
      <w:bookmarkEnd w:id="0"/>
    </w:p>
    <w:p w14:paraId="58565313" w14:textId="77777777" w:rsidR="00BA1871" w:rsidRDefault="00BA1871" w:rsidP="00BA1871">
      <w:pPr>
        <w:pStyle w:val="Text"/>
        <w:spacing w:after="80" w:line="203" w:lineRule="exact"/>
        <w:ind w:left="624" w:firstLine="0"/>
      </w:pPr>
      <w:r>
        <w:rPr>
          <w:rFonts w:ascii="Calibri" w:hAnsi="Calibri" w:cs="DIN Pro Regular"/>
          <w:b/>
          <w:sz w:val="20"/>
          <w:lang w:val="es-MX"/>
        </w:rPr>
        <w:t>Almacenes (NO APLICA)</w:t>
      </w:r>
    </w:p>
    <w:p w14:paraId="02BDF6BE" w14:textId="77777777" w:rsidR="00BA1871" w:rsidRDefault="00BA1871" w:rsidP="00BA1871">
      <w:pPr>
        <w:pStyle w:val="Text"/>
        <w:tabs>
          <w:tab w:val="right" w:pos="9360"/>
        </w:tabs>
        <w:spacing w:after="80" w:line="203" w:lineRule="exact"/>
        <w:ind w:left="624" w:firstLine="0"/>
      </w:pPr>
      <w:r>
        <w:rPr>
          <w:rFonts w:ascii="Calibri" w:hAnsi="Calibri" w:cs="DIN Pro Regular"/>
          <w:b/>
          <w:sz w:val="20"/>
          <w:lang w:val="es-MX"/>
        </w:rPr>
        <w:t>Inversiones Financieras (NO APLICA)</w:t>
      </w:r>
      <w:r>
        <w:rPr>
          <w:rFonts w:ascii="Calibri" w:hAnsi="Calibri" w:cs="DIN Pro Regular"/>
          <w:b/>
          <w:sz w:val="20"/>
          <w:lang w:val="es-MX"/>
        </w:rPr>
        <w:tab/>
      </w:r>
    </w:p>
    <w:p w14:paraId="4CAF8DA5" w14:textId="77777777" w:rsidR="00BA1871" w:rsidRDefault="00BA1871" w:rsidP="00BA1871">
      <w:pPr>
        <w:pStyle w:val="Text"/>
        <w:spacing w:after="80" w:line="203" w:lineRule="exact"/>
        <w:ind w:left="624" w:firstLine="0"/>
        <w:rPr>
          <w:rFonts w:ascii="Calibri" w:hAnsi="Calibri" w:cs="DIN Pro Regular"/>
          <w:b/>
          <w:sz w:val="20"/>
          <w:lang w:val="es-MX"/>
        </w:rPr>
      </w:pPr>
    </w:p>
    <w:p w14:paraId="05D9DCBF" w14:textId="77777777" w:rsidR="00BA1871" w:rsidRDefault="00BA1871" w:rsidP="00BA1871">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Bienes Muebles, Inmuebles e Intangibles</w:t>
      </w:r>
    </w:p>
    <w:p w14:paraId="11F641CA" w14:textId="77777777" w:rsidR="00BA1871" w:rsidRDefault="00BA1871" w:rsidP="00BA1871">
      <w:pPr>
        <w:pStyle w:val="Text"/>
        <w:spacing w:after="80" w:line="203" w:lineRule="exact"/>
        <w:ind w:left="624" w:firstLine="0"/>
      </w:pPr>
      <w:r>
        <w:rPr>
          <w:rFonts w:ascii="Calibri" w:hAnsi="Calibri" w:cs="DIN Pro Regular"/>
          <w:b/>
          <w:sz w:val="20"/>
          <w:lang w:val="es-MX"/>
        </w:rPr>
        <w:object w:dxaOrig="1440" w:dyaOrig="1440" w14:anchorId="0C209E76">
          <v:shape id="Object 7" o:spid="_x0000_s1030" type="#_x0000_t75" style="position:absolute;left:0;text-align:left;margin-left:60.65pt;margin-top:5.5pt;width:346.15pt;height:202.2pt;z-index:251664384;visibility:visible;mso-wrap-style:square;mso-position-horizontal-relative:text;mso-position-vertical-relative:text">
            <v:imagedata r:id="rId13" o:title=""/>
          </v:shape>
          <o:OLEObject Type="Embed" ProgID="Excel.Sheet.12" ShapeID="Object 7" DrawAspect="Content" ObjectID="_1801478377" r:id="rId14"/>
        </w:object>
      </w:r>
    </w:p>
    <w:p w14:paraId="2F4690EA" w14:textId="77777777" w:rsidR="00BA1871" w:rsidRDefault="00BA1871" w:rsidP="00BA1871">
      <w:pPr>
        <w:pStyle w:val="Text"/>
        <w:spacing w:after="80" w:line="203" w:lineRule="exact"/>
        <w:ind w:left="624" w:firstLine="0"/>
        <w:rPr>
          <w:rFonts w:ascii="Calibri" w:hAnsi="Calibri" w:cs="DIN Pro Regular"/>
          <w:b/>
          <w:sz w:val="20"/>
          <w:lang w:val="es-MX"/>
        </w:rPr>
      </w:pPr>
    </w:p>
    <w:p w14:paraId="41323321" w14:textId="77777777" w:rsidR="00BA1871" w:rsidRDefault="00BA1871" w:rsidP="00BA1871">
      <w:pPr>
        <w:pStyle w:val="Text"/>
        <w:spacing w:after="80" w:line="203" w:lineRule="exact"/>
        <w:ind w:left="624" w:firstLine="0"/>
        <w:rPr>
          <w:rFonts w:ascii="Calibri" w:hAnsi="Calibri" w:cs="DIN Pro Regular"/>
          <w:b/>
          <w:sz w:val="20"/>
          <w:lang w:val="es-MX"/>
        </w:rPr>
      </w:pPr>
    </w:p>
    <w:p w14:paraId="3DE055D3" w14:textId="77777777" w:rsidR="00BA1871" w:rsidRDefault="00BA1871" w:rsidP="00BA1871">
      <w:pPr>
        <w:pStyle w:val="Text"/>
        <w:spacing w:after="80" w:line="203" w:lineRule="exact"/>
        <w:ind w:left="624" w:firstLine="0"/>
      </w:pPr>
    </w:p>
    <w:p w14:paraId="62495B83" w14:textId="77777777" w:rsidR="00BA1871" w:rsidRDefault="00BA1871" w:rsidP="00BA1871">
      <w:pPr>
        <w:pStyle w:val="Text"/>
        <w:spacing w:after="80" w:line="203" w:lineRule="exact"/>
        <w:ind w:left="624" w:firstLine="0"/>
        <w:rPr>
          <w:rFonts w:ascii="Calibri" w:hAnsi="Calibri" w:cs="DIN Pro Regular"/>
          <w:b/>
          <w:sz w:val="20"/>
          <w:lang w:val="es-MX"/>
        </w:rPr>
      </w:pPr>
    </w:p>
    <w:p w14:paraId="3348A4F4" w14:textId="77777777" w:rsidR="00BA1871" w:rsidRDefault="00BA1871" w:rsidP="00BA1871">
      <w:pPr>
        <w:pStyle w:val="Text"/>
        <w:spacing w:after="80" w:line="203" w:lineRule="exact"/>
        <w:ind w:left="624" w:firstLine="0"/>
        <w:rPr>
          <w:rFonts w:ascii="Calibri" w:hAnsi="Calibri" w:cs="DIN Pro Regular"/>
          <w:b/>
          <w:sz w:val="20"/>
          <w:lang w:val="es-MX"/>
        </w:rPr>
      </w:pPr>
    </w:p>
    <w:p w14:paraId="04ED01DB" w14:textId="77777777" w:rsidR="00BA1871" w:rsidRDefault="00BA1871" w:rsidP="00BA1871">
      <w:pPr>
        <w:pStyle w:val="Text"/>
        <w:spacing w:after="80" w:line="203" w:lineRule="exact"/>
        <w:ind w:left="624" w:firstLine="0"/>
        <w:rPr>
          <w:rFonts w:ascii="Calibri" w:hAnsi="Calibri" w:cs="DIN Pro Regular"/>
          <w:b/>
          <w:sz w:val="20"/>
          <w:lang w:val="es-MX"/>
        </w:rPr>
      </w:pPr>
    </w:p>
    <w:p w14:paraId="136CE08A" w14:textId="77777777" w:rsidR="00BA1871" w:rsidRDefault="00BA1871" w:rsidP="00BA1871">
      <w:pPr>
        <w:pStyle w:val="Text"/>
        <w:spacing w:after="80" w:line="203" w:lineRule="exact"/>
        <w:ind w:left="624" w:firstLine="0"/>
        <w:rPr>
          <w:rFonts w:ascii="Calibri" w:hAnsi="Calibri" w:cs="DIN Pro Regular"/>
          <w:b/>
          <w:sz w:val="20"/>
          <w:lang w:val="es-MX"/>
        </w:rPr>
      </w:pPr>
    </w:p>
    <w:p w14:paraId="52EEC787" w14:textId="77777777" w:rsidR="00BA1871" w:rsidRDefault="00BA1871" w:rsidP="00BA1871">
      <w:pPr>
        <w:pStyle w:val="Text"/>
        <w:spacing w:after="80" w:line="203" w:lineRule="exact"/>
        <w:ind w:left="624" w:firstLine="0"/>
        <w:rPr>
          <w:rFonts w:ascii="Calibri" w:hAnsi="Calibri" w:cs="DIN Pro Regular"/>
          <w:b/>
          <w:sz w:val="20"/>
          <w:lang w:val="es-MX"/>
        </w:rPr>
      </w:pPr>
    </w:p>
    <w:p w14:paraId="2D696521" w14:textId="77777777" w:rsidR="00BA1871" w:rsidRDefault="00BA1871" w:rsidP="00BA1871">
      <w:pPr>
        <w:pStyle w:val="Text"/>
        <w:spacing w:after="80" w:line="203" w:lineRule="exact"/>
        <w:ind w:left="624" w:firstLine="0"/>
        <w:rPr>
          <w:rFonts w:ascii="Calibri" w:hAnsi="Calibri" w:cs="DIN Pro Regular"/>
          <w:b/>
          <w:sz w:val="20"/>
          <w:lang w:val="es-MX"/>
        </w:rPr>
      </w:pPr>
    </w:p>
    <w:p w14:paraId="3F5969B9" w14:textId="77777777" w:rsidR="00BA1871" w:rsidRDefault="00BA1871" w:rsidP="00BA1871">
      <w:pPr>
        <w:pStyle w:val="Text"/>
        <w:spacing w:after="80" w:line="203" w:lineRule="exact"/>
        <w:ind w:left="624" w:firstLine="0"/>
        <w:rPr>
          <w:rFonts w:ascii="Calibri" w:hAnsi="Calibri" w:cs="DIN Pro Regular"/>
          <w:b/>
          <w:sz w:val="20"/>
          <w:lang w:val="es-MX"/>
        </w:rPr>
      </w:pPr>
    </w:p>
    <w:p w14:paraId="6439A3AA" w14:textId="77777777" w:rsidR="00BA1871" w:rsidRDefault="00BA1871" w:rsidP="00BA1871">
      <w:pPr>
        <w:pStyle w:val="Text"/>
        <w:spacing w:after="80" w:line="203" w:lineRule="exact"/>
        <w:ind w:left="624" w:firstLine="0"/>
        <w:rPr>
          <w:rFonts w:ascii="Calibri" w:hAnsi="Calibri" w:cs="DIN Pro Regular"/>
          <w:b/>
          <w:sz w:val="20"/>
          <w:lang w:val="es-MX"/>
        </w:rPr>
      </w:pPr>
    </w:p>
    <w:p w14:paraId="12489936" w14:textId="77777777" w:rsidR="00BA1871" w:rsidRDefault="00BA1871" w:rsidP="00BA1871">
      <w:pPr>
        <w:pStyle w:val="Text"/>
        <w:spacing w:after="80" w:line="203" w:lineRule="exact"/>
        <w:ind w:left="624" w:firstLine="0"/>
        <w:rPr>
          <w:rFonts w:ascii="Calibri" w:hAnsi="Calibri" w:cs="DIN Pro Regular"/>
          <w:b/>
          <w:sz w:val="20"/>
          <w:lang w:val="es-MX"/>
        </w:rPr>
      </w:pPr>
    </w:p>
    <w:p w14:paraId="062A680A" w14:textId="77777777" w:rsidR="00BA1871" w:rsidRDefault="00BA1871" w:rsidP="00BA1871">
      <w:pPr>
        <w:pStyle w:val="Text"/>
        <w:spacing w:after="80" w:line="203" w:lineRule="exact"/>
        <w:ind w:left="624" w:firstLine="0"/>
        <w:rPr>
          <w:rFonts w:ascii="Calibri" w:hAnsi="Calibri" w:cs="DIN Pro Regular"/>
          <w:b/>
          <w:sz w:val="20"/>
          <w:lang w:val="es-MX"/>
        </w:rPr>
      </w:pPr>
    </w:p>
    <w:p w14:paraId="23E5FCAF" w14:textId="77777777" w:rsidR="00BA1871" w:rsidRDefault="00BA1871" w:rsidP="00BA1871">
      <w:pPr>
        <w:pStyle w:val="Text"/>
        <w:spacing w:after="80" w:line="203" w:lineRule="exact"/>
        <w:ind w:left="624" w:firstLine="0"/>
        <w:rPr>
          <w:rFonts w:ascii="Calibri" w:hAnsi="Calibri" w:cs="DIN Pro Regular"/>
          <w:b/>
          <w:sz w:val="20"/>
          <w:lang w:val="es-MX"/>
        </w:rPr>
      </w:pPr>
    </w:p>
    <w:p w14:paraId="491B9021" w14:textId="77777777" w:rsidR="00BA1871" w:rsidRDefault="00BA1871" w:rsidP="00BA1871">
      <w:pPr>
        <w:pStyle w:val="Text"/>
        <w:spacing w:after="80" w:line="203" w:lineRule="exact"/>
        <w:ind w:left="624" w:firstLine="0"/>
      </w:pPr>
      <w:r>
        <w:rPr>
          <w:rFonts w:ascii="Calibri" w:hAnsi="Calibri" w:cs="DIN Pro Regular"/>
          <w:b/>
          <w:sz w:val="20"/>
          <w:lang w:val="es-MX"/>
        </w:rPr>
        <w:t>Estimaciones y Deterioros</w:t>
      </w:r>
    </w:p>
    <w:p w14:paraId="41751190" w14:textId="77777777" w:rsidR="00BA1871" w:rsidRDefault="00BA1871" w:rsidP="00BA1871">
      <w:pPr>
        <w:pStyle w:val="Text"/>
        <w:spacing w:after="80" w:line="203" w:lineRule="exact"/>
        <w:ind w:left="624" w:firstLine="0"/>
      </w:pPr>
      <w:r>
        <w:rPr>
          <w:rFonts w:ascii="Calibri" w:hAnsi="Calibri" w:cs="DIN Pro Regular"/>
          <w:b/>
          <w:sz w:val="20"/>
          <w:lang w:val="es-MX"/>
        </w:rPr>
        <w:t>Otros Activos</w:t>
      </w:r>
    </w:p>
    <w:p w14:paraId="432F9768" w14:textId="77777777" w:rsidR="00BA1871" w:rsidRDefault="00BA1871" w:rsidP="00BA1871">
      <w:pPr>
        <w:pStyle w:val="ROMANOS"/>
        <w:spacing w:after="0" w:line="240" w:lineRule="exact"/>
        <w:ind w:left="432"/>
      </w:pPr>
      <w:r>
        <w:rPr>
          <w:rFonts w:ascii="Calibri" w:hAnsi="Calibri" w:cs="DIN Pro Regular"/>
          <w:b/>
          <w:sz w:val="20"/>
          <w:szCs w:val="20"/>
          <w:lang w:val="es-MX"/>
        </w:rPr>
        <w:t xml:space="preserve">      Pasivo</w:t>
      </w:r>
    </w:p>
    <w:p w14:paraId="13D03F4F" w14:textId="77777777" w:rsidR="00BA1871" w:rsidRDefault="00BA1871" w:rsidP="00BA1871">
      <w:pPr>
        <w:pStyle w:val="ROMANOS"/>
        <w:spacing w:after="0" w:line="240" w:lineRule="exact"/>
        <w:ind w:left="0" w:firstLine="0"/>
      </w:pPr>
      <w:r>
        <w:rPr>
          <w:rFonts w:ascii="Calibri" w:hAnsi="Calibri" w:cs="DIN Pro Regular"/>
          <w:sz w:val="20"/>
          <w:szCs w:val="20"/>
          <w:lang w:val="es-MX"/>
        </w:rPr>
        <w:object w:dxaOrig="1440" w:dyaOrig="1440" w14:anchorId="5A6BBCA7">
          <v:shape id="Object 8" o:spid="_x0000_s1031" type="#_x0000_t75" style="position:absolute;left:0;text-align:left;margin-left:66.25pt;margin-top:2.45pt;width:334.85pt;height:185.25pt;z-index:251665408;visibility:visible;mso-wrap-style:square;mso-position-horizontal-relative:text;mso-position-vertical-relative:text">
            <v:imagedata r:id="rId15" o:title=""/>
          </v:shape>
          <o:OLEObject Type="Embed" ProgID="Excel.Sheet.12" ShapeID="Object 8" DrawAspect="Content" ObjectID="_1801478378" r:id="rId16"/>
        </w:object>
      </w:r>
      <w:r>
        <w:rPr>
          <w:rFonts w:ascii="Calibri" w:hAnsi="Calibri" w:cs="DIN Pro Regular"/>
          <w:sz w:val="20"/>
          <w:szCs w:val="20"/>
          <w:lang w:val="es-MX"/>
        </w:rPr>
        <w:t xml:space="preserve">  </w:t>
      </w:r>
      <w:r>
        <w:rPr>
          <w:rFonts w:ascii="Calibri" w:hAnsi="Calibri" w:cs="DIN Pro Regular"/>
          <w:sz w:val="20"/>
          <w:szCs w:val="20"/>
          <w:lang w:val="es-MX"/>
        </w:rPr>
        <w:tab/>
      </w:r>
    </w:p>
    <w:p w14:paraId="37197AF6" w14:textId="77777777" w:rsidR="00BA1871" w:rsidRDefault="00BA1871" w:rsidP="00BA1871">
      <w:pPr>
        <w:pStyle w:val="ROMANOS"/>
        <w:spacing w:after="0" w:line="240" w:lineRule="exact"/>
        <w:ind w:left="0" w:firstLine="0"/>
        <w:rPr>
          <w:rFonts w:ascii="Calibri" w:hAnsi="Calibri" w:cs="DIN Pro Regular"/>
          <w:sz w:val="20"/>
          <w:szCs w:val="20"/>
          <w:lang w:val="es-MX"/>
        </w:rPr>
      </w:pPr>
    </w:p>
    <w:p w14:paraId="678F1139" w14:textId="77777777" w:rsidR="00BA1871" w:rsidRDefault="00BA1871" w:rsidP="00BA1871">
      <w:pPr>
        <w:pStyle w:val="ROMANOS"/>
        <w:spacing w:after="0" w:line="240" w:lineRule="exact"/>
        <w:ind w:left="0" w:firstLine="0"/>
        <w:rPr>
          <w:rFonts w:ascii="Calibri" w:hAnsi="Calibri" w:cs="DIN Pro Regular"/>
          <w:sz w:val="20"/>
          <w:szCs w:val="20"/>
          <w:lang w:val="es-MX"/>
        </w:rPr>
      </w:pPr>
    </w:p>
    <w:p w14:paraId="76949A16" w14:textId="77777777" w:rsidR="00BA1871" w:rsidRDefault="00BA1871" w:rsidP="00BA1871">
      <w:pPr>
        <w:pStyle w:val="INCISO"/>
        <w:spacing w:after="0" w:line="240" w:lineRule="exact"/>
        <w:ind w:left="360"/>
        <w:rPr>
          <w:rFonts w:ascii="Calibri" w:hAnsi="Calibri" w:cs="DIN Pro Regular"/>
          <w:b/>
          <w:smallCaps/>
          <w:sz w:val="20"/>
          <w:szCs w:val="20"/>
        </w:rPr>
      </w:pPr>
    </w:p>
    <w:p w14:paraId="3DE82ACA" w14:textId="77777777" w:rsidR="00BA1871" w:rsidRDefault="00BA1871" w:rsidP="00BA1871">
      <w:pPr>
        <w:pStyle w:val="INCISO"/>
        <w:spacing w:after="0" w:line="240" w:lineRule="exact"/>
        <w:ind w:left="360"/>
        <w:rPr>
          <w:rFonts w:ascii="Calibri" w:hAnsi="Calibri" w:cs="DIN Pro Regular"/>
          <w:b/>
          <w:smallCaps/>
          <w:sz w:val="20"/>
          <w:szCs w:val="20"/>
        </w:rPr>
      </w:pPr>
    </w:p>
    <w:p w14:paraId="0EBE5756" w14:textId="77777777" w:rsidR="00BA1871" w:rsidRDefault="00BA1871" w:rsidP="00BA1871">
      <w:pPr>
        <w:pStyle w:val="INCISO"/>
        <w:spacing w:after="0" w:line="240" w:lineRule="exact"/>
        <w:ind w:left="360"/>
        <w:rPr>
          <w:rFonts w:ascii="Calibri" w:hAnsi="Calibri" w:cs="DIN Pro Regular"/>
          <w:b/>
          <w:smallCaps/>
          <w:sz w:val="20"/>
          <w:szCs w:val="20"/>
        </w:rPr>
      </w:pPr>
    </w:p>
    <w:p w14:paraId="37292A73" w14:textId="77777777" w:rsidR="00BA1871" w:rsidRDefault="00BA1871" w:rsidP="00BA1871">
      <w:pPr>
        <w:pStyle w:val="INCISO"/>
        <w:spacing w:after="0" w:line="240" w:lineRule="exact"/>
        <w:ind w:left="360"/>
        <w:rPr>
          <w:rFonts w:ascii="Calibri" w:hAnsi="Calibri" w:cs="DIN Pro Regular"/>
          <w:b/>
          <w:smallCaps/>
          <w:sz w:val="20"/>
          <w:szCs w:val="20"/>
        </w:rPr>
      </w:pPr>
    </w:p>
    <w:p w14:paraId="414E5E0F" w14:textId="77777777" w:rsidR="00BA1871" w:rsidRDefault="00BA1871" w:rsidP="00BA1871">
      <w:pPr>
        <w:pStyle w:val="INCISO"/>
        <w:spacing w:after="0" w:line="240" w:lineRule="exact"/>
        <w:ind w:left="360"/>
        <w:rPr>
          <w:rFonts w:ascii="Calibri" w:hAnsi="Calibri" w:cs="DIN Pro Regular"/>
          <w:b/>
          <w:smallCaps/>
          <w:sz w:val="20"/>
          <w:szCs w:val="20"/>
        </w:rPr>
      </w:pPr>
    </w:p>
    <w:p w14:paraId="767B4EF2" w14:textId="77777777" w:rsidR="00BA1871" w:rsidRDefault="00BA1871" w:rsidP="00BA1871">
      <w:pPr>
        <w:pStyle w:val="INCISO"/>
        <w:spacing w:after="0" w:line="240" w:lineRule="exact"/>
        <w:ind w:left="360"/>
        <w:rPr>
          <w:rFonts w:ascii="Calibri" w:hAnsi="Calibri" w:cs="DIN Pro Regular"/>
          <w:b/>
          <w:smallCaps/>
          <w:sz w:val="20"/>
          <w:szCs w:val="20"/>
        </w:rPr>
      </w:pPr>
    </w:p>
    <w:p w14:paraId="73909086" w14:textId="77777777" w:rsidR="00BA1871" w:rsidRDefault="00BA1871" w:rsidP="00BA1871">
      <w:pPr>
        <w:pStyle w:val="INCISO"/>
        <w:spacing w:after="0" w:line="240" w:lineRule="exact"/>
        <w:ind w:left="360"/>
        <w:rPr>
          <w:rFonts w:ascii="Calibri" w:hAnsi="Calibri" w:cs="DIN Pro Regular"/>
          <w:b/>
          <w:smallCaps/>
          <w:sz w:val="20"/>
          <w:szCs w:val="20"/>
        </w:rPr>
      </w:pPr>
    </w:p>
    <w:p w14:paraId="0C055334" w14:textId="77777777" w:rsidR="00BA1871" w:rsidRDefault="00BA1871" w:rsidP="00BA1871">
      <w:pPr>
        <w:pStyle w:val="INCISO"/>
        <w:spacing w:after="0" w:line="240" w:lineRule="exact"/>
        <w:ind w:left="360"/>
        <w:rPr>
          <w:rFonts w:ascii="Calibri" w:hAnsi="Calibri" w:cs="DIN Pro Regular"/>
          <w:b/>
          <w:smallCaps/>
          <w:sz w:val="20"/>
          <w:szCs w:val="20"/>
        </w:rPr>
      </w:pPr>
    </w:p>
    <w:p w14:paraId="4355A25F" w14:textId="77777777" w:rsidR="00BA1871" w:rsidRDefault="00BA1871" w:rsidP="00BA1871">
      <w:pPr>
        <w:pStyle w:val="INCISO"/>
        <w:spacing w:after="0" w:line="240" w:lineRule="exact"/>
        <w:ind w:left="360"/>
        <w:rPr>
          <w:rFonts w:ascii="Calibri" w:hAnsi="Calibri" w:cs="DIN Pro Regular"/>
          <w:b/>
          <w:smallCaps/>
          <w:sz w:val="20"/>
          <w:szCs w:val="20"/>
        </w:rPr>
      </w:pPr>
    </w:p>
    <w:p w14:paraId="4742DDFE" w14:textId="77777777" w:rsidR="00BA1871" w:rsidRDefault="00BA1871" w:rsidP="00BA1871">
      <w:pPr>
        <w:pStyle w:val="INCISO"/>
        <w:spacing w:after="0" w:line="240" w:lineRule="exact"/>
        <w:ind w:left="360"/>
        <w:rPr>
          <w:rFonts w:ascii="Calibri" w:hAnsi="Calibri" w:cs="DIN Pro Regular"/>
          <w:b/>
          <w:smallCaps/>
          <w:sz w:val="20"/>
          <w:szCs w:val="20"/>
        </w:rPr>
      </w:pPr>
    </w:p>
    <w:p w14:paraId="6B4B3E0D" w14:textId="77777777" w:rsidR="00BA1871" w:rsidRDefault="00BA1871" w:rsidP="00BA1871">
      <w:pPr>
        <w:pStyle w:val="INCISO"/>
        <w:spacing w:after="0" w:line="240" w:lineRule="exact"/>
        <w:ind w:left="360"/>
        <w:rPr>
          <w:rFonts w:ascii="Calibri" w:hAnsi="Calibri" w:cs="DIN Pro Regular"/>
          <w:b/>
          <w:smallCaps/>
          <w:sz w:val="20"/>
          <w:szCs w:val="20"/>
        </w:rPr>
      </w:pPr>
    </w:p>
    <w:p w14:paraId="40985E53" w14:textId="77777777" w:rsidR="00BA1871" w:rsidRDefault="00BA1871" w:rsidP="00BA1871">
      <w:pPr>
        <w:pStyle w:val="INCISO"/>
        <w:spacing w:after="0" w:line="240" w:lineRule="exact"/>
        <w:ind w:left="360"/>
        <w:rPr>
          <w:rFonts w:ascii="Calibri" w:hAnsi="Calibri" w:cs="DIN Pro Regular"/>
          <w:b/>
          <w:smallCaps/>
          <w:sz w:val="20"/>
          <w:szCs w:val="20"/>
        </w:rPr>
      </w:pPr>
    </w:p>
    <w:p w14:paraId="30677BAE" w14:textId="77777777" w:rsidR="00BA1871" w:rsidRDefault="00BA1871" w:rsidP="00BA1871">
      <w:pPr>
        <w:pStyle w:val="INCISO"/>
        <w:spacing w:after="0" w:line="240" w:lineRule="exact"/>
        <w:ind w:left="360"/>
        <w:rPr>
          <w:rFonts w:ascii="Calibri" w:hAnsi="Calibri" w:cs="DIN Pro Regular"/>
          <w:b/>
          <w:smallCaps/>
          <w:sz w:val="20"/>
          <w:szCs w:val="20"/>
        </w:rPr>
      </w:pPr>
    </w:p>
    <w:p w14:paraId="0D00A0C6" w14:textId="77777777" w:rsidR="00BA1871" w:rsidRDefault="00BA1871" w:rsidP="00BA1871">
      <w:pPr>
        <w:pStyle w:val="INCISO"/>
        <w:spacing w:after="0" w:line="240" w:lineRule="exact"/>
        <w:ind w:left="360"/>
      </w:pPr>
      <w:r>
        <w:rPr>
          <w:rFonts w:ascii="Calibri" w:hAnsi="Calibri" w:cs="DIN Pro Regular"/>
          <w:b/>
          <w:smallCaps/>
          <w:sz w:val="20"/>
          <w:szCs w:val="20"/>
        </w:rPr>
        <w:t>III)</w:t>
      </w:r>
      <w:r>
        <w:rPr>
          <w:rFonts w:ascii="Calibri" w:hAnsi="Calibri" w:cs="DIN Pro Regular"/>
          <w:b/>
          <w:smallCaps/>
          <w:sz w:val="20"/>
          <w:szCs w:val="20"/>
        </w:rPr>
        <w:tab/>
        <w:t>Notas al Estado de Variación en la Hacienda Pública</w:t>
      </w:r>
    </w:p>
    <w:p w14:paraId="6C24883F" w14:textId="77777777" w:rsidR="00BA1871" w:rsidRDefault="00BA1871" w:rsidP="00BA1871">
      <w:pPr>
        <w:pStyle w:val="INCISO"/>
        <w:spacing w:after="0" w:line="240" w:lineRule="exact"/>
        <w:ind w:left="360"/>
        <w:rPr>
          <w:rFonts w:ascii="Calibri" w:hAnsi="Calibri" w:cs="DIN Pro Regular"/>
          <w:b/>
          <w:smallCaps/>
          <w:sz w:val="20"/>
          <w:szCs w:val="20"/>
        </w:rPr>
      </w:pPr>
    </w:p>
    <w:p w14:paraId="508BBB31" w14:textId="77777777" w:rsidR="00BA1871" w:rsidRDefault="00BA1871" w:rsidP="00BA1871">
      <w:pPr>
        <w:widowControl/>
        <w:suppressAutoHyphens w:val="0"/>
        <w:spacing w:line="240" w:lineRule="exact"/>
        <w:ind w:left="426"/>
        <w:jc w:val="both"/>
        <w:textAlignment w:val="auto"/>
        <w:rPr>
          <w:rFonts w:eastAsia="Times New Roman" w:cs="DIN Pro Regular"/>
          <w:bCs/>
          <w:lang w:eastAsia="es-ES"/>
        </w:rPr>
      </w:pPr>
      <w:r>
        <w:rPr>
          <w:rFonts w:eastAsia="Times New Roman" w:cs="DIN Pro Regular"/>
          <w:bCs/>
          <w:lang w:eastAsia="es-ES"/>
        </w:rPr>
        <w:t>Resultado del ejercicio (ahorro/desahorro):</w:t>
      </w:r>
    </w:p>
    <w:p w14:paraId="1B992CA2" w14:textId="77777777" w:rsidR="00BA1871" w:rsidRDefault="00BA1871" w:rsidP="00BA1871">
      <w:pPr>
        <w:widowControl/>
        <w:suppressAutoHyphens w:val="0"/>
        <w:spacing w:line="240" w:lineRule="exact"/>
        <w:ind w:left="1080" w:hanging="360"/>
        <w:jc w:val="both"/>
        <w:textAlignment w:val="auto"/>
        <w:rPr>
          <w:rFonts w:eastAsia="Times New Roman" w:cs="DIN Pro Regular"/>
          <w:bCs/>
          <w:lang w:eastAsia="es-ES"/>
        </w:rPr>
      </w:pPr>
    </w:p>
    <w:p w14:paraId="5E51F08E" w14:textId="77777777" w:rsidR="00BA1871" w:rsidRDefault="00BA1871" w:rsidP="00BA1871">
      <w:pPr>
        <w:widowControl/>
        <w:suppressAutoHyphens w:val="0"/>
        <w:spacing w:line="240" w:lineRule="exact"/>
        <w:jc w:val="both"/>
        <w:textAlignment w:val="auto"/>
        <w:rPr>
          <w:rFonts w:eastAsia="Times New Roman" w:cs="DIN Pro Regular"/>
          <w:bCs/>
          <w:lang w:eastAsia="es-ES"/>
        </w:rPr>
      </w:pPr>
      <w:r>
        <w:rPr>
          <w:rFonts w:eastAsia="Times New Roman" w:cs="DIN Pro Regular"/>
          <w:bCs/>
          <w:lang w:eastAsia="es-ES"/>
        </w:rPr>
        <w:t>El saldo de esta cuenta por $ 7,243,794 representa el monto del ahorro de la gestión del ejercicio actual, respecto de los ingresos y gastos corrientes.</w:t>
      </w:r>
    </w:p>
    <w:p w14:paraId="08867026" w14:textId="77777777" w:rsidR="00BA1871" w:rsidRDefault="00BA1871" w:rsidP="00BA1871">
      <w:pPr>
        <w:widowControl/>
        <w:suppressAutoHyphens w:val="0"/>
        <w:spacing w:line="240" w:lineRule="exact"/>
        <w:ind w:left="1080" w:hanging="360"/>
        <w:jc w:val="both"/>
        <w:textAlignment w:val="auto"/>
        <w:rPr>
          <w:rFonts w:eastAsia="Times New Roman" w:cs="DIN Pro Regular"/>
          <w:bCs/>
          <w:lang w:eastAsia="es-ES"/>
        </w:rPr>
      </w:pPr>
    </w:p>
    <w:p w14:paraId="28891F3F" w14:textId="77777777" w:rsidR="00BA1871" w:rsidRDefault="00BA1871" w:rsidP="00BA1871">
      <w:pPr>
        <w:widowControl/>
        <w:suppressAutoHyphens w:val="0"/>
        <w:spacing w:line="240" w:lineRule="exact"/>
        <w:jc w:val="both"/>
        <w:textAlignment w:val="auto"/>
        <w:rPr>
          <w:rFonts w:eastAsia="Times New Roman" w:cs="DIN Pro Regular"/>
          <w:bCs/>
          <w:lang w:eastAsia="es-ES"/>
        </w:rPr>
      </w:pPr>
      <w:r>
        <w:rPr>
          <w:rFonts w:eastAsia="Times New Roman" w:cs="DIN Pro Regular"/>
          <w:bCs/>
          <w:lang w:eastAsia="es-ES"/>
        </w:rPr>
        <w:t>El importe de $ 4,082,896.00 que refleja la cuenta de patrimonio en el estado de situación financiera al 31 de diciembre de 2024 se detalla a continuación:</w:t>
      </w:r>
    </w:p>
    <w:p w14:paraId="2F808BA1" w14:textId="77777777" w:rsidR="00BA1871" w:rsidRDefault="00BA1871" w:rsidP="00BA1871">
      <w:pPr>
        <w:widowControl/>
        <w:suppressAutoHyphens w:val="0"/>
        <w:spacing w:line="240" w:lineRule="exact"/>
        <w:jc w:val="both"/>
        <w:textAlignment w:val="auto"/>
      </w:pPr>
      <w:r>
        <w:rPr>
          <w:rFonts w:eastAsia="Times New Roman" w:cs="DIN Pro Regular"/>
          <w:bCs/>
        </w:rPr>
        <w:object w:dxaOrig="1440" w:dyaOrig="1440" w14:anchorId="72313DD0">
          <v:shape id="Object 9" o:spid="_x0000_s1032" type="#_x0000_t75" style="position:absolute;left:0;text-align:left;margin-left:105pt;margin-top:7.15pt;width:258.15pt;height:41.6pt;z-index:251666432;visibility:visible;mso-wrap-style:square;mso-position-horizontal-relative:text;mso-position-vertical-relative:text">
            <v:imagedata r:id="rId17" o:title=""/>
          </v:shape>
          <o:OLEObject Type="Embed" ProgID="Excel.Sheet.12" ShapeID="Object 9" DrawAspect="Content" ObjectID="_1801478379" r:id="rId18"/>
        </w:object>
      </w:r>
    </w:p>
    <w:p w14:paraId="71796DDC" w14:textId="77777777" w:rsidR="00BA1871" w:rsidRDefault="00BA1871" w:rsidP="00BA1871">
      <w:pPr>
        <w:widowControl/>
        <w:suppressAutoHyphens w:val="0"/>
        <w:spacing w:line="240" w:lineRule="exact"/>
        <w:jc w:val="both"/>
        <w:textAlignment w:val="auto"/>
        <w:rPr>
          <w:rFonts w:eastAsia="Times New Roman" w:cs="DIN Pro Regular"/>
          <w:bCs/>
          <w:lang w:eastAsia="es-ES"/>
        </w:rPr>
      </w:pPr>
    </w:p>
    <w:p w14:paraId="5A7890F9" w14:textId="77777777" w:rsidR="00BA1871" w:rsidRDefault="00BA1871" w:rsidP="00BA1871">
      <w:pPr>
        <w:widowControl/>
        <w:suppressAutoHyphens w:val="0"/>
        <w:spacing w:line="240" w:lineRule="exact"/>
        <w:jc w:val="both"/>
        <w:textAlignment w:val="auto"/>
        <w:rPr>
          <w:rFonts w:eastAsia="Times New Roman" w:cs="DIN Pro Regular"/>
          <w:b/>
          <w:smallCaps/>
          <w:lang w:val="es-ES" w:eastAsia="es-ES"/>
        </w:rPr>
      </w:pPr>
    </w:p>
    <w:p w14:paraId="5E5E8AA1" w14:textId="77777777" w:rsidR="00BA1871" w:rsidRDefault="00BA1871" w:rsidP="00BA1871">
      <w:pPr>
        <w:pageBreakBefore/>
        <w:suppressAutoHyphens w:val="0"/>
      </w:pPr>
    </w:p>
    <w:p w14:paraId="6BF92B16" w14:textId="77777777" w:rsidR="00BA1871" w:rsidRDefault="00BA1871" w:rsidP="00BA1871">
      <w:pPr>
        <w:pStyle w:val="INCISO"/>
        <w:spacing w:after="0" w:line="240" w:lineRule="exact"/>
        <w:ind w:left="360"/>
      </w:pPr>
      <w:r>
        <w:rPr>
          <w:rFonts w:ascii="Calibri" w:hAnsi="Calibri" w:cs="DIN Pro Regular"/>
          <w:b/>
          <w:smallCaps/>
          <w:sz w:val="20"/>
          <w:szCs w:val="20"/>
        </w:rPr>
        <w:t>IV)</w:t>
      </w:r>
      <w:r>
        <w:rPr>
          <w:rFonts w:ascii="Calibri" w:hAnsi="Calibri" w:cs="DIN Pro Regular"/>
          <w:b/>
          <w:smallCaps/>
          <w:sz w:val="20"/>
          <w:szCs w:val="20"/>
        </w:rPr>
        <w:tab/>
        <w:t>Notas al Estado de Flujos de Efectivo</w:t>
      </w:r>
    </w:p>
    <w:p w14:paraId="50F6DAB6" w14:textId="77777777" w:rsidR="00BA1871" w:rsidRDefault="00BA1871" w:rsidP="00BA1871">
      <w:pPr>
        <w:pStyle w:val="INCISO"/>
        <w:spacing w:after="0" w:line="240" w:lineRule="exact"/>
        <w:ind w:left="360"/>
        <w:rPr>
          <w:rFonts w:ascii="Calibri" w:hAnsi="Calibri" w:cs="DIN Pro Regular"/>
          <w:smallCaps/>
          <w:sz w:val="20"/>
          <w:szCs w:val="20"/>
        </w:rPr>
      </w:pPr>
    </w:p>
    <w:p w14:paraId="29314B5D" w14:textId="77777777" w:rsidR="00BA1871" w:rsidRDefault="00BA1871" w:rsidP="00BA1871">
      <w:pPr>
        <w:pStyle w:val="ROMANOS"/>
        <w:spacing w:after="0" w:line="240" w:lineRule="exact"/>
        <w:ind w:left="1140"/>
      </w:pPr>
      <w:r>
        <w:rPr>
          <w:rFonts w:ascii="Calibri" w:hAnsi="Calibri" w:cs="DIN Pro Regular"/>
          <w:b/>
          <w:sz w:val="20"/>
          <w:szCs w:val="20"/>
          <w:lang w:val="es-MX"/>
        </w:rPr>
        <w:t>Efectivo y equivalentes</w:t>
      </w:r>
    </w:p>
    <w:p w14:paraId="6325010E" w14:textId="77777777" w:rsidR="00BA1871" w:rsidRDefault="00BA1871" w:rsidP="00BA1871">
      <w:pPr>
        <w:pStyle w:val="ROMANOS"/>
        <w:numPr>
          <w:ilvl w:val="0"/>
          <w:numId w:val="2"/>
        </w:numPr>
        <w:spacing w:after="0" w:line="240" w:lineRule="exact"/>
      </w:pPr>
      <w:r>
        <w:rPr>
          <w:rFonts w:ascii="Calibri" w:hAnsi="Calibri" w:cs="DIN Pro Regular"/>
          <w:sz w:val="20"/>
          <w:szCs w:val="20"/>
          <w:lang w:val="es-MX"/>
        </w:rPr>
        <w:t>El análisis de los saldos inicial y final, del Estado de Flujo de Efectivo en la cuenta de efectivo y equivalentes:</w:t>
      </w:r>
    </w:p>
    <w:p w14:paraId="1DA660DC" w14:textId="77777777" w:rsidR="00BA1871" w:rsidRDefault="00BA1871" w:rsidP="00BA1871">
      <w:pPr>
        <w:pStyle w:val="ROMANOS"/>
        <w:spacing w:after="0" w:line="240" w:lineRule="auto"/>
        <w:ind w:left="1140" w:hanging="431"/>
        <w:rPr>
          <w:rFonts w:ascii="Calibri" w:hAnsi="Calibri" w:cs="DIN Pro Regular"/>
          <w:b/>
          <w:sz w:val="20"/>
          <w:szCs w:val="20"/>
          <w:lang w:val="es-MX"/>
        </w:rPr>
      </w:pPr>
    </w:p>
    <w:tbl>
      <w:tblPr>
        <w:tblW w:w="7930" w:type="dxa"/>
        <w:jc w:val="center"/>
        <w:tblLayout w:type="fixed"/>
        <w:tblCellMar>
          <w:left w:w="10" w:type="dxa"/>
          <w:right w:w="10" w:type="dxa"/>
        </w:tblCellMar>
        <w:tblLook w:val="0000" w:firstRow="0" w:lastRow="0" w:firstColumn="0" w:lastColumn="0" w:noHBand="0" w:noVBand="0"/>
      </w:tblPr>
      <w:tblGrid>
        <w:gridCol w:w="5662"/>
        <w:gridCol w:w="1134"/>
        <w:gridCol w:w="1134"/>
      </w:tblGrid>
      <w:tr w:rsidR="00BA1871" w14:paraId="45620B94" w14:textId="77777777" w:rsidTr="00324A31">
        <w:tblPrEx>
          <w:tblCellMar>
            <w:top w:w="0" w:type="dxa"/>
            <w:bottom w:w="0" w:type="dxa"/>
          </w:tblCellMar>
        </w:tblPrEx>
        <w:trPr>
          <w:cantSplit/>
          <w:trHeight w:val="120"/>
          <w:jc w:val="center"/>
        </w:trPr>
        <w:tc>
          <w:tcPr>
            <w:tcW w:w="5662"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2DEAB8C" w14:textId="77777777" w:rsidR="00BA1871" w:rsidRDefault="00BA1871" w:rsidP="00324A31">
            <w:pPr>
              <w:pStyle w:val="Standard"/>
              <w:widowControl w:val="0"/>
              <w:spacing w:after="0" w:line="240" w:lineRule="auto"/>
              <w:jc w:val="both"/>
              <w:rPr>
                <w:rFonts w:eastAsia="Times New Roman" w:cs="DIN Pro Regular"/>
                <w:sz w:val="18"/>
                <w:szCs w:val="18"/>
                <w:lang w:eastAsia="es-ES"/>
              </w:rPr>
            </w:pPr>
          </w:p>
        </w:tc>
        <w:tc>
          <w:tcPr>
            <w:tcW w:w="1134"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367C240" w14:textId="77777777" w:rsidR="00BA1871" w:rsidRDefault="00BA1871" w:rsidP="00324A31">
            <w:pPr>
              <w:pStyle w:val="Standard"/>
              <w:widowControl w:val="0"/>
              <w:spacing w:after="0" w:line="240" w:lineRule="auto"/>
              <w:jc w:val="center"/>
              <w:rPr>
                <w:rFonts w:eastAsia="Times New Roman" w:cs="DIN Pro Regular"/>
                <w:b/>
                <w:color w:val="FFFFFF"/>
                <w:sz w:val="18"/>
                <w:szCs w:val="18"/>
                <w:lang w:eastAsia="es-ES"/>
              </w:rPr>
            </w:pPr>
            <w:r>
              <w:rPr>
                <w:rFonts w:eastAsia="Times New Roman" w:cs="DIN Pro Regular"/>
                <w:b/>
                <w:color w:val="FFFFFF"/>
                <w:sz w:val="18"/>
                <w:szCs w:val="18"/>
                <w:lang w:eastAsia="es-ES"/>
              </w:rPr>
              <w:t>2024</w:t>
            </w:r>
          </w:p>
        </w:tc>
        <w:tc>
          <w:tcPr>
            <w:tcW w:w="1134"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E93C10E" w14:textId="77777777" w:rsidR="00BA1871" w:rsidRDefault="00BA1871" w:rsidP="00324A31">
            <w:pPr>
              <w:pStyle w:val="Standard"/>
              <w:widowControl w:val="0"/>
              <w:spacing w:after="0" w:line="240" w:lineRule="auto"/>
              <w:jc w:val="center"/>
              <w:rPr>
                <w:rFonts w:eastAsia="Times New Roman" w:cs="DIN Pro Regular"/>
                <w:b/>
                <w:color w:val="FFFFFF"/>
                <w:sz w:val="18"/>
                <w:szCs w:val="18"/>
                <w:lang w:eastAsia="es-ES"/>
              </w:rPr>
            </w:pPr>
            <w:r>
              <w:rPr>
                <w:rFonts w:eastAsia="Times New Roman" w:cs="DIN Pro Regular"/>
                <w:b/>
                <w:color w:val="FFFFFF"/>
                <w:sz w:val="18"/>
                <w:szCs w:val="18"/>
                <w:lang w:eastAsia="es-ES"/>
              </w:rPr>
              <w:t>2023</w:t>
            </w:r>
          </w:p>
        </w:tc>
      </w:tr>
      <w:tr w:rsidR="00BA1871" w14:paraId="657ADEC8" w14:textId="77777777" w:rsidTr="00324A31">
        <w:tblPrEx>
          <w:tblCellMar>
            <w:top w:w="0" w:type="dxa"/>
            <w:bottom w:w="0" w:type="dxa"/>
          </w:tblCellMar>
        </w:tblPrEx>
        <w:trPr>
          <w:cantSplit/>
          <w:trHeight w:val="117"/>
          <w:jc w:val="center"/>
        </w:trPr>
        <w:tc>
          <w:tcPr>
            <w:tcW w:w="5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631045" w14:textId="77777777" w:rsidR="00BA1871" w:rsidRDefault="00BA1871" w:rsidP="00324A31">
            <w:pPr>
              <w:pStyle w:val="Standard"/>
              <w:widowControl w:val="0"/>
              <w:spacing w:after="0" w:line="240" w:lineRule="auto"/>
              <w:jc w:val="both"/>
              <w:rPr>
                <w:rFonts w:cs="DIN Pro Regular"/>
                <w:sz w:val="18"/>
                <w:szCs w:val="18"/>
              </w:rPr>
            </w:pPr>
            <w:r>
              <w:rPr>
                <w:rFonts w:cs="DIN Pro Regular"/>
                <w:sz w:val="18"/>
                <w:szCs w:val="18"/>
              </w:rPr>
              <w:t>Efectivo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74094C" w14:textId="77777777" w:rsidR="00BA1871" w:rsidRDefault="00BA1871" w:rsidP="00324A31">
            <w:pPr>
              <w:pStyle w:val="Standard"/>
              <w:widowControl w:val="0"/>
              <w:spacing w:after="0" w:line="240" w:lineRule="auto"/>
              <w:jc w:val="right"/>
              <w:rPr>
                <w:rFonts w:eastAsia="Times New Roman" w:cs="DIN Pro Regular"/>
                <w:sz w:val="18"/>
                <w:szCs w:val="18"/>
                <w:lang w:eastAsia="es-ES"/>
              </w:rPr>
            </w:pPr>
            <w:r>
              <w:rPr>
                <w:rFonts w:eastAsia="Times New Roman" w:cs="DIN Pro Regular"/>
                <w:sz w:val="18"/>
                <w:szCs w:val="18"/>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958778" w14:textId="77777777" w:rsidR="00BA1871" w:rsidRDefault="00BA1871" w:rsidP="00324A31">
            <w:pPr>
              <w:pStyle w:val="Standard"/>
              <w:widowControl w:val="0"/>
              <w:spacing w:after="0" w:line="240" w:lineRule="auto"/>
              <w:jc w:val="right"/>
              <w:rPr>
                <w:rFonts w:eastAsia="Times New Roman" w:cs="DIN Pro Regular"/>
                <w:sz w:val="18"/>
                <w:szCs w:val="18"/>
                <w:lang w:eastAsia="es-ES"/>
              </w:rPr>
            </w:pPr>
            <w:r>
              <w:rPr>
                <w:rFonts w:eastAsia="Times New Roman" w:cs="DIN Pro Regular"/>
                <w:sz w:val="18"/>
                <w:szCs w:val="18"/>
                <w:lang w:eastAsia="es-ES"/>
              </w:rPr>
              <w:t>0</w:t>
            </w:r>
          </w:p>
        </w:tc>
      </w:tr>
      <w:tr w:rsidR="00BA1871" w14:paraId="057FB034" w14:textId="77777777" w:rsidTr="00324A31">
        <w:tblPrEx>
          <w:tblCellMar>
            <w:top w:w="0" w:type="dxa"/>
            <w:bottom w:w="0" w:type="dxa"/>
          </w:tblCellMar>
        </w:tblPrEx>
        <w:trPr>
          <w:cantSplit/>
          <w:trHeight w:val="202"/>
          <w:jc w:val="center"/>
        </w:trPr>
        <w:tc>
          <w:tcPr>
            <w:tcW w:w="5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C196D8" w14:textId="77777777" w:rsidR="00BA1871" w:rsidRDefault="00BA1871" w:rsidP="00324A31">
            <w:pPr>
              <w:pStyle w:val="Standard"/>
              <w:widowControl w:val="0"/>
              <w:spacing w:after="0" w:line="240" w:lineRule="auto"/>
              <w:jc w:val="both"/>
              <w:rPr>
                <w:rFonts w:cs="DIN Pro Regular"/>
                <w:sz w:val="18"/>
                <w:szCs w:val="18"/>
              </w:rPr>
            </w:pPr>
            <w:r>
              <w:rPr>
                <w:rFonts w:cs="DIN Pro Regular"/>
                <w:sz w:val="18"/>
                <w:szCs w:val="18"/>
              </w:rPr>
              <w:t>Bancos/Tesorería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C49D6E" w14:textId="77777777" w:rsidR="00BA1871" w:rsidRDefault="00BA1871" w:rsidP="00324A31">
            <w:pPr>
              <w:pStyle w:val="Standard"/>
              <w:widowControl w:val="0"/>
              <w:spacing w:after="0" w:line="240" w:lineRule="auto"/>
              <w:jc w:val="right"/>
              <w:rPr>
                <w:rFonts w:eastAsia="Times New Roman" w:cs="DIN Pro Regular"/>
                <w:sz w:val="18"/>
                <w:szCs w:val="18"/>
                <w:lang w:eastAsia="es-ES"/>
              </w:rPr>
            </w:pPr>
            <w:r>
              <w:rPr>
                <w:rFonts w:eastAsia="Times New Roman" w:cs="DIN Pro Regular"/>
                <w:sz w:val="18"/>
                <w:szCs w:val="18"/>
                <w:lang w:eastAsia="es-ES"/>
              </w:rPr>
              <w:t>5,618,115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D8714F" w14:textId="77777777" w:rsidR="00BA1871" w:rsidRDefault="00BA1871" w:rsidP="00324A31">
            <w:pPr>
              <w:pStyle w:val="Standard"/>
              <w:widowControl w:val="0"/>
              <w:spacing w:after="0" w:line="240" w:lineRule="auto"/>
              <w:jc w:val="right"/>
              <w:rPr>
                <w:rFonts w:eastAsia="Times New Roman" w:cs="DIN Pro Regular"/>
                <w:sz w:val="18"/>
                <w:szCs w:val="18"/>
                <w:lang w:eastAsia="es-ES"/>
              </w:rPr>
            </w:pPr>
            <w:r>
              <w:rPr>
                <w:rFonts w:eastAsia="Times New Roman" w:cs="DIN Pro Regular"/>
                <w:sz w:val="18"/>
                <w:szCs w:val="18"/>
                <w:lang w:eastAsia="es-ES"/>
              </w:rPr>
              <w:t>6,720,740</w:t>
            </w:r>
          </w:p>
        </w:tc>
      </w:tr>
      <w:tr w:rsidR="00BA1871" w14:paraId="4D4AD2AE" w14:textId="77777777" w:rsidTr="00324A31">
        <w:tblPrEx>
          <w:tblCellMar>
            <w:top w:w="0" w:type="dxa"/>
            <w:bottom w:w="0" w:type="dxa"/>
          </w:tblCellMar>
        </w:tblPrEx>
        <w:trPr>
          <w:cantSplit/>
          <w:trHeight w:val="195"/>
          <w:jc w:val="center"/>
        </w:trPr>
        <w:tc>
          <w:tcPr>
            <w:tcW w:w="5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977FD4" w14:textId="77777777" w:rsidR="00BA1871" w:rsidRDefault="00BA1871" w:rsidP="00324A31">
            <w:pPr>
              <w:pStyle w:val="Standard"/>
              <w:widowControl w:val="0"/>
              <w:spacing w:after="0" w:line="240" w:lineRule="auto"/>
              <w:jc w:val="both"/>
              <w:rPr>
                <w:rFonts w:cs="DIN Pro Regular"/>
                <w:sz w:val="18"/>
                <w:szCs w:val="18"/>
              </w:rPr>
            </w:pPr>
            <w:r>
              <w:rPr>
                <w:rFonts w:cs="DIN Pro Regular"/>
                <w:sz w:val="18"/>
                <w:szCs w:val="18"/>
              </w:rPr>
              <w:t>Bancos/Dependencias y Otros</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0F9FAF" w14:textId="77777777" w:rsidR="00BA1871" w:rsidRDefault="00BA1871" w:rsidP="00324A31">
            <w:pPr>
              <w:pStyle w:val="Standard"/>
              <w:widowControl w:val="0"/>
              <w:spacing w:after="0" w:line="240" w:lineRule="auto"/>
              <w:jc w:val="right"/>
              <w:rPr>
                <w:rFonts w:eastAsia="Times New Roman" w:cs="DIN Pro Regular"/>
                <w:sz w:val="18"/>
                <w:szCs w:val="18"/>
                <w:lang w:eastAsia="es-ES"/>
              </w:rPr>
            </w:pPr>
            <w:r>
              <w:rPr>
                <w:rFonts w:eastAsia="Times New Roman" w:cs="DIN Pro Regular"/>
                <w:sz w:val="18"/>
                <w:szCs w:val="18"/>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6DFB35" w14:textId="77777777" w:rsidR="00BA1871" w:rsidRDefault="00BA1871" w:rsidP="00324A31">
            <w:pPr>
              <w:pStyle w:val="Standard"/>
              <w:widowControl w:val="0"/>
              <w:spacing w:after="0" w:line="240" w:lineRule="auto"/>
              <w:jc w:val="right"/>
              <w:rPr>
                <w:rFonts w:eastAsia="Times New Roman" w:cs="DIN Pro Regular"/>
                <w:sz w:val="18"/>
                <w:szCs w:val="18"/>
                <w:lang w:eastAsia="es-ES"/>
              </w:rPr>
            </w:pPr>
            <w:r>
              <w:rPr>
                <w:rFonts w:eastAsia="Times New Roman" w:cs="DIN Pro Regular"/>
                <w:sz w:val="18"/>
                <w:szCs w:val="18"/>
                <w:lang w:eastAsia="es-ES"/>
              </w:rPr>
              <w:t>0</w:t>
            </w:r>
          </w:p>
        </w:tc>
      </w:tr>
      <w:tr w:rsidR="00BA1871" w14:paraId="55AFA033" w14:textId="77777777" w:rsidTr="00324A31">
        <w:tblPrEx>
          <w:tblCellMar>
            <w:top w:w="0" w:type="dxa"/>
            <w:bottom w:w="0" w:type="dxa"/>
          </w:tblCellMar>
        </w:tblPrEx>
        <w:trPr>
          <w:cantSplit/>
          <w:trHeight w:val="126"/>
          <w:jc w:val="center"/>
        </w:trPr>
        <w:tc>
          <w:tcPr>
            <w:tcW w:w="5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81406A" w14:textId="77777777" w:rsidR="00BA1871" w:rsidRDefault="00BA1871" w:rsidP="00324A31">
            <w:pPr>
              <w:pStyle w:val="Standard"/>
              <w:widowControl w:val="0"/>
              <w:spacing w:after="0" w:line="240" w:lineRule="auto"/>
              <w:jc w:val="both"/>
              <w:rPr>
                <w:rFonts w:eastAsia="Times New Roman" w:cs="DIN Pro Regular"/>
                <w:sz w:val="18"/>
                <w:szCs w:val="18"/>
                <w:lang w:eastAsia="es-ES"/>
              </w:rPr>
            </w:pPr>
            <w:r>
              <w:rPr>
                <w:rFonts w:eastAsia="Times New Roman" w:cs="DIN Pro Regular"/>
                <w:sz w:val="18"/>
                <w:szCs w:val="18"/>
                <w:lang w:eastAsia="es-ES"/>
              </w:rPr>
              <w:t>Inversiones Temporales (hasta 3 meses)</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910F3A" w14:textId="77777777" w:rsidR="00BA1871" w:rsidRDefault="00BA1871" w:rsidP="00324A31">
            <w:pPr>
              <w:pStyle w:val="Standard"/>
              <w:widowControl w:val="0"/>
              <w:spacing w:after="0" w:line="240" w:lineRule="auto"/>
              <w:jc w:val="right"/>
              <w:rPr>
                <w:rFonts w:eastAsia="Times New Roman" w:cs="DIN Pro Regular"/>
                <w:sz w:val="18"/>
                <w:szCs w:val="18"/>
                <w:lang w:eastAsia="es-ES"/>
              </w:rPr>
            </w:pPr>
            <w:r>
              <w:rPr>
                <w:rFonts w:eastAsia="Times New Roman" w:cs="DIN Pro Regular"/>
                <w:sz w:val="18"/>
                <w:szCs w:val="18"/>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021369" w14:textId="77777777" w:rsidR="00BA1871" w:rsidRDefault="00BA1871" w:rsidP="00324A31">
            <w:pPr>
              <w:pStyle w:val="Standard"/>
              <w:widowControl w:val="0"/>
              <w:spacing w:after="0" w:line="240" w:lineRule="auto"/>
              <w:jc w:val="right"/>
              <w:rPr>
                <w:rFonts w:eastAsia="Times New Roman" w:cs="DIN Pro Regular"/>
                <w:sz w:val="18"/>
                <w:szCs w:val="18"/>
                <w:lang w:eastAsia="es-ES"/>
              </w:rPr>
            </w:pPr>
            <w:r>
              <w:rPr>
                <w:rFonts w:eastAsia="Times New Roman" w:cs="DIN Pro Regular"/>
                <w:sz w:val="18"/>
                <w:szCs w:val="18"/>
                <w:lang w:eastAsia="es-ES"/>
              </w:rPr>
              <w:t>0</w:t>
            </w:r>
          </w:p>
        </w:tc>
      </w:tr>
      <w:tr w:rsidR="00BA1871" w14:paraId="18AE23DD" w14:textId="77777777" w:rsidTr="00324A31">
        <w:tblPrEx>
          <w:tblCellMar>
            <w:top w:w="0" w:type="dxa"/>
            <w:bottom w:w="0" w:type="dxa"/>
          </w:tblCellMar>
        </w:tblPrEx>
        <w:trPr>
          <w:cantSplit/>
          <w:trHeight w:val="65"/>
          <w:jc w:val="center"/>
        </w:trPr>
        <w:tc>
          <w:tcPr>
            <w:tcW w:w="5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A1A46F" w14:textId="77777777" w:rsidR="00BA1871" w:rsidRDefault="00BA1871" w:rsidP="00324A31">
            <w:pPr>
              <w:pStyle w:val="Standard"/>
              <w:widowControl w:val="0"/>
              <w:spacing w:after="0" w:line="240" w:lineRule="auto"/>
              <w:jc w:val="both"/>
              <w:rPr>
                <w:rFonts w:eastAsia="Times New Roman" w:cs="DIN Pro Regular"/>
                <w:sz w:val="18"/>
                <w:szCs w:val="18"/>
                <w:lang w:eastAsia="es-ES"/>
              </w:rPr>
            </w:pPr>
            <w:r>
              <w:rPr>
                <w:rFonts w:eastAsia="Times New Roman" w:cs="DIN Pro Regular"/>
                <w:sz w:val="18"/>
                <w:szCs w:val="18"/>
                <w:lang w:eastAsia="es-ES"/>
              </w:rPr>
              <w:t>Fondos con Afectación Específica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2E2358" w14:textId="77777777" w:rsidR="00BA1871" w:rsidRDefault="00BA1871" w:rsidP="00324A31">
            <w:pPr>
              <w:pStyle w:val="Standard"/>
              <w:widowControl w:val="0"/>
              <w:spacing w:after="0" w:line="240" w:lineRule="auto"/>
              <w:jc w:val="right"/>
              <w:rPr>
                <w:rFonts w:eastAsia="Times New Roman" w:cs="DIN Pro Regular"/>
                <w:sz w:val="18"/>
                <w:szCs w:val="18"/>
                <w:lang w:eastAsia="es-ES"/>
              </w:rPr>
            </w:pPr>
            <w:r>
              <w:rPr>
                <w:rFonts w:eastAsia="Times New Roman" w:cs="DIN Pro Regular"/>
                <w:sz w:val="18"/>
                <w:szCs w:val="18"/>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0ECBD2" w14:textId="77777777" w:rsidR="00BA1871" w:rsidRDefault="00BA1871" w:rsidP="00324A31">
            <w:pPr>
              <w:pStyle w:val="Standard"/>
              <w:widowControl w:val="0"/>
              <w:spacing w:after="0" w:line="240" w:lineRule="auto"/>
              <w:jc w:val="right"/>
              <w:rPr>
                <w:rFonts w:eastAsia="Times New Roman" w:cs="DIN Pro Regular"/>
                <w:sz w:val="18"/>
                <w:szCs w:val="18"/>
                <w:lang w:eastAsia="es-ES"/>
              </w:rPr>
            </w:pPr>
            <w:r>
              <w:rPr>
                <w:rFonts w:eastAsia="Times New Roman" w:cs="DIN Pro Regular"/>
                <w:sz w:val="18"/>
                <w:szCs w:val="18"/>
                <w:lang w:eastAsia="es-ES"/>
              </w:rPr>
              <w:t>0</w:t>
            </w:r>
          </w:p>
        </w:tc>
      </w:tr>
      <w:tr w:rsidR="00BA1871" w14:paraId="18533418" w14:textId="77777777" w:rsidTr="00324A31">
        <w:tblPrEx>
          <w:tblCellMar>
            <w:top w:w="0" w:type="dxa"/>
            <w:bottom w:w="0" w:type="dxa"/>
          </w:tblCellMar>
        </w:tblPrEx>
        <w:trPr>
          <w:cantSplit/>
          <w:trHeight w:val="120"/>
          <w:jc w:val="center"/>
        </w:trPr>
        <w:tc>
          <w:tcPr>
            <w:tcW w:w="5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A29067" w14:textId="77777777" w:rsidR="00BA1871" w:rsidRDefault="00BA1871" w:rsidP="00324A31">
            <w:pPr>
              <w:pStyle w:val="Standard"/>
              <w:widowControl w:val="0"/>
              <w:spacing w:after="0" w:line="240" w:lineRule="auto"/>
              <w:jc w:val="both"/>
              <w:rPr>
                <w:rFonts w:eastAsia="Times New Roman" w:cs="DIN Pro Regular"/>
                <w:sz w:val="18"/>
                <w:szCs w:val="18"/>
                <w:lang w:eastAsia="es-ES"/>
              </w:rPr>
            </w:pPr>
            <w:r>
              <w:rPr>
                <w:rFonts w:eastAsia="Times New Roman" w:cs="DIN Pro Regular"/>
                <w:sz w:val="18"/>
                <w:szCs w:val="18"/>
                <w:lang w:eastAsia="es-ES"/>
              </w:rPr>
              <w:t>Depósitos de Fondos de Terceros en Garantía y/o Administración</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8AA552" w14:textId="77777777" w:rsidR="00BA1871" w:rsidRDefault="00BA1871" w:rsidP="00324A31">
            <w:pPr>
              <w:pStyle w:val="Standard"/>
              <w:widowControl w:val="0"/>
              <w:spacing w:after="0" w:line="240" w:lineRule="auto"/>
              <w:jc w:val="right"/>
              <w:rPr>
                <w:rFonts w:eastAsia="Times New Roman" w:cs="DIN Pro Regular"/>
                <w:sz w:val="18"/>
                <w:szCs w:val="18"/>
                <w:lang w:eastAsia="es-ES"/>
              </w:rPr>
            </w:pPr>
            <w:r>
              <w:rPr>
                <w:rFonts w:eastAsia="Times New Roman" w:cs="DIN Pro Regular"/>
                <w:sz w:val="18"/>
                <w:szCs w:val="18"/>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F515D4" w14:textId="77777777" w:rsidR="00BA1871" w:rsidRDefault="00BA1871" w:rsidP="00324A31">
            <w:pPr>
              <w:pStyle w:val="Standard"/>
              <w:widowControl w:val="0"/>
              <w:spacing w:after="0" w:line="240" w:lineRule="auto"/>
              <w:jc w:val="right"/>
              <w:rPr>
                <w:rFonts w:eastAsia="Times New Roman" w:cs="DIN Pro Regular"/>
                <w:sz w:val="18"/>
                <w:szCs w:val="18"/>
                <w:lang w:eastAsia="es-ES"/>
              </w:rPr>
            </w:pPr>
            <w:r>
              <w:rPr>
                <w:rFonts w:eastAsia="Times New Roman" w:cs="DIN Pro Regular"/>
                <w:sz w:val="18"/>
                <w:szCs w:val="18"/>
                <w:lang w:eastAsia="es-ES"/>
              </w:rPr>
              <w:t>0</w:t>
            </w:r>
          </w:p>
        </w:tc>
      </w:tr>
      <w:tr w:rsidR="00BA1871" w14:paraId="5B38788F" w14:textId="77777777" w:rsidTr="00324A31">
        <w:tblPrEx>
          <w:tblCellMar>
            <w:top w:w="0" w:type="dxa"/>
            <w:bottom w:w="0" w:type="dxa"/>
          </w:tblCellMar>
        </w:tblPrEx>
        <w:trPr>
          <w:cantSplit/>
          <w:trHeight w:val="65"/>
          <w:jc w:val="center"/>
        </w:trPr>
        <w:tc>
          <w:tcPr>
            <w:tcW w:w="5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023A89" w14:textId="77777777" w:rsidR="00BA1871" w:rsidRDefault="00BA1871" w:rsidP="00324A31">
            <w:pPr>
              <w:pStyle w:val="Standard"/>
              <w:widowControl w:val="0"/>
              <w:spacing w:after="0" w:line="240" w:lineRule="auto"/>
              <w:jc w:val="both"/>
              <w:rPr>
                <w:rFonts w:cs="DIN Pro Regular"/>
                <w:sz w:val="18"/>
                <w:szCs w:val="18"/>
              </w:rPr>
            </w:pPr>
            <w:r>
              <w:rPr>
                <w:rFonts w:cs="DIN Pro Regular"/>
                <w:sz w:val="18"/>
                <w:szCs w:val="18"/>
              </w:rPr>
              <w:t>Otros Efectivos y Equivalentes</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8C6DFE" w14:textId="77777777" w:rsidR="00BA1871" w:rsidRDefault="00BA1871" w:rsidP="00324A31">
            <w:pPr>
              <w:pStyle w:val="Standard"/>
              <w:widowControl w:val="0"/>
              <w:spacing w:after="0" w:line="240" w:lineRule="auto"/>
              <w:jc w:val="right"/>
              <w:rPr>
                <w:rFonts w:eastAsia="Times New Roman" w:cs="DIN Pro Regular"/>
                <w:sz w:val="18"/>
                <w:szCs w:val="18"/>
                <w:lang w:eastAsia="es-ES"/>
              </w:rPr>
            </w:pPr>
            <w:r>
              <w:rPr>
                <w:rFonts w:eastAsia="Times New Roman" w:cs="DIN Pro Regular"/>
                <w:sz w:val="18"/>
                <w:szCs w:val="18"/>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64630B" w14:textId="77777777" w:rsidR="00BA1871" w:rsidRDefault="00BA1871" w:rsidP="00324A31">
            <w:pPr>
              <w:pStyle w:val="Standard"/>
              <w:widowControl w:val="0"/>
              <w:spacing w:after="0" w:line="240" w:lineRule="auto"/>
              <w:jc w:val="right"/>
              <w:rPr>
                <w:rFonts w:eastAsia="Times New Roman" w:cs="DIN Pro Regular"/>
                <w:sz w:val="18"/>
                <w:szCs w:val="18"/>
                <w:lang w:eastAsia="es-ES"/>
              </w:rPr>
            </w:pPr>
            <w:r>
              <w:rPr>
                <w:rFonts w:eastAsia="Times New Roman" w:cs="DIN Pro Regular"/>
                <w:sz w:val="18"/>
                <w:szCs w:val="18"/>
                <w:lang w:eastAsia="es-ES"/>
              </w:rPr>
              <w:t>0</w:t>
            </w:r>
          </w:p>
        </w:tc>
      </w:tr>
      <w:tr w:rsidR="00BA1871" w14:paraId="3F70C6E5" w14:textId="77777777" w:rsidTr="00324A31">
        <w:tblPrEx>
          <w:tblCellMar>
            <w:top w:w="0" w:type="dxa"/>
            <w:bottom w:w="0" w:type="dxa"/>
          </w:tblCellMar>
        </w:tblPrEx>
        <w:trPr>
          <w:cantSplit/>
          <w:trHeight w:val="202"/>
          <w:jc w:val="center"/>
        </w:trPr>
        <w:tc>
          <w:tcPr>
            <w:tcW w:w="5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75DE71" w14:textId="77777777" w:rsidR="00BA1871" w:rsidRDefault="00BA1871" w:rsidP="00324A31">
            <w:pPr>
              <w:pStyle w:val="Standard"/>
              <w:widowControl w:val="0"/>
              <w:spacing w:after="0" w:line="240" w:lineRule="auto"/>
              <w:jc w:val="both"/>
              <w:rPr>
                <w:rFonts w:eastAsia="Times New Roman" w:cs="DIN Pro Regular"/>
                <w:b/>
                <w:sz w:val="18"/>
                <w:szCs w:val="18"/>
                <w:lang w:eastAsia="es-ES"/>
              </w:rPr>
            </w:pPr>
            <w:r>
              <w:rPr>
                <w:rFonts w:eastAsia="Times New Roman" w:cs="DIN Pro Regular"/>
                <w:b/>
                <w:sz w:val="18"/>
                <w:szCs w:val="18"/>
                <w:lang w:eastAsia="es-ES"/>
              </w:rPr>
              <w:t>Total de Efectivo y Equivalentes</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E35C61" w14:textId="77777777" w:rsidR="00BA1871" w:rsidRDefault="00BA1871" w:rsidP="00324A31">
            <w:pPr>
              <w:pStyle w:val="Standard"/>
              <w:widowControl w:val="0"/>
              <w:spacing w:after="0" w:line="240" w:lineRule="auto"/>
              <w:jc w:val="right"/>
              <w:rPr>
                <w:sz w:val="18"/>
                <w:szCs w:val="18"/>
              </w:rPr>
            </w:pPr>
            <w:r>
              <w:rPr>
                <w:sz w:val="18"/>
                <w:szCs w:val="18"/>
              </w:rPr>
              <w:t>5,618,115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5BF273" w14:textId="77777777" w:rsidR="00BA1871" w:rsidRDefault="00BA1871" w:rsidP="00324A31">
            <w:pPr>
              <w:pStyle w:val="Standard"/>
              <w:widowControl w:val="0"/>
              <w:spacing w:after="0" w:line="240" w:lineRule="auto"/>
              <w:jc w:val="right"/>
              <w:rPr>
                <w:sz w:val="18"/>
                <w:szCs w:val="18"/>
              </w:rPr>
            </w:pPr>
            <w:r>
              <w:rPr>
                <w:sz w:val="18"/>
                <w:szCs w:val="18"/>
              </w:rPr>
              <w:t>6,720,740</w:t>
            </w:r>
          </w:p>
        </w:tc>
      </w:tr>
    </w:tbl>
    <w:p w14:paraId="648B23F8" w14:textId="77777777" w:rsidR="00BA1871" w:rsidRDefault="00BA1871" w:rsidP="00BA1871">
      <w:pPr>
        <w:pStyle w:val="ROMANOS"/>
        <w:spacing w:after="0" w:line="240" w:lineRule="exact"/>
        <w:ind w:left="1140"/>
        <w:rPr>
          <w:rFonts w:ascii="Calibri" w:hAnsi="Calibri" w:cs="DIN Pro Regular"/>
          <w:b/>
          <w:sz w:val="20"/>
          <w:szCs w:val="20"/>
          <w:lang w:val="es-MX"/>
        </w:rPr>
      </w:pPr>
    </w:p>
    <w:p w14:paraId="48EFD229" w14:textId="77777777" w:rsidR="00BA1871" w:rsidRDefault="00BA1871" w:rsidP="00BA1871">
      <w:pPr>
        <w:pStyle w:val="ROMANOS"/>
        <w:spacing w:after="0" w:line="240" w:lineRule="exact"/>
        <w:ind w:left="1140"/>
        <w:rPr>
          <w:rFonts w:ascii="Calibri" w:hAnsi="Calibri" w:cs="DIN Pro Regular"/>
          <w:b/>
          <w:sz w:val="20"/>
          <w:szCs w:val="20"/>
          <w:lang w:val="es-MX"/>
        </w:rPr>
      </w:pPr>
    </w:p>
    <w:p w14:paraId="335E4C68" w14:textId="77777777" w:rsidR="00BA1871" w:rsidRDefault="00BA1871" w:rsidP="00BA1871">
      <w:pPr>
        <w:pStyle w:val="ROMANOS"/>
        <w:spacing w:after="0" w:line="240" w:lineRule="exact"/>
        <w:ind w:left="1140"/>
      </w:pPr>
      <w:r>
        <w:rPr>
          <w:rFonts w:ascii="Calibri" w:hAnsi="Calibri" w:cs="DIN Pro Regular"/>
          <w:b/>
          <w:sz w:val="20"/>
          <w:szCs w:val="20"/>
          <w:lang w:val="es-MX"/>
        </w:rPr>
        <w:t>2.</w:t>
      </w:r>
      <w:r>
        <w:rPr>
          <w:rFonts w:ascii="Calibri" w:hAnsi="Calibri" w:cs="DIN Pro Regular"/>
          <w:sz w:val="20"/>
          <w:szCs w:val="20"/>
          <w:lang w:val="es-MX"/>
        </w:rPr>
        <w:t xml:space="preserve"> Adquisiciones de bienes muebles e inmuebles con su monto global y porcentaje que se aplicó en el presupuesto Federal o Estatal según sea el caso:</w:t>
      </w:r>
    </w:p>
    <w:p w14:paraId="43A5FFA2" w14:textId="77777777" w:rsidR="00BA1871" w:rsidRDefault="00BA1871" w:rsidP="00BA1871">
      <w:pPr>
        <w:pStyle w:val="ROMANOS"/>
        <w:spacing w:after="0" w:line="240" w:lineRule="exact"/>
        <w:ind w:left="1140"/>
        <w:rPr>
          <w:rFonts w:ascii="Calibri" w:hAnsi="Calibri" w:cs="DIN Pro Regular"/>
          <w:b/>
          <w:sz w:val="20"/>
          <w:szCs w:val="20"/>
          <w:lang w:val="es-MX"/>
        </w:rPr>
      </w:pPr>
    </w:p>
    <w:tbl>
      <w:tblPr>
        <w:tblW w:w="9064" w:type="dxa"/>
        <w:jc w:val="center"/>
        <w:tblLayout w:type="fixed"/>
        <w:tblCellMar>
          <w:left w:w="10" w:type="dxa"/>
          <w:right w:w="10" w:type="dxa"/>
        </w:tblCellMar>
        <w:tblLook w:val="0000" w:firstRow="0" w:lastRow="0" w:firstColumn="0" w:lastColumn="0" w:noHBand="0" w:noVBand="0"/>
      </w:tblPr>
      <w:tblGrid>
        <w:gridCol w:w="6100"/>
        <w:gridCol w:w="1830"/>
        <w:gridCol w:w="1134"/>
      </w:tblGrid>
      <w:tr w:rsidR="00BA1871" w14:paraId="306A2978" w14:textId="77777777" w:rsidTr="00324A31">
        <w:tblPrEx>
          <w:tblCellMar>
            <w:top w:w="0" w:type="dxa"/>
            <w:bottom w:w="0" w:type="dxa"/>
          </w:tblCellMar>
        </w:tblPrEx>
        <w:trPr>
          <w:cantSplit/>
          <w:trHeight w:val="384"/>
          <w:jc w:val="center"/>
        </w:trPr>
        <w:tc>
          <w:tcPr>
            <w:tcW w:w="6100"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24CB920" w14:textId="77777777" w:rsidR="00BA1871" w:rsidRDefault="00BA1871" w:rsidP="00324A31">
            <w:pPr>
              <w:pStyle w:val="Standard"/>
              <w:widowControl w:val="0"/>
              <w:spacing w:after="0" w:line="240" w:lineRule="auto"/>
              <w:jc w:val="both"/>
              <w:rPr>
                <w:rFonts w:eastAsia="Times New Roman" w:cs="DIN Pro Regular"/>
                <w:b/>
                <w:color w:val="FFFFFF"/>
                <w:sz w:val="18"/>
                <w:szCs w:val="18"/>
                <w:lang w:eastAsia="es-ES"/>
              </w:rPr>
            </w:pPr>
            <w:r>
              <w:rPr>
                <w:rFonts w:eastAsia="Times New Roman" w:cs="DIN Pro Regular"/>
                <w:b/>
                <w:color w:val="FFFFFF"/>
                <w:sz w:val="18"/>
                <w:szCs w:val="18"/>
                <w:lang w:eastAsia="es-ES"/>
              </w:rPr>
              <w:t>Adquisiciones de Actividades de Inversión efectivamente pagadas</w:t>
            </w:r>
          </w:p>
        </w:tc>
        <w:tc>
          <w:tcPr>
            <w:tcW w:w="1830"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466E135" w14:textId="77777777" w:rsidR="00BA1871" w:rsidRDefault="00BA1871" w:rsidP="00324A31">
            <w:pPr>
              <w:pStyle w:val="Standard"/>
              <w:widowControl w:val="0"/>
              <w:spacing w:after="0" w:line="240" w:lineRule="auto"/>
              <w:jc w:val="center"/>
              <w:rPr>
                <w:rFonts w:eastAsia="Times New Roman" w:cs="DIN Pro Regular"/>
                <w:b/>
                <w:color w:val="FFFFFF"/>
                <w:sz w:val="18"/>
                <w:szCs w:val="18"/>
                <w:lang w:eastAsia="es-ES"/>
              </w:rPr>
            </w:pPr>
          </w:p>
        </w:tc>
        <w:tc>
          <w:tcPr>
            <w:tcW w:w="1134"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9DA8D43" w14:textId="77777777" w:rsidR="00BA1871" w:rsidRDefault="00BA1871" w:rsidP="00324A31">
            <w:pPr>
              <w:pStyle w:val="Standard"/>
              <w:widowControl w:val="0"/>
              <w:spacing w:after="0" w:line="240" w:lineRule="auto"/>
              <w:rPr>
                <w:rFonts w:eastAsia="Times New Roman" w:cs="DIN Pro Regular"/>
                <w:b/>
                <w:color w:val="FFFFFF"/>
                <w:sz w:val="18"/>
                <w:szCs w:val="18"/>
                <w:lang w:eastAsia="es-ES"/>
              </w:rPr>
            </w:pPr>
          </w:p>
        </w:tc>
      </w:tr>
      <w:tr w:rsidR="00BA1871" w14:paraId="24807BA4" w14:textId="77777777" w:rsidTr="00324A31">
        <w:tblPrEx>
          <w:tblCellMar>
            <w:top w:w="0" w:type="dxa"/>
            <w:bottom w:w="0" w:type="dxa"/>
          </w:tblCellMar>
        </w:tblPrEx>
        <w:trPr>
          <w:cantSplit/>
          <w:jc w:val="center"/>
        </w:trPr>
        <w:tc>
          <w:tcPr>
            <w:tcW w:w="6100"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3C5AA2C" w14:textId="77777777" w:rsidR="00BA1871" w:rsidRDefault="00BA1871" w:rsidP="00324A31">
            <w:pPr>
              <w:pStyle w:val="Standard"/>
              <w:widowControl w:val="0"/>
              <w:spacing w:after="0" w:line="240" w:lineRule="auto"/>
              <w:jc w:val="center"/>
              <w:rPr>
                <w:rFonts w:cs="DIN Pro Regular"/>
                <w:b/>
                <w:sz w:val="18"/>
                <w:szCs w:val="18"/>
              </w:rPr>
            </w:pPr>
            <w:r>
              <w:rPr>
                <w:rFonts w:cs="DIN Pro Regular"/>
                <w:b/>
                <w:sz w:val="18"/>
                <w:szCs w:val="18"/>
              </w:rPr>
              <w:t>Concepto</w:t>
            </w:r>
          </w:p>
        </w:tc>
        <w:tc>
          <w:tcPr>
            <w:tcW w:w="1830"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11E4210" w14:textId="77777777" w:rsidR="00BA1871" w:rsidRDefault="00BA1871" w:rsidP="00324A31">
            <w:pPr>
              <w:pStyle w:val="Standard"/>
              <w:widowControl w:val="0"/>
              <w:spacing w:after="0" w:line="240" w:lineRule="auto"/>
              <w:jc w:val="center"/>
              <w:rPr>
                <w:rFonts w:eastAsia="Times New Roman" w:cs="DIN Pro Regular"/>
                <w:b/>
                <w:sz w:val="18"/>
                <w:szCs w:val="18"/>
                <w:lang w:eastAsia="es-ES"/>
              </w:rPr>
            </w:pPr>
            <w:r>
              <w:rPr>
                <w:rFonts w:eastAsia="Times New Roman" w:cs="DIN Pro Regular"/>
                <w:b/>
                <w:sz w:val="18"/>
                <w:szCs w:val="18"/>
                <w:lang w:eastAsia="es-ES"/>
              </w:rPr>
              <w:t>2024</w:t>
            </w:r>
          </w:p>
        </w:tc>
        <w:tc>
          <w:tcPr>
            <w:tcW w:w="1134"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0D91ED5" w14:textId="77777777" w:rsidR="00BA1871" w:rsidRDefault="00BA1871" w:rsidP="00324A31">
            <w:pPr>
              <w:pStyle w:val="Standard"/>
              <w:widowControl w:val="0"/>
              <w:spacing w:after="0" w:line="240" w:lineRule="auto"/>
              <w:jc w:val="center"/>
              <w:rPr>
                <w:rFonts w:eastAsia="Times New Roman" w:cs="DIN Pro Regular"/>
                <w:b/>
                <w:sz w:val="18"/>
                <w:szCs w:val="18"/>
                <w:lang w:eastAsia="es-ES"/>
              </w:rPr>
            </w:pPr>
            <w:r>
              <w:rPr>
                <w:rFonts w:eastAsia="Times New Roman" w:cs="DIN Pro Regular"/>
                <w:b/>
                <w:sz w:val="18"/>
                <w:szCs w:val="18"/>
                <w:lang w:eastAsia="es-ES"/>
              </w:rPr>
              <w:t>%</w:t>
            </w:r>
          </w:p>
        </w:tc>
      </w:tr>
      <w:tr w:rsidR="00BA1871" w14:paraId="0022D29B" w14:textId="77777777" w:rsidTr="00324A31">
        <w:tblPrEx>
          <w:tblCellMar>
            <w:top w:w="0" w:type="dxa"/>
            <w:bottom w:w="0" w:type="dxa"/>
          </w:tblCellMar>
        </w:tblPrEx>
        <w:trPr>
          <w:cantSplit/>
          <w:trHeight w:val="322"/>
          <w:jc w:val="center"/>
        </w:trPr>
        <w:tc>
          <w:tcPr>
            <w:tcW w:w="61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1412A2" w14:textId="77777777" w:rsidR="00BA1871" w:rsidRDefault="00BA1871" w:rsidP="00324A31">
            <w:pPr>
              <w:pStyle w:val="Standard"/>
              <w:widowControl w:val="0"/>
              <w:spacing w:after="0" w:line="240" w:lineRule="auto"/>
              <w:jc w:val="both"/>
              <w:rPr>
                <w:rFonts w:cs="DIN Pro Regular"/>
                <w:b/>
                <w:sz w:val="18"/>
                <w:szCs w:val="18"/>
              </w:rPr>
            </w:pPr>
            <w:r>
              <w:rPr>
                <w:rFonts w:cs="DIN Pro Regular"/>
                <w:b/>
                <w:sz w:val="18"/>
                <w:szCs w:val="18"/>
              </w:rPr>
              <w:t>Bienes Inmuebles, Infraestructura y Construcciones en Proceso</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1BD06B" w14:textId="77777777" w:rsidR="00BA1871" w:rsidRDefault="00BA1871" w:rsidP="00324A31">
            <w:pPr>
              <w:pStyle w:val="Standard"/>
              <w:widowControl w:val="0"/>
              <w:spacing w:after="0" w:line="240" w:lineRule="auto"/>
              <w:jc w:val="right"/>
              <w:rPr>
                <w:rFonts w:eastAsia="Times New Roman" w:cs="DIN Pro Regular"/>
                <w:b/>
                <w:sz w:val="18"/>
                <w:szCs w:val="18"/>
                <w:lang w:eastAsia="es-ES"/>
              </w:rPr>
            </w:pPr>
            <w:r>
              <w:rPr>
                <w:rFonts w:eastAsia="Times New Roman" w:cs="DIN Pro Regular"/>
                <w:b/>
                <w:sz w:val="18"/>
                <w:szCs w:val="18"/>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1768F8" w14:textId="77777777" w:rsidR="00BA1871" w:rsidRDefault="00BA1871" w:rsidP="00324A31">
            <w:pPr>
              <w:pStyle w:val="Standard"/>
              <w:widowControl w:val="0"/>
              <w:spacing w:after="0" w:line="240" w:lineRule="auto"/>
              <w:jc w:val="right"/>
              <w:rPr>
                <w:rFonts w:eastAsia="Times New Roman" w:cs="DIN Pro Regular"/>
                <w:b/>
                <w:sz w:val="18"/>
                <w:szCs w:val="18"/>
                <w:lang w:eastAsia="es-ES"/>
              </w:rPr>
            </w:pPr>
            <w:r>
              <w:rPr>
                <w:rFonts w:eastAsia="Times New Roman" w:cs="DIN Pro Regular"/>
                <w:b/>
                <w:sz w:val="18"/>
                <w:szCs w:val="18"/>
                <w:lang w:eastAsia="es-ES"/>
              </w:rPr>
              <w:t>0</w:t>
            </w:r>
          </w:p>
        </w:tc>
      </w:tr>
      <w:tr w:rsidR="00BA1871" w14:paraId="6A3CBCD4" w14:textId="77777777" w:rsidTr="00324A31">
        <w:tblPrEx>
          <w:tblCellMar>
            <w:top w:w="0" w:type="dxa"/>
            <w:bottom w:w="0" w:type="dxa"/>
          </w:tblCellMar>
        </w:tblPrEx>
        <w:trPr>
          <w:cantSplit/>
          <w:trHeight w:val="65"/>
          <w:jc w:val="center"/>
        </w:trPr>
        <w:tc>
          <w:tcPr>
            <w:tcW w:w="61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F635FC" w14:textId="77777777" w:rsidR="00BA1871" w:rsidRDefault="00BA1871" w:rsidP="00324A31">
            <w:pPr>
              <w:pStyle w:val="Standard"/>
              <w:widowControl w:val="0"/>
              <w:spacing w:after="0" w:line="240" w:lineRule="auto"/>
              <w:jc w:val="both"/>
              <w:rPr>
                <w:rFonts w:cs="DIN Pro Regular"/>
                <w:sz w:val="18"/>
                <w:szCs w:val="18"/>
              </w:rPr>
            </w:pPr>
            <w:r>
              <w:rPr>
                <w:rFonts w:cs="DIN Pro Regular"/>
                <w:sz w:val="18"/>
                <w:szCs w:val="18"/>
              </w:rPr>
              <w:t>Terrenos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81EECC" w14:textId="77777777" w:rsidR="00BA1871" w:rsidRDefault="00BA1871" w:rsidP="00324A31">
            <w:pPr>
              <w:pStyle w:val="Standard"/>
              <w:widowControl w:val="0"/>
              <w:spacing w:after="0" w:line="240" w:lineRule="auto"/>
              <w:jc w:val="right"/>
              <w:rPr>
                <w:rFonts w:eastAsia="Times New Roman" w:cs="DIN Pro Regular"/>
                <w:sz w:val="18"/>
                <w:szCs w:val="18"/>
                <w:lang w:eastAsia="es-ES"/>
              </w:rPr>
            </w:pPr>
            <w:r>
              <w:rPr>
                <w:rFonts w:eastAsia="Times New Roman" w:cs="DIN Pro Regular"/>
                <w:sz w:val="18"/>
                <w:szCs w:val="18"/>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B2DFB3" w14:textId="77777777" w:rsidR="00BA1871" w:rsidRDefault="00BA1871" w:rsidP="00324A31">
            <w:pPr>
              <w:pStyle w:val="Standard"/>
              <w:widowControl w:val="0"/>
              <w:spacing w:after="0" w:line="240" w:lineRule="auto"/>
              <w:jc w:val="right"/>
              <w:rPr>
                <w:rFonts w:eastAsia="Times New Roman" w:cs="DIN Pro Regular"/>
                <w:sz w:val="18"/>
                <w:szCs w:val="18"/>
                <w:lang w:eastAsia="es-ES"/>
              </w:rPr>
            </w:pPr>
            <w:r>
              <w:rPr>
                <w:rFonts w:eastAsia="Times New Roman" w:cs="DIN Pro Regular"/>
                <w:sz w:val="18"/>
                <w:szCs w:val="18"/>
                <w:lang w:eastAsia="es-ES"/>
              </w:rPr>
              <w:t>0</w:t>
            </w:r>
          </w:p>
        </w:tc>
      </w:tr>
      <w:tr w:rsidR="00BA1871" w14:paraId="7C13BFC6" w14:textId="77777777" w:rsidTr="00324A31">
        <w:tblPrEx>
          <w:tblCellMar>
            <w:top w:w="0" w:type="dxa"/>
            <w:bottom w:w="0" w:type="dxa"/>
          </w:tblCellMar>
        </w:tblPrEx>
        <w:trPr>
          <w:cantSplit/>
          <w:jc w:val="center"/>
        </w:trPr>
        <w:tc>
          <w:tcPr>
            <w:tcW w:w="61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24F2F3" w14:textId="77777777" w:rsidR="00BA1871" w:rsidRDefault="00BA1871" w:rsidP="00324A31">
            <w:pPr>
              <w:pStyle w:val="Standard"/>
              <w:widowControl w:val="0"/>
              <w:spacing w:after="0" w:line="240" w:lineRule="auto"/>
              <w:jc w:val="both"/>
              <w:rPr>
                <w:rFonts w:cs="DIN Pro Regular"/>
                <w:sz w:val="18"/>
                <w:szCs w:val="18"/>
              </w:rPr>
            </w:pPr>
            <w:r>
              <w:rPr>
                <w:rFonts w:cs="DIN Pro Regular"/>
                <w:sz w:val="18"/>
                <w:szCs w:val="18"/>
              </w:rPr>
              <w:t>Viviendas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891744" w14:textId="77777777" w:rsidR="00BA1871" w:rsidRDefault="00BA1871" w:rsidP="00324A31">
            <w:pPr>
              <w:pStyle w:val="Standard"/>
              <w:widowControl w:val="0"/>
              <w:spacing w:after="0" w:line="240" w:lineRule="auto"/>
              <w:jc w:val="right"/>
              <w:rPr>
                <w:rFonts w:eastAsia="Times New Roman" w:cs="DIN Pro Regular"/>
                <w:sz w:val="18"/>
                <w:szCs w:val="18"/>
                <w:lang w:eastAsia="es-ES"/>
              </w:rPr>
            </w:pPr>
            <w:r>
              <w:rPr>
                <w:rFonts w:eastAsia="Times New Roman" w:cs="DIN Pro Regular"/>
                <w:sz w:val="18"/>
                <w:szCs w:val="18"/>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4E4E03" w14:textId="77777777" w:rsidR="00BA1871" w:rsidRDefault="00BA1871" w:rsidP="00324A31">
            <w:pPr>
              <w:pStyle w:val="Standard"/>
              <w:widowControl w:val="0"/>
              <w:spacing w:after="0" w:line="240" w:lineRule="auto"/>
              <w:jc w:val="right"/>
              <w:rPr>
                <w:rFonts w:eastAsia="Times New Roman" w:cs="DIN Pro Regular"/>
                <w:sz w:val="18"/>
                <w:szCs w:val="18"/>
                <w:lang w:eastAsia="es-ES"/>
              </w:rPr>
            </w:pPr>
            <w:r>
              <w:rPr>
                <w:rFonts w:eastAsia="Times New Roman" w:cs="DIN Pro Regular"/>
                <w:sz w:val="18"/>
                <w:szCs w:val="18"/>
                <w:lang w:eastAsia="es-ES"/>
              </w:rPr>
              <w:t>0</w:t>
            </w:r>
          </w:p>
        </w:tc>
      </w:tr>
      <w:tr w:rsidR="00BA1871" w14:paraId="5DD463F4" w14:textId="77777777" w:rsidTr="00324A31">
        <w:tblPrEx>
          <w:tblCellMar>
            <w:top w:w="0" w:type="dxa"/>
            <w:bottom w:w="0" w:type="dxa"/>
          </w:tblCellMar>
        </w:tblPrEx>
        <w:trPr>
          <w:cantSplit/>
          <w:jc w:val="center"/>
        </w:trPr>
        <w:tc>
          <w:tcPr>
            <w:tcW w:w="61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B10458" w14:textId="77777777" w:rsidR="00BA1871" w:rsidRDefault="00BA1871" w:rsidP="00324A31">
            <w:pPr>
              <w:pStyle w:val="Standard"/>
              <w:widowControl w:val="0"/>
              <w:spacing w:after="0" w:line="240" w:lineRule="auto"/>
              <w:jc w:val="both"/>
              <w:rPr>
                <w:rFonts w:eastAsia="Times New Roman" w:cs="DIN Pro Regular"/>
                <w:sz w:val="18"/>
                <w:szCs w:val="18"/>
                <w:lang w:eastAsia="es-ES"/>
              </w:rPr>
            </w:pPr>
            <w:r>
              <w:rPr>
                <w:rFonts w:eastAsia="Times New Roman" w:cs="DIN Pro Regular"/>
                <w:sz w:val="18"/>
                <w:szCs w:val="18"/>
                <w:lang w:eastAsia="es-ES"/>
              </w:rPr>
              <w:t>Edificios no Habitacionales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006FB9" w14:textId="77777777" w:rsidR="00BA1871" w:rsidRDefault="00BA1871" w:rsidP="00324A31">
            <w:pPr>
              <w:pStyle w:val="Standard"/>
              <w:widowControl w:val="0"/>
              <w:spacing w:after="0" w:line="240" w:lineRule="auto"/>
              <w:jc w:val="right"/>
              <w:rPr>
                <w:rFonts w:eastAsia="Times New Roman" w:cs="DIN Pro Regular"/>
                <w:sz w:val="18"/>
                <w:szCs w:val="18"/>
                <w:lang w:eastAsia="es-ES"/>
              </w:rPr>
            </w:pPr>
            <w:r>
              <w:rPr>
                <w:rFonts w:eastAsia="Times New Roman" w:cs="DIN Pro Regular"/>
                <w:sz w:val="18"/>
                <w:szCs w:val="18"/>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CAD830" w14:textId="77777777" w:rsidR="00BA1871" w:rsidRDefault="00BA1871" w:rsidP="00324A31">
            <w:pPr>
              <w:pStyle w:val="Standard"/>
              <w:widowControl w:val="0"/>
              <w:spacing w:after="0" w:line="240" w:lineRule="auto"/>
              <w:jc w:val="right"/>
              <w:rPr>
                <w:rFonts w:eastAsia="Times New Roman" w:cs="DIN Pro Regular"/>
                <w:sz w:val="18"/>
                <w:szCs w:val="18"/>
                <w:lang w:eastAsia="es-ES"/>
              </w:rPr>
            </w:pPr>
            <w:r>
              <w:rPr>
                <w:rFonts w:eastAsia="Times New Roman" w:cs="DIN Pro Regular"/>
                <w:sz w:val="18"/>
                <w:szCs w:val="18"/>
                <w:lang w:eastAsia="es-ES"/>
              </w:rPr>
              <w:t>0</w:t>
            </w:r>
          </w:p>
        </w:tc>
      </w:tr>
      <w:tr w:rsidR="00BA1871" w14:paraId="5BD660DB" w14:textId="77777777" w:rsidTr="00324A31">
        <w:tblPrEx>
          <w:tblCellMar>
            <w:top w:w="0" w:type="dxa"/>
            <w:bottom w:w="0" w:type="dxa"/>
          </w:tblCellMar>
        </w:tblPrEx>
        <w:trPr>
          <w:cantSplit/>
          <w:jc w:val="center"/>
        </w:trPr>
        <w:tc>
          <w:tcPr>
            <w:tcW w:w="61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0B8287" w14:textId="77777777" w:rsidR="00BA1871" w:rsidRDefault="00BA1871" w:rsidP="00324A31">
            <w:pPr>
              <w:pStyle w:val="Standard"/>
              <w:widowControl w:val="0"/>
              <w:spacing w:after="0" w:line="240" w:lineRule="auto"/>
              <w:jc w:val="both"/>
              <w:rPr>
                <w:rFonts w:eastAsia="Times New Roman" w:cs="DIN Pro Regular"/>
                <w:sz w:val="18"/>
                <w:szCs w:val="18"/>
                <w:lang w:eastAsia="es-ES"/>
              </w:rPr>
            </w:pPr>
            <w:r>
              <w:rPr>
                <w:rFonts w:eastAsia="Times New Roman" w:cs="DIN Pro Regular"/>
                <w:sz w:val="18"/>
                <w:szCs w:val="18"/>
                <w:lang w:eastAsia="es-ES"/>
              </w:rPr>
              <w:t>Infraestructura</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9B3B54" w14:textId="77777777" w:rsidR="00BA1871" w:rsidRDefault="00BA1871" w:rsidP="00324A31">
            <w:pPr>
              <w:pStyle w:val="Standard"/>
              <w:widowControl w:val="0"/>
              <w:spacing w:after="0" w:line="240" w:lineRule="auto"/>
              <w:jc w:val="right"/>
              <w:rPr>
                <w:rFonts w:eastAsia="Times New Roman" w:cs="DIN Pro Regular"/>
                <w:sz w:val="18"/>
                <w:szCs w:val="18"/>
                <w:lang w:eastAsia="es-ES"/>
              </w:rPr>
            </w:pPr>
            <w:r>
              <w:rPr>
                <w:rFonts w:eastAsia="Times New Roman" w:cs="DIN Pro Regular"/>
                <w:sz w:val="18"/>
                <w:szCs w:val="18"/>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3FC787" w14:textId="77777777" w:rsidR="00BA1871" w:rsidRDefault="00BA1871" w:rsidP="00324A31">
            <w:pPr>
              <w:pStyle w:val="Standard"/>
              <w:widowControl w:val="0"/>
              <w:spacing w:after="0" w:line="240" w:lineRule="auto"/>
              <w:jc w:val="right"/>
              <w:rPr>
                <w:rFonts w:eastAsia="Times New Roman" w:cs="DIN Pro Regular"/>
                <w:sz w:val="18"/>
                <w:szCs w:val="18"/>
                <w:lang w:eastAsia="es-ES"/>
              </w:rPr>
            </w:pPr>
            <w:r>
              <w:rPr>
                <w:rFonts w:eastAsia="Times New Roman" w:cs="DIN Pro Regular"/>
                <w:sz w:val="18"/>
                <w:szCs w:val="18"/>
                <w:lang w:eastAsia="es-ES"/>
              </w:rPr>
              <w:t>0</w:t>
            </w:r>
          </w:p>
        </w:tc>
      </w:tr>
      <w:tr w:rsidR="00BA1871" w14:paraId="4E577401" w14:textId="77777777" w:rsidTr="00324A31">
        <w:tblPrEx>
          <w:tblCellMar>
            <w:top w:w="0" w:type="dxa"/>
            <w:bottom w:w="0" w:type="dxa"/>
          </w:tblCellMar>
        </w:tblPrEx>
        <w:trPr>
          <w:cantSplit/>
          <w:jc w:val="center"/>
        </w:trPr>
        <w:tc>
          <w:tcPr>
            <w:tcW w:w="61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4E9118" w14:textId="77777777" w:rsidR="00BA1871" w:rsidRDefault="00BA1871" w:rsidP="00324A31">
            <w:pPr>
              <w:pStyle w:val="Standard"/>
              <w:widowControl w:val="0"/>
              <w:spacing w:after="0" w:line="240" w:lineRule="auto"/>
              <w:jc w:val="both"/>
              <w:rPr>
                <w:rFonts w:eastAsia="Times New Roman" w:cs="DIN Pro Regular"/>
                <w:sz w:val="18"/>
                <w:szCs w:val="18"/>
                <w:lang w:eastAsia="es-ES"/>
              </w:rPr>
            </w:pPr>
            <w:r>
              <w:rPr>
                <w:rFonts w:eastAsia="Times New Roman" w:cs="DIN Pro Regular"/>
                <w:sz w:val="18"/>
                <w:szCs w:val="18"/>
                <w:lang w:eastAsia="es-ES"/>
              </w:rPr>
              <w:t>Construcciones en Proceso de Bienes de Dominio Público</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210FE6" w14:textId="77777777" w:rsidR="00BA1871" w:rsidRDefault="00BA1871" w:rsidP="00324A31">
            <w:pPr>
              <w:pStyle w:val="Standard"/>
              <w:widowControl w:val="0"/>
              <w:spacing w:after="0" w:line="240" w:lineRule="auto"/>
              <w:jc w:val="right"/>
              <w:rPr>
                <w:rFonts w:eastAsia="Times New Roman" w:cs="DIN Pro Regular"/>
                <w:sz w:val="18"/>
                <w:szCs w:val="18"/>
                <w:lang w:eastAsia="es-ES"/>
              </w:rPr>
            </w:pPr>
            <w:r>
              <w:rPr>
                <w:rFonts w:eastAsia="Times New Roman" w:cs="DIN Pro Regular"/>
                <w:sz w:val="18"/>
                <w:szCs w:val="18"/>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6BBDA6" w14:textId="77777777" w:rsidR="00BA1871" w:rsidRDefault="00BA1871" w:rsidP="00324A31">
            <w:pPr>
              <w:pStyle w:val="Standard"/>
              <w:widowControl w:val="0"/>
              <w:spacing w:after="0" w:line="240" w:lineRule="auto"/>
              <w:jc w:val="right"/>
              <w:rPr>
                <w:rFonts w:eastAsia="Times New Roman" w:cs="DIN Pro Regular"/>
                <w:sz w:val="18"/>
                <w:szCs w:val="18"/>
                <w:lang w:eastAsia="es-ES"/>
              </w:rPr>
            </w:pPr>
            <w:r>
              <w:rPr>
                <w:rFonts w:eastAsia="Times New Roman" w:cs="DIN Pro Regular"/>
                <w:sz w:val="18"/>
                <w:szCs w:val="18"/>
                <w:lang w:eastAsia="es-ES"/>
              </w:rPr>
              <w:t>0</w:t>
            </w:r>
          </w:p>
        </w:tc>
      </w:tr>
      <w:tr w:rsidR="00BA1871" w14:paraId="010D6D02" w14:textId="77777777" w:rsidTr="00324A31">
        <w:tblPrEx>
          <w:tblCellMar>
            <w:top w:w="0" w:type="dxa"/>
            <w:bottom w:w="0" w:type="dxa"/>
          </w:tblCellMar>
        </w:tblPrEx>
        <w:trPr>
          <w:cantSplit/>
          <w:trHeight w:val="211"/>
          <w:jc w:val="center"/>
        </w:trPr>
        <w:tc>
          <w:tcPr>
            <w:tcW w:w="61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0A1705" w14:textId="77777777" w:rsidR="00BA1871" w:rsidRDefault="00BA1871" w:rsidP="00324A31">
            <w:pPr>
              <w:pStyle w:val="Standard"/>
              <w:widowControl w:val="0"/>
              <w:spacing w:after="0" w:line="240" w:lineRule="auto"/>
              <w:jc w:val="both"/>
              <w:rPr>
                <w:rFonts w:eastAsia="Times New Roman" w:cs="DIN Pro Regular"/>
                <w:sz w:val="18"/>
                <w:szCs w:val="18"/>
                <w:lang w:eastAsia="es-ES"/>
              </w:rPr>
            </w:pPr>
            <w:r>
              <w:rPr>
                <w:rFonts w:eastAsia="Times New Roman" w:cs="DIN Pro Regular"/>
                <w:sz w:val="18"/>
                <w:szCs w:val="18"/>
                <w:lang w:eastAsia="es-ES"/>
              </w:rPr>
              <w:t>Construcciones en Proceso de Bienes Propios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21C752" w14:textId="77777777" w:rsidR="00BA1871" w:rsidRDefault="00BA1871" w:rsidP="00324A31">
            <w:pPr>
              <w:pStyle w:val="Standard"/>
              <w:widowControl w:val="0"/>
              <w:spacing w:after="0" w:line="240" w:lineRule="auto"/>
              <w:jc w:val="right"/>
              <w:rPr>
                <w:rFonts w:eastAsia="Times New Roman" w:cs="DIN Pro Regular"/>
                <w:sz w:val="18"/>
                <w:szCs w:val="18"/>
                <w:lang w:eastAsia="es-ES"/>
              </w:rPr>
            </w:pPr>
            <w:r>
              <w:rPr>
                <w:rFonts w:eastAsia="Times New Roman" w:cs="DIN Pro Regular"/>
                <w:sz w:val="18"/>
                <w:szCs w:val="18"/>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E890F1" w14:textId="77777777" w:rsidR="00BA1871" w:rsidRDefault="00BA1871" w:rsidP="00324A31">
            <w:pPr>
              <w:pStyle w:val="Standard"/>
              <w:widowControl w:val="0"/>
              <w:spacing w:after="0" w:line="240" w:lineRule="auto"/>
              <w:jc w:val="right"/>
              <w:rPr>
                <w:rFonts w:eastAsia="Times New Roman" w:cs="DIN Pro Regular"/>
                <w:sz w:val="18"/>
                <w:szCs w:val="18"/>
                <w:lang w:eastAsia="es-ES"/>
              </w:rPr>
            </w:pPr>
            <w:r>
              <w:rPr>
                <w:rFonts w:eastAsia="Times New Roman" w:cs="DIN Pro Regular"/>
                <w:sz w:val="18"/>
                <w:szCs w:val="18"/>
                <w:lang w:eastAsia="es-ES"/>
              </w:rPr>
              <w:t>0</w:t>
            </w:r>
          </w:p>
        </w:tc>
      </w:tr>
      <w:tr w:rsidR="00BA1871" w14:paraId="56D222EF" w14:textId="77777777" w:rsidTr="00324A31">
        <w:tblPrEx>
          <w:tblCellMar>
            <w:top w:w="0" w:type="dxa"/>
            <w:bottom w:w="0" w:type="dxa"/>
          </w:tblCellMar>
        </w:tblPrEx>
        <w:trPr>
          <w:cantSplit/>
          <w:jc w:val="center"/>
        </w:trPr>
        <w:tc>
          <w:tcPr>
            <w:tcW w:w="61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1B9826" w14:textId="77777777" w:rsidR="00BA1871" w:rsidRDefault="00BA1871" w:rsidP="00324A31">
            <w:pPr>
              <w:pStyle w:val="Standard"/>
              <w:widowControl w:val="0"/>
              <w:spacing w:after="0" w:line="240" w:lineRule="auto"/>
              <w:jc w:val="both"/>
              <w:rPr>
                <w:rFonts w:eastAsia="Times New Roman" w:cs="DIN Pro Regular"/>
                <w:sz w:val="18"/>
                <w:szCs w:val="18"/>
                <w:lang w:eastAsia="es-ES"/>
              </w:rPr>
            </w:pPr>
            <w:r>
              <w:rPr>
                <w:rFonts w:eastAsia="Times New Roman" w:cs="DIN Pro Regular"/>
                <w:sz w:val="18"/>
                <w:szCs w:val="18"/>
                <w:lang w:eastAsia="es-ES"/>
              </w:rPr>
              <w:t>Otros Bienes Inmuebles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A8F35F" w14:textId="77777777" w:rsidR="00BA1871" w:rsidRDefault="00BA1871" w:rsidP="00324A31">
            <w:pPr>
              <w:pStyle w:val="Standard"/>
              <w:widowControl w:val="0"/>
              <w:spacing w:after="0" w:line="240" w:lineRule="auto"/>
              <w:jc w:val="right"/>
              <w:rPr>
                <w:rFonts w:eastAsia="Times New Roman" w:cs="DIN Pro Regular"/>
                <w:sz w:val="18"/>
                <w:szCs w:val="18"/>
                <w:lang w:eastAsia="es-ES"/>
              </w:rPr>
            </w:pPr>
            <w:r>
              <w:rPr>
                <w:rFonts w:eastAsia="Times New Roman" w:cs="DIN Pro Regular"/>
                <w:sz w:val="18"/>
                <w:szCs w:val="18"/>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8D7BC6" w14:textId="77777777" w:rsidR="00BA1871" w:rsidRDefault="00BA1871" w:rsidP="00324A31">
            <w:pPr>
              <w:pStyle w:val="Standard"/>
              <w:widowControl w:val="0"/>
              <w:spacing w:after="0" w:line="240" w:lineRule="auto"/>
              <w:jc w:val="right"/>
              <w:rPr>
                <w:rFonts w:eastAsia="Times New Roman" w:cs="DIN Pro Regular"/>
                <w:sz w:val="18"/>
                <w:szCs w:val="18"/>
                <w:lang w:eastAsia="es-ES"/>
              </w:rPr>
            </w:pPr>
            <w:r>
              <w:rPr>
                <w:rFonts w:eastAsia="Times New Roman" w:cs="DIN Pro Regular"/>
                <w:sz w:val="18"/>
                <w:szCs w:val="18"/>
                <w:lang w:eastAsia="es-ES"/>
              </w:rPr>
              <w:t>0</w:t>
            </w:r>
          </w:p>
        </w:tc>
      </w:tr>
      <w:tr w:rsidR="00BA1871" w14:paraId="5EC46CB5" w14:textId="77777777" w:rsidTr="00324A31">
        <w:tblPrEx>
          <w:tblCellMar>
            <w:top w:w="0" w:type="dxa"/>
            <w:bottom w:w="0" w:type="dxa"/>
          </w:tblCellMar>
        </w:tblPrEx>
        <w:trPr>
          <w:cantSplit/>
          <w:trHeight w:val="337"/>
          <w:jc w:val="center"/>
        </w:trPr>
        <w:tc>
          <w:tcPr>
            <w:tcW w:w="61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931A04" w14:textId="77777777" w:rsidR="00BA1871" w:rsidRDefault="00BA1871" w:rsidP="00324A31">
            <w:pPr>
              <w:pStyle w:val="Standard"/>
              <w:widowControl w:val="0"/>
              <w:spacing w:after="0" w:line="240" w:lineRule="auto"/>
              <w:jc w:val="both"/>
              <w:rPr>
                <w:rFonts w:eastAsia="Times New Roman" w:cs="DIN Pro Regular"/>
                <w:b/>
                <w:sz w:val="18"/>
                <w:szCs w:val="18"/>
                <w:lang w:eastAsia="es-ES"/>
              </w:rPr>
            </w:pPr>
            <w:r>
              <w:rPr>
                <w:rFonts w:eastAsia="Times New Roman" w:cs="DIN Pro Regular"/>
                <w:b/>
                <w:sz w:val="18"/>
                <w:szCs w:val="18"/>
                <w:lang w:eastAsia="es-ES"/>
              </w:rPr>
              <w:t>Bienes Muebles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59FA92" w14:textId="77777777" w:rsidR="00BA1871" w:rsidRDefault="00BA1871" w:rsidP="00324A31">
            <w:pPr>
              <w:pStyle w:val="Standard"/>
              <w:widowControl w:val="0"/>
              <w:spacing w:after="0" w:line="240" w:lineRule="auto"/>
              <w:jc w:val="right"/>
            </w:pPr>
            <w:r>
              <w:rPr>
                <w:sz w:val="18"/>
                <w:szCs w:val="18"/>
              </w:rPr>
              <w:t>$10,233,713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EE9B30" w14:textId="77777777" w:rsidR="00BA1871" w:rsidRDefault="00BA1871" w:rsidP="00324A31">
            <w:pPr>
              <w:pStyle w:val="Standard"/>
              <w:widowControl w:val="0"/>
              <w:spacing w:after="0" w:line="240" w:lineRule="auto"/>
              <w:jc w:val="right"/>
              <w:rPr>
                <w:rFonts w:eastAsia="Times New Roman" w:cs="DIN Pro Regular"/>
                <w:sz w:val="18"/>
                <w:szCs w:val="18"/>
                <w:lang w:eastAsia="es-ES"/>
              </w:rPr>
            </w:pPr>
            <w:r>
              <w:rPr>
                <w:rFonts w:eastAsia="Times New Roman" w:cs="DIN Pro Regular"/>
                <w:sz w:val="18"/>
                <w:szCs w:val="18"/>
                <w:lang w:eastAsia="es-ES"/>
              </w:rPr>
              <w:t>6.4620%</w:t>
            </w:r>
          </w:p>
        </w:tc>
      </w:tr>
      <w:tr w:rsidR="00BA1871" w14:paraId="752FD8A3" w14:textId="77777777" w:rsidTr="00324A31">
        <w:tblPrEx>
          <w:tblCellMar>
            <w:top w:w="0" w:type="dxa"/>
            <w:bottom w:w="0" w:type="dxa"/>
          </w:tblCellMar>
        </w:tblPrEx>
        <w:trPr>
          <w:cantSplit/>
          <w:jc w:val="center"/>
        </w:trPr>
        <w:tc>
          <w:tcPr>
            <w:tcW w:w="61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8B47BA" w14:textId="77777777" w:rsidR="00BA1871" w:rsidRDefault="00BA1871" w:rsidP="00324A31">
            <w:pPr>
              <w:pStyle w:val="Standard"/>
              <w:widowControl w:val="0"/>
              <w:spacing w:after="0" w:line="240" w:lineRule="auto"/>
              <w:jc w:val="both"/>
              <w:rPr>
                <w:rFonts w:eastAsia="Times New Roman" w:cs="DIN Pro Regular"/>
                <w:sz w:val="18"/>
                <w:szCs w:val="18"/>
                <w:lang w:eastAsia="es-ES"/>
              </w:rPr>
            </w:pPr>
            <w:r>
              <w:rPr>
                <w:rFonts w:eastAsia="Times New Roman" w:cs="DIN Pro Regular"/>
                <w:sz w:val="18"/>
                <w:szCs w:val="18"/>
                <w:lang w:eastAsia="es-ES"/>
              </w:rPr>
              <w:t>Mobiliario y Equipo de Administración</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4B7A97" w14:textId="77777777" w:rsidR="00BA1871" w:rsidRDefault="00BA1871" w:rsidP="00324A31">
            <w:pPr>
              <w:pStyle w:val="Standard"/>
              <w:widowControl w:val="0"/>
              <w:spacing w:after="0" w:line="240" w:lineRule="auto"/>
              <w:jc w:val="right"/>
              <w:rPr>
                <w:sz w:val="18"/>
                <w:szCs w:val="18"/>
              </w:rPr>
            </w:pPr>
            <w:r>
              <w:rPr>
                <w:sz w:val="18"/>
                <w:szCs w:val="18"/>
              </w:rPr>
              <w:t>$3,434,760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AAF2C1" w14:textId="77777777" w:rsidR="00BA1871" w:rsidRDefault="00BA1871" w:rsidP="00324A31">
            <w:pPr>
              <w:pStyle w:val="Standard"/>
              <w:widowControl w:val="0"/>
              <w:spacing w:after="0" w:line="240" w:lineRule="auto"/>
              <w:jc w:val="right"/>
              <w:rPr>
                <w:rFonts w:eastAsia="Times New Roman" w:cs="DIN Pro Regular"/>
                <w:sz w:val="18"/>
                <w:szCs w:val="18"/>
                <w:lang w:eastAsia="es-ES"/>
              </w:rPr>
            </w:pPr>
            <w:r>
              <w:rPr>
                <w:rFonts w:eastAsia="Times New Roman" w:cs="DIN Pro Regular"/>
                <w:sz w:val="18"/>
                <w:szCs w:val="18"/>
                <w:lang w:eastAsia="es-ES"/>
              </w:rPr>
              <w:t>2.1689%</w:t>
            </w:r>
          </w:p>
        </w:tc>
      </w:tr>
      <w:tr w:rsidR="00BA1871" w14:paraId="5895FCB6" w14:textId="77777777" w:rsidTr="00324A31">
        <w:tblPrEx>
          <w:tblCellMar>
            <w:top w:w="0" w:type="dxa"/>
            <w:bottom w:w="0" w:type="dxa"/>
          </w:tblCellMar>
        </w:tblPrEx>
        <w:trPr>
          <w:cantSplit/>
          <w:jc w:val="center"/>
        </w:trPr>
        <w:tc>
          <w:tcPr>
            <w:tcW w:w="61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96CF3D" w14:textId="77777777" w:rsidR="00BA1871" w:rsidRDefault="00BA1871" w:rsidP="00324A31">
            <w:pPr>
              <w:pStyle w:val="Standard"/>
              <w:widowControl w:val="0"/>
              <w:spacing w:after="0" w:line="240" w:lineRule="auto"/>
              <w:jc w:val="both"/>
              <w:rPr>
                <w:rFonts w:eastAsia="Times New Roman" w:cs="DIN Pro Regular"/>
                <w:sz w:val="18"/>
                <w:szCs w:val="18"/>
                <w:lang w:eastAsia="es-ES"/>
              </w:rPr>
            </w:pPr>
            <w:r>
              <w:rPr>
                <w:rFonts w:eastAsia="Times New Roman" w:cs="DIN Pro Regular"/>
                <w:sz w:val="18"/>
                <w:szCs w:val="18"/>
                <w:lang w:eastAsia="es-ES"/>
              </w:rPr>
              <w:t>Mobiliario y Equipo Educacional y Recreativo</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9931E5" w14:textId="77777777" w:rsidR="00BA1871" w:rsidRDefault="00BA1871" w:rsidP="00324A31">
            <w:pPr>
              <w:pStyle w:val="Standard"/>
              <w:widowControl w:val="0"/>
              <w:spacing w:after="0" w:line="240" w:lineRule="auto"/>
              <w:jc w:val="right"/>
              <w:rPr>
                <w:rFonts w:eastAsia="Times New Roman" w:cs="DIN Pro Regular"/>
                <w:sz w:val="18"/>
                <w:szCs w:val="18"/>
                <w:lang w:eastAsia="es-ES"/>
              </w:rPr>
            </w:pPr>
            <w:r>
              <w:rPr>
                <w:rFonts w:eastAsia="Times New Roman" w:cs="DIN Pro Regular"/>
                <w:sz w:val="18"/>
                <w:szCs w:val="18"/>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1C1D1F" w14:textId="77777777" w:rsidR="00BA1871" w:rsidRDefault="00BA1871" w:rsidP="00324A31">
            <w:pPr>
              <w:pStyle w:val="Standard"/>
              <w:widowControl w:val="0"/>
              <w:spacing w:after="0" w:line="240" w:lineRule="auto"/>
              <w:jc w:val="right"/>
              <w:rPr>
                <w:rFonts w:eastAsia="Times New Roman" w:cs="DIN Pro Regular"/>
                <w:sz w:val="18"/>
                <w:szCs w:val="18"/>
                <w:lang w:eastAsia="es-ES"/>
              </w:rPr>
            </w:pPr>
            <w:r>
              <w:rPr>
                <w:rFonts w:eastAsia="Times New Roman" w:cs="DIN Pro Regular"/>
                <w:sz w:val="18"/>
                <w:szCs w:val="18"/>
                <w:lang w:eastAsia="es-ES"/>
              </w:rPr>
              <w:t>0.0000%</w:t>
            </w:r>
          </w:p>
        </w:tc>
      </w:tr>
      <w:tr w:rsidR="00BA1871" w14:paraId="60D381D6" w14:textId="77777777" w:rsidTr="00324A31">
        <w:tblPrEx>
          <w:tblCellMar>
            <w:top w:w="0" w:type="dxa"/>
            <w:bottom w:w="0" w:type="dxa"/>
          </w:tblCellMar>
        </w:tblPrEx>
        <w:trPr>
          <w:cantSplit/>
          <w:jc w:val="center"/>
        </w:trPr>
        <w:tc>
          <w:tcPr>
            <w:tcW w:w="61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0CB2C7" w14:textId="77777777" w:rsidR="00BA1871" w:rsidRDefault="00BA1871" w:rsidP="00324A31">
            <w:pPr>
              <w:pStyle w:val="Standard"/>
              <w:widowControl w:val="0"/>
              <w:spacing w:after="0" w:line="240" w:lineRule="auto"/>
              <w:jc w:val="both"/>
              <w:rPr>
                <w:rFonts w:eastAsia="Times New Roman" w:cs="DIN Pro Regular"/>
                <w:sz w:val="18"/>
                <w:szCs w:val="18"/>
                <w:lang w:eastAsia="es-ES"/>
              </w:rPr>
            </w:pPr>
            <w:r>
              <w:rPr>
                <w:rFonts w:eastAsia="Times New Roman" w:cs="DIN Pro Regular"/>
                <w:sz w:val="18"/>
                <w:szCs w:val="18"/>
                <w:lang w:eastAsia="es-ES"/>
              </w:rPr>
              <w:t>Equipo e Instrumental Médico y de Laboratorio</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333BE8" w14:textId="77777777" w:rsidR="00BA1871" w:rsidRDefault="00BA1871" w:rsidP="00324A31">
            <w:pPr>
              <w:pStyle w:val="Standard"/>
              <w:widowControl w:val="0"/>
              <w:spacing w:after="0" w:line="240" w:lineRule="auto"/>
              <w:jc w:val="right"/>
              <w:rPr>
                <w:sz w:val="18"/>
                <w:szCs w:val="18"/>
              </w:rPr>
            </w:pPr>
            <w:r>
              <w:rPr>
                <w:sz w:val="18"/>
                <w:szCs w:val="18"/>
              </w:rPr>
              <w:t>$4,294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8E154A" w14:textId="77777777" w:rsidR="00BA1871" w:rsidRDefault="00BA1871" w:rsidP="00324A31">
            <w:pPr>
              <w:pStyle w:val="Standard"/>
              <w:widowControl w:val="0"/>
              <w:spacing w:after="0" w:line="240" w:lineRule="auto"/>
              <w:jc w:val="right"/>
              <w:rPr>
                <w:rFonts w:eastAsia="Times New Roman" w:cs="DIN Pro Regular"/>
                <w:sz w:val="18"/>
                <w:szCs w:val="18"/>
                <w:lang w:eastAsia="es-ES"/>
              </w:rPr>
            </w:pPr>
            <w:r>
              <w:rPr>
                <w:rFonts w:eastAsia="Times New Roman" w:cs="DIN Pro Regular"/>
                <w:sz w:val="18"/>
                <w:szCs w:val="18"/>
                <w:lang w:eastAsia="es-ES"/>
              </w:rPr>
              <w:t>0.0027%</w:t>
            </w:r>
          </w:p>
        </w:tc>
      </w:tr>
      <w:tr w:rsidR="00BA1871" w14:paraId="3B1D5B82" w14:textId="77777777" w:rsidTr="00324A31">
        <w:tblPrEx>
          <w:tblCellMar>
            <w:top w:w="0" w:type="dxa"/>
            <w:bottom w:w="0" w:type="dxa"/>
          </w:tblCellMar>
        </w:tblPrEx>
        <w:trPr>
          <w:cantSplit/>
          <w:jc w:val="center"/>
        </w:trPr>
        <w:tc>
          <w:tcPr>
            <w:tcW w:w="61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28D34C" w14:textId="77777777" w:rsidR="00BA1871" w:rsidRDefault="00BA1871" w:rsidP="00324A31">
            <w:pPr>
              <w:pStyle w:val="Standard"/>
              <w:widowControl w:val="0"/>
              <w:spacing w:after="0" w:line="240" w:lineRule="auto"/>
              <w:jc w:val="both"/>
              <w:rPr>
                <w:rFonts w:eastAsia="Times New Roman" w:cs="DIN Pro Regular"/>
                <w:sz w:val="18"/>
                <w:szCs w:val="18"/>
                <w:lang w:eastAsia="es-ES"/>
              </w:rPr>
            </w:pPr>
            <w:r>
              <w:rPr>
                <w:rFonts w:eastAsia="Times New Roman" w:cs="DIN Pro Regular"/>
                <w:sz w:val="18"/>
                <w:szCs w:val="18"/>
                <w:lang w:eastAsia="es-ES"/>
              </w:rPr>
              <w:t>Vehículos y Equipo de Transporte</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3EDB4F" w14:textId="77777777" w:rsidR="00BA1871" w:rsidRDefault="00BA1871" w:rsidP="00324A31">
            <w:pPr>
              <w:pStyle w:val="Standard"/>
              <w:widowControl w:val="0"/>
              <w:spacing w:after="0" w:line="240" w:lineRule="auto"/>
              <w:jc w:val="right"/>
              <w:rPr>
                <w:sz w:val="18"/>
                <w:szCs w:val="18"/>
              </w:rPr>
            </w:pPr>
            <w:r>
              <w:rPr>
                <w:sz w:val="18"/>
                <w:szCs w:val="18"/>
              </w:rPr>
              <w:t>$6,637,900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70313B" w14:textId="77777777" w:rsidR="00BA1871" w:rsidRDefault="00BA1871" w:rsidP="00324A31">
            <w:pPr>
              <w:pStyle w:val="Standard"/>
              <w:widowControl w:val="0"/>
              <w:spacing w:after="0" w:line="240" w:lineRule="auto"/>
              <w:jc w:val="right"/>
              <w:rPr>
                <w:rFonts w:eastAsia="Times New Roman" w:cs="DIN Pro Regular"/>
                <w:sz w:val="18"/>
                <w:szCs w:val="18"/>
                <w:lang w:eastAsia="es-ES"/>
              </w:rPr>
            </w:pPr>
            <w:r>
              <w:rPr>
                <w:rFonts w:eastAsia="Times New Roman" w:cs="DIN Pro Regular"/>
                <w:sz w:val="18"/>
                <w:szCs w:val="18"/>
                <w:lang w:eastAsia="es-ES"/>
              </w:rPr>
              <w:t>4.1915%</w:t>
            </w:r>
          </w:p>
        </w:tc>
      </w:tr>
      <w:tr w:rsidR="00BA1871" w14:paraId="39731481" w14:textId="77777777" w:rsidTr="00324A31">
        <w:tblPrEx>
          <w:tblCellMar>
            <w:top w:w="0" w:type="dxa"/>
            <w:bottom w:w="0" w:type="dxa"/>
          </w:tblCellMar>
        </w:tblPrEx>
        <w:trPr>
          <w:cantSplit/>
          <w:jc w:val="center"/>
        </w:trPr>
        <w:tc>
          <w:tcPr>
            <w:tcW w:w="61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4C511B" w14:textId="77777777" w:rsidR="00BA1871" w:rsidRDefault="00BA1871" w:rsidP="00324A31">
            <w:pPr>
              <w:pStyle w:val="Standard"/>
              <w:widowControl w:val="0"/>
              <w:spacing w:after="0" w:line="240" w:lineRule="auto"/>
              <w:jc w:val="both"/>
              <w:rPr>
                <w:rFonts w:eastAsia="Times New Roman" w:cs="DIN Pro Regular"/>
                <w:sz w:val="18"/>
                <w:szCs w:val="18"/>
                <w:lang w:eastAsia="es-ES"/>
              </w:rPr>
            </w:pPr>
            <w:r>
              <w:rPr>
                <w:rFonts w:eastAsia="Times New Roman" w:cs="DIN Pro Regular"/>
                <w:sz w:val="18"/>
                <w:szCs w:val="18"/>
                <w:lang w:eastAsia="es-ES"/>
              </w:rPr>
              <w:t>Equipo de Defensa y Seguridad</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D07291" w14:textId="77777777" w:rsidR="00BA1871" w:rsidRDefault="00BA1871" w:rsidP="00324A31">
            <w:pPr>
              <w:pStyle w:val="Standard"/>
              <w:widowControl w:val="0"/>
              <w:spacing w:after="0" w:line="240" w:lineRule="auto"/>
              <w:jc w:val="right"/>
              <w:rPr>
                <w:rFonts w:eastAsia="Times New Roman" w:cs="DIN Pro Regular"/>
                <w:sz w:val="18"/>
                <w:szCs w:val="18"/>
                <w:lang w:eastAsia="es-ES"/>
              </w:rPr>
            </w:pPr>
            <w:r>
              <w:rPr>
                <w:rFonts w:eastAsia="Times New Roman" w:cs="DIN Pro Regular"/>
                <w:sz w:val="18"/>
                <w:szCs w:val="18"/>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C804F5" w14:textId="77777777" w:rsidR="00BA1871" w:rsidRDefault="00BA1871" w:rsidP="00324A31">
            <w:pPr>
              <w:pStyle w:val="Standard"/>
              <w:widowControl w:val="0"/>
              <w:spacing w:after="0" w:line="240" w:lineRule="auto"/>
              <w:jc w:val="right"/>
              <w:rPr>
                <w:rFonts w:eastAsia="Times New Roman" w:cs="DIN Pro Regular"/>
                <w:sz w:val="18"/>
                <w:szCs w:val="18"/>
                <w:lang w:eastAsia="es-ES"/>
              </w:rPr>
            </w:pPr>
            <w:r>
              <w:rPr>
                <w:rFonts w:eastAsia="Times New Roman" w:cs="DIN Pro Regular"/>
                <w:sz w:val="18"/>
                <w:szCs w:val="18"/>
                <w:lang w:eastAsia="es-ES"/>
              </w:rPr>
              <w:t>0.0000%</w:t>
            </w:r>
          </w:p>
        </w:tc>
      </w:tr>
      <w:tr w:rsidR="00BA1871" w14:paraId="7E7DFF28" w14:textId="77777777" w:rsidTr="00324A31">
        <w:tblPrEx>
          <w:tblCellMar>
            <w:top w:w="0" w:type="dxa"/>
            <w:bottom w:w="0" w:type="dxa"/>
          </w:tblCellMar>
        </w:tblPrEx>
        <w:trPr>
          <w:cantSplit/>
          <w:jc w:val="center"/>
        </w:trPr>
        <w:tc>
          <w:tcPr>
            <w:tcW w:w="61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E6691D" w14:textId="77777777" w:rsidR="00BA1871" w:rsidRDefault="00BA1871" w:rsidP="00324A31">
            <w:pPr>
              <w:pStyle w:val="Standard"/>
              <w:widowControl w:val="0"/>
              <w:spacing w:after="0" w:line="240" w:lineRule="auto"/>
              <w:jc w:val="both"/>
              <w:rPr>
                <w:rFonts w:eastAsia="Times New Roman" w:cs="DIN Pro Regular"/>
                <w:sz w:val="18"/>
                <w:szCs w:val="18"/>
                <w:lang w:eastAsia="es-ES"/>
              </w:rPr>
            </w:pPr>
            <w:r>
              <w:rPr>
                <w:rFonts w:eastAsia="Times New Roman" w:cs="DIN Pro Regular"/>
                <w:sz w:val="18"/>
                <w:szCs w:val="18"/>
                <w:lang w:eastAsia="es-ES"/>
              </w:rPr>
              <w:t>Maquinaria, Otros Equipos y Herramientas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5B459E" w14:textId="77777777" w:rsidR="00BA1871" w:rsidRDefault="00BA1871" w:rsidP="00324A31">
            <w:pPr>
              <w:pStyle w:val="Standard"/>
              <w:widowControl w:val="0"/>
              <w:spacing w:after="0" w:line="240" w:lineRule="auto"/>
              <w:jc w:val="right"/>
              <w:rPr>
                <w:sz w:val="18"/>
                <w:szCs w:val="18"/>
              </w:rPr>
            </w:pPr>
            <w:r>
              <w:rPr>
                <w:sz w:val="18"/>
                <w:szCs w:val="18"/>
              </w:rPr>
              <w:t>$156,759</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8A8E33" w14:textId="77777777" w:rsidR="00BA1871" w:rsidRDefault="00BA1871" w:rsidP="00324A31">
            <w:pPr>
              <w:pStyle w:val="Standard"/>
              <w:widowControl w:val="0"/>
              <w:spacing w:after="0" w:line="240" w:lineRule="auto"/>
              <w:jc w:val="right"/>
              <w:rPr>
                <w:rFonts w:eastAsia="Times New Roman" w:cs="DIN Pro Regular"/>
                <w:sz w:val="18"/>
                <w:szCs w:val="18"/>
                <w:lang w:eastAsia="es-ES"/>
              </w:rPr>
            </w:pPr>
            <w:r>
              <w:rPr>
                <w:rFonts w:eastAsia="Times New Roman" w:cs="DIN Pro Regular"/>
                <w:sz w:val="18"/>
                <w:szCs w:val="18"/>
                <w:lang w:eastAsia="es-ES"/>
              </w:rPr>
              <w:t>0.0990%</w:t>
            </w:r>
          </w:p>
        </w:tc>
      </w:tr>
      <w:tr w:rsidR="00BA1871" w14:paraId="44AD15E8" w14:textId="77777777" w:rsidTr="00324A31">
        <w:tblPrEx>
          <w:tblCellMar>
            <w:top w:w="0" w:type="dxa"/>
            <w:bottom w:w="0" w:type="dxa"/>
          </w:tblCellMar>
        </w:tblPrEx>
        <w:trPr>
          <w:cantSplit/>
          <w:jc w:val="center"/>
        </w:trPr>
        <w:tc>
          <w:tcPr>
            <w:tcW w:w="61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B2B06B" w14:textId="77777777" w:rsidR="00BA1871" w:rsidRDefault="00BA1871" w:rsidP="00324A31">
            <w:pPr>
              <w:pStyle w:val="Standard"/>
              <w:widowControl w:val="0"/>
              <w:spacing w:after="0" w:line="240" w:lineRule="auto"/>
              <w:jc w:val="both"/>
              <w:rPr>
                <w:rFonts w:eastAsia="Times New Roman" w:cs="DIN Pro Regular"/>
                <w:sz w:val="18"/>
                <w:szCs w:val="18"/>
                <w:lang w:eastAsia="es-ES"/>
              </w:rPr>
            </w:pPr>
            <w:r>
              <w:rPr>
                <w:rFonts w:eastAsia="Times New Roman" w:cs="DIN Pro Regular"/>
                <w:sz w:val="18"/>
                <w:szCs w:val="18"/>
                <w:lang w:eastAsia="es-ES"/>
              </w:rPr>
              <w:t>Colecciones, Obras de Arte y Objetos Valiosos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26E1B2" w14:textId="77777777" w:rsidR="00BA1871" w:rsidRDefault="00BA1871" w:rsidP="00324A31">
            <w:pPr>
              <w:pStyle w:val="Standard"/>
              <w:widowControl w:val="0"/>
              <w:spacing w:after="0" w:line="240" w:lineRule="auto"/>
              <w:jc w:val="right"/>
              <w:rPr>
                <w:rFonts w:eastAsia="Times New Roman" w:cs="DIN Pro Regular"/>
                <w:sz w:val="18"/>
                <w:szCs w:val="18"/>
                <w:lang w:eastAsia="es-ES"/>
              </w:rPr>
            </w:pPr>
            <w:r>
              <w:rPr>
                <w:rFonts w:eastAsia="Times New Roman" w:cs="DIN Pro Regular"/>
                <w:sz w:val="18"/>
                <w:szCs w:val="18"/>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AD47EC" w14:textId="77777777" w:rsidR="00BA1871" w:rsidRDefault="00BA1871" w:rsidP="00324A31">
            <w:pPr>
              <w:pStyle w:val="Standard"/>
              <w:widowControl w:val="0"/>
              <w:spacing w:after="0" w:line="240" w:lineRule="auto"/>
              <w:jc w:val="right"/>
              <w:rPr>
                <w:rFonts w:eastAsia="Times New Roman" w:cs="DIN Pro Regular"/>
                <w:sz w:val="18"/>
                <w:szCs w:val="18"/>
                <w:lang w:eastAsia="es-ES"/>
              </w:rPr>
            </w:pPr>
            <w:r>
              <w:rPr>
                <w:rFonts w:eastAsia="Times New Roman" w:cs="DIN Pro Regular"/>
                <w:sz w:val="18"/>
                <w:szCs w:val="18"/>
                <w:lang w:eastAsia="es-ES"/>
              </w:rPr>
              <w:t>0.0000%</w:t>
            </w:r>
          </w:p>
        </w:tc>
      </w:tr>
      <w:tr w:rsidR="00BA1871" w14:paraId="5F959AE9" w14:textId="77777777" w:rsidTr="00324A31">
        <w:tblPrEx>
          <w:tblCellMar>
            <w:top w:w="0" w:type="dxa"/>
            <w:bottom w:w="0" w:type="dxa"/>
          </w:tblCellMar>
        </w:tblPrEx>
        <w:trPr>
          <w:cantSplit/>
          <w:jc w:val="center"/>
        </w:trPr>
        <w:tc>
          <w:tcPr>
            <w:tcW w:w="61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2E31B5" w14:textId="77777777" w:rsidR="00BA1871" w:rsidRDefault="00BA1871" w:rsidP="00324A31">
            <w:pPr>
              <w:pStyle w:val="Standard"/>
              <w:widowControl w:val="0"/>
              <w:spacing w:after="0" w:line="240" w:lineRule="auto"/>
              <w:jc w:val="both"/>
              <w:rPr>
                <w:rFonts w:eastAsia="Times New Roman" w:cs="DIN Pro Regular"/>
                <w:sz w:val="18"/>
                <w:szCs w:val="18"/>
                <w:lang w:eastAsia="es-ES"/>
              </w:rPr>
            </w:pPr>
            <w:r>
              <w:rPr>
                <w:rFonts w:eastAsia="Times New Roman" w:cs="DIN Pro Regular"/>
                <w:sz w:val="18"/>
                <w:szCs w:val="18"/>
                <w:lang w:eastAsia="es-ES"/>
              </w:rPr>
              <w:t>Activos Biológicos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35D115" w14:textId="77777777" w:rsidR="00BA1871" w:rsidRDefault="00BA1871" w:rsidP="00324A31">
            <w:pPr>
              <w:pStyle w:val="Standard"/>
              <w:widowControl w:val="0"/>
              <w:spacing w:after="0" w:line="240" w:lineRule="auto"/>
              <w:jc w:val="right"/>
              <w:rPr>
                <w:rFonts w:eastAsia="Times New Roman" w:cs="DIN Pro Regular"/>
                <w:sz w:val="18"/>
                <w:szCs w:val="18"/>
                <w:lang w:eastAsia="es-ES"/>
              </w:rPr>
            </w:pPr>
            <w:r>
              <w:rPr>
                <w:rFonts w:eastAsia="Times New Roman" w:cs="DIN Pro Regular"/>
                <w:sz w:val="18"/>
                <w:szCs w:val="18"/>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A2F4C9" w14:textId="77777777" w:rsidR="00BA1871" w:rsidRDefault="00BA1871" w:rsidP="00324A31">
            <w:pPr>
              <w:pStyle w:val="Standard"/>
              <w:widowControl w:val="0"/>
              <w:spacing w:after="0" w:line="240" w:lineRule="auto"/>
              <w:jc w:val="right"/>
              <w:rPr>
                <w:rFonts w:eastAsia="Times New Roman" w:cs="DIN Pro Regular"/>
                <w:sz w:val="18"/>
                <w:szCs w:val="18"/>
                <w:lang w:eastAsia="es-ES"/>
              </w:rPr>
            </w:pPr>
            <w:r>
              <w:rPr>
                <w:rFonts w:eastAsia="Times New Roman" w:cs="DIN Pro Regular"/>
                <w:sz w:val="18"/>
                <w:szCs w:val="18"/>
                <w:lang w:eastAsia="es-ES"/>
              </w:rPr>
              <w:t>0.0000%</w:t>
            </w:r>
          </w:p>
        </w:tc>
      </w:tr>
      <w:tr w:rsidR="00BA1871" w14:paraId="58C002DD" w14:textId="77777777" w:rsidTr="00324A31">
        <w:tblPrEx>
          <w:tblCellMar>
            <w:top w:w="0" w:type="dxa"/>
            <w:bottom w:w="0" w:type="dxa"/>
          </w:tblCellMar>
        </w:tblPrEx>
        <w:trPr>
          <w:cantSplit/>
          <w:jc w:val="center"/>
        </w:trPr>
        <w:tc>
          <w:tcPr>
            <w:tcW w:w="61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64B8F6" w14:textId="77777777" w:rsidR="00BA1871" w:rsidRDefault="00BA1871" w:rsidP="00324A31">
            <w:pPr>
              <w:pStyle w:val="Standard"/>
              <w:widowControl w:val="0"/>
              <w:spacing w:after="0" w:line="240" w:lineRule="auto"/>
              <w:jc w:val="both"/>
              <w:rPr>
                <w:rFonts w:eastAsia="Times New Roman" w:cs="DIN Pro Regular"/>
                <w:sz w:val="18"/>
                <w:szCs w:val="18"/>
                <w:lang w:eastAsia="es-ES"/>
              </w:rPr>
            </w:pPr>
            <w:r>
              <w:rPr>
                <w:rFonts w:eastAsia="Times New Roman" w:cs="DIN Pro Regular"/>
                <w:sz w:val="18"/>
                <w:szCs w:val="18"/>
                <w:lang w:eastAsia="es-ES"/>
              </w:rPr>
              <w:t>Otras Inversiones</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186073" w14:textId="77777777" w:rsidR="00BA1871" w:rsidRDefault="00BA1871" w:rsidP="00324A31">
            <w:pPr>
              <w:pStyle w:val="Standard"/>
              <w:widowControl w:val="0"/>
              <w:spacing w:after="0" w:line="240" w:lineRule="auto"/>
              <w:jc w:val="right"/>
              <w:rPr>
                <w:rFonts w:eastAsia="Times New Roman" w:cs="DIN Pro Regular"/>
                <w:sz w:val="18"/>
                <w:szCs w:val="18"/>
                <w:lang w:eastAsia="es-ES"/>
              </w:rPr>
            </w:pPr>
            <w:r>
              <w:rPr>
                <w:rFonts w:eastAsia="Times New Roman" w:cs="DIN Pro Regular"/>
                <w:sz w:val="18"/>
                <w:szCs w:val="18"/>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3906A0" w14:textId="77777777" w:rsidR="00BA1871" w:rsidRDefault="00BA1871" w:rsidP="00324A31">
            <w:pPr>
              <w:pStyle w:val="Standard"/>
              <w:widowControl w:val="0"/>
              <w:spacing w:after="0" w:line="240" w:lineRule="auto"/>
              <w:jc w:val="right"/>
              <w:rPr>
                <w:rFonts w:eastAsia="Times New Roman" w:cs="DIN Pro Regular"/>
                <w:sz w:val="18"/>
                <w:szCs w:val="18"/>
                <w:lang w:eastAsia="es-ES"/>
              </w:rPr>
            </w:pPr>
            <w:r>
              <w:rPr>
                <w:rFonts w:eastAsia="Times New Roman" w:cs="DIN Pro Regular"/>
                <w:sz w:val="18"/>
                <w:szCs w:val="18"/>
                <w:lang w:eastAsia="es-ES"/>
              </w:rPr>
              <w:t>0.0000%</w:t>
            </w:r>
          </w:p>
        </w:tc>
      </w:tr>
      <w:tr w:rsidR="00BA1871" w14:paraId="07CA62C8" w14:textId="77777777" w:rsidTr="00324A31">
        <w:tblPrEx>
          <w:tblCellMar>
            <w:top w:w="0" w:type="dxa"/>
            <w:bottom w:w="0" w:type="dxa"/>
          </w:tblCellMar>
        </w:tblPrEx>
        <w:trPr>
          <w:cantSplit/>
          <w:trHeight w:val="414"/>
          <w:jc w:val="center"/>
        </w:trPr>
        <w:tc>
          <w:tcPr>
            <w:tcW w:w="61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93AB0D9" w14:textId="77777777" w:rsidR="00BA1871" w:rsidRDefault="00BA1871" w:rsidP="00324A31">
            <w:pPr>
              <w:pStyle w:val="Standard"/>
              <w:widowControl w:val="0"/>
              <w:spacing w:after="0" w:line="240" w:lineRule="auto"/>
              <w:jc w:val="right"/>
              <w:rPr>
                <w:rFonts w:eastAsia="Times New Roman" w:cs="DIN Pro Regular"/>
                <w:b/>
                <w:sz w:val="18"/>
                <w:szCs w:val="18"/>
                <w:lang w:eastAsia="es-ES"/>
              </w:rPr>
            </w:pPr>
            <w:r>
              <w:rPr>
                <w:rFonts w:eastAsia="Times New Roman" w:cs="DIN Pro Regular"/>
                <w:b/>
                <w:sz w:val="18"/>
                <w:szCs w:val="18"/>
                <w:lang w:eastAsia="es-ES"/>
              </w:rPr>
              <w:t>Total</w:t>
            </w:r>
          </w:p>
        </w:tc>
        <w:tc>
          <w:tcPr>
            <w:tcW w:w="18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9F697F" w14:textId="77777777" w:rsidR="00BA1871" w:rsidRDefault="00BA1871" w:rsidP="00324A31">
            <w:pPr>
              <w:pStyle w:val="Standard"/>
              <w:widowControl w:val="0"/>
              <w:spacing w:after="0" w:line="240" w:lineRule="auto"/>
              <w:jc w:val="right"/>
              <w:rPr>
                <w:sz w:val="18"/>
                <w:szCs w:val="18"/>
              </w:rPr>
            </w:pPr>
            <w:r>
              <w:rPr>
                <w:sz w:val="18"/>
                <w:szCs w:val="18"/>
              </w:rPr>
              <w:t>$10,233,713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9EFFDB" w14:textId="77777777" w:rsidR="00BA1871" w:rsidRDefault="00BA1871" w:rsidP="00324A31">
            <w:pPr>
              <w:pStyle w:val="Standard"/>
              <w:widowControl w:val="0"/>
              <w:spacing w:after="0" w:line="240" w:lineRule="auto"/>
              <w:jc w:val="right"/>
              <w:rPr>
                <w:rFonts w:eastAsia="Times New Roman" w:cs="DIN Pro Regular"/>
                <w:sz w:val="18"/>
                <w:szCs w:val="18"/>
                <w:lang w:eastAsia="es-ES"/>
              </w:rPr>
            </w:pPr>
            <w:r>
              <w:rPr>
                <w:rFonts w:eastAsia="Times New Roman" w:cs="DIN Pro Regular"/>
                <w:sz w:val="18"/>
                <w:szCs w:val="18"/>
                <w:lang w:eastAsia="es-ES"/>
              </w:rPr>
              <w:t>6.4620%</w:t>
            </w:r>
          </w:p>
        </w:tc>
      </w:tr>
    </w:tbl>
    <w:p w14:paraId="7A3C4D9F" w14:textId="77777777" w:rsidR="00BA1871" w:rsidRDefault="00BA1871" w:rsidP="00BA1871">
      <w:pPr>
        <w:pStyle w:val="ROMANOS"/>
        <w:spacing w:after="0" w:line="240" w:lineRule="exact"/>
        <w:ind w:left="1140"/>
        <w:rPr>
          <w:rFonts w:ascii="Calibri" w:hAnsi="Calibri" w:cs="DIN Pro Regular"/>
          <w:b/>
          <w:sz w:val="20"/>
          <w:szCs w:val="20"/>
          <w:lang w:val="es-MX"/>
        </w:rPr>
      </w:pPr>
    </w:p>
    <w:p w14:paraId="767ACB16" w14:textId="77777777" w:rsidR="00BA1871" w:rsidRDefault="00BA1871" w:rsidP="00BA1871">
      <w:pPr>
        <w:pStyle w:val="ROMANOS"/>
        <w:spacing w:after="0" w:line="240" w:lineRule="exact"/>
        <w:ind w:left="1140"/>
        <w:rPr>
          <w:rFonts w:ascii="Calibri" w:hAnsi="Calibri" w:cs="DIN Pro Regular"/>
          <w:b/>
          <w:sz w:val="20"/>
          <w:szCs w:val="20"/>
          <w:lang w:val="es-MX"/>
        </w:rPr>
      </w:pPr>
    </w:p>
    <w:p w14:paraId="5FCE14C9" w14:textId="77777777" w:rsidR="00BA1871" w:rsidRDefault="00BA1871" w:rsidP="00BA1871">
      <w:pPr>
        <w:pStyle w:val="ROMANOS"/>
        <w:spacing w:after="0" w:line="240" w:lineRule="exact"/>
        <w:ind w:left="1140"/>
        <w:rPr>
          <w:rFonts w:ascii="Calibri" w:hAnsi="Calibri" w:cs="DIN Pro Regular"/>
          <w:b/>
          <w:sz w:val="20"/>
          <w:szCs w:val="20"/>
          <w:lang w:val="es-MX"/>
        </w:rPr>
      </w:pPr>
    </w:p>
    <w:p w14:paraId="00003E5D" w14:textId="77777777" w:rsidR="00BA1871" w:rsidRDefault="00BA1871" w:rsidP="00BA1871">
      <w:pPr>
        <w:pStyle w:val="ROMANOS"/>
        <w:spacing w:after="0" w:line="240" w:lineRule="exact"/>
        <w:ind w:left="1140"/>
        <w:rPr>
          <w:rFonts w:ascii="Calibri" w:hAnsi="Calibri" w:cs="DIN Pro Regular"/>
          <w:b/>
          <w:sz w:val="20"/>
          <w:szCs w:val="20"/>
          <w:lang w:val="es-MX"/>
        </w:rPr>
      </w:pPr>
    </w:p>
    <w:p w14:paraId="24651302" w14:textId="77777777" w:rsidR="00BA1871" w:rsidRDefault="00BA1871" w:rsidP="00BA1871">
      <w:pPr>
        <w:pStyle w:val="ROMANOS"/>
        <w:spacing w:after="0" w:line="240" w:lineRule="exact"/>
        <w:ind w:left="1140"/>
        <w:rPr>
          <w:rFonts w:ascii="Calibri" w:hAnsi="Calibri" w:cs="DIN Pro Regular"/>
          <w:b/>
          <w:sz w:val="20"/>
          <w:szCs w:val="20"/>
          <w:lang w:val="es-MX"/>
        </w:rPr>
      </w:pPr>
    </w:p>
    <w:p w14:paraId="5497076C" w14:textId="77777777" w:rsidR="00BA1871" w:rsidRDefault="00BA1871" w:rsidP="00BA1871">
      <w:pPr>
        <w:pStyle w:val="ROMANOS"/>
        <w:spacing w:after="0" w:line="240" w:lineRule="exact"/>
        <w:ind w:left="1140"/>
        <w:rPr>
          <w:rFonts w:ascii="Calibri" w:hAnsi="Calibri" w:cs="DIN Pro Regular"/>
          <w:b/>
          <w:sz w:val="20"/>
          <w:szCs w:val="20"/>
          <w:lang w:val="es-MX"/>
        </w:rPr>
      </w:pPr>
    </w:p>
    <w:p w14:paraId="41049DBD" w14:textId="77777777" w:rsidR="00BA1871" w:rsidRDefault="00BA1871" w:rsidP="00BA1871">
      <w:pPr>
        <w:pStyle w:val="ROMANOS"/>
        <w:spacing w:after="0" w:line="240" w:lineRule="exact"/>
        <w:ind w:left="1140"/>
        <w:rPr>
          <w:rFonts w:ascii="Calibri" w:hAnsi="Calibri" w:cs="DIN Pro Regular"/>
          <w:b/>
          <w:sz w:val="20"/>
          <w:szCs w:val="20"/>
          <w:lang w:val="es-MX"/>
        </w:rPr>
      </w:pPr>
    </w:p>
    <w:p w14:paraId="69243DE4" w14:textId="77777777" w:rsidR="00BA1871" w:rsidRDefault="00BA1871" w:rsidP="00BA1871">
      <w:pPr>
        <w:pStyle w:val="ROMANOS"/>
        <w:spacing w:after="0" w:line="240" w:lineRule="exact"/>
        <w:ind w:left="1140"/>
        <w:rPr>
          <w:rFonts w:ascii="Calibri" w:hAnsi="Calibri" w:cs="DIN Pro Regular"/>
          <w:b/>
          <w:sz w:val="20"/>
          <w:szCs w:val="20"/>
          <w:lang w:val="es-MX"/>
        </w:rPr>
      </w:pPr>
    </w:p>
    <w:p w14:paraId="2E6732B0" w14:textId="77777777" w:rsidR="00BA1871" w:rsidRDefault="00BA1871" w:rsidP="00BA1871">
      <w:pPr>
        <w:pStyle w:val="ROMANOS"/>
        <w:spacing w:after="0" w:line="240" w:lineRule="exact"/>
        <w:ind w:left="1140"/>
        <w:rPr>
          <w:rFonts w:ascii="Calibri" w:hAnsi="Calibri" w:cs="DIN Pro Regular"/>
          <w:b/>
          <w:sz w:val="20"/>
          <w:szCs w:val="20"/>
          <w:lang w:val="es-MX"/>
        </w:rPr>
      </w:pPr>
    </w:p>
    <w:p w14:paraId="48106221" w14:textId="77777777" w:rsidR="00BA1871" w:rsidRDefault="00BA1871" w:rsidP="00BA1871">
      <w:pPr>
        <w:pStyle w:val="ROMANOS"/>
        <w:spacing w:after="0" w:line="240" w:lineRule="exact"/>
        <w:ind w:left="1140"/>
        <w:rPr>
          <w:rFonts w:ascii="Calibri" w:hAnsi="Calibri" w:cs="DIN Pro Regular"/>
          <w:b/>
          <w:sz w:val="20"/>
          <w:szCs w:val="20"/>
          <w:lang w:val="es-MX"/>
        </w:rPr>
      </w:pPr>
    </w:p>
    <w:p w14:paraId="37915DD0" w14:textId="77777777" w:rsidR="00BA1871" w:rsidRDefault="00BA1871" w:rsidP="00BA1871">
      <w:pPr>
        <w:pStyle w:val="ROMANOS"/>
        <w:spacing w:after="0" w:line="240" w:lineRule="exact"/>
        <w:ind w:left="1140"/>
        <w:rPr>
          <w:rFonts w:ascii="Calibri" w:hAnsi="Calibri" w:cs="DIN Pro Regular"/>
          <w:b/>
          <w:sz w:val="20"/>
          <w:szCs w:val="20"/>
          <w:lang w:val="es-MX"/>
        </w:rPr>
      </w:pPr>
    </w:p>
    <w:p w14:paraId="5EC8B586" w14:textId="77777777" w:rsidR="00BA1871" w:rsidRDefault="00BA1871" w:rsidP="00BA1871">
      <w:pPr>
        <w:pStyle w:val="ROMANOS"/>
        <w:spacing w:after="0" w:line="240" w:lineRule="exact"/>
        <w:ind w:left="0" w:firstLine="0"/>
        <w:rPr>
          <w:rFonts w:ascii="Calibri" w:hAnsi="Calibri" w:cs="DIN Pro Regular"/>
          <w:b/>
          <w:sz w:val="20"/>
          <w:szCs w:val="20"/>
          <w:lang w:val="es-MX"/>
        </w:rPr>
      </w:pPr>
    </w:p>
    <w:p w14:paraId="54E8C206" w14:textId="77777777" w:rsidR="00BA1871" w:rsidRDefault="00BA1871" w:rsidP="00BA1871">
      <w:pPr>
        <w:pStyle w:val="ROMANOS"/>
        <w:spacing w:after="0" w:line="240" w:lineRule="exact"/>
        <w:ind w:left="1140"/>
      </w:pPr>
      <w:r>
        <w:rPr>
          <w:rFonts w:ascii="Calibri" w:hAnsi="Calibri" w:cs="DIN Pro Regular"/>
          <w:b/>
          <w:sz w:val="20"/>
          <w:szCs w:val="20"/>
          <w:lang w:val="es-MX"/>
        </w:rPr>
        <w:t xml:space="preserve">3.- </w:t>
      </w:r>
      <w:r>
        <w:rPr>
          <w:rFonts w:ascii="Calibri" w:hAnsi="Calibri" w:cs="DIN Pro Regular"/>
          <w:sz w:val="20"/>
          <w:szCs w:val="20"/>
          <w:lang w:val="es-MX"/>
        </w:rPr>
        <w:t>Conciliación de los Flujos de Efectivo Netos de las Actividades de Operación y la cuenta de Ahorro/Desahorro antes de Rubros Extraordinarios:</w:t>
      </w:r>
    </w:p>
    <w:p w14:paraId="0068530D" w14:textId="77777777" w:rsidR="00BA1871" w:rsidRDefault="00BA1871" w:rsidP="00BA1871">
      <w:pPr>
        <w:pStyle w:val="ROMANOS"/>
        <w:spacing w:after="0" w:line="240" w:lineRule="exact"/>
        <w:ind w:left="1140"/>
        <w:rPr>
          <w:rFonts w:ascii="Calibri" w:hAnsi="Calibri" w:cs="DIN Pro Regular"/>
          <w:b/>
          <w:sz w:val="20"/>
          <w:szCs w:val="20"/>
          <w:lang w:val="es-MX"/>
        </w:rPr>
      </w:pPr>
    </w:p>
    <w:tbl>
      <w:tblPr>
        <w:tblW w:w="8959" w:type="dxa"/>
        <w:jc w:val="center"/>
        <w:tblLayout w:type="fixed"/>
        <w:tblCellMar>
          <w:left w:w="10" w:type="dxa"/>
          <w:right w:w="10" w:type="dxa"/>
        </w:tblCellMar>
        <w:tblLook w:val="0000" w:firstRow="0" w:lastRow="0" w:firstColumn="0" w:lastColumn="0" w:noHBand="0" w:noVBand="0"/>
      </w:tblPr>
      <w:tblGrid>
        <w:gridCol w:w="6677"/>
        <w:gridCol w:w="1146"/>
        <w:gridCol w:w="1136"/>
      </w:tblGrid>
      <w:tr w:rsidR="00BA1871" w14:paraId="47E49432" w14:textId="77777777" w:rsidTr="00324A31">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D46B84B" w14:textId="77777777" w:rsidR="00BA1871" w:rsidRDefault="00BA1871" w:rsidP="00324A31">
            <w:pPr>
              <w:pStyle w:val="Text"/>
              <w:widowControl w:val="0"/>
              <w:spacing w:after="0" w:line="240" w:lineRule="exact"/>
              <w:ind w:firstLine="0"/>
              <w:rPr>
                <w:rFonts w:ascii="Calibri" w:hAnsi="Calibri" w:cs="DIN Pro Regular"/>
                <w:b/>
                <w:color w:val="FFFFFF"/>
                <w:sz w:val="20"/>
                <w:lang w:val="es-MX"/>
              </w:rPr>
            </w:pPr>
          </w:p>
        </w:tc>
        <w:tc>
          <w:tcPr>
            <w:tcW w:w="114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D18F348" w14:textId="77777777" w:rsidR="00BA1871" w:rsidRDefault="00BA1871" w:rsidP="00324A31">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2024</w:t>
            </w:r>
          </w:p>
        </w:tc>
        <w:tc>
          <w:tcPr>
            <w:tcW w:w="113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139F7CF" w14:textId="77777777" w:rsidR="00BA1871" w:rsidRDefault="00BA1871" w:rsidP="00324A31">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2023</w:t>
            </w:r>
          </w:p>
        </w:tc>
      </w:tr>
      <w:tr w:rsidR="00BA1871" w14:paraId="7D2E7814" w14:textId="77777777" w:rsidTr="00324A31">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160D65" w14:textId="77777777" w:rsidR="00BA1871" w:rsidRDefault="00BA1871" w:rsidP="00324A31">
            <w:pPr>
              <w:pStyle w:val="Text"/>
              <w:widowControl w:val="0"/>
              <w:spacing w:after="0" w:line="240" w:lineRule="exact"/>
              <w:ind w:firstLine="0"/>
              <w:rPr>
                <w:rFonts w:ascii="Calibri" w:hAnsi="Calibri" w:cs="DIN Pro Regular"/>
                <w:b/>
                <w:sz w:val="20"/>
              </w:rPr>
            </w:pPr>
            <w:r>
              <w:rPr>
                <w:rFonts w:ascii="Calibri" w:hAnsi="Calibri" w:cs="DIN Pro Regular"/>
                <w:b/>
                <w:sz w:val="20"/>
              </w:rPr>
              <w:t>Resultados del Ejercicio Ahorro/Desahorro</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0C9D42" w14:textId="77777777" w:rsidR="00BA1871" w:rsidRDefault="00BA1871" w:rsidP="00324A31">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7,243,794</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F99DFB" w14:textId="77777777" w:rsidR="00BA1871" w:rsidRDefault="00BA1871" w:rsidP="00324A31">
            <w:pPr>
              <w:pStyle w:val="Text"/>
              <w:widowControl w:val="0"/>
              <w:spacing w:after="0" w:line="240" w:lineRule="exact"/>
              <w:ind w:firstLine="0"/>
              <w:jc w:val="right"/>
            </w:pPr>
            <w:r>
              <w:t>1,474,496</w:t>
            </w:r>
          </w:p>
        </w:tc>
      </w:tr>
      <w:tr w:rsidR="00BA1871" w14:paraId="5DF6F06D" w14:textId="77777777" w:rsidTr="00324A31">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C1858F" w14:textId="77777777" w:rsidR="00BA1871" w:rsidRDefault="00BA1871" w:rsidP="00324A31">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Movimientos de partidas (o rubros) que no afectan al efectivo.</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2DA72C" w14:textId="77777777" w:rsidR="00BA1871" w:rsidRDefault="00BA1871" w:rsidP="00324A31">
            <w:pPr>
              <w:pStyle w:val="Text"/>
              <w:widowControl w:val="0"/>
              <w:spacing w:after="0" w:line="240" w:lineRule="exact"/>
              <w:ind w:firstLine="0"/>
              <w:jc w:val="right"/>
              <w:rPr>
                <w:rFonts w:ascii="Calibri" w:hAnsi="Calibri" w:cs="DIN Pro Regular"/>
                <w:sz w:val="20"/>
                <w:lang w:val="es-MX"/>
              </w:rPr>
            </w:pP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73364D" w14:textId="77777777" w:rsidR="00BA1871" w:rsidRDefault="00BA1871" w:rsidP="00324A31">
            <w:pPr>
              <w:pStyle w:val="Text"/>
              <w:widowControl w:val="0"/>
              <w:spacing w:after="0" w:line="240" w:lineRule="exact"/>
              <w:ind w:firstLine="0"/>
              <w:jc w:val="right"/>
              <w:rPr>
                <w:rFonts w:ascii="Calibri" w:hAnsi="Calibri" w:cs="DIN Pro Regular"/>
                <w:sz w:val="20"/>
                <w:lang w:val="es-MX"/>
              </w:rPr>
            </w:pPr>
          </w:p>
        </w:tc>
      </w:tr>
      <w:tr w:rsidR="00BA1871" w14:paraId="58F44BE7" w14:textId="77777777" w:rsidTr="00324A31">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72783C" w14:textId="77777777" w:rsidR="00BA1871" w:rsidRDefault="00BA1871" w:rsidP="00324A31">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Depreciación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7B928D" w14:textId="77777777" w:rsidR="00BA1871" w:rsidRDefault="00BA1871" w:rsidP="00324A31">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1,766,561</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B2159E" w14:textId="77777777" w:rsidR="00BA1871" w:rsidRDefault="00BA1871" w:rsidP="00324A31">
            <w:pPr>
              <w:pStyle w:val="Text"/>
              <w:widowControl w:val="0"/>
              <w:spacing w:after="0" w:line="240" w:lineRule="exact"/>
              <w:ind w:firstLine="0"/>
              <w:jc w:val="right"/>
            </w:pPr>
            <w:r>
              <w:t>1,235,232</w:t>
            </w:r>
          </w:p>
        </w:tc>
      </w:tr>
      <w:tr w:rsidR="00BA1871" w14:paraId="2D0A2724" w14:textId="77777777" w:rsidTr="00324A31">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10C046" w14:textId="77777777" w:rsidR="00BA1871" w:rsidRDefault="00BA1871" w:rsidP="00324A31">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Amortización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AD11BA" w14:textId="77777777" w:rsidR="00BA1871" w:rsidRDefault="00BA1871" w:rsidP="00324A31">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50,791</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8DCD4E" w14:textId="77777777" w:rsidR="00BA1871" w:rsidRDefault="00BA1871" w:rsidP="00324A31">
            <w:pPr>
              <w:pStyle w:val="Text"/>
              <w:widowControl w:val="0"/>
              <w:spacing w:after="0" w:line="240" w:lineRule="exact"/>
              <w:ind w:firstLine="0"/>
              <w:jc w:val="right"/>
            </w:pPr>
            <w:r>
              <w:t>106,435</w:t>
            </w:r>
          </w:p>
        </w:tc>
      </w:tr>
      <w:tr w:rsidR="00BA1871" w14:paraId="11CDE280" w14:textId="77777777" w:rsidTr="00324A31">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8C6904" w14:textId="77777777" w:rsidR="00BA1871" w:rsidRDefault="00BA1871" w:rsidP="00324A31">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Incrementos en las provisiones</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A5AF99" w14:textId="77777777" w:rsidR="00BA1871" w:rsidRDefault="00BA1871" w:rsidP="00324A31">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11,093</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4E3ED9" w14:textId="77777777" w:rsidR="00BA1871" w:rsidRDefault="00BA1871" w:rsidP="00324A31">
            <w:pPr>
              <w:pStyle w:val="Text"/>
              <w:widowControl w:val="0"/>
              <w:spacing w:after="0" w:line="240" w:lineRule="exact"/>
              <w:ind w:firstLine="0"/>
              <w:jc w:val="right"/>
            </w:pPr>
            <w:r>
              <w:t>11,946</w:t>
            </w:r>
          </w:p>
        </w:tc>
      </w:tr>
      <w:tr w:rsidR="00BA1871" w14:paraId="4BB4CD6B" w14:textId="77777777" w:rsidTr="00324A31">
        <w:tblPrEx>
          <w:tblCellMar>
            <w:top w:w="0" w:type="dxa"/>
            <w:bottom w:w="0" w:type="dxa"/>
          </w:tblCellMar>
        </w:tblPrEx>
        <w:trPr>
          <w:cantSplit/>
          <w:trHeight w:val="21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770FE9" w14:textId="77777777" w:rsidR="00BA1871" w:rsidRDefault="00BA1871" w:rsidP="00324A31">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inversiones producido por revaluación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AA1517" w14:textId="77777777" w:rsidR="00BA1871" w:rsidRDefault="00BA1871" w:rsidP="00324A31">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F7FD15" w14:textId="77777777" w:rsidR="00BA1871" w:rsidRDefault="00BA1871" w:rsidP="00324A31">
            <w:pPr>
              <w:pStyle w:val="Text"/>
              <w:widowControl w:val="0"/>
              <w:spacing w:after="0" w:line="240" w:lineRule="exact"/>
              <w:ind w:firstLine="0"/>
              <w:jc w:val="right"/>
            </w:pPr>
            <w:r>
              <w:t>-</w:t>
            </w:r>
          </w:p>
        </w:tc>
      </w:tr>
      <w:tr w:rsidR="00BA1871" w14:paraId="6ABEAC75" w14:textId="77777777" w:rsidTr="00324A31">
        <w:tblPrEx>
          <w:tblCellMar>
            <w:top w:w="0" w:type="dxa"/>
            <w:bottom w:w="0" w:type="dxa"/>
          </w:tblCellMar>
        </w:tblPrEx>
        <w:trPr>
          <w:cantSplit/>
          <w:trHeight w:val="10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3963F3" w14:textId="77777777" w:rsidR="00BA1871" w:rsidRDefault="00BA1871" w:rsidP="00324A31">
            <w:pPr>
              <w:pStyle w:val="Text"/>
              <w:widowControl w:val="0"/>
              <w:spacing w:after="0" w:line="240" w:lineRule="exact"/>
              <w:ind w:firstLine="0"/>
              <w:rPr>
                <w:rFonts w:ascii="Calibri" w:hAnsi="Calibri" w:cs="DIN Pro Regular"/>
                <w:sz w:val="20"/>
              </w:rPr>
            </w:pPr>
            <w:r>
              <w:rPr>
                <w:rFonts w:ascii="Calibri" w:hAnsi="Calibri" w:cs="DIN Pro Regular"/>
                <w:sz w:val="20"/>
              </w:rPr>
              <w:t>Ganancia/pérdida en venta de bienes muebles, inmuebles e intangibles</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BC5891" w14:textId="77777777" w:rsidR="00BA1871" w:rsidRDefault="00BA1871" w:rsidP="00324A31">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9E6CBF" w14:textId="77777777" w:rsidR="00BA1871" w:rsidRDefault="00BA1871" w:rsidP="00324A31">
            <w:pPr>
              <w:pStyle w:val="Text"/>
              <w:widowControl w:val="0"/>
              <w:spacing w:after="0" w:line="240" w:lineRule="exact"/>
              <w:ind w:firstLine="0"/>
              <w:jc w:val="right"/>
            </w:pPr>
            <w:r>
              <w:t>-</w:t>
            </w:r>
          </w:p>
        </w:tc>
      </w:tr>
      <w:tr w:rsidR="00BA1871" w14:paraId="2DAE2AE1" w14:textId="77777777" w:rsidTr="00324A31">
        <w:tblPrEx>
          <w:tblCellMar>
            <w:top w:w="0" w:type="dxa"/>
            <w:bottom w:w="0" w:type="dxa"/>
          </w:tblCellMar>
        </w:tblPrEx>
        <w:trPr>
          <w:cantSplit/>
          <w:trHeight w:val="28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EAF2E0" w14:textId="77777777" w:rsidR="00BA1871" w:rsidRDefault="00BA1871" w:rsidP="00324A31">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cuentas por cobrar</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744434" w14:textId="77777777" w:rsidR="00BA1871" w:rsidRDefault="00BA1871" w:rsidP="00324A31">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-124,105</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696E01" w14:textId="77777777" w:rsidR="00BA1871" w:rsidRDefault="00BA1871" w:rsidP="00324A31">
            <w:pPr>
              <w:pStyle w:val="Text"/>
              <w:widowControl w:val="0"/>
              <w:spacing w:after="0" w:line="240" w:lineRule="exact"/>
              <w:ind w:firstLine="0"/>
              <w:jc w:val="right"/>
            </w:pPr>
            <w:r>
              <w:t>-94,982</w:t>
            </w:r>
          </w:p>
        </w:tc>
      </w:tr>
      <w:tr w:rsidR="00BA1871" w14:paraId="643147F5" w14:textId="77777777" w:rsidTr="00324A31">
        <w:tblPrEx>
          <w:tblCellMar>
            <w:top w:w="0" w:type="dxa"/>
            <w:bottom w:w="0" w:type="dxa"/>
          </w:tblCellMar>
        </w:tblPrEx>
        <w:trPr>
          <w:cantSplit/>
          <w:trHeight w:val="28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AFBFCD" w14:textId="77777777" w:rsidR="00BA1871" w:rsidRDefault="00BA1871" w:rsidP="00324A31">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Cuentas por Pagar a Corto Plazo</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5DC895" w14:textId="77777777" w:rsidR="00BA1871" w:rsidRDefault="00BA1871" w:rsidP="00324A31">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-247,561</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E4BCF1" w14:textId="77777777" w:rsidR="00BA1871" w:rsidRDefault="00BA1871" w:rsidP="00324A31">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-168,669</w:t>
            </w:r>
          </w:p>
        </w:tc>
      </w:tr>
      <w:tr w:rsidR="00BA1871" w14:paraId="517CE0D9" w14:textId="77777777" w:rsidTr="00324A31">
        <w:tblPrEx>
          <w:tblCellMar>
            <w:top w:w="0" w:type="dxa"/>
            <w:bottom w:w="0" w:type="dxa"/>
          </w:tblCellMar>
        </w:tblPrEx>
        <w:trPr>
          <w:cantSplit/>
          <w:trHeight w:val="28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A27D1C" w14:textId="77777777" w:rsidR="00BA1871" w:rsidRDefault="00BA1871" w:rsidP="00324A31">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Afectaciones al resultado de ejercicios anteriores</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A685B8" w14:textId="77777777" w:rsidR="00BA1871" w:rsidRDefault="00BA1871" w:rsidP="00324A31">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23,765</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64C8EC" w14:textId="77777777" w:rsidR="00BA1871" w:rsidRDefault="00BA1871" w:rsidP="00324A31">
            <w:pPr>
              <w:pStyle w:val="Text"/>
              <w:widowControl w:val="0"/>
              <w:spacing w:after="0" w:line="240" w:lineRule="exact"/>
              <w:ind w:firstLine="0"/>
              <w:jc w:val="right"/>
              <w:rPr>
                <w:rFonts w:ascii="Calibri" w:hAnsi="Calibri" w:cs="DIN Pro Regular"/>
                <w:sz w:val="20"/>
                <w:lang w:val="es-MX"/>
              </w:rPr>
            </w:pPr>
          </w:p>
        </w:tc>
      </w:tr>
      <w:tr w:rsidR="00BA1871" w14:paraId="59C947FC" w14:textId="77777777" w:rsidTr="00324A31">
        <w:tblPrEx>
          <w:tblCellMar>
            <w:top w:w="0" w:type="dxa"/>
            <w:bottom w:w="0" w:type="dxa"/>
          </w:tblCellMar>
        </w:tblPrEx>
        <w:trPr>
          <w:cantSplit/>
          <w:trHeight w:val="28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CAB9E0" w14:textId="77777777" w:rsidR="00BA1871" w:rsidRDefault="00BA1871" w:rsidP="00324A31">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Partidas Extraordinarias</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49A670" w14:textId="77777777" w:rsidR="00BA1871" w:rsidRDefault="00BA1871" w:rsidP="00324A31">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406,750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82C4EB" w14:textId="77777777" w:rsidR="00BA1871" w:rsidRDefault="00BA1871" w:rsidP="00324A31">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25,046</w:t>
            </w:r>
          </w:p>
        </w:tc>
      </w:tr>
      <w:tr w:rsidR="00BA1871" w14:paraId="2401D8B0" w14:textId="77777777" w:rsidTr="00324A31">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DB6C82" w14:textId="77777777" w:rsidR="00BA1871" w:rsidRDefault="00BA1871" w:rsidP="00324A31">
            <w:pPr>
              <w:pStyle w:val="Text"/>
              <w:widowControl w:val="0"/>
              <w:spacing w:after="0" w:line="240" w:lineRule="exact"/>
              <w:ind w:firstLine="0"/>
              <w:rPr>
                <w:rFonts w:ascii="Calibri" w:hAnsi="Calibri" w:cs="DIN Pro Regular"/>
                <w:b/>
                <w:sz w:val="20"/>
              </w:rPr>
            </w:pPr>
            <w:r>
              <w:rPr>
                <w:rFonts w:ascii="Calibri" w:hAnsi="Calibri" w:cs="DIN Pro Regular"/>
                <w:b/>
                <w:sz w:val="20"/>
              </w:rPr>
              <w:t>Flujos de Efectivo Netos de las Actividades de Operación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DE8887" w14:textId="77777777" w:rsidR="00BA1871" w:rsidRDefault="00BA1871" w:rsidP="00324A31">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9,131,088</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285998" w14:textId="77777777" w:rsidR="00BA1871" w:rsidRDefault="00BA1871" w:rsidP="00324A31">
            <w:pPr>
              <w:pStyle w:val="Text"/>
              <w:widowControl w:val="0"/>
              <w:spacing w:after="0" w:line="240" w:lineRule="exact"/>
              <w:ind w:firstLine="0"/>
              <w:jc w:val="right"/>
            </w:pPr>
            <w:r>
              <w:t>2,589,504</w:t>
            </w:r>
          </w:p>
        </w:tc>
      </w:tr>
    </w:tbl>
    <w:p w14:paraId="75E2A1D0" w14:textId="77777777" w:rsidR="00BA1871" w:rsidRDefault="00BA1871" w:rsidP="00BA1871">
      <w:pPr>
        <w:pStyle w:val="ROMANOS"/>
        <w:spacing w:after="0" w:line="240" w:lineRule="exact"/>
        <w:ind w:left="1140"/>
        <w:rPr>
          <w:rFonts w:ascii="Calibri" w:hAnsi="Calibri" w:cs="DIN Pro Regular"/>
          <w:b/>
          <w:sz w:val="20"/>
          <w:szCs w:val="20"/>
          <w:lang w:val="es-MX"/>
        </w:rPr>
      </w:pPr>
    </w:p>
    <w:p w14:paraId="1266AC84" w14:textId="77777777" w:rsidR="00BA1871" w:rsidRDefault="00BA1871" w:rsidP="00BA1871">
      <w:pPr>
        <w:pStyle w:val="ROMANOS"/>
        <w:spacing w:after="0" w:line="240" w:lineRule="exact"/>
        <w:ind w:left="1140"/>
        <w:rPr>
          <w:rFonts w:ascii="Calibri" w:hAnsi="Calibri" w:cs="DIN Pro Regular"/>
          <w:b/>
          <w:sz w:val="20"/>
          <w:szCs w:val="20"/>
          <w:lang w:val="es-MX"/>
        </w:rPr>
      </w:pPr>
    </w:p>
    <w:p w14:paraId="07F4F27D" w14:textId="77777777" w:rsidR="00BA1871" w:rsidRDefault="00BA1871" w:rsidP="00BA1871">
      <w:pPr>
        <w:pStyle w:val="INCISO"/>
        <w:spacing w:after="0" w:line="240" w:lineRule="exact"/>
        <w:ind w:left="360"/>
        <w:rPr>
          <w:rFonts w:ascii="Calibri" w:hAnsi="Calibri" w:cs="DIN Pro Regular"/>
          <w:b/>
          <w:smallCaps/>
          <w:sz w:val="20"/>
          <w:szCs w:val="20"/>
        </w:rPr>
      </w:pPr>
    </w:p>
    <w:p w14:paraId="5B07512B" w14:textId="77777777" w:rsidR="00BA1871" w:rsidRDefault="00BA1871" w:rsidP="00BA1871">
      <w:pPr>
        <w:pStyle w:val="INCISO"/>
        <w:spacing w:after="0" w:line="240" w:lineRule="exact"/>
        <w:ind w:left="360"/>
        <w:rPr>
          <w:rFonts w:ascii="Calibri" w:hAnsi="Calibri" w:cs="DIN Pro Regular"/>
          <w:b/>
          <w:smallCaps/>
          <w:sz w:val="20"/>
          <w:szCs w:val="20"/>
        </w:rPr>
      </w:pPr>
    </w:p>
    <w:p w14:paraId="42C1BB75" w14:textId="77777777" w:rsidR="00BA1871" w:rsidRDefault="00BA1871" w:rsidP="00BA1871">
      <w:pPr>
        <w:pStyle w:val="INCISO"/>
        <w:spacing w:after="0" w:line="240" w:lineRule="exact"/>
        <w:ind w:left="360"/>
        <w:rPr>
          <w:rFonts w:ascii="Calibri" w:hAnsi="Calibri" w:cs="DIN Pro Regular"/>
          <w:b/>
          <w:smallCaps/>
          <w:sz w:val="20"/>
          <w:szCs w:val="20"/>
        </w:rPr>
      </w:pPr>
    </w:p>
    <w:p w14:paraId="1D41535E" w14:textId="77777777" w:rsidR="00BA1871" w:rsidRDefault="00BA1871" w:rsidP="00BA1871">
      <w:pPr>
        <w:pStyle w:val="INCISO"/>
        <w:spacing w:after="0" w:line="240" w:lineRule="exact"/>
        <w:ind w:left="360"/>
        <w:rPr>
          <w:rFonts w:ascii="Calibri" w:hAnsi="Calibri" w:cs="DIN Pro Regular"/>
          <w:b/>
          <w:smallCaps/>
          <w:sz w:val="20"/>
          <w:szCs w:val="20"/>
        </w:rPr>
      </w:pPr>
    </w:p>
    <w:p w14:paraId="6E280B25" w14:textId="77777777" w:rsidR="00BA1871" w:rsidRDefault="00BA1871" w:rsidP="00BA1871">
      <w:pPr>
        <w:pStyle w:val="INCISO"/>
        <w:spacing w:after="0" w:line="240" w:lineRule="exact"/>
        <w:ind w:left="360"/>
        <w:rPr>
          <w:rFonts w:ascii="Calibri" w:hAnsi="Calibri" w:cs="DIN Pro Regular"/>
          <w:b/>
          <w:smallCaps/>
          <w:sz w:val="20"/>
          <w:szCs w:val="20"/>
        </w:rPr>
      </w:pPr>
    </w:p>
    <w:p w14:paraId="11408E05" w14:textId="77777777" w:rsidR="00BA1871" w:rsidRDefault="00BA1871" w:rsidP="00BA1871">
      <w:pPr>
        <w:pStyle w:val="INCISO"/>
        <w:spacing w:after="0" w:line="240" w:lineRule="exact"/>
        <w:ind w:left="360"/>
        <w:rPr>
          <w:rFonts w:ascii="Calibri" w:hAnsi="Calibri" w:cs="DIN Pro Regular"/>
          <w:b/>
          <w:smallCaps/>
          <w:sz w:val="20"/>
          <w:szCs w:val="20"/>
        </w:rPr>
      </w:pPr>
    </w:p>
    <w:p w14:paraId="749507CA" w14:textId="77777777" w:rsidR="00BA1871" w:rsidRDefault="00BA1871" w:rsidP="00BA1871">
      <w:pPr>
        <w:pStyle w:val="INCISO"/>
        <w:spacing w:after="0" w:line="240" w:lineRule="exact"/>
        <w:ind w:left="360"/>
        <w:rPr>
          <w:rFonts w:ascii="Calibri" w:hAnsi="Calibri" w:cs="DIN Pro Regular"/>
          <w:b/>
          <w:smallCaps/>
          <w:sz w:val="20"/>
          <w:szCs w:val="20"/>
        </w:rPr>
      </w:pPr>
    </w:p>
    <w:p w14:paraId="1458D682" w14:textId="77777777" w:rsidR="00BA1871" w:rsidRDefault="00BA1871" w:rsidP="00BA1871">
      <w:pPr>
        <w:pStyle w:val="INCISO"/>
        <w:spacing w:after="0" w:line="240" w:lineRule="exact"/>
        <w:ind w:left="360"/>
        <w:rPr>
          <w:rFonts w:ascii="Calibri" w:hAnsi="Calibri" w:cs="DIN Pro Regular"/>
          <w:b/>
          <w:smallCaps/>
          <w:sz w:val="20"/>
          <w:szCs w:val="20"/>
        </w:rPr>
      </w:pPr>
    </w:p>
    <w:p w14:paraId="2F29F219" w14:textId="77777777" w:rsidR="00BA1871" w:rsidRDefault="00BA1871" w:rsidP="00BA1871">
      <w:pPr>
        <w:pStyle w:val="INCISO"/>
        <w:spacing w:after="0" w:line="240" w:lineRule="exact"/>
        <w:ind w:left="360"/>
        <w:rPr>
          <w:rFonts w:ascii="Calibri" w:hAnsi="Calibri" w:cs="DIN Pro Regular"/>
          <w:b/>
          <w:smallCaps/>
          <w:sz w:val="20"/>
          <w:szCs w:val="20"/>
        </w:rPr>
      </w:pPr>
    </w:p>
    <w:p w14:paraId="77397DBF" w14:textId="77777777" w:rsidR="00BA1871" w:rsidRDefault="00BA1871" w:rsidP="00BA1871">
      <w:pPr>
        <w:pStyle w:val="INCISO"/>
        <w:spacing w:after="0" w:line="240" w:lineRule="exact"/>
        <w:ind w:left="360"/>
        <w:rPr>
          <w:rFonts w:ascii="Calibri" w:hAnsi="Calibri" w:cs="DIN Pro Regular"/>
          <w:b/>
          <w:smallCaps/>
          <w:sz w:val="20"/>
          <w:szCs w:val="20"/>
        </w:rPr>
      </w:pPr>
    </w:p>
    <w:p w14:paraId="739A1254" w14:textId="77777777" w:rsidR="00BA1871" w:rsidRDefault="00BA1871" w:rsidP="00BA1871">
      <w:pPr>
        <w:pStyle w:val="INCISO"/>
        <w:spacing w:after="0" w:line="240" w:lineRule="exact"/>
        <w:ind w:left="360"/>
        <w:rPr>
          <w:rFonts w:ascii="Calibri" w:hAnsi="Calibri" w:cs="DIN Pro Regular"/>
          <w:b/>
          <w:smallCaps/>
          <w:sz w:val="20"/>
          <w:szCs w:val="20"/>
        </w:rPr>
      </w:pPr>
    </w:p>
    <w:p w14:paraId="78BE09C9" w14:textId="77777777" w:rsidR="00BA1871" w:rsidRDefault="00BA1871" w:rsidP="00BA1871">
      <w:pPr>
        <w:pStyle w:val="INCISO"/>
        <w:spacing w:after="0" w:line="240" w:lineRule="exact"/>
        <w:ind w:left="360"/>
        <w:rPr>
          <w:rFonts w:ascii="Calibri" w:hAnsi="Calibri" w:cs="DIN Pro Regular"/>
          <w:b/>
          <w:smallCaps/>
          <w:sz w:val="20"/>
          <w:szCs w:val="20"/>
        </w:rPr>
      </w:pPr>
    </w:p>
    <w:p w14:paraId="2D8A6C2A" w14:textId="77777777" w:rsidR="00BA1871" w:rsidRDefault="00BA1871" w:rsidP="00BA1871">
      <w:pPr>
        <w:pStyle w:val="INCISO"/>
        <w:spacing w:after="0" w:line="240" w:lineRule="exact"/>
        <w:ind w:left="360"/>
        <w:rPr>
          <w:rFonts w:ascii="Calibri" w:hAnsi="Calibri" w:cs="DIN Pro Regular"/>
          <w:b/>
          <w:smallCaps/>
          <w:sz w:val="20"/>
          <w:szCs w:val="20"/>
        </w:rPr>
      </w:pPr>
    </w:p>
    <w:p w14:paraId="326462BF" w14:textId="77777777" w:rsidR="00BA1871" w:rsidRDefault="00BA1871" w:rsidP="00BA1871">
      <w:pPr>
        <w:pStyle w:val="INCISO"/>
        <w:spacing w:after="0" w:line="240" w:lineRule="exact"/>
        <w:ind w:left="360"/>
        <w:rPr>
          <w:rFonts w:ascii="Calibri" w:hAnsi="Calibri" w:cs="DIN Pro Regular"/>
          <w:b/>
          <w:smallCaps/>
          <w:sz w:val="20"/>
          <w:szCs w:val="20"/>
        </w:rPr>
      </w:pPr>
    </w:p>
    <w:p w14:paraId="502D0AE8" w14:textId="77777777" w:rsidR="00BA1871" w:rsidRDefault="00BA1871" w:rsidP="00BA1871">
      <w:pPr>
        <w:pStyle w:val="INCISO"/>
        <w:spacing w:after="0" w:line="240" w:lineRule="exact"/>
        <w:ind w:left="360"/>
        <w:rPr>
          <w:rFonts w:ascii="Calibri" w:hAnsi="Calibri" w:cs="DIN Pro Regular"/>
          <w:b/>
          <w:smallCaps/>
          <w:sz w:val="20"/>
          <w:szCs w:val="20"/>
        </w:rPr>
      </w:pPr>
    </w:p>
    <w:p w14:paraId="6B085818" w14:textId="77777777" w:rsidR="00BA1871" w:rsidRDefault="00BA1871" w:rsidP="00BA1871">
      <w:pPr>
        <w:pStyle w:val="INCISO"/>
        <w:spacing w:after="0" w:line="240" w:lineRule="exact"/>
        <w:ind w:left="360"/>
        <w:rPr>
          <w:rFonts w:ascii="Calibri" w:hAnsi="Calibri" w:cs="DIN Pro Regular"/>
          <w:b/>
          <w:smallCaps/>
          <w:sz w:val="20"/>
          <w:szCs w:val="20"/>
        </w:rPr>
      </w:pPr>
    </w:p>
    <w:p w14:paraId="3A288D8D" w14:textId="77777777" w:rsidR="00BA1871" w:rsidRDefault="00BA1871" w:rsidP="00BA1871">
      <w:pPr>
        <w:pStyle w:val="INCISO"/>
        <w:spacing w:after="0" w:line="240" w:lineRule="exact"/>
        <w:ind w:left="360"/>
        <w:rPr>
          <w:rFonts w:ascii="Calibri" w:hAnsi="Calibri" w:cs="DIN Pro Regular"/>
          <w:b/>
          <w:smallCaps/>
          <w:sz w:val="20"/>
          <w:szCs w:val="20"/>
        </w:rPr>
      </w:pPr>
    </w:p>
    <w:p w14:paraId="40CB2560" w14:textId="77777777" w:rsidR="00BA1871" w:rsidRDefault="00BA1871" w:rsidP="00BA1871">
      <w:pPr>
        <w:pStyle w:val="INCISO"/>
        <w:spacing w:after="0" w:line="240" w:lineRule="exact"/>
        <w:ind w:left="360"/>
        <w:rPr>
          <w:rFonts w:ascii="Calibri" w:hAnsi="Calibri" w:cs="DIN Pro Regular"/>
          <w:b/>
          <w:smallCaps/>
          <w:sz w:val="20"/>
          <w:szCs w:val="20"/>
        </w:rPr>
      </w:pPr>
    </w:p>
    <w:p w14:paraId="4C65B4D5" w14:textId="77777777" w:rsidR="00BA1871" w:rsidRDefault="00BA1871" w:rsidP="00BA1871">
      <w:pPr>
        <w:pStyle w:val="INCISO"/>
        <w:spacing w:after="0" w:line="240" w:lineRule="exact"/>
        <w:ind w:left="360"/>
        <w:rPr>
          <w:rFonts w:ascii="Calibri" w:hAnsi="Calibri" w:cs="DIN Pro Regular"/>
          <w:b/>
          <w:smallCaps/>
          <w:sz w:val="20"/>
          <w:szCs w:val="20"/>
        </w:rPr>
      </w:pPr>
    </w:p>
    <w:p w14:paraId="74D72ADD" w14:textId="77777777" w:rsidR="00BA1871" w:rsidRDefault="00BA1871" w:rsidP="00BA1871">
      <w:pPr>
        <w:pStyle w:val="INCISO"/>
        <w:spacing w:after="0" w:line="240" w:lineRule="exact"/>
        <w:ind w:left="360"/>
        <w:rPr>
          <w:rFonts w:ascii="Calibri" w:hAnsi="Calibri" w:cs="DIN Pro Regular"/>
          <w:b/>
          <w:smallCaps/>
          <w:sz w:val="20"/>
          <w:szCs w:val="20"/>
        </w:rPr>
      </w:pPr>
    </w:p>
    <w:p w14:paraId="7D94582B" w14:textId="77777777" w:rsidR="00BA1871" w:rsidRDefault="00BA1871" w:rsidP="00BA1871">
      <w:pPr>
        <w:pStyle w:val="INCISO"/>
        <w:spacing w:after="0" w:line="240" w:lineRule="exact"/>
        <w:ind w:left="360"/>
        <w:rPr>
          <w:rFonts w:ascii="Calibri" w:hAnsi="Calibri" w:cs="DIN Pro Regular"/>
          <w:b/>
          <w:smallCaps/>
          <w:sz w:val="20"/>
          <w:szCs w:val="20"/>
        </w:rPr>
      </w:pPr>
    </w:p>
    <w:p w14:paraId="3F075B70" w14:textId="77777777" w:rsidR="00BA1871" w:rsidRDefault="00BA1871" w:rsidP="00BA1871">
      <w:pPr>
        <w:pStyle w:val="INCISO"/>
        <w:spacing w:after="0" w:line="240" w:lineRule="exact"/>
        <w:ind w:left="360"/>
        <w:rPr>
          <w:rFonts w:ascii="Calibri" w:hAnsi="Calibri" w:cs="DIN Pro Regular"/>
          <w:b/>
          <w:smallCaps/>
          <w:sz w:val="20"/>
          <w:szCs w:val="20"/>
        </w:rPr>
      </w:pPr>
    </w:p>
    <w:p w14:paraId="184BAE3C" w14:textId="77777777" w:rsidR="00BA1871" w:rsidRDefault="00BA1871" w:rsidP="00BA1871">
      <w:pPr>
        <w:pStyle w:val="INCISO"/>
        <w:spacing w:after="0" w:line="240" w:lineRule="exact"/>
        <w:ind w:left="360"/>
        <w:rPr>
          <w:rFonts w:ascii="Calibri" w:hAnsi="Calibri" w:cs="DIN Pro Regular"/>
          <w:b/>
          <w:smallCaps/>
          <w:sz w:val="20"/>
          <w:szCs w:val="20"/>
        </w:rPr>
      </w:pPr>
    </w:p>
    <w:p w14:paraId="2A67DF68" w14:textId="77777777" w:rsidR="00BA1871" w:rsidRDefault="00BA1871" w:rsidP="00BA1871">
      <w:pPr>
        <w:pStyle w:val="INCISO"/>
        <w:spacing w:after="0" w:line="240" w:lineRule="exact"/>
        <w:ind w:left="360"/>
        <w:rPr>
          <w:rFonts w:ascii="Calibri" w:hAnsi="Calibri" w:cs="DIN Pro Regular"/>
          <w:b/>
          <w:smallCaps/>
          <w:sz w:val="20"/>
          <w:szCs w:val="20"/>
        </w:rPr>
      </w:pPr>
    </w:p>
    <w:p w14:paraId="6DF267AE" w14:textId="77777777" w:rsidR="00BA1871" w:rsidRDefault="00BA1871" w:rsidP="00BA1871">
      <w:pPr>
        <w:pStyle w:val="INCISO"/>
        <w:spacing w:after="0" w:line="240" w:lineRule="exact"/>
        <w:ind w:left="360"/>
        <w:rPr>
          <w:rFonts w:ascii="Calibri" w:hAnsi="Calibri" w:cs="DIN Pro Regular"/>
          <w:b/>
          <w:smallCaps/>
          <w:sz w:val="20"/>
          <w:szCs w:val="20"/>
        </w:rPr>
      </w:pPr>
    </w:p>
    <w:p w14:paraId="07806252" w14:textId="77777777" w:rsidR="00BA1871" w:rsidRDefault="00BA1871" w:rsidP="00BA1871">
      <w:pPr>
        <w:pStyle w:val="INCISO"/>
        <w:spacing w:after="0" w:line="240" w:lineRule="exact"/>
        <w:ind w:left="360"/>
        <w:rPr>
          <w:rFonts w:ascii="Calibri" w:hAnsi="Calibri" w:cs="DIN Pro Regular"/>
          <w:b/>
          <w:smallCaps/>
          <w:sz w:val="20"/>
          <w:szCs w:val="20"/>
        </w:rPr>
      </w:pPr>
    </w:p>
    <w:p w14:paraId="63488AAD" w14:textId="77777777" w:rsidR="00BA1871" w:rsidRDefault="00BA1871" w:rsidP="00BA1871">
      <w:pPr>
        <w:pStyle w:val="INCISO"/>
        <w:spacing w:after="0" w:line="240" w:lineRule="exact"/>
        <w:ind w:left="360"/>
        <w:rPr>
          <w:rFonts w:ascii="Calibri" w:hAnsi="Calibri" w:cs="DIN Pro Regular"/>
          <w:b/>
          <w:smallCaps/>
          <w:sz w:val="20"/>
          <w:szCs w:val="20"/>
        </w:rPr>
      </w:pPr>
    </w:p>
    <w:p w14:paraId="70FCF319" w14:textId="77777777" w:rsidR="00BA1871" w:rsidRDefault="00BA1871" w:rsidP="00BA1871">
      <w:pPr>
        <w:pStyle w:val="INCISO"/>
        <w:spacing w:after="0" w:line="240" w:lineRule="exact"/>
        <w:ind w:left="360"/>
        <w:rPr>
          <w:rFonts w:ascii="Calibri" w:hAnsi="Calibri" w:cs="DIN Pro Regular"/>
          <w:b/>
          <w:smallCaps/>
          <w:sz w:val="20"/>
          <w:szCs w:val="20"/>
        </w:rPr>
      </w:pPr>
    </w:p>
    <w:p w14:paraId="330707A2" w14:textId="77777777" w:rsidR="00BA1871" w:rsidRDefault="00BA1871" w:rsidP="00BA1871">
      <w:pPr>
        <w:pStyle w:val="INCISO"/>
        <w:spacing w:after="0" w:line="240" w:lineRule="exact"/>
        <w:ind w:left="360"/>
        <w:rPr>
          <w:rFonts w:ascii="Calibri" w:hAnsi="Calibri" w:cs="DIN Pro Regular"/>
          <w:b/>
          <w:smallCaps/>
          <w:sz w:val="20"/>
          <w:szCs w:val="20"/>
        </w:rPr>
      </w:pPr>
    </w:p>
    <w:p w14:paraId="2FBCADF1" w14:textId="77777777" w:rsidR="00BA1871" w:rsidRDefault="00BA1871" w:rsidP="00BA1871">
      <w:pPr>
        <w:pStyle w:val="INCISO"/>
        <w:spacing w:after="0" w:line="240" w:lineRule="exact"/>
        <w:ind w:left="360"/>
        <w:rPr>
          <w:rFonts w:ascii="Calibri" w:hAnsi="Calibri" w:cs="DIN Pro Regular"/>
          <w:b/>
          <w:smallCaps/>
          <w:sz w:val="20"/>
          <w:szCs w:val="20"/>
        </w:rPr>
      </w:pPr>
    </w:p>
    <w:p w14:paraId="7469B317" w14:textId="77777777" w:rsidR="00BA1871" w:rsidRDefault="00BA1871" w:rsidP="00BA1871">
      <w:pPr>
        <w:pStyle w:val="INCISO"/>
        <w:spacing w:after="0" w:line="240" w:lineRule="exact"/>
        <w:ind w:left="360"/>
        <w:rPr>
          <w:rFonts w:ascii="Calibri" w:hAnsi="Calibri" w:cs="DIN Pro Regular"/>
          <w:b/>
          <w:smallCaps/>
          <w:sz w:val="20"/>
          <w:szCs w:val="20"/>
        </w:rPr>
      </w:pPr>
    </w:p>
    <w:p w14:paraId="16087092" w14:textId="77777777" w:rsidR="00BA1871" w:rsidRDefault="00BA1871" w:rsidP="00BA1871">
      <w:pPr>
        <w:pStyle w:val="INCISO"/>
        <w:spacing w:after="0" w:line="240" w:lineRule="exact"/>
        <w:ind w:left="360"/>
        <w:rPr>
          <w:rFonts w:ascii="Calibri" w:hAnsi="Calibri" w:cs="DIN Pro Regular"/>
          <w:b/>
          <w:smallCaps/>
          <w:sz w:val="20"/>
          <w:szCs w:val="20"/>
        </w:rPr>
      </w:pPr>
    </w:p>
    <w:p w14:paraId="5CD34437" w14:textId="77777777" w:rsidR="00BA1871" w:rsidRDefault="00BA1871" w:rsidP="00BA1871">
      <w:pPr>
        <w:pStyle w:val="INCISO"/>
        <w:spacing w:after="0" w:line="240" w:lineRule="exact"/>
        <w:ind w:left="360"/>
      </w:pPr>
      <w:r>
        <w:rPr>
          <w:rFonts w:ascii="Calibri" w:hAnsi="Calibri" w:cs="DIN Pro Regular"/>
          <w:b/>
          <w:smallCaps/>
          <w:sz w:val="20"/>
          <w:szCs w:val="20"/>
        </w:rPr>
        <w:t>V) Conciliación entre los ingresos presupuestarios y contables, así como entre los egresos presupuestarios y los gastos contables:</w:t>
      </w:r>
    </w:p>
    <w:p w14:paraId="2FECCE25" w14:textId="77777777" w:rsidR="00BA1871" w:rsidRDefault="00BA1871" w:rsidP="00BA1871">
      <w:pPr>
        <w:pStyle w:val="INCISO"/>
        <w:spacing w:after="0" w:line="240" w:lineRule="exact"/>
        <w:ind w:left="360"/>
      </w:pPr>
    </w:p>
    <w:p w14:paraId="2AAD24F4" w14:textId="77777777" w:rsidR="00BA1871" w:rsidRDefault="00BA1871" w:rsidP="00BA1871">
      <w:pPr>
        <w:pStyle w:val="INCISO"/>
        <w:spacing w:after="0" w:line="240" w:lineRule="exact"/>
        <w:ind w:left="360"/>
      </w:pPr>
      <w:r>
        <w:rPr>
          <w:rFonts w:ascii="Calibri" w:hAnsi="Calibri" w:cs="DIN Pro Regular"/>
          <w:b/>
          <w:smallCaps/>
          <w:noProof/>
          <w:sz w:val="20"/>
          <w:szCs w:val="20"/>
          <w:lang w:val="es-MX" w:eastAsia="es-MX"/>
        </w:rPr>
        <mc:AlternateContent>
          <mc:Choice Requires="wps">
            <w:drawing>
              <wp:anchor distT="0" distB="0" distL="114300" distR="114300" simplePos="0" relativeHeight="251659264" behindDoc="0" locked="0" layoutInCell="1" allowOverlap="1" wp14:anchorId="6DDAE86C" wp14:editId="02136D67">
                <wp:simplePos x="0" y="0"/>
                <wp:positionH relativeFrom="column">
                  <wp:posOffset>285750</wp:posOffset>
                </wp:positionH>
                <wp:positionV relativeFrom="paragraph">
                  <wp:posOffset>155576</wp:posOffset>
                </wp:positionV>
                <wp:extent cx="5724528" cy="5838828"/>
                <wp:effectExtent l="0" t="0" r="9522" b="9522"/>
                <wp:wrapSquare wrapText="bothSides"/>
                <wp:docPr id="5" name="Marco3"/>
                <wp:cNvGraphicFramePr/>
                <a:graphic xmlns:a="http://schemas.openxmlformats.org/drawingml/2006/main">
                  <a:graphicData uri="http://schemas.microsoft.com/office/word/2010/wordprocessingShape">
                    <wps:wsp>
                      <wps:cNvSpPr txBox="1"/>
                      <wps:spPr>
                        <a:xfrm>
                          <a:off x="0" y="0"/>
                          <a:ext cx="5724528" cy="5838828"/>
                        </a:xfrm>
                        <a:prstGeom prst="rect">
                          <a:avLst/>
                        </a:prstGeom>
                        <a:noFill/>
                        <a:ln>
                          <a:noFill/>
                          <a:prstDash/>
                        </a:ln>
                      </wps:spPr>
                      <wps:txbx>
                        <w:txbxContent>
                          <w:tbl>
                            <w:tblPr>
                              <w:tblW w:w="8492" w:type="dxa"/>
                              <w:jc w:val="center"/>
                              <w:tblLayout w:type="fixed"/>
                              <w:tblCellMar>
                                <w:left w:w="10" w:type="dxa"/>
                                <w:right w:w="10" w:type="dxa"/>
                              </w:tblCellMar>
                              <w:tblLook w:val="0000" w:firstRow="0" w:lastRow="0" w:firstColumn="0" w:lastColumn="0" w:noHBand="0" w:noVBand="0"/>
                            </w:tblPr>
                            <w:tblGrid>
                              <w:gridCol w:w="603"/>
                              <w:gridCol w:w="5015"/>
                              <w:gridCol w:w="2714"/>
                              <w:gridCol w:w="160"/>
                            </w:tblGrid>
                            <w:tr w:rsidR="00BA1871" w14:paraId="119A6997" w14:textId="77777777">
                              <w:tblPrEx>
                                <w:tblCellMar>
                                  <w:top w:w="0" w:type="dxa"/>
                                  <w:bottom w:w="0" w:type="dxa"/>
                                </w:tblCellMar>
                              </w:tblPrEx>
                              <w:trPr>
                                <w:cantSplit/>
                                <w:trHeight w:val="170"/>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064EA19B" w14:textId="77777777" w:rsidR="00BA1871" w:rsidRDefault="00BA1871">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Auditoría Superior del Estado</w:t>
                                  </w:r>
                                </w:p>
                              </w:tc>
                            </w:tr>
                            <w:tr w:rsidR="00BA1871" w14:paraId="5F323999" w14:textId="77777777">
                              <w:tblPrEx>
                                <w:tblCellMar>
                                  <w:top w:w="0" w:type="dxa"/>
                                  <w:bottom w:w="0" w:type="dxa"/>
                                </w:tblCellMar>
                              </w:tblPrEx>
                              <w:trPr>
                                <w:cantSplit/>
                                <w:trHeight w:val="170"/>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6BD18041" w14:textId="77777777" w:rsidR="00BA1871" w:rsidRDefault="00BA1871">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r>
                            <w:tr w:rsidR="00BA1871" w14:paraId="24E15697" w14:textId="77777777">
                              <w:tblPrEx>
                                <w:tblCellMar>
                                  <w:top w:w="0" w:type="dxa"/>
                                  <w:bottom w:w="0" w:type="dxa"/>
                                </w:tblCellMar>
                              </w:tblPrEx>
                              <w:trPr>
                                <w:cantSplit/>
                                <w:trHeight w:val="170"/>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24D89BE5" w14:textId="77777777" w:rsidR="00BA1871" w:rsidRDefault="00BA1871">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r>
                            <w:tr w:rsidR="00BA1871" w14:paraId="35D39EDF" w14:textId="77777777">
                              <w:tblPrEx>
                                <w:tblCellMar>
                                  <w:top w:w="0" w:type="dxa"/>
                                  <w:bottom w:w="0" w:type="dxa"/>
                                </w:tblCellMar>
                              </w:tblPrEx>
                              <w:trPr>
                                <w:cantSplit/>
                                <w:trHeight w:val="170"/>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73C3B3BF" w14:textId="77777777" w:rsidR="00BA1871" w:rsidRDefault="00BA1871">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r>
                            <w:tr w:rsidR="00BA1871" w14:paraId="55CF69F8" w14:textId="77777777">
                              <w:tblPrEx>
                                <w:tblCellMar>
                                  <w:top w:w="0" w:type="dxa"/>
                                  <w:bottom w:w="0" w:type="dxa"/>
                                </w:tblCellMar>
                              </w:tblPrEx>
                              <w:trPr>
                                <w:trHeight w:val="20"/>
                                <w:jc w:val="center"/>
                              </w:trPr>
                              <w:tc>
                                <w:tcPr>
                                  <w:tcW w:w="603" w:type="dxa"/>
                                  <w:shd w:val="clear" w:color="auto" w:fill="auto"/>
                                  <w:tcMar>
                                    <w:top w:w="0" w:type="dxa"/>
                                    <w:left w:w="70" w:type="dxa"/>
                                    <w:bottom w:w="0" w:type="dxa"/>
                                    <w:right w:w="70" w:type="dxa"/>
                                  </w:tcMar>
                                  <w:vAlign w:val="center"/>
                                </w:tcPr>
                                <w:p w14:paraId="1282ADDA" w14:textId="77777777" w:rsidR="00BA1871" w:rsidRDefault="00BA1871">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3A5439B2" w14:textId="77777777" w:rsidR="00BA1871" w:rsidRDefault="00BA1871">
                                  <w:pPr>
                                    <w:pStyle w:val="Standard"/>
                                    <w:widowControl w:val="0"/>
                                    <w:spacing w:after="0" w:line="240" w:lineRule="auto"/>
                                    <w:rPr>
                                      <w:rFonts w:eastAsia="Times New Roman" w:cs="DIN Pro Regular"/>
                                      <w:color w:val="000000"/>
                                      <w:sz w:val="20"/>
                                      <w:szCs w:val="20"/>
                                      <w:lang w:eastAsia="es-MX"/>
                                    </w:rPr>
                                  </w:pPr>
                                </w:p>
                              </w:tc>
                              <w:tc>
                                <w:tcPr>
                                  <w:tcW w:w="2874" w:type="dxa"/>
                                  <w:gridSpan w:val="2"/>
                                  <w:shd w:val="clear" w:color="auto" w:fill="auto"/>
                                  <w:tcMar>
                                    <w:top w:w="0" w:type="dxa"/>
                                    <w:left w:w="70" w:type="dxa"/>
                                    <w:bottom w:w="0" w:type="dxa"/>
                                    <w:right w:w="70" w:type="dxa"/>
                                  </w:tcMar>
                                  <w:vAlign w:val="bottom"/>
                                </w:tcPr>
                                <w:p w14:paraId="4C362FAA" w14:textId="77777777" w:rsidR="00BA1871" w:rsidRDefault="00BA1871">
                                  <w:pPr>
                                    <w:pStyle w:val="Standard"/>
                                    <w:widowControl w:val="0"/>
                                  </w:pPr>
                                </w:p>
                              </w:tc>
                            </w:tr>
                            <w:tr w:rsidR="00BA1871" w14:paraId="42D47C37" w14:textId="77777777">
                              <w:tblPrEx>
                                <w:tblCellMar>
                                  <w:top w:w="0" w:type="dxa"/>
                                  <w:bottom w:w="0" w:type="dxa"/>
                                </w:tblCellMar>
                              </w:tblPrEx>
                              <w:trPr>
                                <w:trHeight w:val="20"/>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1212770" w14:textId="77777777" w:rsidR="00BA1871" w:rsidRDefault="00BA1871">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F2AD15" w14:textId="77777777" w:rsidR="00BA1871" w:rsidRDefault="00BA1871">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$ 156,942,626</w:t>
                                  </w:r>
                                </w:p>
                              </w:tc>
                              <w:tc>
                                <w:tcPr>
                                  <w:tcW w:w="160" w:type="dxa"/>
                                  <w:shd w:val="clear" w:color="auto" w:fill="auto"/>
                                  <w:tcMar>
                                    <w:top w:w="0" w:type="dxa"/>
                                    <w:left w:w="70" w:type="dxa"/>
                                    <w:bottom w:w="0" w:type="dxa"/>
                                    <w:right w:w="70" w:type="dxa"/>
                                  </w:tcMar>
                                </w:tcPr>
                                <w:p w14:paraId="5BE6DDB6" w14:textId="77777777" w:rsidR="00BA1871" w:rsidRDefault="00BA1871">
                                  <w:pPr>
                                    <w:pStyle w:val="Standard"/>
                                    <w:widowControl w:val="0"/>
                                  </w:pPr>
                                </w:p>
                              </w:tc>
                            </w:tr>
                            <w:tr w:rsidR="00BA1871" w14:paraId="4FD3EA6D" w14:textId="77777777">
                              <w:tblPrEx>
                                <w:tblCellMar>
                                  <w:top w:w="0" w:type="dxa"/>
                                  <w:bottom w:w="0" w:type="dxa"/>
                                </w:tblCellMar>
                              </w:tblPrEx>
                              <w:trPr>
                                <w:trHeight w:val="20"/>
                                <w:jc w:val="center"/>
                              </w:trPr>
                              <w:tc>
                                <w:tcPr>
                                  <w:tcW w:w="603" w:type="dxa"/>
                                  <w:shd w:val="clear" w:color="auto" w:fill="auto"/>
                                  <w:tcMar>
                                    <w:top w:w="0" w:type="dxa"/>
                                    <w:left w:w="70" w:type="dxa"/>
                                    <w:bottom w:w="0" w:type="dxa"/>
                                    <w:right w:w="70" w:type="dxa"/>
                                  </w:tcMar>
                                  <w:vAlign w:val="center"/>
                                </w:tcPr>
                                <w:p w14:paraId="6CAE0F70" w14:textId="77777777" w:rsidR="00BA1871" w:rsidRDefault="00BA1871">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6C932423" w14:textId="77777777" w:rsidR="00BA1871" w:rsidRDefault="00BA1871">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63DE34A5" w14:textId="77777777" w:rsidR="00BA1871" w:rsidRDefault="00BA1871">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5E96875D" w14:textId="77777777" w:rsidR="00BA1871" w:rsidRDefault="00BA1871">
                                  <w:pPr>
                                    <w:pStyle w:val="Standard"/>
                                    <w:widowControl w:val="0"/>
                                  </w:pPr>
                                </w:p>
                              </w:tc>
                            </w:tr>
                            <w:tr w:rsidR="00BA1871" w14:paraId="73A615B3" w14:textId="77777777">
                              <w:tblPrEx>
                                <w:tblCellMar>
                                  <w:top w:w="0" w:type="dxa"/>
                                  <w:bottom w:w="0" w:type="dxa"/>
                                </w:tblCellMar>
                              </w:tblPrEx>
                              <w:trPr>
                                <w:trHeight w:val="20"/>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FD54A2B" w14:textId="77777777" w:rsidR="00BA1871" w:rsidRDefault="00BA1871">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8AFCB0" w14:textId="77777777" w:rsidR="00BA1871" w:rsidRDefault="00BA1871">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147,810</w:t>
                                  </w:r>
                                </w:p>
                              </w:tc>
                              <w:tc>
                                <w:tcPr>
                                  <w:tcW w:w="160" w:type="dxa"/>
                                  <w:shd w:val="clear" w:color="auto" w:fill="auto"/>
                                  <w:tcMar>
                                    <w:top w:w="0" w:type="dxa"/>
                                    <w:left w:w="70" w:type="dxa"/>
                                    <w:bottom w:w="0" w:type="dxa"/>
                                    <w:right w:w="70" w:type="dxa"/>
                                  </w:tcMar>
                                </w:tcPr>
                                <w:p w14:paraId="630C8DBA" w14:textId="77777777" w:rsidR="00BA1871" w:rsidRDefault="00BA1871">
                                  <w:pPr>
                                    <w:pStyle w:val="Standard"/>
                                    <w:widowControl w:val="0"/>
                                  </w:pPr>
                                </w:p>
                              </w:tc>
                            </w:tr>
                            <w:tr w:rsidR="00BA1871" w14:paraId="6FD1E558" w14:textId="77777777">
                              <w:tblPrEx>
                                <w:tblCellMar>
                                  <w:top w:w="0" w:type="dxa"/>
                                  <w:bottom w:w="0" w:type="dxa"/>
                                </w:tblCellMar>
                              </w:tblPrEx>
                              <w:trPr>
                                <w:trHeight w:val="20"/>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59B5AE7" w14:textId="77777777" w:rsidR="00BA1871" w:rsidRDefault="00BA1871">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3FB38E4" w14:textId="77777777" w:rsidR="00BA1871" w:rsidRDefault="00BA1871">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C26F07" w14:textId="77777777" w:rsidR="00BA1871" w:rsidRDefault="00BA1871">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147,810</w:t>
                                  </w:r>
                                </w:p>
                              </w:tc>
                              <w:tc>
                                <w:tcPr>
                                  <w:tcW w:w="160" w:type="dxa"/>
                                  <w:shd w:val="clear" w:color="auto" w:fill="auto"/>
                                  <w:tcMar>
                                    <w:top w:w="0" w:type="dxa"/>
                                    <w:left w:w="70" w:type="dxa"/>
                                    <w:bottom w:w="0" w:type="dxa"/>
                                    <w:right w:w="70" w:type="dxa"/>
                                  </w:tcMar>
                                </w:tcPr>
                                <w:p w14:paraId="492A1E1C" w14:textId="77777777" w:rsidR="00BA1871" w:rsidRDefault="00BA1871">
                                  <w:pPr>
                                    <w:pStyle w:val="Standard"/>
                                    <w:widowControl w:val="0"/>
                                  </w:pPr>
                                </w:p>
                              </w:tc>
                            </w:tr>
                            <w:tr w:rsidR="00BA1871" w14:paraId="09475AE0" w14:textId="77777777">
                              <w:tblPrEx>
                                <w:tblCellMar>
                                  <w:top w:w="0" w:type="dxa"/>
                                  <w:bottom w:w="0" w:type="dxa"/>
                                </w:tblCellMar>
                              </w:tblPrEx>
                              <w:trPr>
                                <w:trHeight w:val="20"/>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258649E" w14:textId="77777777" w:rsidR="00BA1871" w:rsidRDefault="00BA1871">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18E0C8" w14:textId="77777777" w:rsidR="00BA1871" w:rsidRDefault="00BA1871">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743B42" w14:textId="77777777" w:rsidR="00BA1871" w:rsidRDefault="00BA1871">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vAlign w:val="bottom"/>
                                </w:tcPr>
                                <w:p w14:paraId="7B1254AD" w14:textId="77777777" w:rsidR="00BA1871" w:rsidRDefault="00BA1871">
                                  <w:pPr>
                                    <w:pStyle w:val="Standard"/>
                                    <w:widowControl w:val="0"/>
                                    <w:spacing w:after="0" w:line="240" w:lineRule="auto"/>
                                    <w:rPr>
                                      <w:rFonts w:eastAsia="Times New Roman" w:cs="DIN Pro Regular"/>
                                      <w:color w:val="000000"/>
                                      <w:sz w:val="20"/>
                                      <w:szCs w:val="20"/>
                                      <w:lang w:eastAsia="es-MX"/>
                                    </w:rPr>
                                  </w:pPr>
                                </w:p>
                              </w:tc>
                            </w:tr>
                            <w:tr w:rsidR="00BA1871" w14:paraId="5FC184F9" w14:textId="77777777">
                              <w:tblPrEx>
                                <w:tblCellMar>
                                  <w:top w:w="0" w:type="dxa"/>
                                  <w:bottom w:w="0" w:type="dxa"/>
                                </w:tblCellMar>
                              </w:tblPrEx>
                              <w:trPr>
                                <w:trHeight w:val="20"/>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175F7C1" w14:textId="77777777" w:rsidR="00BA1871" w:rsidRDefault="00BA1871">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AE5950" w14:textId="77777777" w:rsidR="00BA1871" w:rsidRDefault="00BA1871">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A546BA" w14:textId="77777777" w:rsidR="00BA1871" w:rsidRDefault="00BA1871">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vAlign w:val="bottom"/>
                                </w:tcPr>
                                <w:p w14:paraId="2B97205E" w14:textId="77777777" w:rsidR="00BA1871" w:rsidRDefault="00BA1871">
                                  <w:pPr>
                                    <w:pStyle w:val="Standard"/>
                                    <w:widowControl w:val="0"/>
                                    <w:spacing w:after="0" w:line="240" w:lineRule="auto"/>
                                    <w:rPr>
                                      <w:rFonts w:eastAsia="Times New Roman" w:cs="DIN Pro Regular"/>
                                      <w:color w:val="000000"/>
                                      <w:sz w:val="20"/>
                                      <w:szCs w:val="20"/>
                                      <w:lang w:eastAsia="es-MX"/>
                                    </w:rPr>
                                  </w:pPr>
                                </w:p>
                              </w:tc>
                            </w:tr>
                            <w:tr w:rsidR="00BA1871" w14:paraId="318C82DA" w14:textId="77777777">
                              <w:tblPrEx>
                                <w:tblCellMar>
                                  <w:top w:w="0" w:type="dxa"/>
                                  <w:bottom w:w="0" w:type="dxa"/>
                                </w:tblCellMar>
                              </w:tblPrEx>
                              <w:trPr>
                                <w:trHeight w:val="20"/>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E172198" w14:textId="77777777" w:rsidR="00BA1871" w:rsidRDefault="00BA1871">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709596" w14:textId="77777777" w:rsidR="00BA1871" w:rsidRDefault="00BA1871">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227A5BD" w14:textId="77777777" w:rsidR="00BA1871" w:rsidRDefault="00BA1871">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vAlign w:val="bottom"/>
                                </w:tcPr>
                                <w:p w14:paraId="160DFC16" w14:textId="77777777" w:rsidR="00BA1871" w:rsidRDefault="00BA1871">
                                  <w:pPr>
                                    <w:pStyle w:val="Standard"/>
                                    <w:widowControl w:val="0"/>
                                    <w:spacing w:after="0" w:line="240" w:lineRule="auto"/>
                                    <w:rPr>
                                      <w:rFonts w:eastAsia="Times New Roman" w:cs="DIN Pro Regular"/>
                                      <w:color w:val="000000"/>
                                      <w:sz w:val="20"/>
                                      <w:szCs w:val="20"/>
                                      <w:lang w:eastAsia="es-MX"/>
                                    </w:rPr>
                                  </w:pPr>
                                </w:p>
                              </w:tc>
                            </w:tr>
                            <w:tr w:rsidR="00BA1871" w14:paraId="0D11F8A4" w14:textId="77777777">
                              <w:tblPrEx>
                                <w:tblCellMar>
                                  <w:top w:w="0" w:type="dxa"/>
                                  <w:bottom w:w="0" w:type="dxa"/>
                                </w:tblCellMar>
                              </w:tblPrEx>
                              <w:trPr>
                                <w:trHeight w:val="20"/>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684BB23" w14:textId="77777777" w:rsidR="00BA1871" w:rsidRDefault="00BA1871">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0C14AA" w14:textId="77777777" w:rsidR="00BA1871" w:rsidRDefault="00BA1871">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381ADC7" w14:textId="77777777" w:rsidR="00BA1871" w:rsidRDefault="00BA1871">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vAlign w:val="bottom"/>
                                </w:tcPr>
                                <w:p w14:paraId="10F473FA" w14:textId="77777777" w:rsidR="00BA1871" w:rsidRDefault="00BA1871">
                                  <w:pPr>
                                    <w:pStyle w:val="Standard"/>
                                    <w:widowControl w:val="0"/>
                                    <w:spacing w:after="0" w:line="240" w:lineRule="auto"/>
                                    <w:rPr>
                                      <w:rFonts w:eastAsia="Times New Roman" w:cs="DIN Pro Regular"/>
                                      <w:color w:val="000000"/>
                                      <w:sz w:val="20"/>
                                      <w:szCs w:val="20"/>
                                      <w:lang w:eastAsia="es-MX"/>
                                    </w:rPr>
                                  </w:pPr>
                                </w:p>
                              </w:tc>
                            </w:tr>
                            <w:tr w:rsidR="00BA1871" w14:paraId="7D2253E7" w14:textId="77777777">
                              <w:tblPrEx>
                                <w:tblCellMar>
                                  <w:top w:w="0" w:type="dxa"/>
                                  <w:bottom w:w="0" w:type="dxa"/>
                                </w:tblCellMar>
                              </w:tblPrEx>
                              <w:trPr>
                                <w:trHeight w:val="20"/>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7C759C" w14:textId="77777777" w:rsidR="00BA1871" w:rsidRDefault="00BA1871">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2B8A6D5" w14:textId="77777777" w:rsidR="00BA1871" w:rsidRDefault="00BA1871">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vAlign w:val="bottom"/>
                                </w:tcPr>
                                <w:p w14:paraId="50E505F4" w14:textId="77777777" w:rsidR="00BA1871" w:rsidRDefault="00BA1871">
                                  <w:pPr>
                                    <w:pStyle w:val="Standard"/>
                                    <w:widowControl w:val="0"/>
                                    <w:spacing w:after="0" w:line="240" w:lineRule="auto"/>
                                    <w:rPr>
                                      <w:rFonts w:eastAsia="Times New Roman" w:cs="DIN Pro Regular"/>
                                      <w:color w:val="000000"/>
                                      <w:sz w:val="20"/>
                                      <w:szCs w:val="20"/>
                                      <w:lang w:eastAsia="es-MX"/>
                                    </w:rPr>
                                  </w:pPr>
                                </w:p>
                              </w:tc>
                            </w:tr>
                            <w:tr w:rsidR="00BA1871" w14:paraId="348E8D60" w14:textId="77777777">
                              <w:tblPrEx>
                                <w:tblCellMar>
                                  <w:top w:w="0" w:type="dxa"/>
                                  <w:bottom w:w="0" w:type="dxa"/>
                                </w:tblCellMar>
                              </w:tblPrEx>
                              <w:trPr>
                                <w:trHeight w:val="20"/>
                                <w:jc w:val="center"/>
                              </w:trPr>
                              <w:tc>
                                <w:tcPr>
                                  <w:tcW w:w="603" w:type="dxa"/>
                                  <w:shd w:val="clear" w:color="auto" w:fill="auto"/>
                                  <w:tcMar>
                                    <w:top w:w="0" w:type="dxa"/>
                                    <w:left w:w="70" w:type="dxa"/>
                                    <w:bottom w:w="0" w:type="dxa"/>
                                    <w:right w:w="70" w:type="dxa"/>
                                  </w:tcMar>
                                  <w:vAlign w:val="center"/>
                                </w:tcPr>
                                <w:p w14:paraId="28F9C532" w14:textId="77777777" w:rsidR="00BA1871" w:rsidRDefault="00BA1871">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110EE7CF" w14:textId="77777777" w:rsidR="00BA1871" w:rsidRDefault="00BA1871">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03DF9F1C" w14:textId="77777777" w:rsidR="00BA1871" w:rsidRDefault="00BA1871">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34E79D69" w14:textId="77777777" w:rsidR="00BA1871" w:rsidRDefault="00BA1871">
                                  <w:pPr>
                                    <w:pStyle w:val="Standard"/>
                                    <w:widowControl w:val="0"/>
                                  </w:pPr>
                                </w:p>
                              </w:tc>
                            </w:tr>
                            <w:tr w:rsidR="00BA1871" w14:paraId="5295CAB8" w14:textId="77777777">
                              <w:tblPrEx>
                                <w:tblCellMar>
                                  <w:top w:w="0" w:type="dxa"/>
                                  <w:bottom w:w="0" w:type="dxa"/>
                                </w:tblCellMar>
                              </w:tblPrEx>
                              <w:trPr>
                                <w:trHeight w:val="20"/>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BD2799C" w14:textId="77777777" w:rsidR="00BA1871" w:rsidRDefault="00BA1871">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90386E" w14:textId="77777777" w:rsidR="00BA1871" w:rsidRDefault="00BA1871">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1BD196E0" w14:textId="77777777" w:rsidR="00BA1871" w:rsidRDefault="00BA1871">
                                  <w:pPr>
                                    <w:pStyle w:val="Standard"/>
                                    <w:widowControl w:val="0"/>
                                  </w:pPr>
                                </w:p>
                              </w:tc>
                            </w:tr>
                            <w:tr w:rsidR="00BA1871" w14:paraId="4936E200" w14:textId="77777777">
                              <w:tblPrEx>
                                <w:tblCellMar>
                                  <w:top w:w="0" w:type="dxa"/>
                                  <w:bottom w:w="0" w:type="dxa"/>
                                </w:tblCellMar>
                              </w:tblPrEx>
                              <w:trPr>
                                <w:trHeight w:val="20"/>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78EC949" w14:textId="77777777" w:rsidR="00BA1871" w:rsidRDefault="00BA1871">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BCCEA8F" w14:textId="77777777" w:rsidR="00BA1871" w:rsidRDefault="00BA1871">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4F3F27" w14:textId="77777777" w:rsidR="00BA1871" w:rsidRDefault="00BA1871">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3E366E6B" w14:textId="77777777" w:rsidR="00BA1871" w:rsidRDefault="00BA1871">
                                  <w:pPr>
                                    <w:pStyle w:val="Standard"/>
                                    <w:widowControl w:val="0"/>
                                  </w:pPr>
                                </w:p>
                              </w:tc>
                            </w:tr>
                            <w:tr w:rsidR="00BA1871" w14:paraId="7F84A5E4" w14:textId="77777777">
                              <w:tblPrEx>
                                <w:tblCellMar>
                                  <w:top w:w="0" w:type="dxa"/>
                                  <w:bottom w:w="0" w:type="dxa"/>
                                </w:tblCellMar>
                              </w:tblPrEx>
                              <w:trPr>
                                <w:trHeight w:val="20"/>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988FFC0" w14:textId="77777777" w:rsidR="00BA1871" w:rsidRDefault="00BA1871">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7C85C36" w14:textId="77777777" w:rsidR="00BA1871" w:rsidRDefault="00BA1871">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86804C" w14:textId="77777777" w:rsidR="00BA1871" w:rsidRDefault="00BA1871">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vAlign w:val="bottom"/>
                                </w:tcPr>
                                <w:p w14:paraId="2EF4C70A" w14:textId="77777777" w:rsidR="00BA1871" w:rsidRDefault="00BA1871">
                                  <w:pPr>
                                    <w:pStyle w:val="Standard"/>
                                    <w:widowControl w:val="0"/>
                                    <w:spacing w:after="0" w:line="240" w:lineRule="auto"/>
                                    <w:rPr>
                                      <w:rFonts w:eastAsia="Times New Roman" w:cs="DIN Pro Regular"/>
                                      <w:color w:val="000000"/>
                                      <w:sz w:val="20"/>
                                      <w:szCs w:val="20"/>
                                      <w:lang w:eastAsia="es-MX"/>
                                    </w:rPr>
                                  </w:pPr>
                                </w:p>
                              </w:tc>
                            </w:tr>
                            <w:tr w:rsidR="00BA1871" w14:paraId="3A125C86" w14:textId="77777777">
                              <w:tblPrEx>
                                <w:tblCellMar>
                                  <w:top w:w="0" w:type="dxa"/>
                                  <w:bottom w:w="0" w:type="dxa"/>
                                </w:tblCellMar>
                              </w:tblPrEx>
                              <w:trPr>
                                <w:trHeight w:val="20"/>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EDD252D" w14:textId="77777777" w:rsidR="00BA1871" w:rsidRDefault="00BA1871">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4E7E0E1" w14:textId="77777777" w:rsidR="00BA1871" w:rsidRDefault="00BA1871">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EAACDAF" w14:textId="77777777" w:rsidR="00BA1871" w:rsidRDefault="00BA1871">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vAlign w:val="bottom"/>
                                </w:tcPr>
                                <w:p w14:paraId="29A1AA63" w14:textId="77777777" w:rsidR="00BA1871" w:rsidRDefault="00BA1871">
                                  <w:pPr>
                                    <w:pStyle w:val="Standard"/>
                                    <w:widowControl w:val="0"/>
                                    <w:spacing w:after="0" w:line="240" w:lineRule="auto"/>
                                    <w:rPr>
                                      <w:rFonts w:eastAsia="Times New Roman" w:cs="DIN Pro Regular"/>
                                      <w:color w:val="000000"/>
                                      <w:sz w:val="20"/>
                                      <w:szCs w:val="20"/>
                                      <w:lang w:eastAsia="es-MX"/>
                                    </w:rPr>
                                  </w:pPr>
                                </w:p>
                              </w:tc>
                            </w:tr>
                            <w:tr w:rsidR="00BA1871" w14:paraId="0B810CF5" w14:textId="77777777">
                              <w:tblPrEx>
                                <w:tblCellMar>
                                  <w:top w:w="0" w:type="dxa"/>
                                  <w:bottom w:w="0" w:type="dxa"/>
                                </w:tblCellMar>
                              </w:tblPrEx>
                              <w:trPr>
                                <w:trHeight w:val="20"/>
                                <w:jc w:val="center"/>
                              </w:trPr>
                              <w:tc>
                                <w:tcPr>
                                  <w:tcW w:w="5618" w:type="dxa"/>
                                  <w:gridSpan w:val="2"/>
                                  <w:shd w:val="clear" w:color="auto" w:fill="auto"/>
                                  <w:tcMar>
                                    <w:top w:w="0" w:type="dxa"/>
                                    <w:left w:w="70" w:type="dxa"/>
                                    <w:bottom w:w="0" w:type="dxa"/>
                                    <w:right w:w="70" w:type="dxa"/>
                                  </w:tcMar>
                                  <w:vAlign w:val="center"/>
                                </w:tcPr>
                                <w:p w14:paraId="6D74623C" w14:textId="77777777" w:rsidR="00BA1871" w:rsidRDefault="00BA1871">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24E984AB" w14:textId="77777777" w:rsidR="00BA1871" w:rsidRDefault="00BA1871">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2D936B1D" w14:textId="77777777" w:rsidR="00BA1871" w:rsidRDefault="00BA1871">
                                  <w:pPr>
                                    <w:pStyle w:val="Standard"/>
                                    <w:widowControl w:val="0"/>
                                  </w:pPr>
                                </w:p>
                              </w:tc>
                            </w:tr>
                            <w:tr w:rsidR="00BA1871" w14:paraId="47A53B0B" w14:textId="77777777">
                              <w:tblPrEx>
                                <w:tblCellMar>
                                  <w:top w:w="0" w:type="dxa"/>
                                  <w:bottom w:w="0" w:type="dxa"/>
                                </w:tblCellMar>
                              </w:tblPrEx>
                              <w:trPr>
                                <w:trHeight w:val="20"/>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0DAC92D" w14:textId="77777777" w:rsidR="00BA1871" w:rsidRDefault="00BA1871">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64A9B4" w14:textId="77777777" w:rsidR="00BA1871" w:rsidRDefault="00BA1871">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157,090,436</w:t>
                                  </w:r>
                                </w:p>
                              </w:tc>
                              <w:tc>
                                <w:tcPr>
                                  <w:tcW w:w="160" w:type="dxa"/>
                                  <w:shd w:val="clear" w:color="auto" w:fill="auto"/>
                                  <w:tcMar>
                                    <w:top w:w="0" w:type="dxa"/>
                                    <w:left w:w="70" w:type="dxa"/>
                                    <w:bottom w:w="0" w:type="dxa"/>
                                    <w:right w:w="70" w:type="dxa"/>
                                  </w:tcMar>
                                </w:tcPr>
                                <w:p w14:paraId="74CF16A9" w14:textId="77777777" w:rsidR="00BA1871" w:rsidRDefault="00BA1871">
                                  <w:pPr>
                                    <w:pStyle w:val="Standard"/>
                                    <w:widowControl w:val="0"/>
                                  </w:pPr>
                                </w:p>
                              </w:tc>
                            </w:tr>
                          </w:tbl>
                          <w:p w14:paraId="28D6F355" w14:textId="77777777" w:rsidR="00BA1871" w:rsidRDefault="00BA1871" w:rsidP="00BA1871"/>
                        </w:txbxContent>
                      </wps:txbx>
                      <wps:bodyPr vert="horz" wrap="square" lIns="0" tIns="0" rIns="0" bIns="0" anchor="t" anchorCtr="0" compatLnSpc="0">
                        <a:noAutofit/>
                      </wps:bodyPr>
                    </wps:wsp>
                  </a:graphicData>
                </a:graphic>
              </wp:anchor>
            </w:drawing>
          </mc:Choice>
          <mc:Fallback>
            <w:pict>
              <v:shapetype w14:anchorId="6DDAE86C" id="_x0000_t202" coordsize="21600,21600" o:spt="202" path="m,l,21600r21600,l21600,xe">
                <v:stroke joinstyle="miter"/>
                <v:path gradientshapeok="t" o:connecttype="rect"/>
              </v:shapetype>
              <v:shape id="Marco3" o:spid="_x0000_s1026" type="#_x0000_t202" style="position:absolute;left:0;text-align:left;margin-left:22.5pt;margin-top:12.25pt;width:450.75pt;height:45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" filled="f" stroked="f">
                <v:textbox inset="0,0,0,0">
                  <w:txbxContent>
                    <w:tbl>
                      <w:tblPr>
                        <w:tblW w:w="8492" w:type="dxa"/>
                        <w:jc w:val="center"/>
                        <w:tblLayout w:type="fixed"/>
                        <w:tblCellMar>
                          <w:left w:w="10" w:type="dxa"/>
                          <w:right w:w="10" w:type="dxa"/>
                        </w:tblCellMar>
                        <w:tblLook w:val="0000" w:firstRow="0" w:lastRow="0" w:firstColumn="0" w:lastColumn="0" w:noHBand="0" w:noVBand="0"/>
                      </w:tblPr>
                      <w:tblGrid>
                        <w:gridCol w:w="603"/>
                        <w:gridCol w:w="5015"/>
                        <w:gridCol w:w="2714"/>
                        <w:gridCol w:w="160"/>
                      </w:tblGrid>
                      <w:tr w:rsidR="00BA1871" w14:paraId="119A6997" w14:textId="77777777">
                        <w:tblPrEx>
                          <w:tblCellMar>
                            <w:top w:w="0" w:type="dxa"/>
                            <w:bottom w:w="0" w:type="dxa"/>
                          </w:tblCellMar>
                        </w:tblPrEx>
                        <w:trPr>
                          <w:cantSplit/>
                          <w:trHeight w:val="170"/>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064EA19B" w14:textId="77777777" w:rsidR="00BA1871" w:rsidRDefault="00BA1871">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Auditoría Superior del Estado</w:t>
                            </w:r>
                          </w:p>
                        </w:tc>
                      </w:tr>
                      <w:tr w:rsidR="00BA1871" w14:paraId="5F323999" w14:textId="77777777">
                        <w:tblPrEx>
                          <w:tblCellMar>
                            <w:top w:w="0" w:type="dxa"/>
                            <w:bottom w:w="0" w:type="dxa"/>
                          </w:tblCellMar>
                        </w:tblPrEx>
                        <w:trPr>
                          <w:cantSplit/>
                          <w:trHeight w:val="170"/>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6BD18041" w14:textId="77777777" w:rsidR="00BA1871" w:rsidRDefault="00BA1871">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r>
                      <w:tr w:rsidR="00BA1871" w14:paraId="24E15697" w14:textId="77777777">
                        <w:tblPrEx>
                          <w:tblCellMar>
                            <w:top w:w="0" w:type="dxa"/>
                            <w:bottom w:w="0" w:type="dxa"/>
                          </w:tblCellMar>
                        </w:tblPrEx>
                        <w:trPr>
                          <w:cantSplit/>
                          <w:trHeight w:val="170"/>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24D89BE5" w14:textId="77777777" w:rsidR="00BA1871" w:rsidRDefault="00BA1871">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r>
                      <w:tr w:rsidR="00BA1871" w14:paraId="35D39EDF" w14:textId="77777777">
                        <w:tblPrEx>
                          <w:tblCellMar>
                            <w:top w:w="0" w:type="dxa"/>
                            <w:bottom w:w="0" w:type="dxa"/>
                          </w:tblCellMar>
                        </w:tblPrEx>
                        <w:trPr>
                          <w:cantSplit/>
                          <w:trHeight w:val="170"/>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73C3B3BF" w14:textId="77777777" w:rsidR="00BA1871" w:rsidRDefault="00BA1871">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r>
                      <w:tr w:rsidR="00BA1871" w14:paraId="55CF69F8" w14:textId="77777777">
                        <w:tblPrEx>
                          <w:tblCellMar>
                            <w:top w:w="0" w:type="dxa"/>
                            <w:bottom w:w="0" w:type="dxa"/>
                          </w:tblCellMar>
                        </w:tblPrEx>
                        <w:trPr>
                          <w:trHeight w:val="20"/>
                          <w:jc w:val="center"/>
                        </w:trPr>
                        <w:tc>
                          <w:tcPr>
                            <w:tcW w:w="603" w:type="dxa"/>
                            <w:shd w:val="clear" w:color="auto" w:fill="auto"/>
                            <w:tcMar>
                              <w:top w:w="0" w:type="dxa"/>
                              <w:left w:w="70" w:type="dxa"/>
                              <w:bottom w:w="0" w:type="dxa"/>
                              <w:right w:w="70" w:type="dxa"/>
                            </w:tcMar>
                            <w:vAlign w:val="center"/>
                          </w:tcPr>
                          <w:p w14:paraId="1282ADDA" w14:textId="77777777" w:rsidR="00BA1871" w:rsidRDefault="00BA1871">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3A5439B2" w14:textId="77777777" w:rsidR="00BA1871" w:rsidRDefault="00BA1871">
                            <w:pPr>
                              <w:pStyle w:val="Standard"/>
                              <w:widowControl w:val="0"/>
                              <w:spacing w:after="0" w:line="240" w:lineRule="auto"/>
                              <w:rPr>
                                <w:rFonts w:eastAsia="Times New Roman" w:cs="DIN Pro Regular"/>
                                <w:color w:val="000000"/>
                                <w:sz w:val="20"/>
                                <w:szCs w:val="20"/>
                                <w:lang w:eastAsia="es-MX"/>
                              </w:rPr>
                            </w:pPr>
                          </w:p>
                        </w:tc>
                        <w:tc>
                          <w:tcPr>
                            <w:tcW w:w="2874" w:type="dxa"/>
                            <w:gridSpan w:val="2"/>
                            <w:shd w:val="clear" w:color="auto" w:fill="auto"/>
                            <w:tcMar>
                              <w:top w:w="0" w:type="dxa"/>
                              <w:left w:w="70" w:type="dxa"/>
                              <w:bottom w:w="0" w:type="dxa"/>
                              <w:right w:w="70" w:type="dxa"/>
                            </w:tcMar>
                            <w:vAlign w:val="bottom"/>
                          </w:tcPr>
                          <w:p w14:paraId="4C362FAA" w14:textId="77777777" w:rsidR="00BA1871" w:rsidRDefault="00BA1871">
                            <w:pPr>
                              <w:pStyle w:val="Standard"/>
                              <w:widowControl w:val="0"/>
                            </w:pPr>
                          </w:p>
                        </w:tc>
                      </w:tr>
                      <w:tr w:rsidR="00BA1871" w14:paraId="42D47C37" w14:textId="77777777">
                        <w:tblPrEx>
                          <w:tblCellMar>
                            <w:top w:w="0" w:type="dxa"/>
                            <w:bottom w:w="0" w:type="dxa"/>
                          </w:tblCellMar>
                        </w:tblPrEx>
                        <w:trPr>
                          <w:trHeight w:val="20"/>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1212770" w14:textId="77777777" w:rsidR="00BA1871" w:rsidRDefault="00BA1871">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F2AD15" w14:textId="77777777" w:rsidR="00BA1871" w:rsidRDefault="00BA1871">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$ 156,942,626</w:t>
                            </w:r>
                          </w:p>
                        </w:tc>
                        <w:tc>
                          <w:tcPr>
                            <w:tcW w:w="160" w:type="dxa"/>
                            <w:shd w:val="clear" w:color="auto" w:fill="auto"/>
                            <w:tcMar>
                              <w:top w:w="0" w:type="dxa"/>
                              <w:left w:w="70" w:type="dxa"/>
                              <w:bottom w:w="0" w:type="dxa"/>
                              <w:right w:w="70" w:type="dxa"/>
                            </w:tcMar>
                          </w:tcPr>
                          <w:p w14:paraId="5BE6DDB6" w14:textId="77777777" w:rsidR="00BA1871" w:rsidRDefault="00BA1871">
                            <w:pPr>
                              <w:pStyle w:val="Standard"/>
                              <w:widowControl w:val="0"/>
                            </w:pPr>
                          </w:p>
                        </w:tc>
                      </w:tr>
                      <w:tr w:rsidR="00BA1871" w14:paraId="4FD3EA6D" w14:textId="77777777">
                        <w:tblPrEx>
                          <w:tblCellMar>
                            <w:top w:w="0" w:type="dxa"/>
                            <w:bottom w:w="0" w:type="dxa"/>
                          </w:tblCellMar>
                        </w:tblPrEx>
                        <w:trPr>
                          <w:trHeight w:val="20"/>
                          <w:jc w:val="center"/>
                        </w:trPr>
                        <w:tc>
                          <w:tcPr>
                            <w:tcW w:w="603" w:type="dxa"/>
                            <w:shd w:val="clear" w:color="auto" w:fill="auto"/>
                            <w:tcMar>
                              <w:top w:w="0" w:type="dxa"/>
                              <w:left w:w="70" w:type="dxa"/>
                              <w:bottom w:w="0" w:type="dxa"/>
                              <w:right w:w="70" w:type="dxa"/>
                            </w:tcMar>
                            <w:vAlign w:val="center"/>
                          </w:tcPr>
                          <w:p w14:paraId="6CAE0F70" w14:textId="77777777" w:rsidR="00BA1871" w:rsidRDefault="00BA1871">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6C932423" w14:textId="77777777" w:rsidR="00BA1871" w:rsidRDefault="00BA1871">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63DE34A5" w14:textId="77777777" w:rsidR="00BA1871" w:rsidRDefault="00BA1871">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5E96875D" w14:textId="77777777" w:rsidR="00BA1871" w:rsidRDefault="00BA1871">
                            <w:pPr>
                              <w:pStyle w:val="Standard"/>
                              <w:widowControl w:val="0"/>
                            </w:pPr>
                          </w:p>
                        </w:tc>
                      </w:tr>
                      <w:tr w:rsidR="00BA1871" w14:paraId="73A615B3" w14:textId="77777777">
                        <w:tblPrEx>
                          <w:tblCellMar>
                            <w:top w:w="0" w:type="dxa"/>
                            <w:bottom w:w="0" w:type="dxa"/>
                          </w:tblCellMar>
                        </w:tblPrEx>
                        <w:trPr>
                          <w:trHeight w:val="20"/>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FD54A2B" w14:textId="77777777" w:rsidR="00BA1871" w:rsidRDefault="00BA1871">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8AFCB0" w14:textId="77777777" w:rsidR="00BA1871" w:rsidRDefault="00BA1871">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147,810</w:t>
                            </w:r>
                          </w:p>
                        </w:tc>
                        <w:tc>
                          <w:tcPr>
                            <w:tcW w:w="160" w:type="dxa"/>
                            <w:shd w:val="clear" w:color="auto" w:fill="auto"/>
                            <w:tcMar>
                              <w:top w:w="0" w:type="dxa"/>
                              <w:left w:w="70" w:type="dxa"/>
                              <w:bottom w:w="0" w:type="dxa"/>
                              <w:right w:w="70" w:type="dxa"/>
                            </w:tcMar>
                          </w:tcPr>
                          <w:p w14:paraId="630C8DBA" w14:textId="77777777" w:rsidR="00BA1871" w:rsidRDefault="00BA1871">
                            <w:pPr>
                              <w:pStyle w:val="Standard"/>
                              <w:widowControl w:val="0"/>
                            </w:pPr>
                          </w:p>
                        </w:tc>
                      </w:tr>
                      <w:tr w:rsidR="00BA1871" w14:paraId="6FD1E558" w14:textId="77777777">
                        <w:tblPrEx>
                          <w:tblCellMar>
                            <w:top w:w="0" w:type="dxa"/>
                            <w:bottom w:w="0" w:type="dxa"/>
                          </w:tblCellMar>
                        </w:tblPrEx>
                        <w:trPr>
                          <w:trHeight w:val="20"/>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59B5AE7" w14:textId="77777777" w:rsidR="00BA1871" w:rsidRDefault="00BA1871">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3FB38E4" w14:textId="77777777" w:rsidR="00BA1871" w:rsidRDefault="00BA1871">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C26F07" w14:textId="77777777" w:rsidR="00BA1871" w:rsidRDefault="00BA1871">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147,810</w:t>
                            </w:r>
                          </w:p>
                        </w:tc>
                        <w:tc>
                          <w:tcPr>
                            <w:tcW w:w="160" w:type="dxa"/>
                            <w:shd w:val="clear" w:color="auto" w:fill="auto"/>
                            <w:tcMar>
                              <w:top w:w="0" w:type="dxa"/>
                              <w:left w:w="70" w:type="dxa"/>
                              <w:bottom w:w="0" w:type="dxa"/>
                              <w:right w:w="70" w:type="dxa"/>
                            </w:tcMar>
                          </w:tcPr>
                          <w:p w14:paraId="492A1E1C" w14:textId="77777777" w:rsidR="00BA1871" w:rsidRDefault="00BA1871">
                            <w:pPr>
                              <w:pStyle w:val="Standard"/>
                              <w:widowControl w:val="0"/>
                            </w:pPr>
                          </w:p>
                        </w:tc>
                      </w:tr>
                      <w:tr w:rsidR="00BA1871" w14:paraId="09475AE0" w14:textId="77777777">
                        <w:tblPrEx>
                          <w:tblCellMar>
                            <w:top w:w="0" w:type="dxa"/>
                            <w:bottom w:w="0" w:type="dxa"/>
                          </w:tblCellMar>
                        </w:tblPrEx>
                        <w:trPr>
                          <w:trHeight w:val="20"/>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258649E" w14:textId="77777777" w:rsidR="00BA1871" w:rsidRDefault="00BA1871">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18E0C8" w14:textId="77777777" w:rsidR="00BA1871" w:rsidRDefault="00BA1871">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743B42" w14:textId="77777777" w:rsidR="00BA1871" w:rsidRDefault="00BA1871">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vAlign w:val="bottom"/>
                          </w:tcPr>
                          <w:p w14:paraId="7B1254AD" w14:textId="77777777" w:rsidR="00BA1871" w:rsidRDefault="00BA1871">
                            <w:pPr>
                              <w:pStyle w:val="Standard"/>
                              <w:widowControl w:val="0"/>
                              <w:spacing w:after="0" w:line="240" w:lineRule="auto"/>
                              <w:rPr>
                                <w:rFonts w:eastAsia="Times New Roman" w:cs="DIN Pro Regular"/>
                                <w:color w:val="000000"/>
                                <w:sz w:val="20"/>
                                <w:szCs w:val="20"/>
                                <w:lang w:eastAsia="es-MX"/>
                              </w:rPr>
                            </w:pPr>
                          </w:p>
                        </w:tc>
                      </w:tr>
                      <w:tr w:rsidR="00BA1871" w14:paraId="5FC184F9" w14:textId="77777777">
                        <w:tblPrEx>
                          <w:tblCellMar>
                            <w:top w:w="0" w:type="dxa"/>
                            <w:bottom w:w="0" w:type="dxa"/>
                          </w:tblCellMar>
                        </w:tblPrEx>
                        <w:trPr>
                          <w:trHeight w:val="20"/>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175F7C1" w14:textId="77777777" w:rsidR="00BA1871" w:rsidRDefault="00BA1871">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AE5950" w14:textId="77777777" w:rsidR="00BA1871" w:rsidRDefault="00BA1871">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A546BA" w14:textId="77777777" w:rsidR="00BA1871" w:rsidRDefault="00BA1871">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vAlign w:val="bottom"/>
                          </w:tcPr>
                          <w:p w14:paraId="2B97205E" w14:textId="77777777" w:rsidR="00BA1871" w:rsidRDefault="00BA1871">
                            <w:pPr>
                              <w:pStyle w:val="Standard"/>
                              <w:widowControl w:val="0"/>
                              <w:spacing w:after="0" w:line="240" w:lineRule="auto"/>
                              <w:rPr>
                                <w:rFonts w:eastAsia="Times New Roman" w:cs="DIN Pro Regular"/>
                                <w:color w:val="000000"/>
                                <w:sz w:val="20"/>
                                <w:szCs w:val="20"/>
                                <w:lang w:eastAsia="es-MX"/>
                              </w:rPr>
                            </w:pPr>
                          </w:p>
                        </w:tc>
                      </w:tr>
                      <w:tr w:rsidR="00BA1871" w14:paraId="318C82DA" w14:textId="77777777">
                        <w:tblPrEx>
                          <w:tblCellMar>
                            <w:top w:w="0" w:type="dxa"/>
                            <w:bottom w:w="0" w:type="dxa"/>
                          </w:tblCellMar>
                        </w:tblPrEx>
                        <w:trPr>
                          <w:trHeight w:val="20"/>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E172198" w14:textId="77777777" w:rsidR="00BA1871" w:rsidRDefault="00BA1871">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709596" w14:textId="77777777" w:rsidR="00BA1871" w:rsidRDefault="00BA1871">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227A5BD" w14:textId="77777777" w:rsidR="00BA1871" w:rsidRDefault="00BA1871">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vAlign w:val="bottom"/>
                          </w:tcPr>
                          <w:p w14:paraId="160DFC16" w14:textId="77777777" w:rsidR="00BA1871" w:rsidRDefault="00BA1871">
                            <w:pPr>
                              <w:pStyle w:val="Standard"/>
                              <w:widowControl w:val="0"/>
                              <w:spacing w:after="0" w:line="240" w:lineRule="auto"/>
                              <w:rPr>
                                <w:rFonts w:eastAsia="Times New Roman" w:cs="DIN Pro Regular"/>
                                <w:color w:val="000000"/>
                                <w:sz w:val="20"/>
                                <w:szCs w:val="20"/>
                                <w:lang w:eastAsia="es-MX"/>
                              </w:rPr>
                            </w:pPr>
                          </w:p>
                        </w:tc>
                      </w:tr>
                      <w:tr w:rsidR="00BA1871" w14:paraId="0D11F8A4" w14:textId="77777777">
                        <w:tblPrEx>
                          <w:tblCellMar>
                            <w:top w:w="0" w:type="dxa"/>
                            <w:bottom w:w="0" w:type="dxa"/>
                          </w:tblCellMar>
                        </w:tblPrEx>
                        <w:trPr>
                          <w:trHeight w:val="20"/>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684BB23" w14:textId="77777777" w:rsidR="00BA1871" w:rsidRDefault="00BA1871">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0C14AA" w14:textId="77777777" w:rsidR="00BA1871" w:rsidRDefault="00BA1871">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381ADC7" w14:textId="77777777" w:rsidR="00BA1871" w:rsidRDefault="00BA1871">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vAlign w:val="bottom"/>
                          </w:tcPr>
                          <w:p w14:paraId="10F473FA" w14:textId="77777777" w:rsidR="00BA1871" w:rsidRDefault="00BA1871">
                            <w:pPr>
                              <w:pStyle w:val="Standard"/>
                              <w:widowControl w:val="0"/>
                              <w:spacing w:after="0" w:line="240" w:lineRule="auto"/>
                              <w:rPr>
                                <w:rFonts w:eastAsia="Times New Roman" w:cs="DIN Pro Regular"/>
                                <w:color w:val="000000"/>
                                <w:sz w:val="20"/>
                                <w:szCs w:val="20"/>
                                <w:lang w:eastAsia="es-MX"/>
                              </w:rPr>
                            </w:pPr>
                          </w:p>
                        </w:tc>
                      </w:tr>
                      <w:tr w:rsidR="00BA1871" w14:paraId="7D2253E7" w14:textId="77777777">
                        <w:tblPrEx>
                          <w:tblCellMar>
                            <w:top w:w="0" w:type="dxa"/>
                            <w:bottom w:w="0" w:type="dxa"/>
                          </w:tblCellMar>
                        </w:tblPrEx>
                        <w:trPr>
                          <w:trHeight w:val="20"/>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7C759C" w14:textId="77777777" w:rsidR="00BA1871" w:rsidRDefault="00BA1871">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2B8A6D5" w14:textId="77777777" w:rsidR="00BA1871" w:rsidRDefault="00BA1871">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vAlign w:val="bottom"/>
                          </w:tcPr>
                          <w:p w14:paraId="50E505F4" w14:textId="77777777" w:rsidR="00BA1871" w:rsidRDefault="00BA1871">
                            <w:pPr>
                              <w:pStyle w:val="Standard"/>
                              <w:widowControl w:val="0"/>
                              <w:spacing w:after="0" w:line="240" w:lineRule="auto"/>
                              <w:rPr>
                                <w:rFonts w:eastAsia="Times New Roman" w:cs="DIN Pro Regular"/>
                                <w:color w:val="000000"/>
                                <w:sz w:val="20"/>
                                <w:szCs w:val="20"/>
                                <w:lang w:eastAsia="es-MX"/>
                              </w:rPr>
                            </w:pPr>
                          </w:p>
                        </w:tc>
                      </w:tr>
                      <w:tr w:rsidR="00BA1871" w14:paraId="348E8D60" w14:textId="77777777">
                        <w:tblPrEx>
                          <w:tblCellMar>
                            <w:top w:w="0" w:type="dxa"/>
                            <w:bottom w:w="0" w:type="dxa"/>
                          </w:tblCellMar>
                        </w:tblPrEx>
                        <w:trPr>
                          <w:trHeight w:val="20"/>
                          <w:jc w:val="center"/>
                        </w:trPr>
                        <w:tc>
                          <w:tcPr>
                            <w:tcW w:w="603" w:type="dxa"/>
                            <w:shd w:val="clear" w:color="auto" w:fill="auto"/>
                            <w:tcMar>
                              <w:top w:w="0" w:type="dxa"/>
                              <w:left w:w="70" w:type="dxa"/>
                              <w:bottom w:w="0" w:type="dxa"/>
                              <w:right w:w="70" w:type="dxa"/>
                            </w:tcMar>
                            <w:vAlign w:val="center"/>
                          </w:tcPr>
                          <w:p w14:paraId="28F9C532" w14:textId="77777777" w:rsidR="00BA1871" w:rsidRDefault="00BA1871">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110EE7CF" w14:textId="77777777" w:rsidR="00BA1871" w:rsidRDefault="00BA1871">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03DF9F1C" w14:textId="77777777" w:rsidR="00BA1871" w:rsidRDefault="00BA1871">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34E79D69" w14:textId="77777777" w:rsidR="00BA1871" w:rsidRDefault="00BA1871">
                            <w:pPr>
                              <w:pStyle w:val="Standard"/>
                              <w:widowControl w:val="0"/>
                            </w:pPr>
                          </w:p>
                        </w:tc>
                      </w:tr>
                      <w:tr w:rsidR="00BA1871" w14:paraId="5295CAB8" w14:textId="77777777">
                        <w:tblPrEx>
                          <w:tblCellMar>
                            <w:top w:w="0" w:type="dxa"/>
                            <w:bottom w:w="0" w:type="dxa"/>
                          </w:tblCellMar>
                        </w:tblPrEx>
                        <w:trPr>
                          <w:trHeight w:val="20"/>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BD2799C" w14:textId="77777777" w:rsidR="00BA1871" w:rsidRDefault="00BA1871">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90386E" w14:textId="77777777" w:rsidR="00BA1871" w:rsidRDefault="00BA1871">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1BD196E0" w14:textId="77777777" w:rsidR="00BA1871" w:rsidRDefault="00BA1871">
                            <w:pPr>
                              <w:pStyle w:val="Standard"/>
                              <w:widowControl w:val="0"/>
                            </w:pPr>
                          </w:p>
                        </w:tc>
                      </w:tr>
                      <w:tr w:rsidR="00BA1871" w14:paraId="4936E200" w14:textId="77777777">
                        <w:tblPrEx>
                          <w:tblCellMar>
                            <w:top w:w="0" w:type="dxa"/>
                            <w:bottom w:w="0" w:type="dxa"/>
                          </w:tblCellMar>
                        </w:tblPrEx>
                        <w:trPr>
                          <w:trHeight w:val="20"/>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78EC949" w14:textId="77777777" w:rsidR="00BA1871" w:rsidRDefault="00BA1871">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BCCEA8F" w14:textId="77777777" w:rsidR="00BA1871" w:rsidRDefault="00BA1871">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4F3F27" w14:textId="77777777" w:rsidR="00BA1871" w:rsidRDefault="00BA1871">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3E366E6B" w14:textId="77777777" w:rsidR="00BA1871" w:rsidRDefault="00BA1871">
                            <w:pPr>
                              <w:pStyle w:val="Standard"/>
                              <w:widowControl w:val="0"/>
                            </w:pPr>
                          </w:p>
                        </w:tc>
                      </w:tr>
                      <w:tr w:rsidR="00BA1871" w14:paraId="7F84A5E4" w14:textId="77777777">
                        <w:tblPrEx>
                          <w:tblCellMar>
                            <w:top w:w="0" w:type="dxa"/>
                            <w:bottom w:w="0" w:type="dxa"/>
                          </w:tblCellMar>
                        </w:tblPrEx>
                        <w:trPr>
                          <w:trHeight w:val="20"/>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988FFC0" w14:textId="77777777" w:rsidR="00BA1871" w:rsidRDefault="00BA1871">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7C85C36" w14:textId="77777777" w:rsidR="00BA1871" w:rsidRDefault="00BA1871">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86804C" w14:textId="77777777" w:rsidR="00BA1871" w:rsidRDefault="00BA1871">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vAlign w:val="bottom"/>
                          </w:tcPr>
                          <w:p w14:paraId="2EF4C70A" w14:textId="77777777" w:rsidR="00BA1871" w:rsidRDefault="00BA1871">
                            <w:pPr>
                              <w:pStyle w:val="Standard"/>
                              <w:widowControl w:val="0"/>
                              <w:spacing w:after="0" w:line="240" w:lineRule="auto"/>
                              <w:rPr>
                                <w:rFonts w:eastAsia="Times New Roman" w:cs="DIN Pro Regular"/>
                                <w:color w:val="000000"/>
                                <w:sz w:val="20"/>
                                <w:szCs w:val="20"/>
                                <w:lang w:eastAsia="es-MX"/>
                              </w:rPr>
                            </w:pPr>
                          </w:p>
                        </w:tc>
                      </w:tr>
                      <w:tr w:rsidR="00BA1871" w14:paraId="3A125C86" w14:textId="77777777">
                        <w:tblPrEx>
                          <w:tblCellMar>
                            <w:top w:w="0" w:type="dxa"/>
                            <w:bottom w:w="0" w:type="dxa"/>
                          </w:tblCellMar>
                        </w:tblPrEx>
                        <w:trPr>
                          <w:trHeight w:val="20"/>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EDD252D" w14:textId="77777777" w:rsidR="00BA1871" w:rsidRDefault="00BA1871">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4E7E0E1" w14:textId="77777777" w:rsidR="00BA1871" w:rsidRDefault="00BA1871">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EAACDAF" w14:textId="77777777" w:rsidR="00BA1871" w:rsidRDefault="00BA1871">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vAlign w:val="bottom"/>
                          </w:tcPr>
                          <w:p w14:paraId="29A1AA63" w14:textId="77777777" w:rsidR="00BA1871" w:rsidRDefault="00BA1871">
                            <w:pPr>
                              <w:pStyle w:val="Standard"/>
                              <w:widowControl w:val="0"/>
                              <w:spacing w:after="0" w:line="240" w:lineRule="auto"/>
                              <w:rPr>
                                <w:rFonts w:eastAsia="Times New Roman" w:cs="DIN Pro Regular"/>
                                <w:color w:val="000000"/>
                                <w:sz w:val="20"/>
                                <w:szCs w:val="20"/>
                                <w:lang w:eastAsia="es-MX"/>
                              </w:rPr>
                            </w:pPr>
                          </w:p>
                        </w:tc>
                      </w:tr>
                      <w:tr w:rsidR="00BA1871" w14:paraId="0B810CF5" w14:textId="77777777">
                        <w:tblPrEx>
                          <w:tblCellMar>
                            <w:top w:w="0" w:type="dxa"/>
                            <w:bottom w:w="0" w:type="dxa"/>
                          </w:tblCellMar>
                        </w:tblPrEx>
                        <w:trPr>
                          <w:trHeight w:val="20"/>
                          <w:jc w:val="center"/>
                        </w:trPr>
                        <w:tc>
                          <w:tcPr>
                            <w:tcW w:w="5618" w:type="dxa"/>
                            <w:gridSpan w:val="2"/>
                            <w:shd w:val="clear" w:color="auto" w:fill="auto"/>
                            <w:tcMar>
                              <w:top w:w="0" w:type="dxa"/>
                              <w:left w:w="70" w:type="dxa"/>
                              <w:bottom w:w="0" w:type="dxa"/>
                              <w:right w:w="70" w:type="dxa"/>
                            </w:tcMar>
                            <w:vAlign w:val="center"/>
                          </w:tcPr>
                          <w:p w14:paraId="6D74623C" w14:textId="77777777" w:rsidR="00BA1871" w:rsidRDefault="00BA1871">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24E984AB" w14:textId="77777777" w:rsidR="00BA1871" w:rsidRDefault="00BA1871">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2D936B1D" w14:textId="77777777" w:rsidR="00BA1871" w:rsidRDefault="00BA1871">
                            <w:pPr>
                              <w:pStyle w:val="Standard"/>
                              <w:widowControl w:val="0"/>
                            </w:pPr>
                          </w:p>
                        </w:tc>
                      </w:tr>
                      <w:tr w:rsidR="00BA1871" w14:paraId="47A53B0B" w14:textId="77777777">
                        <w:tblPrEx>
                          <w:tblCellMar>
                            <w:top w:w="0" w:type="dxa"/>
                            <w:bottom w:w="0" w:type="dxa"/>
                          </w:tblCellMar>
                        </w:tblPrEx>
                        <w:trPr>
                          <w:trHeight w:val="20"/>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0DAC92D" w14:textId="77777777" w:rsidR="00BA1871" w:rsidRDefault="00BA1871">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64A9B4" w14:textId="77777777" w:rsidR="00BA1871" w:rsidRDefault="00BA1871">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157,090,436</w:t>
                            </w:r>
                          </w:p>
                        </w:tc>
                        <w:tc>
                          <w:tcPr>
                            <w:tcW w:w="160" w:type="dxa"/>
                            <w:shd w:val="clear" w:color="auto" w:fill="auto"/>
                            <w:tcMar>
                              <w:top w:w="0" w:type="dxa"/>
                              <w:left w:w="70" w:type="dxa"/>
                              <w:bottom w:w="0" w:type="dxa"/>
                              <w:right w:w="70" w:type="dxa"/>
                            </w:tcMar>
                          </w:tcPr>
                          <w:p w14:paraId="74CF16A9" w14:textId="77777777" w:rsidR="00BA1871" w:rsidRDefault="00BA1871">
                            <w:pPr>
                              <w:pStyle w:val="Standard"/>
                              <w:widowControl w:val="0"/>
                            </w:pPr>
                          </w:p>
                        </w:tc>
                      </w:tr>
                    </w:tbl>
                    <w:p w14:paraId="28D6F355" w14:textId="77777777" w:rsidR="00BA1871" w:rsidRDefault="00BA1871" w:rsidP="00BA1871"/>
                  </w:txbxContent>
                </v:textbox>
                <w10:wrap type="square"/>
              </v:shape>
            </w:pict>
          </mc:Fallback>
        </mc:AlternateContent>
      </w:r>
    </w:p>
    <w:p w14:paraId="4F6F715E" w14:textId="77777777" w:rsidR="00BA1871" w:rsidRDefault="00BA1871" w:rsidP="00BA1871">
      <w:pPr>
        <w:pStyle w:val="INCISO"/>
        <w:spacing w:after="0" w:line="240" w:lineRule="exact"/>
        <w:ind w:left="360"/>
        <w:rPr>
          <w:rFonts w:ascii="Calibri" w:hAnsi="Calibri" w:cs="DIN Pro Regular"/>
          <w:b/>
          <w:smallCaps/>
          <w:sz w:val="20"/>
          <w:szCs w:val="20"/>
        </w:rPr>
      </w:pPr>
    </w:p>
    <w:p w14:paraId="015CFCFE" w14:textId="77777777" w:rsidR="00BA1871" w:rsidRDefault="00BA1871" w:rsidP="00BA1871">
      <w:pPr>
        <w:pStyle w:val="INCISO"/>
        <w:spacing w:after="0" w:line="240" w:lineRule="exact"/>
        <w:ind w:left="360"/>
        <w:rPr>
          <w:rFonts w:ascii="Calibri" w:hAnsi="Calibri" w:cs="DIN Pro Regular"/>
          <w:b/>
          <w:smallCaps/>
          <w:sz w:val="20"/>
          <w:szCs w:val="20"/>
        </w:rPr>
      </w:pPr>
    </w:p>
    <w:p w14:paraId="67624794" w14:textId="77777777" w:rsidR="00BA1871" w:rsidRDefault="00BA1871" w:rsidP="00BA1871">
      <w:pPr>
        <w:pStyle w:val="INCISO"/>
        <w:spacing w:after="0" w:line="240" w:lineRule="exact"/>
        <w:ind w:left="360"/>
        <w:rPr>
          <w:rFonts w:ascii="Calibri" w:hAnsi="Calibri" w:cs="DIN Pro Regular"/>
          <w:b/>
          <w:smallCaps/>
          <w:sz w:val="20"/>
          <w:szCs w:val="20"/>
        </w:rPr>
      </w:pPr>
    </w:p>
    <w:p w14:paraId="4060F885" w14:textId="77777777" w:rsidR="00BA1871" w:rsidRDefault="00BA1871" w:rsidP="00BA1871">
      <w:pPr>
        <w:pStyle w:val="INCISO"/>
        <w:spacing w:after="0" w:line="240" w:lineRule="exact"/>
        <w:ind w:left="360"/>
        <w:rPr>
          <w:rFonts w:ascii="Calibri" w:hAnsi="Calibri" w:cs="DIN Pro Regular"/>
          <w:b/>
          <w:smallCaps/>
          <w:sz w:val="20"/>
          <w:szCs w:val="20"/>
        </w:rPr>
      </w:pPr>
    </w:p>
    <w:p w14:paraId="632AE001" w14:textId="77777777" w:rsidR="00BA1871" w:rsidRDefault="00BA1871" w:rsidP="00BA1871">
      <w:pPr>
        <w:pStyle w:val="INCISO"/>
        <w:spacing w:after="0" w:line="240" w:lineRule="exact"/>
        <w:ind w:left="360"/>
        <w:rPr>
          <w:rFonts w:ascii="Calibri" w:hAnsi="Calibri" w:cs="DIN Pro Regular"/>
          <w:b/>
          <w:smallCaps/>
          <w:sz w:val="20"/>
          <w:szCs w:val="20"/>
        </w:rPr>
      </w:pPr>
    </w:p>
    <w:p w14:paraId="7EE07075" w14:textId="77777777" w:rsidR="00BA1871" w:rsidRDefault="00BA1871" w:rsidP="00BA1871">
      <w:pPr>
        <w:pStyle w:val="INCISO"/>
        <w:spacing w:after="0" w:line="240" w:lineRule="exact"/>
        <w:ind w:left="360"/>
        <w:rPr>
          <w:rFonts w:ascii="Calibri" w:hAnsi="Calibri" w:cs="DIN Pro Regular"/>
          <w:b/>
          <w:smallCaps/>
          <w:sz w:val="20"/>
          <w:szCs w:val="20"/>
        </w:rPr>
      </w:pPr>
    </w:p>
    <w:p w14:paraId="03474081" w14:textId="77777777" w:rsidR="00BA1871" w:rsidRDefault="00BA1871" w:rsidP="00BA1871">
      <w:pPr>
        <w:pStyle w:val="INCISO"/>
        <w:spacing w:after="0" w:line="240" w:lineRule="exact"/>
        <w:ind w:left="360"/>
        <w:rPr>
          <w:rFonts w:ascii="Calibri" w:hAnsi="Calibri" w:cs="DIN Pro Regular"/>
          <w:b/>
          <w:smallCaps/>
          <w:sz w:val="20"/>
          <w:szCs w:val="20"/>
        </w:rPr>
      </w:pPr>
    </w:p>
    <w:p w14:paraId="5F823C0D" w14:textId="77777777" w:rsidR="00BA1871" w:rsidRDefault="00BA1871" w:rsidP="00BA1871">
      <w:pPr>
        <w:pStyle w:val="INCISO"/>
        <w:spacing w:after="0" w:line="240" w:lineRule="exact"/>
        <w:ind w:left="360"/>
        <w:rPr>
          <w:rFonts w:ascii="Calibri" w:hAnsi="Calibri" w:cs="DIN Pro Regular"/>
          <w:b/>
          <w:smallCaps/>
          <w:sz w:val="20"/>
          <w:szCs w:val="20"/>
        </w:rPr>
      </w:pPr>
    </w:p>
    <w:p w14:paraId="2246987E" w14:textId="77777777" w:rsidR="00BA1871" w:rsidRDefault="00BA1871" w:rsidP="00BA1871">
      <w:pPr>
        <w:pStyle w:val="INCISO"/>
        <w:spacing w:after="0" w:line="240" w:lineRule="exact"/>
        <w:ind w:left="360"/>
        <w:rPr>
          <w:rFonts w:ascii="Calibri" w:hAnsi="Calibri" w:cs="DIN Pro Regular"/>
          <w:b/>
          <w:smallCaps/>
          <w:sz w:val="20"/>
          <w:szCs w:val="20"/>
        </w:rPr>
      </w:pPr>
    </w:p>
    <w:p w14:paraId="0954D51F" w14:textId="77777777" w:rsidR="00BA1871" w:rsidRDefault="00BA1871" w:rsidP="00BA1871">
      <w:pPr>
        <w:pStyle w:val="INCISO"/>
        <w:spacing w:after="0" w:line="240" w:lineRule="exact"/>
        <w:ind w:left="360"/>
        <w:rPr>
          <w:rFonts w:ascii="Calibri" w:hAnsi="Calibri" w:cs="DIN Pro Regular"/>
          <w:b/>
          <w:smallCaps/>
          <w:sz w:val="20"/>
          <w:szCs w:val="20"/>
        </w:rPr>
      </w:pPr>
    </w:p>
    <w:tbl>
      <w:tblPr>
        <w:tblW w:w="9740" w:type="dxa"/>
        <w:tblInd w:w="-10" w:type="dxa"/>
        <w:tblLayout w:type="fixed"/>
        <w:tblCellMar>
          <w:left w:w="10" w:type="dxa"/>
          <w:right w:w="10" w:type="dxa"/>
        </w:tblCellMar>
        <w:tblLook w:val="0000" w:firstRow="0" w:lastRow="0" w:firstColumn="0" w:lastColumn="0" w:noHBand="0" w:noVBand="0"/>
      </w:tblPr>
      <w:tblGrid>
        <w:gridCol w:w="954"/>
        <w:gridCol w:w="6843"/>
        <w:gridCol w:w="1943"/>
      </w:tblGrid>
      <w:tr w:rsidR="00BA1871" w14:paraId="629362A4" w14:textId="77777777" w:rsidTr="00324A31">
        <w:tblPrEx>
          <w:tblCellMar>
            <w:top w:w="0" w:type="dxa"/>
            <w:bottom w:w="0" w:type="dxa"/>
          </w:tblCellMar>
        </w:tblPrEx>
        <w:trPr>
          <w:trHeight w:val="113"/>
        </w:trPr>
        <w:tc>
          <w:tcPr>
            <w:tcW w:w="9740"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1680B458" w14:textId="77777777" w:rsidR="00BA1871" w:rsidRDefault="00BA1871" w:rsidP="00324A31">
            <w:pPr>
              <w:pStyle w:val="Standard"/>
              <w:widowControl w:val="0"/>
              <w:spacing w:after="0" w:line="240" w:lineRule="auto"/>
              <w:jc w:val="center"/>
            </w:pPr>
            <w:r>
              <w:rPr>
                <w:rFonts w:eastAsia="Times New Roman" w:cs="DIN Pro Regular"/>
                <w:b/>
                <w:bCs/>
                <w:color w:val="FFFFFF"/>
                <w:sz w:val="20"/>
                <w:szCs w:val="20"/>
                <w:lang w:eastAsia="es-MX"/>
              </w:rPr>
              <w:t>Auditoría Superior del Estado</w:t>
            </w:r>
          </w:p>
        </w:tc>
      </w:tr>
      <w:tr w:rsidR="00BA1871" w14:paraId="5D1CF5B1" w14:textId="77777777" w:rsidTr="00324A31">
        <w:tblPrEx>
          <w:tblCellMar>
            <w:top w:w="0" w:type="dxa"/>
            <w:bottom w:w="0" w:type="dxa"/>
          </w:tblCellMar>
        </w:tblPrEx>
        <w:trPr>
          <w:trHeight w:val="113"/>
        </w:trPr>
        <w:tc>
          <w:tcPr>
            <w:tcW w:w="9740"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4B3C2324" w14:textId="77777777" w:rsidR="00BA1871" w:rsidRDefault="00BA1871" w:rsidP="00324A31">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Egresos Presupuestarios y los Gastos Contables</w:t>
            </w:r>
          </w:p>
        </w:tc>
      </w:tr>
      <w:tr w:rsidR="00BA1871" w14:paraId="19A1E3B7" w14:textId="77777777" w:rsidTr="00324A31">
        <w:tblPrEx>
          <w:tblCellMar>
            <w:top w:w="0" w:type="dxa"/>
            <w:bottom w:w="0" w:type="dxa"/>
          </w:tblCellMar>
        </w:tblPrEx>
        <w:trPr>
          <w:trHeight w:val="113"/>
        </w:trPr>
        <w:tc>
          <w:tcPr>
            <w:tcW w:w="9740"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3B0A6A6E" w14:textId="77777777" w:rsidR="00BA1871" w:rsidRDefault="00BA1871" w:rsidP="00324A31">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r>
      <w:tr w:rsidR="00BA1871" w14:paraId="72E81A72" w14:textId="77777777" w:rsidTr="00324A31">
        <w:tblPrEx>
          <w:tblCellMar>
            <w:top w:w="0" w:type="dxa"/>
            <w:bottom w:w="0" w:type="dxa"/>
          </w:tblCellMar>
        </w:tblPrEx>
        <w:trPr>
          <w:trHeight w:val="286"/>
        </w:trPr>
        <w:tc>
          <w:tcPr>
            <w:tcW w:w="9740" w:type="dxa"/>
            <w:gridSpan w:val="3"/>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72A9B094" w14:textId="77777777" w:rsidR="00BA1871" w:rsidRDefault="00BA1871" w:rsidP="00324A31">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r>
      <w:tr w:rsidR="00BA1871" w14:paraId="05A26DB8" w14:textId="77777777" w:rsidTr="00324A31">
        <w:tblPrEx>
          <w:tblCellMar>
            <w:top w:w="0" w:type="dxa"/>
            <w:bottom w:w="0" w:type="dxa"/>
          </w:tblCellMar>
        </w:tblPrEx>
        <w:trPr>
          <w:trHeight w:val="57"/>
        </w:trPr>
        <w:tc>
          <w:tcPr>
            <w:tcW w:w="954" w:type="dxa"/>
            <w:shd w:val="clear" w:color="auto" w:fill="auto"/>
            <w:tcMar>
              <w:top w:w="0" w:type="dxa"/>
              <w:left w:w="70" w:type="dxa"/>
              <w:bottom w:w="0" w:type="dxa"/>
              <w:right w:w="70" w:type="dxa"/>
            </w:tcMar>
            <w:vAlign w:val="bottom"/>
          </w:tcPr>
          <w:p w14:paraId="4D4B6AD8" w14:textId="77777777" w:rsidR="00BA1871" w:rsidRDefault="00BA1871" w:rsidP="00324A31">
            <w:pPr>
              <w:pStyle w:val="Standard"/>
              <w:widowControl w:val="0"/>
              <w:spacing w:after="0" w:line="240" w:lineRule="auto"/>
              <w:rPr>
                <w:rFonts w:eastAsia="Times New Roman" w:cs="DIN Pro Regular"/>
                <w:color w:val="000000"/>
                <w:sz w:val="2"/>
                <w:szCs w:val="8"/>
                <w:lang w:eastAsia="es-MX"/>
              </w:rPr>
            </w:pPr>
          </w:p>
        </w:tc>
        <w:tc>
          <w:tcPr>
            <w:tcW w:w="6843" w:type="dxa"/>
            <w:shd w:val="clear" w:color="auto" w:fill="auto"/>
            <w:tcMar>
              <w:top w:w="0" w:type="dxa"/>
              <w:left w:w="70" w:type="dxa"/>
              <w:bottom w:w="0" w:type="dxa"/>
              <w:right w:w="70" w:type="dxa"/>
            </w:tcMar>
            <w:vAlign w:val="bottom"/>
          </w:tcPr>
          <w:p w14:paraId="614EBBCE" w14:textId="77777777" w:rsidR="00BA1871" w:rsidRDefault="00BA1871" w:rsidP="00324A31">
            <w:pPr>
              <w:pStyle w:val="Standard"/>
              <w:widowControl w:val="0"/>
              <w:spacing w:after="0" w:line="240" w:lineRule="auto"/>
              <w:rPr>
                <w:rFonts w:eastAsia="Times New Roman" w:cs="DIN Pro Regular"/>
                <w:color w:val="000000"/>
                <w:sz w:val="2"/>
                <w:szCs w:val="8"/>
                <w:lang w:eastAsia="es-MX"/>
              </w:rPr>
            </w:pPr>
          </w:p>
        </w:tc>
        <w:tc>
          <w:tcPr>
            <w:tcW w:w="1943" w:type="dxa"/>
            <w:tcBorders>
              <w:bottom w:val="single" w:sz="4" w:space="0" w:color="000000"/>
            </w:tcBorders>
            <w:shd w:val="clear" w:color="auto" w:fill="auto"/>
            <w:tcMar>
              <w:top w:w="0" w:type="dxa"/>
              <w:left w:w="70" w:type="dxa"/>
              <w:bottom w:w="0" w:type="dxa"/>
              <w:right w:w="70" w:type="dxa"/>
            </w:tcMar>
            <w:vAlign w:val="bottom"/>
          </w:tcPr>
          <w:p w14:paraId="2487B7C9" w14:textId="77777777" w:rsidR="00BA1871" w:rsidRDefault="00BA1871" w:rsidP="00324A31">
            <w:pPr>
              <w:pStyle w:val="Standard"/>
              <w:widowControl w:val="0"/>
              <w:spacing w:after="0" w:line="240" w:lineRule="auto"/>
              <w:rPr>
                <w:rFonts w:eastAsia="Times New Roman" w:cs="DIN Pro Regular"/>
                <w:color w:val="000000"/>
                <w:sz w:val="2"/>
                <w:szCs w:val="8"/>
                <w:lang w:eastAsia="es-MX"/>
              </w:rPr>
            </w:pPr>
          </w:p>
        </w:tc>
      </w:tr>
      <w:tr w:rsidR="00BA1871" w14:paraId="1CBFAE46" w14:textId="77777777" w:rsidTr="00324A31">
        <w:tblPrEx>
          <w:tblCellMar>
            <w:top w:w="0" w:type="dxa"/>
            <w:bottom w:w="0" w:type="dxa"/>
          </w:tblCellMar>
        </w:tblPrEx>
        <w:trPr>
          <w:trHeight w:val="70"/>
        </w:trPr>
        <w:tc>
          <w:tcPr>
            <w:tcW w:w="779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357DB33" w14:textId="77777777" w:rsidR="00BA1871" w:rsidRDefault="00BA1871" w:rsidP="00324A31">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Total de Egresos Presupuestarios</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C810594" w14:textId="77777777" w:rsidR="00BA1871" w:rsidRDefault="00BA1871" w:rsidP="00324A31">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158,263,003</w:t>
            </w:r>
          </w:p>
        </w:tc>
      </w:tr>
      <w:tr w:rsidR="00BA1871" w14:paraId="10FF3A3A" w14:textId="77777777" w:rsidTr="00324A31">
        <w:tblPrEx>
          <w:tblCellMar>
            <w:top w:w="0" w:type="dxa"/>
            <w:bottom w:w="0" w:type="dxa"/>
          </w:tblCellMar>
        </w:tblPrEx>
        <w:trPr>
          <w:trHeight w:val="70"/>
        </w:trPr>
        <w:tc>
          <w:tcPr>
            <w:tcW w:w="954" w:type="dxa"/>
            <w:shd w:val="clear" w:color="auto" w:fill="auto"/>
            <w:tcMar>
              <w:top w:w="0" w:type="dxa"/>
              <w:left w:w="70" w:type="dxa"/>
              <w:bottom w:w="0" w:type="dxa"/>
              <w:right w:w="70" w:type="dxa"/>
            </w:tcMar>
            <w:vAlign w:val="bottom"/>
          </w:tcPr>
          <w:p w14:paraId="008D6D0E" w14:textId="77777777" w:rsidR="00BA1871" w:rsidRDefault="00BA1871" w:rsidP="00324A31">
            <w:pPr>
              <w:pStyle w:val="Standard"/>
              <w:widowControl w:val="0"/>
              <w:spacing w:after="0" w:line="240" w:lineRule="auto"/>
              <w:rPr>
                <w:rFonts w:eastAsia="Times New Roman" w:cs="DIN Pro Regular"/>
                <w:color w:val="000000"/>
                <w:sz w:val="2"/>
                <w:szCs w:val="8"/>
                <w:lang w:eastAsia="es-MX"/>
              </w:rPr>
            </w:pPr>
          </w:p>
        </w:tc>
        <w:tc>
          <w:tcPr>
            <w:tcW w:w="6843" w:type="dxa"/>
            <w:shd w:val="clear" w:color="auto" w:fill="auto"/>
            <w:tcMar>
              <w:top w:w="0" w:type="dxa"/>
              <w:left w:w="70" w:type="dxa"/>
              <w:bottom w:w="0" w:type="dxa"/>
              <w:right w:w="70" w:type="dxa"/>
            </w:tcMar>
            <w:vAlign w:val="bottom"/>
          </w:tcPr>
          <w:p w14:paraId="4C9D5959" w14:textId="77777777" w:rsidR="00BA1871" w:rsidRDefault="00BA1871" w:rsidP="00324A31">
            <w:pPr>
              <w:pStyle w:val="Standard"/>
              <w:widowControl w:val="0"/>
              <w:spacing w:after="0" w:line="240" w:lineRule="auto"/>
              <w:rPr>
                <w:rFonts w:eastAsia="Times New Roman" w:cs="DIN Pro Regular"/>
                <w:color w:val="000000"/>
                <w:sz w:val="2"/>
                <w:szCs w:val="8"/>
                <w:lang w:eastAsia="es-MX"/>
              </w:rPr>
            </w:pPr>
          </w:p>
        </w:tc>
        <w:tc>
          <w:tcPr>
            <w:tcW w:w="1943" w:type="dxa"/>
            <w:shd w:val="clear" w:color="auto" w:fill="auto"/>
            <w:tcMar>
              <w:top w:w="0" w:type="dxa"/>
              <w:left w:w="70" w:type="dxa"/>
              <w:bottom w:w="0" w:type="dxa"/>
              <w:right w:w="70" w:type="dxa"/>
            </w:tcMar>
            <w:vAlign w:val="bottom"/>
          </w:tcPr>
          <w:p w14:paraId="4B798C11" w14:textId="77777777" w:rsidR="00BA1871" w:rsidRDefault="00BA1871" w:rsidP="00324A31">
            <w:pPr>
              <w:pStyle w:val="Standard"/>
              <w:widowControl w:val="0"/>
              <w:spacing w:after="0" w:line="240" w:lineRule="auto"/>
              <w:jc w:val="right"/>
              <w:rPr>
                <w:rFonts w:eastAsia="Times New Roman" w:cs="DIN Pro Regular"/>
                <w:color w:val="000000"/>
                <w:sz w:val="2"/>
                <w:szCs w:val="8"/>
                <w:lang w:eastAsia="es-MX"/>
              </w:rPr>
            </w:pPr>
          </w:p>
        </w:tc>
      </w:tr>
      <w:tr w:rsidR="00BA1871" w14:paraId="59081097" w14:textId="77777777" w:rsidTr="00324A31">
        <w:tblPrEx>
          <w:tblCellMar>
            <w:top w:w="0" w:type="dxa"/>
            <w:bottom w:w="0" w:type="dxa"/>
          </w:tblCellMar>
        </w:tblPrEx>
        <w:trPr>
          <w:trHeight w:val="300"/>
        </w:trPr>
        <w:tc>
          <w:tcPr>
            <w:tcW w:w="779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A697294" w14:textId="77777777" w:rsidR="00BA1871" w:rsidRDefault="00BA1871" w:rsidP="00324A31">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Menos egresos presupuestarios no contables</w:t>
            </w:r>
          </w:p>
        </w:tc>
        <w:tc>
          <w:tcPr>
            <w:tcW w:w="194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5D5163" w14:textId="77777777" w:rsidR="00BA1871" w:rsidRDefault="00BA1871" w:rsidP="00324A31">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10,233,713</w:t>
            </w:r>
          </w:p>
        </w:tc>
      </w:tr>
      <w:tr w:rsidR="00BA1871" w14:paraId="2BE193BC" w14:textId="77777777" w:rsidTr="00324A31">
        <w:tblPrEx>
          <w:tblCellMar>
            <w:top w:w="0" w:type="dxa"/>
            <w:bottom w:w="0" w:type="dxa"/>
          </w:tblCellMar>
        </w:tblPrEx>
        <w:trPr>
          <w:trHeight w:val="202"/>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5715197"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w:t>
            </w:r>
          </w:p>
        </w:tc>
        <w:tc>
          <w:tcPr>
            <w:tcW w:w="6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53D471"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Materias Primas y Materiales de Producción y Comercialización.</w:t>
            </w:r>
          </w:p>
        </w:tc>
        <w:tc>
          <w:tcPr>
            <w:tcW w:w="19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609AA93"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p>
        </w:tc>
      </w:tr>
      <w:tr w:rsidR="00BA1871" w14:paraId="36EA60EF" w14:textId="77777777" w:rsidTr="00324A31">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7ED4DF8"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w:t>
            </w:r>
          </w:p>
        </w:tc>
        <w:tc>
          <w:tcPr>
            <w:tcW w:w="6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D4DF30"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Materiales y Suministros</w:t>
            </w:r>
          </w:p>
        </w:tc>
        <w:tc>
          <w:tcPr>
            <w:tcW w:w="19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8301D7"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p>
        </w:tc>
      </w:tr>
      <w:tr w:rsidR="00BA1871" w14:paraId="781EEE56" w14:textId="77777777" w:rsidTr="00324A31">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89583C5"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2.3</w:t>
            </w:r>
          </w:p>
        </w:tc>
        <w:tc>
          <w:tcPr>
            <w:tcW w:w="6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AECF953"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Mobiliario y Equipo de Administración</w:t>
            </w:r>
          </w:p>
        </w:tc>
        <w:tc>
          <w:tcPr>
            <w:tcW w:w="19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025E068" w14:textId="77777777" w:rsidR="00BA1871" w:rsidRDefault="00BA1871" w:rsidP="00324A31">
            <w:pPr>
              <w:pStyle w:val="Standard"/>
              <w:widowControl w:val="0"/>
              <w:spacing w:after="0" w:line="240" w:lineRule="auto"/>
              <w:jc w:val="right"/>
              <w:rPr>
                <w:rFonts w:eastAsia="Times New Roman" w:cs="DIN Pro Regular"/>
                <w:bCs/>
                <w:color w:val="000000"/>
                <w:sz w:val="20"/>
                <w:szCs w:val="20"/>
                <w:lang w:eastAsia="es-MX"/>
              </w:rPr>
            </w:pPr>
            <w:r>
              <w:rPr>
                <w:rFonts w:eastAsia="Times New Roman" w:cs="DIN Pro Regular"/>
                <w:bCs/>
                <w:color w:val="000000"/>
                <w:sz w:val="20"/>
                <w:szCs w:val="20"/>
                <w:lang w:eastAsia="es-MX"/>
              </w:rPr>
              <w:t>3,411,105</w:t>
            </w:r>
          </w:p>
        </w:tc>
      </w:tr>
      <w:tr w:rsidR="00BA1871" w14:paraId="51906FE3" w14:textId="77777777" w:rsidTr="00324A31">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5AA637C"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2.4</w:t>
            </w:r>
          </w:p>
        </w:tc>
        <w:tc>
          <w:tcPr>
            <w:tcW w:w="6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4B76AD6"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Mobiliario y Equipo Educacional y Recreativo</w:t>
            </w:r>
          </w:p>
        </w:tc>
        <w:tc>
          <w:tcPr>
            <w:tcW w:w="1943" w:type="dxa"/>
            <w:tcBorders>
              <w:bottom w:val="single" w:sz="4" w:space="0" w:color="000000"/>
              <w:right w:val="single" w:sz="4" w:space="0" w:color="000000"/>
            </w:tcBorders>
            <w:shd w:val="clear" w:color="auto" w:fill="auto"/>
            <w:tcMar>
              <w:top w:w="0" w:type="dxa"/>
              <w:left w:w="70" w:type="dxa"/>
              <w:bottom w:w="0" w:type="dxa"/>
              <w:right w:w="70" w:type="dxa"/>
            </w:tcMar>
          </w:tcPr>
          <w:p w14:paraId="0B8A3E9B" w14:textId="77777777" w:rsidR="00BA1871" w:rsidRDefault="00BA1871" w:rsidP="00324A31">
            <w:pPr>
              <w:pStyle w:val="Standard"/>
              <w:widowControl w:val="0"/>
              <w:spacing w:after="0" w:line="240" w:lineRule="auto"/>
              <w:jc w:val="right"/>
              <w:rPr>
                <w:rFonts w:eastAsia="Times New Roman" w:cs="DIN Pro Regular"/>
                <w:bCs/>
                <w:color w:val="000000"/>
                <w:sz w:val="20"/>
                <w:szCs w:val="20"/>
                <w:lang w:eastAsia="es-MX"/>
              </w:rPr>
            </w:pPr>
            <w:r>
              <w:rPr>
                <w:rFonts w:eastAsia="Times New Roman" w:cs="DIN Pro Regular"/>
                <w:bCs/>
                <w:color w:val="000000"/>
                <w:sz w:val="20"/>
                <w:szCs w:val="20"/>
                <w:lang w:eastAsia="es-MX"/>
              </w:rPr>
              <w:t>20,000</w:t>
            </w:r>
          </w:p>
        </w:tc>
      </w:tr>
      <w:tr w:rsidR="00BA1871" w14:paraId="32CCF59C" w14:textId="77777777" w:rsidTr="00324A31">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D213E6B"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2.5</w:t>
            </w:r>
          </w:p>
        </w:tc>
        <w:tc>
          <w:tcPr>
            <w:tcW w:w="6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F645860"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Equipo e Instrumental Médico y de Laboratorio</w:t>
            </w:r>
          </w:p>
        </w:tc>
        <w:tc>
          <w:tcPr>
            <w:tcW w:w="1943" w:type="dxa"/>
            <w:tcBorders>
              <w:bottom w:val="single" w:sz="4" w:space="0" w:color="000000"/>
              <w:right w:val="single" w:sz="4" w:space="0" w:color="000000"/>
            </w:tcBorders>
            <w:shd w:val="clear" w:color="auto" w:fill="auto"/>
            <w:tcMar>
              <w:top w:w="0" w:type="dxa"/>
              <w:left w:w="70" w:type="dxa"/>
              <w:bottom w:w="0" w:type="dxa"/>
              <w:right w:w="70" w:type="dxa"/>
            </w:tcMar>
          </w:tcPr>
          <w:p w14:paraId="779F3BFB" w14:textId="77777777" w:rsidR="00BA1871" w:rsidRDefault="00BA1871" w:rsidP="00324A31">
            <w:pPr>
              <w:pStyle w:val="Standard"/>
              <w:widowControl w:val="0"/>
              <w:spacing w:after="0" w:line="240" w:lineRule="auto"/>
              <w:jc w:val="right"/>
              <w:rPr>
                <w:rFonts w:eastAsia="Times New Roman" w:cs="DIN Pro Regular"/>
                <w:bCs/>
                <w:color w:val="000000"/>
                <w:sz w:val="20"/>
                <w:szCs w:val="20"/>
                <w:lang w:eastAsia="es-MX"/>
              </w:rPr>
            </w:pPr>
            <w:r>
              <w:rPr>
                <w:rFonts w:eastAsia="Times New Roman" w:cs="DIN Pro Regular"/>
                <w:bCs/>
                <w:color w:val="000000"/>
                <w:sz w:val="20"/>
                <w:szCs w:val="20"/>
                <w:lang w:eastAsia="es-MX"/>
              </w:rPr>
              <w:t>4,294</w:t>
            </w:r>
          </w:p>
        </w:tc>
      </w:tr>
      <w:tr w:rsidR="00BA1871" w14:paraId="43E9904B" w14:textId="77777777" w:rsidTr="00324A31">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BF72B06"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2.6</w:t>
            </w:r>
          </w:p>
        </w:tc>
        <w:tc>
          <w:tcPr>
            <w:tcW w:w="6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43A7EB6"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Vehículos y Equipo de Transporte</w:t>
            </w:r>
          </w:p>
        </w:tc>
        <w:tc>
          <w:tcPr>
            <w:tcW w:w="1943" w:type="dxa"/>
            <w:tcBorders>
              <w:bottom w:val="single" w:sz="4" w:space="0" w:color="000000"/>
              <w:right w:val="single" w:sz="4" w:space="0" w:color="000000"/>
            </w:tcBorders>
            <w:shd w:val="clear" w:color="auto" w:fill="auto"/>
            <w:tcMar>
              <w:top w:w="0" w:type="dxa"/>
              <w:left w:w="70" w:type="dxa"/>
              <w:bottom w:w="0" w:type="dxa"/>
              <w:right w:w="70" w:type="dxa"/>
            </w:tcMar>
          </w:tcPr>
          <w:p w14:paraId="631BFDEE" w14:textId="77777777" w:rsidR="00BA1871" w:rsidRDefault="00BA1871" w:rsidP="00324A31">
            <w:pPr>
              <w:pStyle w:val="Standard"/>
              <w:widowControl w:val="0"/>
              <w:spacing w:after="0" w:line="240" w:lineRule="auto"/>
              <w:jc w:val="right"/>
              <w:rPr>
                <w:rFonts w:eastAsia="Times New Roman" w:cs="DIN Pro Regular"/>
                <w:bCs/>
                <w:color w:val="000000"/>
                <w:sz w:val="20"/>
                <w:szCs w:val="20"/>
                <w:lang w:eastAsia="es-MX"/>
              </w:rPr>
            </w:pPr>
            <w:r>
              <w:rPr>
                <w:rFonts w:eastAsia="Times New Roman" w:cs="DIN Pro Regular"/>
                <w:bCs/>
                <w:color w:val="000000"/>
                <w:sz w:val="20"/>
                <w:szCs w:val="20"/>
                <w:lang w:eastAsia="es-MX"/>
              </w:rPr>
              <w:t>6,637,900</w:t>
            </w:r>
          </w:p>
        </w:tc>
      </w:tr>
      <w:tr w:rsidR="00BA1871" w14:paraId="1C6966E2" w14:textId="77777777" w:rsidTr="00324A31">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251583F"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2.7</w:t>
            </w:r>
          </w:p>
        </w:tc>
        <w:tc>
          <w:tcPr>
            <w:tcW w:w="6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B36246"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Equipo de Defensa y Seguridad</w:t>
            </w:r>
          </w:p>
        </w:tc>
        <w:tc>
          <w:tcPr>
            <w:tcW w:w="1943" w:type="dxa"/>
            <w:tcBorders>
              <w:bottom w:val="single" w:sz="4" w:space="0" w:color="000000"/>
              <w:right w:val="single" w:sz="4" w:space="0" w:color="000000"/>
            </w:tcBorders>
            <w:shd w:val="clear" w:color="auto" w:fill="auto"/>
            <w:tcMar>
              <w:top w:w="0" w:type="dxa"/>
              <w:left w:w="70" w:type="dxa"/>
              <w:bottom w:w="0" w:type="dxa"/>
              <w:right w:w="70" w:type="dxa"/>
            </w:tcMar>
          </w:tcPr>
          <w:p w14:paraId="3DCDD4CC" w14:textId="77777777" w:rsidR="00BA1871" w:rsidRDefault="00BA1871" w:rsidP="00324A31">
            <w:pPr>
              <w:pStyle w:val="Standard"/>
              <w:widowControl w:val="0"/>
              <w:spacing w:after="0" w:line="240" w:lineRule="auto"/>
              <w:jc w:val="right"/>
              <w:rPr>
                <w:rFonts w:eastAsia="Times New Roman" w:cs="DIN Pro Regular"/>
                <w:bCs/>
                <w:color w:val="000000"/>
                <w:sz w:val="20"/>
                <w:szCs w:val="20"/>
                <w:lang w:eastAsia="es-MX"/>
              </w:rPr>
            </w:pPr>
          </w:p>
        </w:tc>
      </w:tr>
      <w:tr w:rsidR="00BA1871" w14:paraId="5C4DAD6F" w14:textId="77777777" w:rsidTr="00324A31">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29CBE9A"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2.8</w:t>
            </w:r>
          </w:p>
        </w:tc>
        <w:tc>
          <w:tcPr>
            <w:tcW w:w="6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248CCE6"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Maquinaria, Otros Equipos y Herramientas</w:t>
            </w:r>
          </w:p>
        </w:tc>
        <w:tc>
          <w:tcPr>
            <w:tcW w:w="1943" w:type="dxa"/>
            <w:tcBorders>
              <w:bottom w:val="single" w:sz="4" w:space="0" w:color="000000"/>
              <w:right w:val="single" w:sz="4" w:space="0" w:color="000000"/>
            </w:tcBorders>
            <w:shd w:val="clear" w:color="auto" w:fill="auto"/>
            <w:tcMar>
              <w:top w:w="0" w:type="dxa"/>
              <w:left w:w="70" w:type="dxa"/>
              <w:bottom w:w="0" w:type="dxa"/>
              <w:right w:w="70" w:type="dxa"/>
            </w:tcMar>
          </w:tcPr>
          <w:p w14:paraId="5DE95ACF" w14:textId="77777777" w:rsidR="00BA1871" w:rsidRDefault="00BA1871" w:rsidP="00324A31">
            <w:pPr>
              <w:pStyle w:val="Standard"/>
              <w:widowControl w:val="0"/>
              <w:spacing w:after="0" w:line="240" w:lineRule="auto"/>
              <w:jc w:val="right"/>
              <w:rPr>
                <w:rFonts w:eastAsia="Times New Roman" w:cs="DIN Pro Regular"/>
                <w:bCs/>
                <w:color w:val="000000"/>
                <w:sz w:val="20"/>
                <w:szCs w:val="20"/>
                <w:lang w:eastAsia="es-MX"/>
              </w:rPr>
            </w:pPr>
            <w:r>
              <w:rPr>
                <w:rFonts w:eastAsia="Times New Roman" w:cs="DIN Pro Regular"/>
                <w:bCs/>
                <w:color w:val="000000"/>
                <w:sz w:val="20"/>
                <w:szCs w:val="20"/>
                <w:lang w:eastAsia="es-MX"/>
              </w:rPr>
              <w:t>160,414</w:t>
            </w:r>
          </w:p>
        </w:tc>
      </w:tr>
      <w:tr w:rsidR="00BA1871" w14:paraId="176196B7" w14:textId="77777777" w:rsidTr="00324A31">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B036D4B"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2.9</w:t>
            </w:r>
          </w:p>
        </w:tc>
        <w:tc>
          <w:tcPr>
            <w:tcW w:w="6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D84944A"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Activos Biológicos</w:t>
            </w:r>
          </w:p>
        </w:tc>
        <w:tc>
          <w:tcPr>
            <w:tcW w:w="19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2399DA5" w14:textId="77777777" w:rsidR="00BA1871" w:rsidRDefault="00BA1871" w:rsidP="00324A31">
            <w:pPr>
              <w:pStyle w:val="Standard"/>
              <w:widowControl w:val="0"/>
              <w:spacing w:after="0" w:line="240" w:lineRule="auto"/>
              <w:jc w:val="right"/>
              <w:rPr>
                <w:rFonts w:eastAsia="Times New Roman" w:cs="DIN Pro Regular"/>
                <w:bCs/>
                <w:color w:val="000000"/>
                <w:sz w:val="20"/>
                <w:szCs w:val="20"/>
                <w:lang w:eastAsia="es-MX"/>
              </w:rPr>
            </w:pPr>
          </w:p>
        </w:tc>
      </w:tr>
      <w:tr w:rsidR="00BA1871" w14:paraId="2135A118" w14:textId="77777777" w:rsidTr="00324A31">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5DFA0CE"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2.10</w:t>
            </w:r>
          </w:p>
        </w:tc>
        <w:tc>
          <w:tcPr>
            <w:tcW w:w="6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F28CCC3"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Bienes Inmuebles</w:t>
            </w:r>
          </w:p>
        </w:tc>
        <w:tc>
          <w:tcPr>
            <w:tcW w:w="19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B442B16"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p>
        </w:tc>
      </w:tr>
      <w:tr w:rsidR="00BA1871" w14:paraId="02DA6896" w14:textId="77777777" w:rsidTr="00324A31">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171CEBE"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2.11</w:t>
            </w:r>
          </w:p>
        </w:tc>
        <w:tc>
          <w:tcPr>
            <w:tcW w:w="6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150B45"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Activos Intangibles</w:t>
            </w:r>
          </w:p>
        </w:tc>
        <w:tc>
          <w:tcPr>
            <w:tcW w:w="19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05E0B0B"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p>
        </w:tc>
      </w:tr>
      <w:tr w:rsidR="00BA1871" w14:paraId="0656911E" w14:textId="77777777" w:rsidTr="00324A31">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FEAEFD4"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2.12</w:t>
            </w:r>
          </w:p>
        </w:tc>
        <w:tc>
          <w:tcPr>
            <w:tcW w:w="6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FF475F"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Obra Pública en Bienes de Dominio Público</w:t>
            </w:r>
          </w:p>
        </w:tc>
        <w:tc>
          <w:tcPr>
            <w:tcW w:w="19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661F08F"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p>
        </w:tc>
      </w:tr>
      <w:tr w:rsidR="00BA1871" w14:paraId="25BABB56" w14:textId="77777777" w:rsidTr="00324A31">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209E658"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2.13</w:t>
            </w:r>
          </w:p>
        </w:tc>
        <w:tc>
          <w:tcPr>
            <w:tcW w:w="6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0D68B86"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Obra Pública en Bienes Propios</w:t>
            </w:r>
          </w:p>
        </w:tc>
        <w:tc>
          <w:tcPr>
            <w:tcW w:w="19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1B34715"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p>
        </w:tc>
      </w:tr>
      <w:tr w:rsidR="00BA1871" w14:paraId="255FF222" w14:textId="77777777" w:rsidTr="00324A31">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7B18965"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2.14</w:t>
            </w:r>
          </w:p>
        </w:tc>
        <w:tc>
          <w:tcPr>
            <w:tcW w:w="6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0F08F2E"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Acciones y Participaciones de Capital</w:t>
            </w:r>
          </w:p>
        </w:tc>
        <w:tc>
          <w:tcPr>
            <w:tcW w:w="19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7B1A6FC"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p>
        </w:tc>
      </w:tr>
      <w:tr w:rsidR="00BA1871" w14:paraId="75C6E699" w14:textId="77777777" w:rsidTr="00324A31">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CD8BAFF"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2.15</w:t>
            </w:r>
          </w:p>
        </w:tc>
        <w:tc>
          <w:tcPr>
            <w:tcW w:w="6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8AAEC3"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Compra de Títulos y Valores</w:t>
            </w:r>
          </w:p>
        </w:tc>
        <w:tc>
          <w:tcPr>
            <w:tcW w:w="19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05F5EDB"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p>
        </w:tc>
      </w:tr>
      <w:tr w:rsidR="00BA1871" w14:paraId="77B9CC49" w14:textId="77777777" w:rsidTr="00324A31">
        <w:tblPrEx>
          <w:tblCellMar>
            <w:top w:w="0" w:type="dxa"/>
            <w:bottom w:w="0" w:type="dxa"/>
          </w:tblCellMar>
        </w:tblPrEx>
        <w:trPr>
          <w:trHeight w:val="224"/>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A898320"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2.16</w:t>
            </w:r>
          </w:p>
        </w:tc>
        <w:tc>
          <w:tcPr>
            <w:tcW w:w="6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8785318"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Concesión de Préstamos</w:t>
            </w:r>
          </w:p>
        </w:tc>
        <w:tc>
          <w:tcPr>
            <w:tcW w:w="19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B188BD8"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p>
        </w:tc>
      </w:tr>
      <w:tr w:rsidR="00BA1871" w14:paraId="4292089B" w14:textId="77777777" w:rsidTr="00324A31">
        <w:tblPrEx>
          <w:tblCellMar>
            <w:top w:w="0" w:type="dxa"/>
            <w:bottom w:w="0" w:type="dxa"/>
          </w:tblCellMar>
        </w:tblPrEx>
        <w:trPr>
          <w:trHeight w:val="100"/>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DDEFF3C"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2.17</w:t>
            </w:r>
          </w:p>
        </w:tc>
        <w:tc>
          <w:tcPr>
            <w:tcW w:w="6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EF27E3B"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Inversiones en Fideicomisos. Mandatos y Otros Análogos</w:t>
            </w:r>
          </w:p>
        </w:tc>
        <w:tc>
          <w:tcPr>
            <w:tcW w:w="19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7E18AAF"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p>
        </w:tc>
      </w:tr>
      <w:tr w:rsidR="00BA1871" w14:paraId="23BB5973" w14:textId="77777777" w:rsidTr="00324A31">
        <w:tblPrEx>
          <w:tblCellMar>
            <w:top w:w="0" w:type="dxa"/>
            <w:bottom w:w="0" w:type="dxa"/>
          </w:tblCellMar>
        </w:tblPrEx>
        <w:trPr>
          <w:trHeight w:val="274"/>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7610283"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2.18</w:t>
            </w:r>
          </w:p>
        </w:tc>
        <w:tc>
          <w:tcPr>
            <w:tcW w:w="6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FAA647B"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Provisiones para Contingencias y Otras Erogaciones Especiales</w:t>
            </w:r>
          </w:p>
        </w:tc>
        <w:tc>
          <w:tcPr>
            <w:tcW w:w="19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DDBD7E"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p>
        </w:tc>
      </w:tr>
      <w:tr w:rsidR="00BA1871" w14:paraId="704F43E4" w14:textId="77777777" w:rsidTr="00324A31">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5635FF9"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2.19</w:t>
            </w:r>
          </w:p>
        </w:tc>
        <w:tc>
          <w:tcPr>
            <w:tcW w:w="6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65D370"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Amortización de la Deuda Pública</w:t>
            </w:r>
          </w:p>
        </w:tc>
        <w:tc>
          <w:tcPr>
            <w:tcW w:w="19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D6D2C74"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p>
        </w:tc>
      </w:tr>
      <w:tr w:rsidR="00BA1871" w14:paraId="41932D2D" w14:textId="77777777" w:rsidTr="00324A31">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BEC754B"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2.20</w:t>
            </w:r>
          </w:p>
        </w:tc>
        <w:tc>
          <w:tcPr>
            <w:tcW w:w="6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5C94A4"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Adeudos de Ejercicios Fiscales Anteriores (ADEFAS)</w:t>
            </w:r>
          </w:p>
        </w:tc>
        <w:tc>
          <w:tcPr>
            <w:tcW w:w="19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FBF1B9D"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p>
        </w:tc>
      </w:tr>
      <w:tr w:rsidR="00BA1871" w14:paraId="5F233B4A" w14:textId="77777777" w:rsidTr="00324A31">
        <w:tblPrEx>
          <w:tblCellMar>
            <w:top w:w="0" w:type="dxa"/>
            <w:bottom w:w="0" w:type="dxa"/>
          </w:tblCellMar>
        </w:tblPrEx>
        <w:trPr>
          <w:trHeight w:val="70"/>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638FAB4"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2.21</w:t>
            </w:r>
          </w:p>
        </w:tc>
        <w:tc>
          <w:tcPr>
            <w:tcW w:w="6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2F69FB0"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Otros Egresos Presupuestales No Contables</w:t>
            </w:r>
          </w:p>
        </w:tc>
        <w:tc>
          <w:tcPr>
            <w:tcW w:w="19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58E3AE" w14:textId="77777777" w:rsidR="00BA1871" w:rsidRDefault="00BA1871" w:rsidP="00324A31">
            <w:pPr>
              <w:pStyle w:val="Standard"/>
              <w:widowControl w:val="0"/>
              <w:spacing w:after="0" w:line="240" w:lineRule="auto"/>
              <w:jc w:val="both"/>
              <w:rPr>
                <w:rFonts w:eastAsia="Times New Roman" w:cs="DIN Pro Regular"/>
                <w:bCs/>
                <w:color w:val="000000"/>
                <w:sz w:val="20"/>
                <w:szCs w:val="20"/>
                <w:lang w:eastAsia="es-MX"/>
              </w:rPr>
            </w:pPr>
          </w:p>
        </w:tc>
      </w:tr>
      <w:tr w:rsidR="00BA1871" w14:paraId="33D08F94" w14:textId="77777777" w:rsidTr="00324A31">
        <w:tblPrEx>
          <w:tblCellMar>
            <w:top w:w="0" w:type="dxa"/>
            <w:bottom w:w="0" w:type="dxa"/>
          </w:tblCellMar>
        </w:tblPrEx>
        <w:trPr>
          <w:trHeight w:val="70"/>
        </w:trPr>
        <w:tc>
          <w:tcPr>
            <w:tcW w:w="954" w:type="dxa"/>
            <w:shd w:val="clear" w:color="auto" w:fill="auto"/>
            <w:tcMar>
              <w:top w:w="0" w:type="dxa"/>
              <w:left w:w="70" w:type="dxa"/>
              <w:bottom w:w="0" w:type="dxa"/>
              <w:right w:w="70" w:type="dxa"/>
            </w:tcMar>
            <w:vAlign w:val="center"/>
          </w:tcPr>
          <w:p w14:paraId="65A65EBF" w14:textId="77777777" w:rsidR="00BA1871" w:rsidRDefault="00BA1871" w:rsidP="00324A31">
            <w:pPr>
              <w:pStyle w:val="Standard"/>
              <w:widowControl w:val="0"/>
              <w:spacing w:after="0" w:line="240" w:lineRule="auto"/>
              <w:jc w:val="both"/>
              <w:rPr>
                <w:rFonts w:eastAsia="Times New Roman" w:cs="DIN Pro Regular"/>
                <w:bCs/>
                <w:color w:val="000000"/>
                <w:sz w:val="12"/>
                <w:szCs w:val="12"/>
                <w:lang w:eastAsia="es-MX"/>
              </w:rPr>
            </w:pPr>
          </w:p>
        </w:tc>
        <w:tc>
          <w:tcPr>
            <w:tcW w:w="6843" w:type="dxa"/>
            <w:shd w:val="clear" w:color="auto" w:fill="auto"/>
            <w:tcMar>
              <w:top w:w="0" w:type="dxa"/>
              <w:left w:w="10" w:type="dxa"/>
              <w:bottom w:w="0" w:type="dxa"/>
              <w:right w:w="10" w:type="dxa"/>
            </w:tcMar>
          </w:tcPr>
          <w:p w14:paraId="3A8DAF90" w14:textId="77777777" w:rsidR="00BA1871" w:rsidRDefault="00BA1871" w:rsidP="00324A31">
            <w:pPr>
              <w:pStyle w:val="Standard"/>
              <w:widowControl w:val="0"/>
              <w:spacing w:after="0" w:line="240" w:lineRule="auto"/>
              <w:jc w:val="both"/>
              <w:rPr>
                <w:rFonts w:eastAsia="Times New Roman" w:cs="DIN Pro Regular"/>
                <w:bCs/>
                <w:color w:val="000000"/>
                <w:sz w:val="12"/>
                <w:szCs w:val="12"/>
                <w:lang w:eastAsia="es-MX"/>
              </w:rPr>
            </w:pPr>
          </w:p>
        </w:tc>
        <w:tc>
          <w:tcPr>
            <w:tcW w:w="1943" w:type="dxa"/>
            <w:shd w:val="clear" w:color="auto" w:fill="auto"/>
            <w:tcMar>
              <w:top w:w="0" w:type="dxa"/>
              <w:left w:w="10" w:type="dxa"/>
              <w:bottom w:w="0" w:type="dxa"/>
              <w:right w:w="10" w:type="dxa"/>
            </w:tcMar>
          </w:tcPr>
          <w:p w14:paraId="6894E98C" w14:textId="77777777" w:rsidR="00BA1871" w:rsidRDefault="00BA1871" w:rsidP="00324A31">
            <w:pPr>
              <w:pStyle w:val="Standard"/>
              <w:widowControl w:val="0"/>
              <w:spacing w:after="0" w:line="240" w:lineRule="auto"/>
              <w:jc w:val="both"/>
              <w:rPr>
                <w:rFonts w:eastAsia="Times New Roman" w:cs="DIN Pro Regular"/>
                <w:bCs/>
                <w:color w:val="000000"/>
                <w:sz w:val="12"/>
                <w:szCs w:val="12"/>
                <w:lang w:eastAsia="es-MX"/>
              </w:rPr>
            </w:pPr>
          </w:p>
        </w:tc>
      </w:tr>
      <w:tr w:rsidR="00BA1871" w14:paraId="2DE7EF4E" w14:textId="77777777" w:rsidTr="00324A31">
        <w:tblPrEx>
          <w:tblCellMar>
            <w:top w:w="0" w:type="dxa"/>
            <w:bottom w:w="0" w:type="dxa"/>
          </w:tblCellMar>
        </w:tblPrEx>
        <w:trPr>
          <w:trHeight w:val="300"/>
        </w:trPr>
        <w:tc>
          <w:tcPr>
            <w:tcW w:w="7797" w:type="dxa"/>
            <w:gridSpan w:val="2"/>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320F3EF" w14:textId="77777777" w:rsidR="00BA1871" w:rsidRDefault="00BA1871" w:rsidP="00324A31">
            <w:pPr>
              <w:pStyle w:val="Standard"/>
              <w:widowControl w:val="0"/>
              <w:spacing w:after="0" w:line="240" w:lineRule="auto"/>
              <w:rPr>
                <w:rFonts w:eastAsia="Times New Roman" w:cs="DIN Pro Regular"/>
                <w:b/>
                <w:bCs/>
                <w:color w:val="FFFFFF"/>
                <w:sz w:val="20"/>
                <w:szCs w:val="20"/>
                <w:lang w:eastAsia="es-MX"/>
              </w:rPr>
            </w:pPr>
            <w:r>
              <w:rPr>
                <w:rFonts w:eastAsia="Times New Roman" w:cs="DIN Pro Regular"/>
                <w:b/>
                <w:bCs/>
                <w:color w:val="FFFFFF"/>
                <w:sz w:val="20"/>
                <w:szCs w:val="20"/>
                <w:lang w:eastAsia="es-MX"/>
              </w:rPr>
              <w:t>3. Más Gasto Contables No Presupuestales</w:t>
            </w:r>
          </w:p>
        </w:tc>
        <w:tc>
          <w:tcPr>
            <w:tcW w:w="194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3B097F" w14:textId="77777777" w:rsidR="00BA1871" w:rsidRDefault="00BA1871" w:rsidP="00324A31">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1,817,352</w:t>
            </w:r>
          </w:p>
        </w:tc>
      </w:tr>
      <w:tr w:rsidR="00BA1871" w14:paraId="506AA012" w14:textId="77777777" w:rsidTr="00324A31">
        <w:tblPrEx>
          <w:tblCellMar>
            <w:top w:w="0" w:type="dxa"/>
            <w:bottom w:w="0" w:type="dxa"/>
          </w:tblCellMar>
        </w:tblPrEx>
        <w:trPr>
          <w:trHeight w:val="70"/>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5D45696" w14:textId="77777777" w:rsidR="00BA1871" w:rsidRDefault="00BA1871" w:rsidP="00324A31">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6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E0A7B68" w14:textId="77777777" w:rsidR="00BA1871" w:rsidRDefault="00BA1871" w:rsidP="00324A31">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Estimaciones, Depreciaciones y Deterioros, Obsolescencia y Amortizaciones</w:t>
            </w:r>
          </w:p>
        </w:tc>
        <w:tc>
          <w:tcPr>
            <w:tcW w:w="19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32D001F" w14:textId="77777777" w:rsidR="00BA1871" w:rsidRDefault="00BA1871" w:rsidP="00324A31">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1,817,352</w:t>
            </w:r>
          </w:p>
        </w:tc>
      </w:tr>
      <w:tr w:rsidR="00BA1871" w14:paraId="651BB348" w14:textId="77777777" w:rsidTr="00324A31">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58BA137" w14:textId="77777777" w:rsidR="00BA1871" w:rsidRDefault="00BA1871" w:rsidP="00324A31">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6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B48A2D" w14:textId="77777777" w:rsidR="00BA1871" w:rsidRDefault="00BA1871" w:rsidP="00324A31">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w:t>
            </w:r>
          </w:p>
        </w:tc>
        <w:tc>
          <w:tcPr>
            <w:tcW w:w="19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125E053" w14:textId="77777777" w:rsidR="00BA1871" w:rsidRDefault="00BA1871" w:rsidP="00324A31">
            <w:pPr>
              <w:pStyle w:val="Standard"/>
              <w:widowControl w:val="0"/>
              <w:spacing w:after="0" w:line="240" w:lineRule="auto"/>
              <w:jc w:val="right"/>
              <w:rPr>
                <w:rFonts w:eastAsia="Times New Roman" w:cs="DIN Pro Regular"/>
                <w:color w:val="000000"/>
                <w:sz w:val="20"/>
                <w:szCs w:val="20"/>
                <w:lang w:eastAsia="es-MX"/>
              </w:rPr>
            </w:pPr>
          </w:p>
        </w:tc>
      </w:tr>
      <w:tr w:rsidR="00BA1871" w14:paraId="11FA7AB2" w14:textId="77777777" w:rsidTr="00324A31">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2B9B6E8" w14:textId="77777777" w:rsidR="00BA1871" w:rsidRDefault="00BA1871" w:rsidP="00324A31">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6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9AAD5BF" w14:textId="77777777" w:rsidR="00BA1871" w:rsidRDefault="00BA1871" w:rsidP="00324A31">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 Inventarios</w:t>
            </w:r>
          </w:p>
        </w:tc>
        <w:tc>
          <w:tcPr>
            <w:tcW w:w="19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D6D6C8" w14:textId="77777777" w:rsidR="00BA1871" w:rsidRDefault="00BA1871" w:rsidP="00324A31">
            <w:pPr>
              <w:pStyle w:val="Standard"/>
              <w:widowControl w:val="0"/>
              <w:spacing w:after="0" w:line="240" w:lineRule="auto"/>
              <w:jc w:val="right"/>
              <w:rPr>
                <w:rFonts w:eastAsia="Times New Roman" w:cs="DIN Pro Regular"/>
                <w:color w:val="000000"/>
                <w:sz w:val="20"/>
                <w:szCs w:val="20"/>
                <w:lang w:eastAsia="es-MX"/>
              </w:rPr>
            </w:pPr>
          </w:p>
        </w:tc>
      </w:tr>
      <w:tr w:rsidR="00BA1871" w14:paraId="4C928F01" w14:textId="77777777" w:rsidTr="00324A31">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141AF71" w14:textId="77777777" w:rsidR="00BA1871" w:rsidRDefault="00BA1871" w:rsidP="00324A31">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3.4</w:t>
            </w:r>
          </w:p>
        </w:tc>
        <w:tc>
          <w:tcPr>
            <w:tcW w:w="6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FF46567" w14:textId="77777777" w:rsidR="00BA1871" w:rsidRDefault="00BA1871" w:rsidP="00324A31">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w:t>
            </w:r>
          </w:p>
        </w:tc>
        <w:tc>
          <w:tcPr>
            <w:tcW w:w="19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DE31B13" w14:textId="77777777" w:rsidR="00BA1871" w:rsidRDefault="00BA1871" w:rsidP="00324A31">
            <w:pPr>
              <w:pStyle w:val="Standard"/>
              <w:widowControl w:val="0"/>
              <w:spacing w:after="0" w:line="240" w:lineRule="auto"/>
              <w:jc w:val="right"/>
              <w:rPr>
                <w:rFonts w:eastAsia="Times New Roman" w:cs="DIN Pro Regular"/>
                <w:color w:val="000000"/>
                <w:sz w:val="20"/>
                <w:szCs w:val="20"/>
                <w:lang w:eastAsia="es-MX"/>
              </w:rPr>
            </w:pPr>
          </w:p>
        </w:tc>
      </w:tr>
      <w:tr w:rsidR="00BA1871" w14:paraId="12189521" w14:textId="77777777" w:rsidTr="00324A31">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D84F0CE" w14:textId="77777777" w:rsidR="00BA1871" w:rsidRDefault="00BA1871" w:rsidP="00324A31">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3.5</w:t>
            </w:r>
          </w:p>
        </w:tc>
        <w:tc>
          <w:tcPr>
            <w:tcW w:w="6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016E7B3" w14:textId="77777777" w:rsidR="00BA1871" w:rsidRDefault="00BA1871" w:rsidP="00324A31">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Inversión Pública No Capitalizable</w:t>
            </w:r>
          </w:p>
        </w:tc>
        <w:tc>
          <w:tcPr>
            <w:tcW w:w="19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9C3A833" w14:textId="77777777" w:rsidR="00BA1871" w:rsidRDefault="00BA1871" w:rsidP="00324A31">
            <w:pPr>
              <w:pStyle w:val="Standard"/>
              <w:widowControl w:val="0"/>
              <w:spacing w:after="0" w:line="240" w:lineRule="auto"/>
              <w:jc w:val="right"/>
              <w:rPr>
                <w:rFonts w:eastAsia="Times New Roman" w:cs="DIN Pro Regular"/>
                <w:color w:val="000000"/>
                <w:sz w:val="20"/>
                <w:szCs w:val="20"/>
                <w:lang w:eastAsia="es-MX"/>
              </w:rPr>
            </w:pPr>
          </w:p>
        </w:tc>
      </w:tr>
      <w:tr w:rsidR="00BA1871" w14:paraId="28EF8F22" w14:textId="77777777" w:rsidTr="00324A31">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41DDC58" w14:textId="77777777" w:rsidR="00BA1871" w:rsidRDefault="00BA1871" w:rsidP="00324A31">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3.6</w:t>
            </w:r>
          </w:p>
        </w:tc>
        <w:tc>
          <w:tcPr>
            <w:tcW w:w="6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9AEF24" w14:textId="77777777" w:rsidR="00BA1871" w:rsidRDefault="00BA1871" w:rsidP="00324A31">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 (consumos)</w:t>
            </w:r>
          </w:p>
        </w:tc>
        <w:tc>
          <w:tcPr>
            <w:tcW w:w="19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AD50362" w14:textId="77777777" w:rsidR="00BA1871" w:rsidRDefault="00BA1871" w:rsidP="00324A31">
            <w:pPr>
              <w:pStyle w:val="Standard"/>
              <w:widowControl w:val="0"/>
              <w:spacing w:after="0" w:line="240" w:lineRule="auto"/>
              <w:jc w:val="right"/>
              <w:rPr>
                <w:rFonts w:eastAsia="Times New Roman" w:cs="DIN Pro Regular"/>
                <w:color w:val="000000"/>
                <w:sz w:val="20"/>
                <w:szCs w:val="20"/>
                <w:lang w:eastAsia="es-MX"/>
              </w:rPr>
            </w:pPr>
          </w:p>
        </w:tc>
      </w:tr>
      <w:tr w:rsidR="00BA1871" w14:paraId="59016BB6" w14:textId="77777777" w:rsidTr="00324A31">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952DE9A" w14:textId="77777777" w:rsidR="00BA1871" w:rsidRDefault="00BA1871" w:rsidP="00324A31">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3.7</w:t>
            </w:r>
          </w:p>
        </w:tc>
        <w:tc>
          <w:tcPr>
            <w:tcW w:w="6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B3265DA" w14:textId="77777777" w:rsidR="00BA1871" w:rsidRDefault="00BA1871" w:rsidP="00324A31">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 Contables No Presupuestarios</w:t>
            </w:r>
          </w:p>
        </w:tc>
        <w:tc>
          <w:tcPr>
            <w:tcW w:w="19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77A46F7" w14:textId="77777777" w:rsidR="00BA1871" w:rsidRDefault="00BA1871" w:rsidP="00324A31">
            <w:pPr>
              <w:pStyle w:val="Standard"/>
              <w:widowControl w:val="0"/>
              <w:spacing w:after="0" w:line="240" w:lineRule="auto"/>
              <w:jc w:val="right"/>
              <w:rPr>
                <w:rFonts w:eastAsia="Times New Roman" w:cs="DIN Pro Regular"/>
                <w:color w:val="000000"/>
                <w:sz w:val="20"/>
                <w:szCs w:val="20"/>
                <w:lang w:eastAsia="es-MX"/>
              </w:rPr>
            </w:pPr>
          </w:p>
        </w:tc>
      </w:tr>
      <w:tr w:rsidR="00BA1871" w14:paraId="5693A831" w14:textId="77777777" w:rsidTr="00324A31">
        <w:tblPrEx>
          <w:tblCellMar>
            <w:top w:w="0" w:type="dxa"/>
            <w:bottom w:w="0" w:type="dxa"/>
          </w:tblCellMar>
        </w:tblPrEx>
        <w:trPr>
          <w:trHeight w:hRule="exact" w:val="90"/>
        </w:trPr>
        <w:tc>
          <w:tcPr>
            <w:tcW w:w="954" w:type="dxa"/>
            <w:shd w:val="clear" w:color="auto" w:fill="auto"/>
            <w:tcMar>
              <w:top w:w="0" w:type="dxa"/>
              <w:left w:w="70" w:type="dxa"/>
              <w:bottom w:w="0" w:type="dxa"/>
              <w:right w:w="70" w:type="dxa"/>
            </w:tcMar>
            <w:vAlign w:val="bottom"/>
          </w:tcPr>
          <w:p w14:paraId="268E1A3B" w14:textId="77777777" w:rsidR="00BA1871" w:rsidRDefault="00BA1871" w:rsidP="00324A31">
            <w:pPr>
              <w:pStyle w:val="Standard"/>
              <w:widowControl w:val="0"/>
              <w:spacing w:after="0" w:line="240" w:lineRule="auto"/>
              <w:rPr>
                <w:rFonts w:eastAsia="Times New Roman" w:cs="DIN Pro Regular"/>
                <w:color w:val="000000"/>
                <w:sz w:val="20"/>
                <w:szCs w:val="20"/>
                <w:lang w:eastAsia="es-MX"/>
              </w:rPr>
            </w:pPr>
          </w:p>
        </w:tc>
        <w:tc>
          <w:tcPr>
            <w:tcW w:w="6843" w:type="dxa"/>
            <w:shd w:val="clear" w:color="auto" w:fill="auto"/>
            <w:tcMar>
              <w:top w:w="0" w:type="dxa"/>
              <w:left w:w="70" w:type="dxa"/>
              <w:bottom w:w="0" w:type="dxa"/>
              <w:right w:w="70" w:type="dxa"/>
            </w:tcMar>
            <w:vAlign w:val="bottom"/>
          </w:tcPr>
          <w:p w14:paraId="34911F9A" w14:textId="77777777" w:rsidR="00BA1871" w:rsidRDefault="00BA1871" w:rsidP="00324A31">
            <w:pPr>
              <w:pStyle w:val="Standard"/>
              <w:widowControl w:val="0"/>
              <w:spacing w:after="0" w:line="240" w:lineRule="auto"/>
              <w:rPr>
                <w:rFonts w:eastAsia="Times New Roman" w:cs="DIN Pro Regular"/>
                <w:color w:val="000000"/>
                <w:sz w:val="20"/>
                <w:szCs w:val="20"/>
                <w:lang w:eastAsia="es-MX"/>
              </w:rPr>
            </w:pPr>
          </w:p>
        </w:tc>
        <w:tc>
          <w:tcPr>
            <w:tcW w:w="1943" w:type="dxa"/>
            <w:tcBorders>
              <w:bottom w:val="single" w:sz="4" w:space="0" w:color="000000"/>
            </w:tcBorders>
            <w:shd w:val="clear" w:color="auto" w:fill="auto"/>
            <w:tcMar>
              <w:top w:w="0" w:type="dxa"/>
              <w:left w:w="70" w:type="dxa"/>
              <w:bottom w:w="0" w:type="dxa"/>
              <w:right w:w="70" w:type="dxa"/>
            </w:tcMar>
            <w:vAlign w:val="bottom"/>
          </w:tcPr>
          <w:p w14:paraId="3E762C70" w14:textId="77777777" w:rsidR="00BA1871" w:rsidRDefault="00BA1871" w:rsidP="00324A31">
            <w:pPr>
              <w:pStyle w:val="Standard"/>
              <w:widowControl w:val="0"/>
              <w:spacing w:after="0" w:line="240" w:lineRule="auto"/>
              <w:jc w:val="right"/>
              <w:rPr>
                <w:rFonts w:eastAsia="Times New Roman" w:cs="DIN Pro Regular"/>
                <w:color w:val="000000"/>
                <w:sz w:val="20"/>
                <w:szCs w:val="20"/>
                <w:lang w:eastAsia="es-MX"/>
              </w:rPr>
            </w:pPr>
          </w:p>
        </w:tc>
      </w:tr>
      <w:tr w:rsidR="00BA1871" w14:paraId="01A2368C" w14:textId="77777777" w:rsidTr="00324A31">
        <w:tblPrEx>
          <w:tblCellMar>
            <w:top w:w="0" w:type="dxa"/>
            <w:bottom w:w="0" w:type="dxa"/>
          </w:tblCellMar>
        </w:tblPrEx>
        <w:trPr>
          <w:trHeight w:val="300"/>
        </w:trPr>
        <w:tc>
          <w:tcPr>
            <w:tcW w:w="7797" w:type="dxa"/>
            <w:gridSpan w:val="2"/>
            <w:tcBorders>
              <w:top w:val="single" w:sz="4" w:space="0" w:color="000000"/>
              <w:left w:val="single" w:sz="4" w:space="0" w:color="000000"/>
              <w:bottom w:val="single" w:sz="4" w:space="0" w:color="000000"/>
            </w:tcBorders>
            <w:shd w:val="clear" w:color="auto" w:fill="AB0033"/>
            <w:tcMar>
              <w:top w:w="0" w:type="dxa"/>
              <w:left w:w="70" w:type="dxa"/>
              <w:bottom w:w="0" w:type="dxa"/>
              <w:right w:w="70" w:type="dxa"/>
            </w:tcMar>
            <w:vAlign w:val="bottom"/>
          </w:tcPr>
          <w:p w14:paraId="79A84207" w14:textId="77777777" w:rsidR="00BA1871" w:rsidRDefault="00BA1871" w:rsidP="00324A31">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4. Total de Gastos Contables</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6FA0BC4" w14:textId="77777777" w:rsidR="00BA1871" w:rsidRDefault="00BA1871" w:rsidP="00324A31">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149,846,642</w:t>
            </w:r>
          </w:p>
        </w:tc>
      </w:tr>
    </w:tbl>
    <w:p w14:paraId="47135241" w14:textId="77777777" w:rsidR="00BA1871" w:rsidRDefault="00BA1871" w:rsidP="00BA1871">
      <w:pPr>
        <w:pStyle w:val="INCISO"/>
        <w:spacing w:after="0" w:line="240" w:lineRule="exact"/>
        <w:ind w:left="360"/>
        <w:rPr>
          <w:rFonts w:ascii="Calibri" w:hAnsi="Calibri" w:cs="DIN Pro Regular"/>
          <w:b/>
          <w:smallCaps/>
          <w:sz w:val="20"/>
          <w:szCs w:val="20"/>
        </w:rPr>
      </w:pPr>
    </w:p>
    <w:p w14:paraId="4B4766B3" w14:textId="77777777" w:rsidR="00BA1871" w:rsidRDefault="00BA1871" w:rsidP="00BA1871">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0D3BB33A" w14:textId="77777777" w:rsidR="00BA1871" w:rsidRDefault="00BA1871" w:rsidP="00BA1871">
      <w:pPr>
        <w:pStyle w:val="Text"/>
        <w:spacing w:after="0" w:line="240" w:lineRule="exact"/>
        <w:ind w:firstLine="0"/>
        <w:rPr>
          <w:rFonts w:ascii="Calibri" w:hAnsi="Calibri" w:cs="DIN Pro Regular"/>
          <w:b/>
          <w:smallCaps/>
          <w:sz w:val="20"/>
        </w:rPr>
      </w:pPr>
    </w:p>
    <w:p w14:paraId="6CF1604D" w14:textId="01CBE50B" w:rsidR="00BA1871" w:rsidRDefault="00BA1871">
      <w:pPr>
        <w:widowControl/>
        <w:suppressAutoHyphens w:val="0"/>
        <w:autoSpaceDN/>
        <w:spacing w:after="160" w:line="259" w:lineRule="auto"/>
        <w:textAlignment w:val="auto"/>
        <w:rPr>
          <w:rFonts w:eastAsia="Times New Roman" w:cs="DIN Pro Regular"/>
          <w:lang w:eastAsia="es-ES"/>
        </w:rPr>
      </w:pPr>
      <w:r>
        <w:rPr>
          <w:rFonts w:cs="DIN Pro Regular"/>
        </w:rPr>
        <w:br w:type="page"/>
      </w:r>
    </w:p>
    <w:p w14:paraId="061E9B56" w14:textId="77777777" w:rsidR="00BA1871" w:rsidRDefault="00BA1871" w:rsidP="00BA1871">
      <w:pPr>
        <w:pStyle w:val="Text"/>
        <w:spacing w:after="0" w:line="240" w:lineRule="exact"/>
        <w:ind w:firstLine="0"/>
        <w:rPr>
          <w:rFonts w:ascii="Calibri" w:hAnsi="Calibri" w:cs="DIN Pro Regular"/>
          <w:b/>
          <w:smallCaps/>
          <w:sz w:val="20"/>
          <w:lang w:val="es-MX"/>
        </w:rPr>
      </w:pPr>
    </w:p>
    <w:p w14:paraId="03085413" w14:textId="77777777" w:rsidR="00BA1871" w:rsidRDefault="00BA1871" w:rsidP="00BA1871">
      <w:pPr>
        <w:pStyle w:val="Text"/>
        <w:spacing w:after="0" w:line="240" w:lineRule="exact"/>
        <w:jc w:val="center"/>
      </w:pPr>
      <w:r>
        <w:rPr>
          <w:rFonts w:ascii="Calibri" w:hAnsi="Calibri" w:cs="DIN Pro Regular"/>
          <w:b/>
          <w:sz w:val="24"/>
          <w:szCs w:val="24"/>
        </w:rPr>
        <w:t>Cuenta Pública 2024</w:t>
      </w:r>
    </w:p>
    <w:p w14:paraId="718E182B" w14:textId="77777777" w:rsidR="00BA1871" w:rsidRDefault="00BA1871" w:rsidP="00BA1871">
      <w:pPr>
        <w:pStyle w:val="Text"/>
        <w:spacing w:after="0" w:line="240" w:lineRule="exact"/>
        <w:jc w:val="center"/>
      </w:pPr>
      <w:r>
        <w:rPr>
          <w:rFonts w:ascii="Calibri" w:hAnsi="Calibri" w:cs="DIN Pro Regular"/>
          <w:b/>
          <w:sz w:val="24"/>
          <w:szCs w:val="24"/>
        </w:rPr>
        <w:t>Notas a los Estados Financieros</w:t>
      </w:r>
    </w:p>
    <w:p w14:paraId="73421D76" w14:textId="77777777" w:rsidR="00BA1871" w:rsidRDefault="00BA1871" w:rsidP="00BA1871">
      <w:pPr>
        <w:pStyle w:val="Text"/>
        <w:spacing w:after="0" w:line="240" w:lineRule="exact"/>
        <w:ind w:firstLine="0"/>
        <w:jc w:val="center"/>
      </w:pPr>
      <w:r>
        <w:rPr>
          <w:rFonts w:ascii="Calibri" w:hAnsi="Calibri" w:cs="DIN Pro Regular"/>
          <w:b/>
          <w:sz w:val="24"/>
          <w:szCs w:val="24"/>
        </w:rPr>
        <w:t>c)</w:t>
      </w:r>
      <w:r>
        <w:rPr>
          <w:rFonts w:ascii="Calibri" w:hAnsi="Calibri" w:cs="DIN Pro Regular"/>
          <w:sz w:val="24"/>
          <w:szCs w:val="24"/>
        </w:rPr>
        <w:t xml:space="preserve"> </w:t>
      </w:r>
      <w:r>
        <w:rPr>
          <w:rFonts w:ascii="Calibri" w:hAnsi="Calibri" w:cs="DIN Pro Regular"/>
          <w:b/>
          <w:sz w:val="24"/>
          <w:szCs w:val="24"/>
          <w:lang w:val="es-MX"/>
        </w:rPr>
        <w:t>NOTAS DE MEMORIA (Cuentas de Orden)</w:t>
      </w:r>
    </w:p>
    <w:p w14:paraId="4A7121BE" w14:textId="77777777" w:rsidR="00BA1871" w:rsidRDefault="00BA1871" w:rsidP="00BA1871">
      <w:pPr>
        <w:pStyle w:val="Text"/>
        <w:spacing w:after="0" w:line="240" w:lineRule="exact"/>
        <w:rPr>
          <w:rFonts w:ascii="Calibri" w:hAnsi="Calibri" w:cs="DIN Pro Regular"/>
          <w:sz w:val="20"/>
          <w:lang w:val="es-MX"/>
        </w:rPr>
      </w:pPr>
    </w:p>
    <w:p w14:paraId="712842D2" w14:textId="77777777" w:rsidR="00BA1871" w:rsidRDefault="00BA1871" w:rsidP="00BA1871">
      <w:pPr>
        <w:pStyle w:val="Text"/>
        <w:spacing w:after="0" w:line="240" w:lineRule="exact"/>
      </w:pPr>
      <w:r>
        <w:rPr>
          <w:rFonts w:ascii="Calibri" w:hAnsi="Calibri" w:cs="DIN Pro Regular"/>
          <w:b/>
          <w:sz w:val="22"/>
          <w:szCs w:val="22"/>
        </w:rPr>
        <w:t>Cuentas de Orden Contables y Presupuestarias:</w:t>
      </w:r>
    </w:p>
    <w:p w14:paraId="30987976" w14:textId="77777777" w:rsidR="00BA1871" w:rsidRDefault="00BA1871" w:rsidP="00BA1871">
      <w:pPr>
        <w:pStyle w:val="Text"/>
        <w:spacing w:after="0" w:line="240" w:lineRule="exact"/>
        <w:rPr>
          <w:rFonts w:ascii="Calibri" w:hAnsi="Calibri" w:cs="DIN Pro Regular"/>
          <w:b/>
          <w:sz w:val="22"/>
          <w:szCs w:val="22"/>
        </w:rPr>
      </w:pPr>
    </w:p>
    <w:p w14:paraId="6478716B" w14:textId="77777777" w:rsidR="00BA1871" w:rsidRDefault="00BA1871" w:rsidP="00BA1871">
      <w:pPr>
        <w:pStyle w:val="Text"/>
        <w:spacing w:after="0" w:line="240" w:lineRule="exact"/>
        <w:ind w:left="2160" w:hanging="540"/>
        <w:rPr>
          <w:rFonts w:ascii="Calibri" w:hAnsi="Calibri" w:cs="DIN Pro Regular"/>
          <w:b/>
          <w:sz w:val="22"/>
          <w:szCs w:val="22"/>
        </w:rPr>
      </w:pPr>
      <w:r>
        <w:rPr>
          <w:rFonts w:ascii="Calibri" w:hAnsi="Calibri" w:cs="DIN Pro Regular"/>
          <w:b/>
          <w:sz w:val="22"/>
          <w:szCs w:val="22"/>
        </w:rPr>
        <w:t>Contables:</w:t>
      </w:r>
    </w:p>
    <w:p w14:paraId="7BA3EFA2" w14:textId="77777777" w:rsidR="00BA1871" w:rsidRDefault="00BA1871" w:rsidP="00BA1871">
      <w:pPr>
        <w:pStyle w:val="Text"/>
        <w:spacing w:after="0" w:line="240" w:lineRule="exact"/>
        <w:ind w:left="2160" w:hanging="540"/>
      </w:pPr>
    </w:p>
    <w:p w14:paraId="5B2D0AEB" w14:textId="77777777" w:rsidR="00BA1871" w:rsidRDefault="00BA1871" w:rsidP="00BA1871">
      <w:pPr>
        <w:pStyle w:val="Text"/>
        <w:spacing w:line="240" w:lineRule="exact"/>
        <w:ind w:firstLine="0"/>
        <w:rPr>
          <w:rFonts w:ascii="Calibri" w:hAnsi="Calibri" w:cs="DIN Pro Regular"/>
          <w:sz w:val="20"/>
        </w:rPr>
      </w:pPr>
      <w:r>
        <w:rPr>
          <w:rFonts w:ascii="Calibri" w:hAnsi="Calibri" w:cs="DIN Pro Regular"/>
          <w:sz w:val="20"/>
        </w:rPr>
        <w:t>De acuerdo con el Plan de Cuentas que forma parte del Manual de Contabilidad emitido por el Consejo Nacional de Armonización Contable (CONAC), las Cuentas de Orden Presupuestarias representan el importe de las operaciones presupuestarias que afectan la Ley de Ingresos y el Presupuesto de Egresos.</w:t>
      </w:r>
    </w:p>
    <w:p w14:paraId="6A08B6F4" w14:textId="77777777" w:rsidR="00BA1871" w:rsidRDefault="00BA1871" w:rsidP="00BA1871">
      <w:pPr>
        <w:pStyle w:val="Text"/>
        <w:spacing w:line="240" w:lineRule="exact"/>
        <w:ind w:firstLine="0"/>
        <w:rPr>
          <w:rFonts w:ascii="Calibri" w:hAnsi="Calibri" w:cs="DIN Pro Regular"/>
          <w:sz w:val="20"/>
        </w:rPr>
      </w:pPr>
    </w:p>
    <w:p w14:paraId="6B5FA9D2" w14:textId="77777777" w:rsidR="00BA1871" w:rsidRDefault="00BA1871" w:rsidP="00BA1871">
      <w:pPr>
        <w:pStyle w:val="Text"/>
        <w:spacing w:after="0" w:line="240" w:lineRule="exact"/>
        <w:ind w:firstLine="0"/>
        <w:rPr>
          <w:rFonts w:ascii="Calibri" w:hAnsi="Calibri" w:cs="DIN Pro Regular"/>
          <w:sz w:val="20"/>
        </w:rPr>
      </w:pPr>
      <w:r>
        <w:rPr>
          <w:rFonts w:ascii="Calibri" w:hAnsi="Calibri" w:cs="DIN Pro Regular"/>
          <w:sz w:val="20"/>
        </w:rPr>
        <w:tab/>
      </w:r>
      <w:r>
        <w:rPr>
          <w:rFonts w:ascii="Calibri" w:hAnsi="Calibri" w:cs="DIN Pro Regular"/>
          <w:sz w:val="20"/>
        </w:rPr>
        <w:tab/>
      </w:r>
      <w:r>
        <w:rPr>
          <w:rFonts w:ascii="Calibri" w:hAnsi="Calibri" w:cs="DIN Pro Regular"/>
          <w:sz w:val="20"/>
        </w:rPr>
        <w:tab/>
        <w:t>Valores (NO APLICA)</w:t>
      </w:r>
    </w:p>
    <w:p w14:paraId="5002CECE" w14:textId="77777777" w:rsidR="00BA1871" w:rsidRDefault="00BA1871" w:rsidP="00BA1871">
      <w:pPr>
        <w:pStyle w:val="Text"/>
        <w:spacing w:after="0" w:line="240" w:lineRule="exact"/>
        <w:ind w:firstLine="0"/>
        <w:rPr>
          <w:rFonts w:ascii="Calibri" w:hAnsi="Calibri" w:cs="DIN Pro Regular"/>
          <w:sz w:val="20"/>
        </w:rPr>
      </w:pPr>
    </w:p>
    <w:p w14:paraId="16C495DF" w14:textId="77777777" w:rsidR="00BA1871" w:rsidRDefault="00BA1871" w:rsidP="00BA1871">
      <w:pPr>
        <w:pStyle w:val="Text"/>
        <w:spacing w:after="0" w:line="240" w:lineRule="exact"/>
        <w:ind w:firstLine="0"/>
        <w:rPr>
          <w:rFonts w:ascii="Calibri" w:hAnsi="Calibri" w:cs="DIN Pro Regular"/>
          <w:sz w:val="20"/>
        </w:rPr>
      </w:pPr>
      <w:r>
        <w:rPr>
          <w:rFonts w:ascii="Calibri" w:hAnsi="Calibri" w:cs="DIN Pro Regular"/>
          <w:sz w:val="20"/>
        </w:rPr>
        <w:tab/>
      </w:r>
      <w:r>
        <w:rPr>
          <w:rFonts w:ascii="Calibri" w:hAnsi="Calibri" w:cs="DIN Pro Regular"/>
          <w:sz w:val="20"/>
        </w:rPr>
        <w:tab/>
      </w:r>
      <w:r>
        <w:rPr>
          <w:rFonts w:ascii="Calibri" w:hAnsi="Calibri" w:cs="DIN Pro Regular"/>
          <w:sz w:val="20"/>
        </w:rPr>
        <w:tab/>
        <w:t>Emisión de obligaciones (NO APLICA)</w:t>
      </w:r>
    </w:p>
    <w:p w14:paraId="0EB6481C" w14:textId="77777777" w:rsidR="00BA1871" w:rsidRDefault="00BA1871" w:rsidP="00BA1871">
      <w:pPr>
        <w:pStyle w:val="Text"/>
        <w:spacing w:after="0" w:line="240" w:lineRule="exact"/>
        <w:ind w:firstLine="0"/>
        <w:rPr>
          <w:rFonts w:ascii="Calibri" w:hAnsi="Calibri" w:cs="DIN Pro Regular"/>
          <w:sz w:val="20"/>
        </w:rPr>
      </w:pPr>
    </w:p>
    <w:p w14:paraId="01F90137" w14:textId="77777777" w:rsidR="00BA1871" w:rsidRDefault="00BA1871" w:rsidP="00BA1871">
      <w:pPr>
        <w:pStyle w:val="Text"/>
        <w:spacing w:after="0" w:line="240" w:lineRule="exact"/>
        <w:ind w:firstLine="0"/>
        <w:rPr>
          <w:rFonts w:ascii="Calibri" w:hAnsi="Calibri" w:cs="DIN Pro Regular"/>
          <w:sz w:val="20"/>
        </w:rPr>
      </w:pPr>
      <w:r>
        <w:rPr>
          <w:rFonts w:ascii="Calibri" w:hAnsi="Calibri" w:cs="DIN Pro Regular"/>
          <w:sz w:val="20"/>
        </w:rPr>
        <w:tab/>
      </w:r>
      <w:r>
        <w:rPr>
          <w:rFonts w:ascii="Calibri" w:hAnsi="Calibri" w:cs="DIN Pro Regular"/>
          <w:sz w:val="20"/>
        </w:rPr>
        <w:tab/>
      </w:r>
      <w:r>
        <w:rPr>
          <w:rFonts w:ascii="Calibri" w:hAnsi="Calibri" w:cs="DIN Pro Regular"/>
          <w:sz w:val="20"/>
        </w:rPr>
        <w:tab/>
        <w:t>Avales y garantías (NO APLICA)</w:t>
      </w:r>
    </w:p>
    <w:p w14:paraId="48B04072" w14:textId="77777777" w:rsidR="00BA1871" w:rsidRDefault="00BA1871" w:rsidP="00BA1871">
      <w:pPr>
        <w:pStyle w:val="Text"/>
        <w:spacing w:after="0" w:line="240" w:lineRule="exact"/>
        <w:ind w:firstLine="0"/>
        <w:rPr>
          <w:rFonts w:ascii="Calibri" w:hAnsi="Calibri" w:cs="DIN Pro Regular"/>
          <w:sz w:val="20"/>
        </w:rPr>
      </w:pPr>
    </w:p>
    <w:p w14:paraId="2CA5285D" w14:textId="77777777" w:rsidR="00BA1871" w:rsidRDefault="00BA1871" w:rsidP="00BA1871">
      <w:pPr>
        <w:pStyle w:val="Text"/>
        <w:spacing w:after="0" w:line="240" w:lineRule="exact"/>
        <w:ind w:firstLine="0"/>
        <w:rPr>
          <w:rFonts w:ascii="Calibri" w:hAnsi="Calibri" w:cs="DIN Pro Regular"/>
          <w:sz w:val="20"/>
        </w:rPr>
      </w:pPr>
      <w:r>
        <w:rPr>
          <w:rFonts w:ascii="Calibri" w:hAnsi="Calibri" w:cs="DIN Pro Regular"/>
          <w:sz w:val="20"/>
        </w:rPr>
        <w:tab/>
      </w:r>
      <w:r>
        <w:rPr>
          <w:rFonts w:ascii="Calibri" w:hAnsi="Calibri" w:cs="DIN Pro Regular"/>
          <w:sz w:val="20"/>
        </w:rPr>
        <w:tab/>
      </w:r>
      <w:r>
        <w:rPr>
          <w:rFonts w:ascii="Calibri" w:hAnsi="Calibri" w:cs="DIN Pro Regular"/>
          <w:sz w:val="20"/>
        </w:rPr>
        <w:tab/>
        <w:t>Juicios (NO APLICA)</w:t>
      </w:r>
    </w:p>
    <w:p w14:paraId="570A452F" w14:textId="77777777" w:rsidR="00BA1871" w:rsidRDefault="00BA1871" w:rsidP="00BA1871">
      <w:pPr>
        <w:pStyle w:val="Text"/>
        <w:spacing w:after="0" w:line="240" w:lineRule="exact"/>
        <w:ind w:left="2160" w:hanging="540"/>
        <w:rPr>
          <w:rFonts w:ascii="Calibri" w:hAnsi="Calibri" w:cs="DIN Pro Regular"/>
          <w:b/>
          <w:sz w:val="22"/>
          <w:szCs w:val="22"/>
        </w:rPr>
      </w:pPr>
    </w:p>
    <w:p w14:paraId="400D0E44" w14:textId="77777777" w:rsidR="00BA1871" w:rsidRDefault="00BA1871" w:rsidP="00BA1871">
      <w:pPr>
        <w:pStyle w:val="Text"/>
        <w:spacing w:after="0" w:line="240" w:lineRule="exact"/>
        <w:ind w:left="2160" w:hanging="540"/>
        <w:rPr>
          <w:rFonts w:ascii="Calibri" w:hAnsi="Calibri" w:cs="DIN Pro Regular"/>
          <w:b/>
          <w:sz w:val="22"/>
          <w:szCs w:val="22"/>
        </w:rPr>
      </w:pPr>
      <w:r>
        <w:rPr>
          <w:rFonts w:ascii="Calibri" w:hAnsi="Calibri" w:cs="DIN Pro Regular"/>
          <w:b/>
          <w:sz w:val="22"/>
          <w:szCs w:val="22"/>
        </w:rPr>
        <w:t>Presupuestarias:</w:t>
      </w:r>
    </w:p>
    <w:p w14:paraId="4FE919A6" w14:textId="77777777" w:rsidR="00BA1871" w:rsidRDefault="00BA1871" w:rsidP="00BA1871">
      <w:pPr>
        <w:pStyle w:val="Text"/>
        <w:spacing w:after="0" w:line="240" w:lineRule="exact"/>
        <w:ind w:left="2160" w:hanging="540"/>
        <w:rPr>
          <w:rFonts w:ascii="Calibri" w:hAnsi="Calibri" w:cs="DIN Pro Regular"/>
          <w:b/>
          <w:sz w:val="22"/>
          <w:szCs w:val="22"/>
        </w:rPr>
      </w:pPr>
    </w:p>
    <w:p w14:paraId="3C89D211" w14:textId="77777777" w:rsidR="00BA1871" w:rsidRDefault="00BA1871" w:rsidP="00BA1871">
      <w:pPr>
        <w:pStyle w:val="Text"/>
        <w:spacing w:line="240" w:lineRule="exact"/>
        <w:ind w:left="540" w:firstLine="0"/>
        <w:rPr>
          <w:rFonts w:ascii="Calibri" w:hAnsi="Calibri" w:cs="Calibri"/>
          <w:b/>
          <w:bCs/>
        </w:rPr>
      </w:pPr>
      <w:r>
        <w:rPr>
          <w:rFonts w:ascii="Calibri" w:hAnsi="Calibri" w:cs="Calibri"/>
          <w:b/>
          <w:bCs/>
        </w:rPr>
        <w:t>Cuentas de ingresos</w:t>
      </w:r>
    </w:p>
    <w:p w14:paraId="0E4CAB13" w14:textId="77777777" w:rsidR="00BA1871" w:rsidRDefault="00BA1871" w:rsidP="00BA1871">
      <w:pPr>
        <w:pStyle w:val="Text"/>
        <w:spacing w:line="240" w:lineRule="exact"/>
        <w:ind w:left="540" w:firstLine="0"/>
        <w:rPr>
          <w:rFonts w:ascii="Calibri" w:hAnsi="Calibri" w:cs="Calibri"/>
          <w:b/>
          <w:bCs/>
        </w:rPr>
      </w:pPr>
    </w:p>
    <w:p w14:paraId="2E4BA3A9" w14:textId="77777777" w:rsidR="00BA1871" w:rsidRDefault="00BA1871" w:rsidP="00BA1871">
      <w:pPr>
        <w:pStyle w:val="Text"/>
        <w:spacing w:line="240" w:lineRule="exact"/>
        <w:ind w:firstLine="0"/>
        <w:rPr>
          <w:rFonts w:ascii="Calibri" w:hAnsi="Calibri" w:cs="Calibri"/>
        </w:rPr>
      </w:pPr>
      <w:r>
        <w:rPr>
          <w:rFonts w:ascii="Calibri" w:hAnsi="Calibri" w:cs="Calibri"/>
        </w:rPr>
        <w:t>En cumplimiento a lo estipulado en la fracción II del artículo 38 de la Ley General de Contabilidad Gubernamental, el registro de las etapas se efectuará en las cuentas contables las cuales deberán reflejar en lo relativo al ingreso, el estimado, modificado, devengado y recaudado.</w:t>
      </w:r>
    </w:p>
    <w:p w14:paraId="26D2673C" w14:textId="77777777" w:rsidR="00BA1871" w:rsidRDefault="00BA1871" w:rsidP="00BA1871">
      <w:pPr>
        <w:pStyle w:val="Text"/>
        <w:spacing w:after="0" w:line="240" w:lineRule="exact"/>
        <w:ind w:firstLine="0"/>
        <w:rPr>
          <w:rFonts w:ascii="Calibri" w:hAnsi="Calibri" w:cs="Calibri"/>
        </w:rPr>
      </w:pPr>
      <w:r>
        <w:rPr>
          <w:rFonts w:ascii="Calibri" w:hAnsi="Calibri" w:cs="Calibri"/>
        </w:rPr>
        <w:t>Los movimientos aplicados a dichos momentos contables aparecen reflejados en el apartado de Información Presupuestaria de este documento.</w:t>
      </w:r>
    </w:p>
    <w:p w14:paraId="70CF1E4B" w14:textId="77777777" w:rsidR="00BA1871" w:rsidRDefault="00BA1871" w:rsidP="00BA1871">
      <w:pPr>
        <w:pStyle w:val="Text"/>
        <w:spacing w:after="0" w:line="240" w:lineRule="exact"/>
        <w:ind w:left="540" w:hanging="540"/>
        <w:rPr>
          <w:rFonts w:ascii="Calibri" w:hAnsi="Calibri" w:cs="Calibri"/>
        </w:rPr>
      </w:pPr>
    </w:p>
    <w:tbl>
      <w:tblPr>
        <w:tblW w:w="7190" w:type="dxa"/>
        <w:jc w:val="center"/>
        <w:tblCellMar>
          <w:left w:w="10" w:type="dxa"/>
          <w:right w:w="10" w:type="dxa"/>
        </w:tblCellMar>
        <w:tblLook w:val="0000" w:firstRow="0" w:lastRow="0" w:firstColumn="0" w:lastColumn="0" w:noHBand="0" w:noVBand="0"/>
      </w:tblPr>
      <w:tblGrid>
        <w:gridCol w:w="988"/>
        <w:gridCol w:w="4961"/>
        <w:gridCol w:w="1241"/>
      </w:tblGrid>
      <w:tr w:rsidR="00BA1871" w14:paraId="67F898F5" w14:textId="77777777" w:rsidTr="00324A31">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54CA179C" w14:textId="77777777" w:rsidR="00BA1871" w:rsidRDefault="00BA1871" w:rsidP="00324A31">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Ingresos</w:t>
            </w:r>
          </w:p>
        </w:tc>
      </w:tr>
      <w:tr w:rsidR="00BA1871" w14:paraId="7134C6C5" w14:textId="77777777" w:rsidTr="00324A31">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0CE50" w14:textId="77777777" w:rsidR="00BA1871" w:rsidRDefault="00BA1871" w:rsidP="00324A31">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7AEB3" w14:textId="77777777" w:rsidR="00BA1871" w:rsidRDefault="00BA1871" w:rsidP="00324A31">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5E87D" w14:textId="77777777" w:rsidR="00BA1871" w:rsidRDefault="00BA1871" w:rsidP="00324A31">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BA1871" w14:paraId="31922108" w14:textId="77777777" w:rsidTr="00324A31">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A58B9" w14:textId="77777777" w:rsidR="00BA1871" w:rsidRDefault="00BA1871" w:rsidP="00324A31">
            <w:pPr>
              <w:pStyle w:val="Text"/>
              <w:spacing w:after="0" w:line="240" w:lineRule="exact"/>
              <w:ind w:firstLine="0"/>
              <w:jc w:val="center"/>
              <w:rPr>
                <w:rFonts w:ascii="Calibri" w:hAnsi="Calibri" w:cs="DIN Pro Regular"/>
                <w:sz w:val="20"/>
              </w:rPr>
            </w:pPr>
            <w:r>
              <w:rPr>
                <w:rFonts w:ascii="Calibri" w:hAnsi="Calibri" w:cs="DIN Pro Regular"/>
                <w:sz w:val="20"/>
              </w:rPr>
              <w:t>8.1.1.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A6D13" w14:textId="77777777" w:rsidR="00BA1871" w:rsidRDefault="00BA1871" w:rsidP="00324A31">
            <w:pPr>
              <w:pStyle w:val="Text"/>
              <w:spacing w:after="0" w:line="240" w:lineRule="exact"/>
              <w:ind w:firstLine="0"/>
              <w:rPr>
                <w:rFonts w:ascii="Calibri" w:hAnsi="Calibri" w:cs="DIN Pro Regular"/>
                <w:sz w:val="20"/>
              </w:rPr>
            </w:pPr>
            <w:r>
              <w:rPr>
                <w:rFonts w:ascii="Calibri" w:hAnsi="Calibri" w:cs="DIN Pro Regular"/>
                <w:sz w:val="20"/>
              </w:rPr>
              <w:t>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750C3" w14:textId="77777777" w:rsidR="00BA1871" w:rsidRDefault="00BA1871" w:rsidP="00324A31">
            <w:pPr>
              <w:pStyle w:val="Text"/>
              <w:spacing w:after="0" w:line="240" w:lineRule="exact"/>
              <w:ind w:left="708" w:hanging="708"/>
              <w:jc w:val="right"/>
              <w:rPr>
                <w:rFonts w:ascii="Calibri" w:hAnsi="Calibri" w:cs="DIN Pro Regular"/>
                <w:sz w:val="20"/>
              </w:rPr>
            </w:pPr>
            <w:r>
              <w:rPr>
                <w:rFonts w:ascii="Calibri" w:hAnsi="Calibri" w:cs="DIN Pro Regular"/>
                <w:sz w:val="20"/>
              </w:rPr>
              <w:t>125,306,983</w:t>
            </w:r>
          </w:p>
        </w:tc>
      </w:tr>
      <w:tr w:rsidR="00BA1871" w14:paraId="4F841EC9" w14:textId="77777777" w:rsidTr="00324A31">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A01BA" w14:textId="77777777" w:rsidR="00BA1871" w:rsidRDefault="00BA1871" w:rsidP="00324A31">
            <w:pPr>
              <w:pStyle w:val="Text"/>
              <w:spacing w:after="0" w:line="240" w:lineRule="exact"/>
              <w:ind w:firstLine="0"/>
              <w:jc w:val="center"/>
              <w:rPr>
                <w:rFonts w:ascii="Calibri" w:hAnsi="Calibri" w:cs="DIN Pro Regular"/>
                <w:sz w:val="20"/>
              </w:rPr>
            </w:pPr>
            <w:r>
              <w:rPr>
                <w:rFonts w:ascii="Calibri" w:hAnsi="Calibri" w:cs="DIN Pro Regular"/>
                <w:sz w:val="20"/>
              </w:rPr>
              <w:t>8.1.2.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123E5" w14:textId="77777777" w:rsidR="00BA1871" w:rsidRDefault="00BA1871" w:rsidP="00324A31">
            <w:pPr>
              <w:pStyle w:val="Text"/>
              <w:spacing w:after="0" w:line="240" w:lineRule="exact"/>
              <w:ind w:firstLine="0"/>
              <w:rPr>
                <w:rFonts w:ascii="Calibri" w:hAnsi="Calibri" w:cs="DIN Pro Regular"/>
                <w:sz w:val="20"/>
              </w:rPr>
            </w:pPr>
            <w:r>
              <w:rPr>
                <w:rFonts w:ascii="Calibri" w:hAnsi="Calibri" w:cs="DIN Pro Regular"/>
                <w:sz w:val="20"/>
              </w:rPr>
              <w:t>Ley de Ingresos por Ejecutar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AF489" w14:textId="77777777" w:rsidR="00BA1871" w:rsidRDefault="00BA1871" w:rsidP="00324A31">
            <w:pPr>
              <w:pStyle w:val="Text"/>
              <w:spacing w:after="0" w:line="240" w:lineRule="exact"/>
              <w:ind w:left="708" w:hanging="708"/>
              <w:jc w:val="right"/>
              <w:rPr>
                <w:rFonts w:ascii="Calibri" w:hAnsi="Calibri" w:cs="DIN Pro Regular"/>
                <w:sz w:val="20"/>
              </w:rPr>
            </w:pPr>
            <w:r>
              <w:rPr>
                <w:rFonts w:ascii="Calibri" w:hAnsi="Calibri" w:cs="DIN Pro Regular"/>
                <w:sz w:val="20"/>
              </w:rPr>
              <w:t>757,292</w:t>
            </w:r>
          </w:p>
        </w:tc>
      </w:tr>
      <w:tr w:rsidR="00BA1871" w14:paraId="0145A33F" w14:textId="77777777" w:rsidTr="00324A31">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DD7F8" w14:textId="77777777" w:rsidR="00BA1871" w:rsidRDefault="00BA1871" w:rsidP="00324A31">
            <w:pPr>
              <w:pStyle w:val="Text"/>
              <w:spacing w:after="0" w:line="240" w:lineRule="exact"/>
              <w:ind w:firstLine="0"/>
              <w:jc w:val="center"/>
              <w:rPr>
                <w:rFonts w:ascii="Calibri" w:hAnsi="Calibri" w:cs="DIN Pro Regular"/>
                <w:sz w:val="20"/>
              </w:rPr>
            </w:pPr>
            <w:r>
              <w:rPr>
                <w:rFonts w:ascii="Calibri" w:hAnsi="Calibri" w:cs="DIN Pro Regular"/>
                <w:sz w:val="20"/>
              </w:rPr>
              <w:t>8.1.3.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2FB7E" w14:textId="77777777" w:rsidR="00BA1871" w:rsidRDefault="00BA1871" w:rsidP="00324A31">
            <w:pPr>
              <w:pStyle w:val="Text"/>
              <w:spacing w:after="0" w:line="240" w:lineRule="exact"/>
              <w:ind w:firstLine="0"/>
              <w:rPr>
                <w:rFonts w:ascii="Calibri" w:hAnsi="Calibri" w:cs="DIN Pro Regular"/>
                <w:sz w:val="20"/>
              </w:rPr>
            </w:pPr>
            <w:r>
              <w:rPr>
                <w:rFonts w:ascii="Calibri" w:hAnsi="Calibri" w:cs="DIN Pro Regular"/>
                <w:sz w:val="20"/>
              </w:rPr>
              <w:t>Modificaciones a la 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6E5AB" w14:textId="77777777" w:rsidR="00BA1871" w:rsidRDefault="00BA1871" w:rsidP="00324A31">
            <w:pPr>
              <w:pStyle w:val="Text"/>
              <w:spacing w:after="0" w:line="240" w:lineRule="exact"/>
              <w:ind w:left="708" w:hanging="708"/>
              <w:jc w:val="right"/>
              <w:rPr>
                <w:rFonts w:ascii="Calibri" w:hAnsi="Calibri" w:cs="DIN Pro Regular"/>
                <w:sz w:val="20"/>
              </w:rPr>
            </w:pPr>
            <w:r>
              <w:rPr>
                <w:rFonts w:ascii="Calibri" w:hAnsi="Calibri" w:cs="DIN Pro Regular"/>
                <w:sz w:val="20"/>
              </w:rPr>
              <w:t>32,392,935</w:t>
            </w:r>
          </w:p>
        </w:tc>
      </w:tr>
      <w:tr w:rsidR="00BA1871" w14:paraId="72BF00BD" w14:textId="77777777" w:rsidTr="00324A31">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45E5C" w14:textId="77777777" w:rsidR="00BA1871" w:rsidRDefault="00BA1871" w:rsidP="00324A31">
            <w:pPr>
              <w:pStyle w:val="Text"/>
              <w:spacing w:after="0" w:line="240" w:lineRule="exact"/>
              <w:ind w:firstLine="0"/>
              <w:jc w:val="center"/>
              <w:rPr>
                <w:rFonts w:ascii="Calibri" w:hAnsi="Calibri" w:cs="DIN Pro Regular"/>
                <w:sz w:val="20"/>
              </w:rPr>
            </w:pPr>
            <w:r>
              <w:rPr>
                <w:rFonts w:ascii="Calibri" w:hAnsi="Calibri" w:cs="DIN Pro Regular"/>
                <w:sz w:val="20"/>
              </w:rPr>
              <w:t>8.1.4.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4CB49" w14:textId="77777777" w:rsidR="00BA1871" w:rsidRDefault="00BA1871" w:rsidP="00324A31">
            <w:pPr>
              <w:pStyle w:val="Text"/>
              <w:spacing w:after="0" w:line="240" w:lineRule="exact"/>
              <w:ind w:firstLine="0"/>
              <w:rPr>
                <w:rFonts w:ascii="Calibri" w:hAnsi="Calibri" w:cs="DIN Pro Regular"/>
                <w:sz w:val="20"/>
              </w:rPr>
            </w:pPr>
            <w:r>
              <w:rPr>
                <w:rFonts w:ascii="Calibri" w:hAnsi="Calibri" w:cs="DIN Pro Regular"/>
                <w:sz w:val="20"/>
              </w:rPr>
              <w:t>Ley de Ingresos Devengada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88FB" w14:textId="77777777" w:rsidR="00BA1871" w:rsidRDefault="00BA1871" w:rsidP="00324A31">
            <w:pPr>
              <w:pStyle w:val="Text"/>
              <w:spacing w:after="0" w:line="240" w:lineRule="exact"/>
              <w:ind w:left="708" w:hanging="708"/>
              <w:jc w:val="right"/>
              <w:rPr>
                <w:rFonts w:ascii="Calibri" w:hAnsi="Calibri" w:cs="DIN Pro Regular"/>
                <w:sz w:val="20"/>
              </w:rPr>
            </w:pPr>
            <w:r>
              <w:rPr>
                <w:rFonts w:ascii="Calibri" w:hAnsi="Calibri" w:cs="DIN Pro Regular"/>
                <w:sz w:val="20"/>
              </w:rPr>
              <w:t>156,942,626</w:t>
            </w:r>
          </w:p>
        </w:tc>
      </w:tr>
      <w:tr w:rsidR="00BA1871" w14:paraId="345E60A5" w14:textId="77777777" w:rsidTr="00324A31">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C40A8" w14:textId="77777777" w:rsidR="00BA1871" w:rsidRDefault="00BA1871" w:rsidP="00324A31">
            <w:pPr>
              <w:pStyle w:val="Text"/>
              <w:spacing w:after="0" w:line="240" w:lineRule="exact"/>
              <w:ind w:firstLine="0"/>
              <w:jc w:val="center"/>
              <w:rPr>
                <w:rFonts w:ascii="Calibri" w:hAnsi="Calibri" w:cs="DIN Pro Regular"/>
                <w:sz w:val="20"/>
              </w:rPr>
            </w:pPr>
            <w:r>
              <w:rPr>
                <w:rFonts w:ascii="Calibri" w:hAnsi="Calibri" w:cs="DIN Pro Regular"/>
                <w:sz w:val="20"/>
              </w:rPr>
              <w:t>8.1.5.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93962" w14:textId="77777777" w:rsidR="00BA1871" w:rsidRDefault="00BA1871" w:rsidP="00324A31">
            <w:pPr>
              <w:pStyle w:val="Text"/>
              <w:spacing w:after="0" w:line="240" w:lineRule="exact"/>
              <w:ind w:firstLine="0"/>
              <w:rPr>
                <w:rFonts w:ascii="Calibri" w:hAnsi="Calibri" w:cs="DIN Pro Regular"/>
                <w:sz w:val="20"/>
              </w:rPr>
            </w:pPr>
            <w:r>
              <w:rPr>
                <w:rFonts w:ascii="Calibri" w:hAnsi="Calibri" w:cs="DIN Pro Regular"/>
                <w:sz w:val="20"/>
              </w:rPr>
              <w:t>Ley de Ingresos Recaudada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B41F7" w14:textId="77777777" w:rsidR="00BA1871" w:rsidRDefault="00BA1871" w:rsidP="00324A31">
            <w:pPr>
              <w:pStyle w:val="Text"/>
              <w:spacing w:after="0" w:line="240" w:lineRule="exact"/>
              <w:ind w:left="708" w:hanging="708"/>
              <w:jc w:val="right"/>
              <w:rPr>
                <w:rFonts w:ascii="Calibri" w:hAnsi="Calibri" w:cs="DIN Pro Regular"/>
                <w:sz w:val="20"/>
              </w:rPr>
            </w:pPr>
            <w:r>
              <w:rPr>
                <w:rFonts w:ascii="Calibri" w:hAnsi="Calibri" w:cs="DIN Pro Regular"/>
                <w:sz w:val="20"/>
              </w:rPr>
              <w:t>156,753,628</w:t>
            </w:r>
          </w:p>
        </w:tc>
      </w:tr>
    </w:tbl>
    <w:p w14:paraId="23AE7176" w14:textId="77777777" w:rsidR="00BA1871" w:rsidRDefault="00BA1871" w:rsidP="00BA1871">
      <w:pPr>
        <w:pStyle w:val="Text"/>
        <w:spacing w:line="240" w:lineRule="exact"/>
        <w:ind w:firstLine="708"/>
        <w:rPr>
          <w:rFonts w:ascii="Calibri" w:hAnsi="Calibri" w:cs="DIN Pro Regular"/>
          <w:b/>
          <w:bCs/>
          <w:sz w:val="20"/>
        </w:rPr>
      </w:pPr>
    </w:p>
    <w:p w14:paraId="76437556" w14:textId="77777777" w:rsidR="00BA1871" w:rsidRDefault="00BA1871" w:rsidP="00BA1871">
      <w:pPr>
        <w:pStyle w:val="Text"/>
        <w:spacing w:line="240" w:lineRule="exact"/>
        <w:ind w:firstLine="708"/>
        <w:rPr>
          <w:rFonts w:ascii="Calibri" w:hAnsi="Calibri" w:cs="DIN Pro Regular"/>
          <w:b/>
          <w:bCs/>
          <w:sz w:val="20"/>
        </w:rPr>
      </w:pPr>
      <w:r>
        <w:rPr>
          <w:rFonts w:ascii="Calibri" w:hAnsi="Calibri" w:cs="DIN Pro Regular"/>
          <w:b/>
          <w:bCs/>
          <w:sz w:val="20"/>
        </w:rPr>
        <w:t>Cuentas de egresos</w:t>
      </w:r>
    </w:p>
    <w:p w14:paraId="14F94A4C" w14:textId="77777777" w:rsidR="00BA1871" w:rsidRDefault="00BA1871" w:rsidP="00BA1871">
      <w:pPr>
        <w:pStyle w:val="Text"/>
        <w:spacing w:line="240" w:lineRule="exact"/>
        <w:ind w:firstLine="708"/>
        <w:rPr>
          <w:rFonts w:ascii="Calibri" w:hAnsi="Calibri" w:cs="DIN Pro Regular"/>
          <w:b/>
          <w:bCs/>
          <w:sz w:val="20"/>
        </w:rPr>
      </w:pPr>
    </w:p>
    <w:p w14:paraId="3AA4085F" w14:textId="77777777" w:rsidR="00BA1871" w:rsidRDefault="00BA1871" w:rsidP="00BA1871">
      <w:pPr>
        <w:pStyle w:val="Text"/>
        <w:spacing w:line="240" w:lineRule="exact"/>
        <w:ind w:firstLine="0"/>
        <w:rPr>
          <w:rFonts w:ascii="Calibri" w:hAnsi="Calibri" w:cs="DIN Pro Regular"/>
          <w:sz w:val="20"/>
        </w:rPr>
      </w:pPr>
      <w:r>
        <w:rPr>
          <w:rFonts w:ascii="Calibri" w:hAnsi="Calibri" w:cs="DIN Pro Regular"/>
          <w:sz w:val="20"/>
        </w:rPr>
        <w:t>En cumplimiento a lo estipulado en la fracción I del artículo 38 de la Ley General de Contabilidad Gubernamental, el registro de las etapas del presupuesto se efectuará en las cuentas contables las cuales deberán reflejar en lo relativo al gasto, el aprobado, modificado, comprometido, devengado, ejercido y pagado.</w:t>
      </w:r>
    </w:p>
    <w:p w14:paraId="41E1F848" w14:textId="77777777" w:rsidR="00BA1871" w:rsidRDefault="00BA1871" w:rsidP="00BA1871">
      <w:pPr>
        <w:pStyle w:val="Text"/>
        <w:spacing w:after="0" w:line="240" w:lineRule="exact"/>
        <w:ind w:firstLine="0"/>
        <w:rPr>
          <w:rFonts w:ascii="Calibri" w:hAnsi="Calibri" w:cs="DIN Pro Regular"/>
          <w:sz w:val="20"/>
        </w:rPr>
      </w:pPr>
      <w:r>
        <w:rPr>
          <w:rFonts w:ascii="Calibri" w:hAnsi="Calibri" w:cs="DIN Pro Regular"/>
          <w:sz w:val="20"/>
        </w:rPr>
        <w:t>Los movimientos aplicados a dichos momentos contables aparecen reflejados en el apartado de Información Presupuestaria de este documento.</w:t>
      </w:r>
    </w:p>
    <w:p w14:paraId="14FEBED8" w14:textId="77777777" w:rsidR="00BA1871" w:rsidRDefault="00BA1871" w:rsidP="00BA1871">
      <w:pPr>
        <w:pStyle w:val="Text"/>
        <w:spacing w:after="0" w:line="240" w:lineRule="exact"/>
        <w:ind w:firstLine="0"/>
      </w:pPr>
    </w:p>
    <w:p w14:paraId="0BEC3266" w14:textId="77777777" w:rsidR="00BA1871" w:rsidRDefault="00BA1871" w:rsidP="00BA1871">
      <w:pPr>
        <w:pStyle w:val="Text"/>
        <w:spacing w:after="0" w:line="240" w:lineRule="exact"/>
        <w:ind w:firstLine="0"/>
      </w:pPr>
    </w:p>
    <w:p w14:paraId="7F5622EE" w14:textId="77777777" w:rsidR="00BA1871" w:rsidRDefault="00BA1871" w:rsidP="00BA1871">
      <w:pPr>
        <w:pStyle w:val="Text"/>
        <w:spacing w:after="0" w:line="240" w:lineRule="exact"/>
        <w:ind w:firstLine="0"/>
      </w:pPr>
    </w:p>
    <w:p w14:paraId="2687074A" w14:textId="77777777" w:rsidR="00BA1871" w:rsidRDefault="00BA1871" w:rsidP="00BA1871">
      <w:pPr>
        <w:pStyle w:val="Text"/>
        <w:spacing w:after="0" w:line="240" w:lineRule="exact"/>
        <w:ind w:firstLine="0"/>
      </w:pPr>
    </w:p>
    <w:tbl>
      <w:tblPr>
        <w:tblW w:w="7190" w:type="dxa"/>
        <w:jc w:val="center"/>
        <w:tblCellMar>
          <w:left w:w="10" w:type="dxa"/>
          <w:right w:w="10" w:type="dxa"/>
        </w:tblCellMar>
        <w:tblLook w:val="0000" w:firstRow="0" w:lastRow="0" w:firstColumn="0" w:lastColumn="0" w:noHBand="0" w:noVBand="0"/>
      </w:tblPr>
      <w:tblGrid>
        <w:gridCol w:w="988"/>
        <w:gridCol w:w="4961"/>
        <w:gridCol w:w="1241"/>
      </w:tblGrid>
      <w:tr w:rsidR="00BA1871" w14:paraId="24C4F244" w14:textId="77777777" w:rsidTr="00324A31">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252F5B0E" w14:textId="77777777" w:rsidR="00BA1871" w:rsidRDefault="00BA1871" w:rsidP="00324A31">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Egresos</w:t>
            </w:r>
          </w:p>
        </w:tc>
      </w:tr>
      <w:tr w:rsidR="00BA1871" w14:paraId="6BC16810" w14:textId="77777777" w:rsidTr="00324A31">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EDCD" w14:textId="77777777" w:rsidR="00BA1871" w:rsidRDefault="00BA1871" w:rsidP="00324A31">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95CF" w14:textId="77777777" w:rsidR="00BA1871" w:rsidRDefault="00BA1871" w:rsidP="00324A31">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0F2D9" w14:textId="77777777" w:rsidR="00BA1871" w:rsidRDefault="00BA1871" w:rsidP="00324A31">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BA1871" w14:paraId="370040E6" w14:textId="77777777" w:rsidTr="00324A31">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22A1E" w14:textId="77777777" w:rsidR="00BA1871" w:rsidRDefault="00BA1871" w:rsidP="00324A31">
            <w:pPr>
              <w:pStyle w:val="Text"/>
              <w:spacing w:after="0" w:line="240" w:lineRule="exact"/>
              <w:ind w:firstLine="0"/>
              <w:jc w:val="center"/>
              <w:rPr>
                <w:rFonts w:ascii="Calibri" w:hAnsi="Calibri" w:cs="DIN Pro Regular"/>
                <w:sz w:val="20"/>
              </w:rPr>
            </w:pPr>
            <w:r>
              <w:rPr>
                <w:rFonts w:ascii="Calibri" w:hAnsi="Calibri" w:cs="DIN Pro Regular"/>
                <w:sz w:val="20"/>
              </w:rPr>
              <w:t>8.2.1.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6A7ED" w14:textId="77777777" w:rsidR="00BA1871" w:rsidRDefault="00BA1871" w:rsidP="00324A31">
            <w:pPr>
              <w:pStyle w:val="Text"/>
              <w:spacing w:after="0" w:line="240" w:lineRule="exact"/>
              <w:ind w:firstLine="0"/>
              <w:jc w:val="left"/>
              <w:rPr>
                <w:rFonts w:ascii="Calibri" w:hAnsi="Calibri" w:cs="DIN Pro Regular"/>
                <w:sz w:val="20"/>
              </w:rPr>
            </w:pPr>
            <w:r>
              <w:rPr>
                <w:rFonts w:ascii="Calibri" w:hAnsi="Calibri" w:cs="DIN Pro Regular"/>
                <w:sz w:val="20"/>
              </w:rPr>
              <w:t>Presupuesto de Egresos Aprobado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4FFA6" w14:textId="77777777" w:rsidR="00BA1871" w:rsidRDefault="00BA1871" w:rsidP="00324A31">
            <w:pPr>
              <w:pStyle w:val="Text"/>
              <w:spacing w:after="0" w:line="240" w:lineRule="exact"/>
              <w:ind w:firstLine="0"/>
              <w:jc w:val="right"/>
              <w:rPr>
                <w:rFonts w:ascii="Calibri" w:hAnsi="Calibri" w:cs="DIN Pro Regular"/>
                <w:sz w:val="20"/>
              </w:rPr>
            </w:pPr>
            <w:r>
              <w:rPr>
                <w:rFonts w:ascii="Calibri" w:hAnsi="Calibri" w:cs="DIN Pro Regular"/>
                <w:sz w:val="20"/>
              </w:rPr>
              <w:t>125,306,983</w:t>
            </w:r>
          </w:p>
        </w:tc>
      </w:tr>
      <w:tr w:rsidR="00BA1871" w14:paraId="195D12CC" w14:textId="77777777" w:rsidTr="00324A31">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676DF" w14:textId="77777777" w:rsidR="00BA1871" w:rsidRDefault="00BA1871" w:rsidP="00324A31">
            <w:pPr>
              <w:pStyle w:val="Text"/>
              <w:spacing w:after="0" w:line="240" w:lineRule="exact"/>
              <w:ind w:firstLine="0"/>
              <w:jc w:val="center"/>
              <w:rPr>
                <w:rFonts w:ascii="Calibri" w:hAnsi="Calibri" w:cs="DIN Pro Regular"/>
                <w:sz w:val="20"/>
              </w:rPr>
            </w:pPr>
            <w:r>
              <w:rPr>
                <w:rFonts w:ascii="Calibri" w:hAnsi="Calibri" w:cs="DIN Pro Regular"/>
                <w:sz w:val="20"/>
              </w:rPr>
              <w:t>8.2.2.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B0F26" w14:textId="77777777" w:rsidR="00BA1871" w:rsidRDefault="00BA1871" w:rsidP="00324A31">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por Ejercer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0D8E1" w14:textId="77777777" w:rsidR="00BA1871" w:rsidRDefault="00BA1871" w:rsidP="00324A31">
            <w:pPr>
              <w:pStyle w:val="Text"/>
              <w:spacing w:after="0" w:line="240" w:lineRule="exact"/>
              <w:ind w:firstLine="0"/>
              <w:jc w:val="right"/>
              <w:rPr>
                <w:rFonts w:ascii="Calibri" w:hAnsi="Calibri" w:cs="DIN Pro Regular"/>
                <w:sz w:val="20"/>
              </w:rPr>
            </w:pPr>
            <w:r>
              <w:rPr>
                <w:rFonts w:ascii="Calibri" w:hAnsi="Calibri" w:cs="DIN Pro Regular"/>
                <w:sz w:val="20"/>
              </w:rPr>
              <w:t>104,125</w:t>
            </w:r>
          </w:p>
        </w:tc>
      </w:tr>
      <w:tr w:rsidR="00BA1871" w14:paraId="4FEB26FD" w14:textId="77777777" w:rsidTr="00324A31">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6D488" w14:textId="77777777" w:rsidR="00BA1871" w:rsidRDefault="00BA1871" w:rsidP="00324A31">
            <w:pPr>
              <w:pStyle w:val="Text"/>
              <w:spacing w:after="0" w:line="240" w:lineRule="exact"/>
              <w:ind w:firstLine="0"/>
              <w:jc w:val="center"/>
              <w:rPr>
                <w:rFonts w:ascii="Calibri" w:hAnsi="Calibri" w:cs="DIN Pro Regular"/>
                <w:sz w:val="20"/>
              </w:rPr>
            </w:pPr>
            <w:r>
              <w:rPr>
                <w:rFonts w:ascii="Calibri" w:hAnsi="Calibri" w:cs="DIN Pro Regular"/>
                <w:sz w:val="20"/>
              </w:rPr>
              <w:t>8.2.3.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436A0" w14:textId="77777777" w:rsidR="00BA1871" w:rsidRDefault="00BA1871" w:rsidP="00324A31">
            <w:pPr>
              <w:pStyle w:val="Text"/>
              <w:spacing w:after="0" w:line="240" w:lineRule="exact"/>
              <w:ind w:firstLine="0"/>
              <w:jc w:val="left"/>
              <w:rPr>
                <w:rFonts w:ascii="Calibri" w:hAnsi="Calibri" w:cs="DIN Pro Regular"/>
                <w:sz w:val="20"/>
              </w:rPr>
            </w:pPr>
            <w:r>
              <w:rPr>
                <w:rFonts w:ascii="Calibri" w:hAnsi="Calibri" w:cs="DIN Pro Regular"/>
                <w:sz w:val="20"/>
              </w:rPr>
              <w:t>Modificaciones al Presupuesto de Egresos por Ejercer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0946E" w14:textId="77777777" w:rsidR="00BA1871" w:rsidRDefault="00BA1871" w:rsidP="00324A31">
            <w:pPr>
              <w:pStyle w:val="Text"/>
              <w:spacing w:after="0" w:line="240" w:lineRule="exact"/>
              <w:ind w:firstLine="0"/>
              <w:jc w:val="right"/>
              <w:rPr>
                <w:rFonts w:ascii="Calibri" w:hAnsi="Calibri" w:cs="DIN Pro Regular"/>
                <w:sz w:val="20"/>
              </w:rPr>
            </w:pPr>
            <w:r>
              <w:rPr>
                <w:rFonts w:ascii="Calibri" w:hAnsi="Calibri" w:cs="DIN Pro Regular"/>
                <w:sz w:val="20"/>
              </w:rPr>
              <w:t>33,060,145</w:t>
            </w:r>
          </w:p>
        </w:tc>
      </w:tr>
      <w:tr w:rsidR="00BA1871" w14:paraId="60A63B35" w14:textId="77777777" w:rsidTr="00324A31">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38876" w14:textId="77777777" w:rsidR="00BA1871" w:rsidRDefault="00BA1871" w:rsidP="00324A31">
            <w:pPr>
              <w:pStyle w:val="Text"/>
              <w:spacing w:after="0" w:line="240" w:lineRule="exact"/>
              <w:ind w:firstLine="0"/>
              <w:jc w:val="center"/>
              <w:rPr>
                <w:rFonts w:ascii="Calibri" w:hAnsi="Calibri" w:cs="DIN Pro Regular"/>
                <w:sz w:val="20"/>
              </w:rPr>
            </w:pPr>
            <w:r>
              <w:rPr>
                <w:rFonts w:ascii="Calibri" w:hAnsi="Calibri" w:cs="DIN Pro Regular"/>
                <w:sz w:val="20"/>
              </w:rPr>
              <w:t>8.2.4.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6D476" w14:textId="77777777" w:rsidR="00BA1871" w:rsidRDefault="00BA1871" w:rsidP="00324A31">
            <w:pPr>
              <w:pStyle w:val="Text"/>
              <w:spacing w:after="0" w:line="240" w:lineRule="exact"/>
              <w:ind w:firstLine="0"/>
              <w:jc w:val="left"/>
              <w:rPr>
                <w:rFonts w:ascii="Calibri" w:hAnsi="Calibri" w:cs="DIN Pro Regular"/>
                <w:sz w:val="20"/>
              </w:rPr>
            </w:pPr>
            <w:r>
              <w:rPr>
                <w:rFonts w:ascii="Calibri" w:hAnsi="Calibri" w:cs="DIN Pro Regular"/>
                <w:sz w:val="20"/>
              </w:rPr>
              <w:t>Presupuesto de Egresos Comprometido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1722F" w14:textId="77777777" w:rsidR="00BA1871" w:rsidRDefault="00BA1871" w:rsidP="00324A31">
            <w:pPr>
              <w:pStyle w:val="Text"/>
              <w:spacing w:after="0" w:line="240" w:lineRule="exact"/>
              <w:ind w:firstLine="0"/>
              <w:jc w:val="right"/>
              <w:rPr>
                <w:rFonts w:ascii="Calibri" w:hAnsi="Calibri" w:cs="DIN Pro Regular"/>
                <w:sz w:val="20"/>
              </w:rPr>
            </w:pPr>
            <w:r>
              <w:rPr>
                <w:rFonts w:ascii="Calibri" w:hAnsi="Calibri" w:cs="DIN Pro Regular"/>
                <w:sz w:val="20"/>
              </w:rPr>
              <w:t>158,263,003</w:t>
            </w:r>
          </w:p>
        </w:tc>
      </w:tr>
      <w:tr w:rsidR="00BA1871" w14:paraId="64DD9FB0" w14:textId="77777777" w:rsidTr="00324A31">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A3AB1" w14:textId="77777777" w:rsidR="00BA1871" w:rsidRDefault="00BA1871" w:rsidP="00324A31">
            <w:pPr>
              <w:pStyle w:val="Text"/>
              <w:spacing w:after="0" w:line="240" w:lineRule="exact"/>
              <w:ind w:firstLine="0"/>
              <w:jc w:val="center"/>
              <w:rPr>
                <w:rFonts w:ascii="Calibri" w:hAnsi="Calibri" w:cs="DIN Pro Regular"/>
                <w:sz w:val="20"/>
              </w:rPr>
            </w:pPr>
            <w:r>
              <w:rPr>
                <w:rFonts w:ascii="Calibri" w:hAnsi="Calibri" w:cs="DIN Pro Regular"/>
                <w:sz w:val="20"/>
              </w:rPr>
              <w:t>8.2.5.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A7B5C" w14:textId="77777777" w:rsidR="00BA1871" w:rsidRDefault="00BA1871" w:rsidP="00324A31">
            <w:pPr>
              <w:pStyle w:val="Text"/>
              <w:spacing w:after="0" w:line="240" w:lineRule="exact"/>
              <w:ind w:firstLine="0"/>
              <w:jc w:val="left"/>
              <w:rPr>
                <w:rFonts w:ascii="Calibri" w:hAnsi="Calibri" w:cs="DIN Pro Regular"/>
                <w:sz w:val="20"/>
              </w:rPr>
            </w:pPr>
            <w:r>
              <w:rPr>
                <w:rFonts w:ascii="Calibri" w:hAnsi="Calibri" w:cs="DIN Pro Regular"/>
                <w:sz w:val="20"/>
              </w:rPr>
              <w:t>Presupuesto de Egresos Devengado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B30D8" w14:textId="77777777" w:rsidR="00BA1871" w:rsidRDefault="00BA1871" w:rsidP="00324A31">
            <w:pPr>
              <w:pStyle w:val="Text"/>
              <w:spacing w:after="0" w:line="240" w:lineRule="exact"/>
              <w:ind w:firstLine="0"/>
              <w:jc w:val="right"/>
              <w:rPr>
                <w:rFonts w:ascii="Calibri" w:hAnsi="Calibri" w:cs="DIN Pro Regular"/>
                <w:sz w:val="20"/>
              </w:rPr>
            </w:pPr>
            <w:r>
              <w:rPr>
                <w:rFonts w:ascii="Calibri" w:hAnsi="Calibri" w:cs="DIN Pro Regular"/>
                <w:sz w:val="20"/>
              </w:rPr>
              <w:t>158,263,003</w:t>
            </w:r>
          </w:p>
        </w:tc>
      </w:tr>
      <w:tr w:rsidR="00BA1871" w14:paraId="4721C0C2" w14:textId="77777777" w:rsidTr="00324A31">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41F3F" w14:textId="77777777" w:rsidR="00BA1871" w:rsidRDefault="00BA1871" w:rsidP="00324A31">
            <w:pPr>
              <w:pStyle w:val="Text"/>
              <w:spacing w:after="0" w:line="240" w:lineRule="exact"/>
              <w:ind w:firstLine="0"/>
              <w:jc w:val="center"/>
              <w:rPr>
                <w:rFonts w:ascii="Calibri" w:hAnsi="Calibri" w:cs="DIN Pro Regular"/>
                <w:sz w:val="20"/>
              </w:rPr>
            </w:pPr>
            <w:r>
              <w:rPr>
                <w:rFonts w:ascii="Calibri" w:hAnsi="Calibri" w:cs="DIN Pro Regular"/>
                <w:sz w:val="20"/>
              </w:rPr>
              <w:t>8.2.6.</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747A" w14:textId="77777777" w:rsidR="00BA1871" w:rsidRDefault="00BA1871" w:rsidP="00324A31">
            <w:pPr>
              <w:pStyle w:val="Text"/>
              <w:spacing w:after="0" w:line="240" w:lineRule="exact"/>
              <w:ind w:firstLine="0"/>
              <w:jc w:val="left"/>
              <w:rPr>
                <w:rFonts w:ascii="Calibri" w:hAnsi="Calibri" w:cs="DIN Pro Regular"/>
                <w:sz w:val="20"/>
              </w:rPr>
            </w:pPr>
            <w:r>
              <w:rPr>
                <w:rFonts w:ascii="Calibri" w:hAnsi="Calibri" w:cs="DIN Pro Regular"/>
                <w:sz w:val="20"/>
              </w:rPr>
              <w:t>Presupuesto de Egresos Ejercido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435D3" w14:textId="77777777" w:rsidR="00BA1871" w:rsidRDefault="00BA1871" w:rsidP="00324A31">
            <w:pPr>
              <w:pStyle w:val="Text"/>
              <w:spacing w:after="0" w:line="240" w:lineRule="exact"/>
              <w:ind w:firstLine="0"/>
              <w:jc w:val="right"/>
              <w:rPr>
                <w:rFonts w:ascii="Calibri" w:hAnsi="Calibri" w:cs="DIN Pro Regular"/>
                <w:sz w:val="20"/>
              </w:rPr>
            </w:pPr>
            <w:r>
              <w:rPr>
                <w:rFonts w:ascii="Calibri" w:hAnsi="Calibri" w:cs="DIN Pro Regular"/>
                <w:sz w:val="20"/>
              </w:rPr>
              <w:t>158,263,003</w:t>
            </w:r>
          </w:p>
        </w:tc>
      </w:tr>
      <w:tr w:rsidR="00BA1871" w14:paraId="0635CB1A" w14:textId="77777777" w:rsidTr="00324A31">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CBBE6" w14:textId="77777777" w:rsidR="00BA1871" w:rsidRDefault="00BA1871" w:rsidP="00324A31">
            <w:pPr>
              <w:pStyle w:val="Text"/>
              <w:spacing w:after="0" w:line="240" w:lineRule="exact"/>
              <w:ind w:firstLine="0"/>
              <w:jc w:val="center"/>
              <w:rPr>
                <w:rFonts w:ascii="Calibri" w:hAnsi="Calibri" w:cs="DIN Pro Regular"/>
                <w:sz w:val="20"/>
              </w:rPr>
            </w:pPr>
            <w:r>
              <w:rPr>
                <w:rFonts w:ascii="Calibri" w:hAnsi="Calibri" w:cs="DIN Pro Regular"/>
                <w:sz w:val="20"/>
              </w:rPr>
              <w:t>8.2.7.</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15633" w14:textId="77777777" w:rsidR="00BA1871" w:rsidRDefault="00BA1871" w:rsidP="00324A31">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Pagado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4AEE2" w14:textId="77777777" w:rsidR="00BA1871" w:rsidRDefault="00BA1871" w:rsidP="00324A31">
            <w:pPr>
              <w:pStyle w:val="Text"/>
              <w:spacing w:after="0" w:line="240" w:lineRule="exact"/>
              <w:ind w:firstLine="0"/>
              <w:jc w:val="right"/>
              <w:rPr>
                <w:rFonts w:ascii="Calibri" w:hAnsi="Calibri" w:cs="DIN Pro Regular"/>
                <w:sz w:val="20"/>
              </w:rPr>
            </w:pPr>
            <w:r>
              <w:rPr>
                <w:rFonts w:ascii="Calibri" w:hAnsi="Calibri" w:cs="DIN Pro Regular"/>
                <w:sz w:val="20"/>
              </w:rPr>
              <w:t>158,263,003</w:t>
            </w:r>
          </w:p>
        </w:tc>
      </w:tr>
    </w:tbl>
    <w:p w14:paraId="58BD645C" w14:textId="77777777" w:rsidR="00BA1871" w:rsidRDefault="00BA1871" w:rsidP="00BA1871">
      <w:pPr>
        <w:pStyle w:val="Text"/>
        <w:spacing w:after="0" w:line="240" w:lineRule="exact"/>
        <w:ind w:left="2160" w:hanging="540"/>
        <w:jc w:val="left"/>
        <w:rPr>
          <w:rFonts w:ascii="Calibri" w:hAnsi="Calibri" w:cs="DIN Pro Regular"/>
          <w:sz w:val="20"/>
        </w:rPr>
      </w:pPr>
      <w:r>
        <w:rPr>
          <w:rFonts w:ascii="Calibri" w:hAnsi="Calibri" w:cs="DIN Pro Regular"/>
          <w:sz w:val="20"/>
        </w:rPr>
        <w:tab/>
      </w:r>
    </w:p>
    <w:p w14:paraId="74BFF4EF" w14:textId="77777777" w:rsidR="00BA1871" w:rsidRDefault="00BA1871" w:rsidP="00BA1871">
      <w:pPr>
        <w:pStyle w:val="Text"/>
        <w:spacing w:after="0" w:line="240" w:lineRule="exact"/>
        <w:ind w:left="2160" w:hanging="540"/>
      </w:pPr>
    </w:p>
    <w:p w14:paraId="03247B06" w14:textId="77777777" w:rsidR="00BA1871" w:rsidRDefault="00BA1871" w:rsidP="00BA1871">
      <w:pPr>
        <w:pStyle w:val="Text"/>
        <w:spacing w:after="0" w:line="240" w:lineRule="exact"/>
        <w:ind w:left="2160" w:hanging="540"/>
        <w:rPr>
          <w:rFonts w:ascii="Calibri" w:hAnsi="Calibri" w:cs="DIN Pro Regular"/>
          <w:sz w:val="20"/>
        </w:rPr>
      </w:pPr>
    </w:p>
    <w:p w14:paraId="299054F2" w14:textId="77777777" w:rsidR="00BA1871" w:rsidRDefault="00BA1871" w:rsidP="00BA1871">
      <w:pPr>
        <w:pStyle w:val="Text"/>
        <w:spacing w:after="0" w:line="240" w:lineRule="exact"/>
        <w:ind w:firstLine="0"/>
        <w:rPr>
          <w:rFonts w:ascii="Calibri" w:hAnsi="Calibri" w:cs="DIN Pro Regular"/>
          <w:sz w:val="20"/>
        </w:rPr>
      </w:pPr>
    </w:p>
    <w:p w14:paraId="21179180" w14:textId="77777777" w:rsidR="00BA1871" w:rsidRDefault="00BA1871" w:rsidP="00BA1871">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20358DDB" w14:textId="77777777" w:rsidR="00BA1871" w:rsidRDefault="00BA1871" w:rsidP="00BA1871">
      <w:pPr>
        <w:pStyle w:val="Text"/>
        <w:spacing w:after="0" w:line="240" w:lineRule="exact"/>
        <w:rPr>
          <w:rFonts w:ascii="Calibri" w:hAnsi="Calibri" w:cs="DIN Pro Regular"/>
          <w:sz w:val="20"/>
        </w:rPr>
      </w:pPr>
    </w:p>
    <w:p w14:paraId="418FC06F" w14:textId="77777777" w:rsidR="00BA1871" w:rsidRDefault="00BA1871" w:rsidP="00BA1871">
      <w:pPr>
        <w:pStyle w:val="Text"/>
        <w:spacing w:after="0" w:line="240" w:lineRule="exact"/>
        <w:rPr>
          <w:rFonts w:ascii="Calibri" w:hAnsi="Calibri" w:cs="DIN Pro Regular"/>
          <w:sz w:val="20"/>
        </w:rPr>
      </w:pPr>
    </w:p>
    <w:p w14:paraId="42D62CCE" w14:textId="77777777" w:rsidR="00BA1871" w:rsidRDefault="00BA1871" w:rsidP="00BA1871">
      <w:pPr>
        <w:pStyle w:val="Text"/>
        <w:spacing w:after="0" w:line="240" w:lineRule="exact"/>
        <w:rPr>
          <w:rFonts w:ascii="Calibri" w:hAnsi="Calibri" w:cs="DIN Pro Regular"/>
          <w:sz w:val="20"/>
        </w:rPr>
      </w:pPr>
    </w:p>
    <w:p w14:paraId="2D81A371" w14:textId="77777777" w:rsidR="00BA1871" w:rsidRDefault="00BA1871" w:rsidP="00BA1871">
      <w:pPr>
        <w:pStyle w:val="Text"/>
        <w:spacing w:after="0" w:line="240" w:lineRule="exact"/>
        <w:rPr>
          <w:rFonts w:ascii="Calibri" w:hAnsi="Calibri" w:cs="DIN Pro Regular"/>
          <w:sz w:val="20"/>
        </w:rPr>
      </w:pPr>
    </w:p>
    <w:p w14:paraId="2688EC38" w14:textId="77777777" w:rsidR="00BA1871" w:rsidRDefault="00BA1871" w:rsidP="00BA1871">
      <w:pPr>
        <w:pStyle w:val="Standard"/>
        <w:spacing w:after="0" w:line="240" w:lineRule="auto"/>
      </w:pPr>
    </w:p>
    <w:p w14:paraId="1E243F2D" w14:textId="77777777" w:rsidR="006B7BB6" w:rsidRDefault="006B7BB6"/>
    <w:sectPr w:rsidR="006B7BB6" w:rsidSect="00B12F7D">
      <w:headerReference w:type="default" r:id="rId19"/>
      <w:footerReference w:type="default" r:id="rId20"/>
      <w:pgSz w:w="12240" w:h="15840"/>
      <w:pgMar w:top="1701" w:right="1440" w:bottom="1077" w:left="1440" w:header="454"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N Pro Regular">
    <w:altName w:val="Calibri"/>
    <w:charset w:val="00"/>
    <w:family w:val="swiss"/>
    <w:pitch w:val="variable"/>
  </w:font>
  <w:font w:name="Encode Sans">
    <w:panose1 w:val="00000000000000000000"/>
    <w:charset w:val="00"/>
    <w:family w:val="auto"/>
    <w:pitch w:val="variable"/>
    <w:sig w:usb0="A00000FF" w:usb1="4000207B" w:usb2="00000000" w:usb3="00000000" w:csb0="00000193" w:csb1="00000000"/>
  </w:font>
  <w:font w:name="Helvetica">
    <w:panose1 w:val="020B0604020202020204"/>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EE30" w14:textId="77777777" w:rsidR="00000000" w:rsidRDefault="00000000">
    <w:pPr>
      <w:pStyle w:val="Piedepgina"/>
      <w:jc w:val="center"/>
    </w:pPr>
    <w:r>
      <w:rPr>
        <w:noProof/>
        <w:lang w:eastAsia="es-MX"/>
      </w:rPr>
      <mc:AlternateContent>
        <mc:Choice Requires="wps">
          <w:drawing>
            <wp:anchor distT="0" distB="0" distL="114300" distR="114300" simplePos="0" relativeHeight="251662336" behindDoc="1" locked="0" layoutInCell="1" allowOverlap="1" wp14:anchorId="6F4F79DA" wp14:editId="57028606">
              <wp:simplePos x="0" y="0"/>
              <wp:positionH relativeFrom="column">
                <wp:posOffset>4315</wp:posOffset>
              </wp:positionH>
              <wp:positionV relativeFrom="paragraph">
                <wp:posOffset>-55796</wp:posOffset>
              </wp:positionV>
              <wp:extent cx="6191888" cy="0"/>
              <wp:effectExtent l="0" t="0" r="0" b="0"/>
              <wp:wrapNone/>
              <wp:docPr id="4"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2C44A3AB"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rPr>
      <w:t>2</w:t>
    </w:r>
    <w:r>
      <w:rPr>
        <w:rFonts w:ascii="Helvetica" w:hAnsi="Helvetica" w:cs="Arial"/>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8A6C4" w14:textId="77777777" w:rsidR="00000000" w:rsidRDefault="00000000">
    <w:pPr>
      <w:pStyle w:val="Encabezado"/>
      <w:tabs>
        <w:tab w:val="clear" w:pos="8838"/>
        <w:tab w:val="left" w:pos="7965"/>
      </w:tabs>
    </w:pPr>
    <w:r>
      <w:rPr>
        <w:noProof/>
      </w:rPr>
      <w:drawing>
        <wp:anchor distT="0" distB="0" distL="114300" distR="114300" simplePos="0" relativeHeight="251661312" behindDoc="0" locked="0" layoutInCell="1" allowOverlap="1" wp14:anchorId="4E056E83" wp14:editId="416D7639">
          <wp:simplePos x="0" y="0"/>
          <wp:positionH relativeFrom="margin">
            <wp:align>right</wp:align>
          </wp:positionH>
          <wp:positionV relativeFrom="paragraph">
            <wp:posOffset>35561</wp:posOffset>
          </wp:positionV>
          <wp:extent cx="1665607" cy="591296"/>
          <wp:effectExtent l="0" t="0" r="0" b="0"/>
          <wp:wrapNone/>
          <wp:docPr id="1"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65607" cy="591296"/>
                  </a:xfrm>
                  <a:prstGeom prst="rect">
                    <a:avLst/>
                  </a:prstGeom>
                  <a:noFill/>
                  <a:ln>
                    <a:noFill/>
                    <a:prstDash/>
                  </a:ln>
                </pic:spPr>
              </pic:pic>
            </a:graphicData>
          </a:graphic>
        </wp:anchor>
      </w:drawing>
    </w:r>
    <w:r>
      <w:rPr>
        <w:rFonts w:ascii="Arial" w:hAnsi="Arial" w:cs="Arial"/>
        <w:noProof/>
        <w:lang w:eastAsia="es-MX"/>
      </w:rPr>
      <w:drawing>
        <wp:anchor distT="0" distB="0" distL="114300" distR="114300" simplePos="0" relativeHeight="251659264" behindDoc="0" locked="0" layoutInCell="1" allowOverlap="1" wp14:anchorId="1F5D525C" wp14:editId="5A2D4B3E">
          <wp:simplePos x="0" y="0"/>
          <wp:positionH relativeFrom="column">
            <wp:posOffset>-294007</wp:posOffset>
          </wp:positionH>
          <wp:positionV relativeFrom="paragraph">
            <wp:posOffset>52706</wp:posOffset>
          </wp:positionV>
          <wp:extent cx="1798323" cy="568327"/>
          <wp:effectExtent l="0" t="0" r="0" b="3173"/>
          <wp:wrapTopAndBottom/>
          <wp:docPr id="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798323" cy="568327"/>
                  </a:xfrm>
                  <a:prstGeom prst="rect">
                    <a:avLst/>
                  </a:prstGeom>
                  <a:noFill/>
                  <a:ln>
                    <a:noFill/>
                    <a:prstDash/>
                  </a:ln>
                </pic:spPr>
              </pic:pic>
            </a:graphicData>
          </a:graphic>
        </wp:anchor>
      </w:drawing>
    </w:r>
  </w:p>
  <w:p w14:paraId="6A027655" w14:textId="77777777" w:rsidR="00000000" w:rsidRDefault="00000000">
    <w:pPr>
      <w:pStyle w:val="Encabezado"/>
      <w:tabs>
        <w:tab w:val="clear" w:pos="8838"/>
        <w:tab w:val="left" w:pos="7965"/>
      </w:tabs>
      <w:jc w:val="center"/>
    </w:pPr>
    <w:r>
      <w:rPr>
        <w:noProof/>
        <w:sz w:val="24"/>
        <w:szCs w:val="24"/>
        <w:lang w:eastAsia="es-MX"/>
      </w:rPr>
      <mc:AlternateContent>
        <mc:Choice Requires="wps">
          <w:drawing>
            <wp:anchor distT="0" distB="0" distL="114300" distR="114300" simplePos="0" relativeHeight="251660288" behindDoc="1" locked="0" layoutInCell="1" allowOverlap="1" wp14:anchorId="16AC6FBA" wp14:editId="7047031E">
              <wp:simplePos x="0" y="0"/>
              <wp:positionH relativeFrom="column">
                <wp:posOffset>33174</wp:posOffset>
              </wp:positionH>
              <wp:positionV relativeFrom="paragraph">
                <wp:posOffset>293586</wp:posOffset>
              </wp:positionV>
              <wp:extent cx="6191887" cy="0"/>
              <wp:effectExtent l="0" t="0" r="0" b="0"/>
              <wp:wrapNone/>
              <wp:docPr id="3" name="Conector recto 12"/>
              <wp:cNvGraphicFramePr/>
              <a:graphic xmlns:a="http://schemas.openxmlformats.org/drawingml/2006/main">
                <a:graphicData uri="http://schemas.microsoft.com/office/word/2010/wordprocessingShape">
                  <wps:wsp>
                    <wps:cNvCnPr/>
                    <wps:spPr>
                      <a:xfrm>
                        <a:off x="0" y="0"/>
                        <a:ext cx="6191887" cy="0"/>
                      </a:xfrm>
                      <a:prstGeom prst="straightConnector1">
                        <a:avLst/>
                      </a:prstGeom>
                      <a:noFill/>
                      <a:ln w="25557" cap="flat">
                        <a:solidFill>
                          <a:srgbClr val="BC955C"/>
                        </a:solidFill>
                        <a:prstDash val="solid"/>
                        <a:miter/>
                      </a:ln>
                    </wps:spPr>
                    <wps:bodyPr/>
                  </wps:wsp>
                </a:graphicData>
              </a:graphic>
            </wp:anchor>
          </w:drawing>
        </mc:Choice>
        <mc:Fallback>
          <w:pict>
            <v:shapetype w14:anchorId="1BD770C3" id="_x0000_t32" coordsize="21600,21600" o:spt="32" o:oned="t" path="m,l21600,21600e" filled="f">
              <v:path arrowok="t" fillok="f" o:connecttype="none"/>
              <o:lock v:ext="edit" shapetype="t"/>
            </v:shapetype>
            <v:shape id="Conector recto 12" o:spid="_x0000_s1026" type="#_x0000_t32" style="position:absolute;margin-left:2.6pt;margin-top:23.1pt;width:487.5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oP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" strokecolor="#bc955c" strokeweight=".70992mm">
              <v:stroke joinstyle="miter"/>
            </v:shape>
          </w:pict>
        </mc:Fallback>
      </mc:AlternateContent>
    </w:r>
    <w:r>
      <w:rPr>
        <w:rFonts w:ascii="Encode Sans" w:hAnsi="Encode Sans" w:cs="Arial"/>
        <w:b/>
        <w:sz w:val="24"/>
        <w:szCs w:val="24"/>
      </w:rPr>
      <w:t xml:space="preserve">Auditoría Superior del Estado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55DE3"/>
    <w:multiLevelType w:val="multilevel"/>
    <w:tmpl w:val="43661C50"/>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1080910389">
    <w:abstractNumId w:val="0"/>
  </w:num>
  <w:num w:numId="2" w16cid:durableId="12919394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2F1"/>
    <w:rsid w:val="006B7BB6"/>
    <w:rsid w:val="009742F1"/>
    <w:rsid w:val="00B12F7D"/>
    <w:rsid w:val="00BA18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9B44538D-F1B7-4F5E-8203-5AE8AABA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871"/>
    <w:pPr>
      <w:widowControl w:val="0"/>
      <w:suppressAutoHyphens/>
      <w:autoSpaceDN w:val="0"/>
      <w:spacing w:after="0" w:line="240" w:lineRule="auto"/>
      <w:textAlignment w:val="baseline"/>
    </w:pPr>
    <w:rPr>
      <w:rFonts w:ascii="Calibri" w:eastAsia="Calibri" w:hAnsi="Calibri" w:cs="Times New Roman"/>
      <w:kern w:val="0"/>
      <w:sz w:val="20"/>
      <w:szCs w:val="2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BA1871"/>
    <w:pPr>
      <w:suppressAutoHyphens/>
      <w:autoSpaceDN w:val="0"/>
      <w:spacing w:after="200" w:line="276" w:lineRule="auto"/>
      <w:textAlignment w:val="baseline"/>
    </w:pPr>
    <w:rPr>
      <w:rFonts w:ascii="Calibri" w:eastAsia="Calibri" w:hAnsi="Calibri" w:cs="Times New Roman"/>
      <w:kern w:val="0"/>
      <w14:ligatures w14:val="none"/>
    </w:rPr>
  </w:style>
  <w:style w:type="paragraph" w:styleId="Encabezado">
    <w:name w:val="header"/>
    <w:basedOn w:val="Standard"/>
    <w:link w:val="EncabezadoCar"/>
    <w:rsid w:val="00BA1871"/>
    <w:pPr>
      <w:tabs>
        <w:tab w:val="center" w:pos="4419"/>
        <w:tab w:val="right" w:pos="8838"/>
      </w:tabs>
      <w:spacing w:after="0" w:line="240" w:lineRule="auto"/>
    </w:pPr>
  </w:style>
  <w:style w:type="character" w:customStyle="1" w:styleId="EncabezadoCar">
    <w:name w:val="Encabezado Car"/>
    <w:basedOn w:val="Fuentedeprrafopredeter"/>
    <w:link w:val="Encabezado"/>
    <w:rsid w:val="00BA1871"/>
    <w:rPr>
      <w:rFonts w:ascii="Calibri" w:eastAsia="Calibri" w:hAnsi="Calibri" w:cs="Times New Roman"/>
      <w:kern w:val="0"/>
      <w14:ligatures w14:val="none"/>
    </w:rPr>
  </w:style>
  <w:style w:type="paragraph" w:styleId="Piedepgina">
    <w:name w:val="footer"/>
    <w:basedOn w:val="Standard"/>
    <w:link w:val="PiedepginaCar"/>
    <w:rsid w:val="00BA1871"/>
    <w:pPr>
      <w:tabs>
        <w:tab w:val="center" w:pos="4419"/>
        <w:tab w:val="right" w:pos="8838"/>
      </w:tabs>
      <w:spacing w:after="0" w:line="240" w:lineRule="auto"/>
    </w:pPr>
  </w:style>
  <w:style w:type="character" w:customStyle="1" w:styleId="PiedepginaCar">
    <w:name w:val="Pie de página Car"/>
    <w:basedOn w:val="Fuentedeprrafopredeter"/>
    <w:link w:val="Piedepgina"/>
    <w:rsid w:val="00BA1871"/>
    <w:rPr>
      <w:rFonts w:ascii="Calibri" w:eastAsia="Calibri" w:hAnsi="Calibri" w:cs="Times New Roman"/>
      <w:kern w:val="0"/>
      <w14:ligatures w14:val="none"/>
    </w:rPr>
  </w:style>
  <w:style w:type="paragraph" w:customStyle="1" w:styleId="Text">
    <w:name w:val="Text"/>
    <w:basedOn w:val="Standard"/>
    <w:rsid w:val="00BA1871"/>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rsid w:val="00BA1871"/>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rsid w:val="00BA1871"/>
    <w:pPr>
      <w:spacing w:after="101" w:line="216" w:lineRule="exact"/>
      <w:ind w:left="1080" w:hanging="360"/>
      <w:jc w:val="both"/>
    </w:pPr>
    <w:rPr>
      <w:rFonts w:ascii="Arial" w:eastAsia="Times New Roman" w:hAnsi="Arial" w:cs="Arial"/>
      <w:sz w:val="18"/>
      <w:szCs w:val="18"/>
      <w:lang w:val="es-ES" w:eastAsia="es-ES"/>
    </w:rPr>
  </w:style>
  <w:style w:type="numbering" w:customStyle="1" w:styleId="WWNum2">
    <w:name w:val="WWNum2"/>
    <w:basedOn w:val="Sinlista"/>
    <w:rsid w:val="00BA187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13" Type="http://schemas.openxmlformats.org/officeDocument/2006/relationships/image" Target="media/image5.emf"/><Relationship Id="rId18" Type="http://schemas.openxmlformats.org/officeDocument/2006/relationships/package" Target="embeddings/Microsoft_Excel_Worksheet6.xlsx"/><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package" Target="embeddings/Microsoft_Excel_Worksheet3.xlsx"/><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package" Target="embeddings/Microsoft_Excel_Worksheet5.xlsx"/><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package" Target="embeddings/Microsoft_Excel_Worksheet.xlsx"/><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image" Target="media/image6.emf"/><Relationship Id="rId10" Type="http://schemas.openxmlformats.org/officeDocument/2006/relationships/package" Target="embeddings/Microsoft_Excel_Worksheet2.xlsx"/><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package" Target="embeddings/Microsoft_Excel_Worksheet4.xlsx"/><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3436</Words>
  <Characters>18900</Characters>
  <Application>Microsoft Office Word</Application>
  <DocSecurity>0</DocSecurity>
  <Lines>157</Lines>
  <Paragraphs>44</Paragraphs>
  <ScaleCrop>false</ScaleCrop>
  <Company/>
  <LinksUpToDate>false</LinksUpToDate>
  <CharactersWithSpaces>22292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Dávila García</dc:creator>
  <cp:keywords/>
  <dc:description/>
  <cp:lastModifiedBy>Alfredo Dávila García</cp:lastModifiedBy>
  <cp:revision>2</cp:revision>
  <dcterms:created xsi:type="dcterms:W3CDTF">2025-02-19T19:51:00Z</dcterms:created>
  <dcterms:modified xsi:type="dcterms:W3CDTF">2025-02-19T19:52:00Z</dcterms:modified>
</cp:coreProperties>
</file>