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2056" w14:textId="77777777" w:rsidR="00F25E5A" w:rsidRPr="001A27B7" w:rsidRDefault="00B011F4" w:rsidP="00EC7D22">
      <w:pPr>
        <w:pStyle w:val="Asuntodelcomentario"/>
        <w:jc w:val="center"/>
        <w:rPr>
          <w:sz w:val="22"/>
          <w:szCs w:val="22"/>
        </w:rPr>
      </w:pPr>
      <w:r w:rsidRPr="001A27B7">
        <w:rPr>
          <w:sz w:val="22"/>
          <w:szCs w:val="22"/>
        </w:rPr>
        <w:t>NOTAS A LOS ESTADOS FINANCIEROS</w:t>
      </w:r>
    </w:p>
    <w:p w14:paraId="790E7FED" w14:textId="77777777" w:rsidR="00F25E5A" w:rsidRDefault="00F25E5A" w:rsidP="00EC7D22">
      <w:pPr>
        <w:pStyle w:val="Asuntodelcomentario"/>
        <w:jc w:val="center"/>
        <w:rPr>
          <w:sz w:val="24"/>
          <w:szCs w:val="24"/>
        </w:rPr>
      </w:pPr>
    </w:p>
    <w:p w14:paraId="5271C3D8" w14:textId="08993838" w:rsidR="00B011F4" w:rsidRPr="00F25E5A" w:rsidRDefault="00B011F4" w:rsidP="00EC7D22">
      <w:pPr>
        <w:pStyle w:val="Asuntodelcomentario"/>
        <w:jc w:val="center"/>
        <w:rPr>
          <w:rFonts w:cs="Calibri"/>
          <w:sz w:val="22"/>
          <w:szCs w:val="18"/>
        </w:rPr>
      </w:pPr>
      <w:r w:rsidRPr="00F25E5A">
        <w:rPr>
          <w:rFonts w:cs="Calibri"/>
          <w:sz w:val="22"/>
          <w:szCs w:val="18"/>
        </w:rPr>
        <w:t xml:space="preserve">Al </w:t>
      </w:r>
      <w:r w:rsidR="00F25E5A" w:rsidRPr="00F25E5A">
        <w:rPr>
          <w:rFonts w:cs="Calibri"/>
          <w:sz w:val="22"/>
          <w:szCs w:val="18"/>
        </w:rPr>
        <w:t xml:space="preserve">31 de </w:t>
      </w:r>
      <w:proofErr w:type="spellStart"/>
      <w:r w:rsidR="00F25E5A" w:rsidRPr="00F25E5A">
        <w:rPr>
          <w:rFonts w:cs="Calibri"/>
          <w:sz w:val="22"/>
          <w:szCs w:val="18"/>
        </w:rPr>
        <w:t>Diciembre</w:t>
      </w:r>
      <w:proofErr w:type="spellEnd"/>
      <w:r w:rsidRPr="00F25E5A">
        <w:rPr>
          <w:rFonts w:cs="Calibri"/>
          <w:sz w:val="22"/>
          <w:szCs w:val="18"/>
        </w:rPr>
        <w:t xml:space="preserve"> de 2024</w:t>
      </w:r>
    </w:p>
    <w:p w14:paraId="2F895153" w14:textId="77777777" w:rsidR="00F25E5A" w:rsidRPr="00F25E5A" w:rsidRDefault="00F25E5A" w:rsidP="00EC7D22">
      <w:pPr>
        <w:spacing w:after="0" w:line="240" w:lineRule="auto"/>
        <w:jc w:val="center"/>
        <w:rPr>
          <w:rFonts w:eastAsia="Times New Roman" w:cs="Calibri"/>
          <w:b/>
          <w:bCs/>
          <w:lang w:eastAsia="es-ES"/>
        </w:rPr>
      </w:pPr>
    </w:p>
    <w:p w14:paraId="7173227D" w14:textId="3C4EA128" w:rsidR="00B011F4" w:rsidRDefault="00B011F4" w:rsidP="00EC7D22">
      <w:pPr>
        <w:spacing w:after="0" w:line="240" w:lineRule="auto"/>
        <w:jc w:val="center"/>
        <w:rPr>
          <w:rFonts w:eastAsia="Times New Roman" w:cs="Calibri"/>
          <w:b/>
          <w:lang w:eastAsia="es-ES"/>
        </w:rPr>
      </w:pPr>
      <w:r>
        <w:rPr>
          <w:rFonts w:eastAsia="Times New Roman" w:cs="Calibri"/>
          <w:b/>
          <w:lang w:eastAsia="es-ES"/>
        </w:rPr>
        <w:t>a) Notas de Gestión Administrativa</w:t>
      </w:r>
    </w:p>
    <w:p w14:paraId="68FEFA43" w14:textId="77777777" w:rsidR="00B011F4" w:rsidRPr="005E025E" w:rsidRDefault="00B011F4" w:rsidP="00EC7D22">
      <w:pPr>
        <w:pStyle w:val="Prrafodelista"/>
        <w:spacing w:after="0" w:line="240" w:lineRule="auto"/>
        <w:ind w:left="0"/>
        <w:jc w:val="center"/>
        <w:rPr>
          <w:rFonts w:eastAsia="Times New Roman" w:cs="Calibri"/>
          <w:bCs/>
          <w:i/>
          <w:iCs/>
          <w:sz w:val="20"/>
          <w:szCs w:val="20"/>
          <w:lang w:eastAsia="es-ES"/>
        </w:rPr>
      </w:pPr>
      <w:r w:rsidRPr="005E025E">
        <w:rPr>
          <w:rFonts w:eastAsia="Times New Roman" w:cs="Calibri"/>
          <w:bCs/>
          <w:i/>
          <w:iCs/>
          <w:sz w:val="20"/>
          <w:szCs w:val="20"/>
          <w:lang w:eastAsia="es-ES"/>
        </w:rPr>
        <w:t>(Cifras en Pesos)</w:t>
      </w:r>
    </w:p>
    <w:p w14:paraId="4539BA79" w14:textId="77777777" w:rsidR="007745EB" w:rsidRDefault="007745EB" w:rsidP="00EC7D22">
      <w:pPr>
        <w:pStyle w:val="Prrafodelista"/>
        <w:spacing w:after="0" w:line="240" w:lineRule="exact"/>
        <w:ind w:left="0"/>
        <w:jc w:val="both"/>
        <w:rPr>
          <w:rFonts w:eastAsia="Times New Roman" w:cs="Calibri"/>
          <w:b/>
          <w:sz w:val="20"/>
          <w:szCs w:val="20"/>
          <w:lang w:val="es-ES" w:eastAsia="es-ES"/>
        </w:rPr>
      </w:pPr>
    </w:p>
    <w:p w14:paraId="7E01541B" w14:textId="0C6AE0D3" w:rsidR="00B74886" w:rsidRPr="00B74886" w:rsidRDefault="00B74886" w:rsidP="00EC7D22">
      <w:pPr>
        <w:pStyle w:val="Prrafodelista"/>
        <w:shd w:val="clear" w:color="auto" w:fill="FFFFFF"/>
        <w:spacing w:after="0" w:line="240" w:lineRule="exact"/>
        <w:ind w:left="0"/>
        <w:jc w:val="both"/>
        <w:rPr>
          <w:rFonts w:eastAsia="Arial" w:cs="Calibri"/>
          <w:b/>
          <w:bCs/>
          <w:sz w:val="20"/>
          <w:szCs w:val="18"/>
        </w:rPr>
      </w:pPr>
      <w:r w:rsidRPr="00B74886">
        <w:rPr>
          <w:rFonts w:eastAsia="Arial" w:cs="Calibri"/>
          <w:b/>
          <w:bCs/>
          <w:sz w:val="20"/>
          <w:szCs w:val="18"/>
        </w:rPr>
        <w:t>Introducción</w:t>
      </w:r>
    </w:p>
    <w:p w14:paraId="1900A356" w14:textId="77777777" w:rsidR="00B74886" w:rsidRDefault="00B74886" w:rsidP="00EC7D22">
      <w:pPr>
        <w:pStyle w:val="Prrafodelista"/>
        <w:shd w:val="clear" w:color="auto" w:fill="FFFFFF"/>
        <w:spacing w:after="0" w:line="240" w:lineRule="exact"/>
        <w:ind w:left="0"/>
        <w:jc w:val="both"/>
        <w:rPr>
          <w:rFonts w:eastAsia="Times New Roman" w:cs="Calibri"/>
          <w:sz w:val="20"/>
          <w:szCs w:val="20"/>
          <w:lang w:val="es-ES" w:eastAsia="es-ES"/>
        </w:rPr>
      </w:pPr>
    </w:p>
    <w:p w14:paraId="52B38A6C" w14:textId="67713B6B" w:rsidR="007745EB" w:rsidRDefault="00C87FDA" w:rsidP="00EC7D22">
      <w:pPr>
        <w:pStyle w:val="Prrafodelista"/>
        <w:shd w:val="clear" w:color="auto" w:fill="FFFFFF"/>
        <w:spacing w:after="0" w:line="240" w:lineRule="exact"/>
        <w:ind w:left="0"/>
        <w:jc w:val="both"/>
        <w:rPr>
          <w:rFonts w:eastAsia="Times New Roman" w:cs="Calibri"/>
          <w:sz w:val="20"/>
          <w:szCs w:val="20"/>
          <w:lang w:val="es-ES" w:eastAsia="es-ES"/>
        </w:rPr>
      </w:pPr>
      <w:r>
        <w:rPr>
          <w:rFonts w:eastAsia="Times New Roman" w:cs="Calibri"/>
          <w:sz w:val="20"/>
          <w:szCs w:val="20"/>
          <w:lang w:val="es-ES" w:eastAsia="es-ES"/>
        </w:rPr>
        <w:t>En cumplimiento a la Ley General de Contabilidad Gubernamental se presenta la Información Contable, Presupuestal Programática  y Anexos del Poder Ejecutivo del Estado de Tamaulipas bajo la Normatividad emitida por el Consejo Nacional del Armonización Contable y la Ley del Gasto Público Estatal, apegándose a la Ley de Ingresos para el 2024, aprobada mediante el Decreto No.65-805  y  Presupuesto de Egresos promulgado en el Decreto No. 65-806 para el Ejercicio Fiscal 2024, publicado en el Periódico Oficial del Estado el 23 de diciembre de 2023 en la edición Extraordinaria Núm. 37.</w:t>
      </w:r>
    </w:p>
    <w:p w14:paraId="4CD2429A" w14:textId="77777777" w:rsidR="007745EB" w:rsidRDefault="007745EB" w:rsidP="00EC7D22">
      <w:pPr>
        <w:pStyle w:val="Prrafodelista"/>
        <w:shd w:val="clear" w:color="auto" w:fill="FFFFFF"/>
        <w:spacing w:after="0" w:line="240" w:lineRule="exact"/>
        <w:ind w:left="0"/>
        <w:jc w:val="both"/>
        <w:rPr>
          <w:rFonts w:eastAsia="Times New Roman" w:cs="Calibri"/>
          <w:sz w:val="20"/>
          <w:szCs w:val="20"/>
          <w:lang w:val="es-ES" w:eastAsia="es-ES"/>
        </w:rPr>
      </w:pPr>
    </w:p>
    <w:p w14:paraId="475374FD" w14:textId="5BF2DF0B" w:rsidR="00F26249" w:rsidRPr="001133D1" w:rsidRDefault="00F26249" w:rsidP="00EC7D22">
      <w:pPr>
        <w:pStyle w:val="Prrafodelista"/>
        <w:widowControl w:val="0"/>
        <w:numPr>
          <w:ilvl w:val="0"/>
          <w:numId w:val="70"/>
        </w:numPr>
        <w:spacing w:after="0" w:line="240" w:lineRule="auto"/>
        <w:ind w:left="0" w:right="3566" w:firstLine="0"/>
        <w:jc w:val="both"/>
        <w:outlineLvl w:val="0"/>
        <w:rPr>
          <w:rFonts w:eastAsia="Arial" w:cs="Calibri"/>
          <w:b/>
          <w:bCs/>
          <w:sz w:val="20"/>
          <w:szCs w:val="18"/>
        </w:rPr>
      </w:pPr>
      <w:r w:rsidRPr="001133D1">
        <w:rPr>
          <w:rFonts w:eastAsia="Arial" w:cs="Calibri"/>
          <w:b/>
          <w:bCs/>
          <w:sz w:val="20"/>
          <w:szCs w:val="18"/>
        </w:rPr>
        <w:t>Autorización e Historia</w:t>
      </w:r>
    </w:p>
    <w:p w14:paraId="67BBF6BC" w14:textId="77777777" w:rsidR="00F26249" w:rsidRDefault="00F26249" w:rsidP="00EC7D22">
      <w:pPr>
        <w:pStyle w:val="Prrafodelista"/>
        <w:spacing w:after="0" w:line="240" w:lineRule="auto"/>
        <w:ind w:left="0"/>
        <w:jc w:val="both"/>
        <w:rPr>
          <w:rFonts w:eastAsia="Times New Roman" w:cs="Calibri"/>
          <w:sz w:val="20"/>
          <w:szCs w:val="20"/>
          <w:lang w:val="es-ES" w:eastAsia="es-ES"/>
        </w:rPr>
      </w:pPr>
    </w:p>
    <w:p w14:paraId="30F5688F" w14:textId="77777777" w:rsidR="00F26249" w:rsidRDefault="00F26249" w:rsidP="00EC7D22">
      <w:pPr>
        <w:pStyle w:val="Prrafodelista"/>
        <w:numPr>
          <w:ilvl w:val="1"/>
          <w:numId w:val="25"/>
        </w:numPr>
        <w:spacing w:after="0" w:line="240" w:lineRule="auto"/>
        <w:ind w:left="0" w:firstLine="0"/>
        <w:jc w:val="both"/>
        <w:rPr>
          <w:rFonts w:cs="Calibri"/>
          <w:sz w:val="20"/>
          <w:szCs w:val="20"/>
        </w:rPr>
      </w:pPr>
      <w:r>
        <w:rPr>
          <w:rFonts w:cs="Calibri"/>
          <w:sz w:val="20"/>
          <w:szCs w:val="20"/>
        </w:rPr>
        <w:t xml:space="preserve">Fecha de creación del Ente. </w:t>
      </w:r>
    </w:p>
    <w:p w14:paraId="51B8FCC1" w14:textId="4E17CD07" w:rsidR="00F26249" w:rsidRDefault="00F26249" w:rsidP="00EC7D22">
      <w:pPr>
        <w:spacing w:after="0" w:line="240" w:lineRule="auto"/>
        <w:jc w:val="both"/>
        <w:rPr>
          <w:rFonts w:cs="Calibri"/>
          <w:sz w:val="20"/>
          <w:szCs w:val="20"/>
        </w:rPr>
      </w:pPr>
      <w:r>
        <w:rPr>
          <w:rFonts w:cs="Calibri"/>
          <w:sz w:val="20"/>
          <w:szCs w:val="20"/>
        </w:rPr>
        <w:t xml:space="preserve">El principal antecedente histórico relativo a la creación del Gobierno del Estado de Tamaulipas, lo constituye la vigencia de la entonces Ley del 8 de </w:t>
      </w:r>
      <w:r w:rsidR="00831652">
        <w:rPr>
          <w:rFonts w:cs="Calibri"/>
          <w:sz w:val="20"/>
          <w:szCs w:val="20"/>
        </w:rPr>
        <w:t>e</w:t>
      </w:r>
      <w:r>
        <w:rPr>
          <w:rFonts w:cs="Calibri"/>
          <w:sz w:val="20"/>
          <w:szCs w:val="20"/>
        </w:rPr>
        <w:t xml:space="preserve">nero de 1824 emitida por el Congreso Nacional, así como el Acta Constitutiva de la Federación Mexicana del 31 de </w:t>
      </w:r>
      <w:r w:rsidR="00831652">
        <w:rPr>
          <w:rFonts w:cs="Calibri"/>
          <w:sz w:val="20"/>
          <w:szCs w:val="20"/>
        </w:rPr>
        <w:t>e</w:t>
      </w:r>
      <w:r>
        <w:rPr>
          <w:rFonts w:cs="Calibri"/>
          <w:sz w:val="20"/>
          <w:szCs w:val="20"/>
        </w:rPr>
        <w:t xml:space="preserve">nero del mismo año, mediante la cual quedó instalado el Primer Congreso Constituyente de Tamaulipas, ello el 7 de </w:t>
      </w:r>
      <w:r w:rsidR="00831652">
        <w:rPr>
          <w:rFonts w:cs="Calibri"/>
          <w:sz w:val="20"/>
          <w:szCs w:val="20"/>
        </w:rPr>
        <w:t>j</w:t>
      </w:r>
      <w:r>
        <w:rPr>
          <w:rFonts w:cs="Calibri"/>
          <w:sz w:val="20"/>
          <w:szCs w:val="20"/>
        </w:rPr>
        <w:t>ulio de 1824 en la Antigua Villa de Padilla, lo cual ocurrió tres años después de haber sido jurada en Aguayo la Independencia de México.</w:t>
      </w:r>
    </w:p>
    <w:p w14:paraId="40C56AE7" w14:textId="77777777" w:rsidR="00F26249" w:rsidRDefault="00F26249" w:rsidP="00EC7D22">
      <w:pPr>
        <w:spacing w:after="0" w:line="240" w:lineRule="auto"/>
        <w:jc w:val="both"/>
        <w:rPr>
          <w:rFonts w:cs="Calibri"/>
          <w:sz w:val="20"/>
          <w:szCs w:val="20"/>
        </w:rPr>
      </w:pPr>
    </w:p>
    <w:p w14:paraId="70A3043F" w14:textId="77777777" w:rsidR="00F26249" w:rsidRDefault="00F26249" w:rsidP="00EC7D22">
      <w:pPr>
        <w:pStyle w:val="Prrafodelista"/>
        <w:numPr>
          <w:ilvl w:val="1"/>
          <w:numId w:val="25"/>
        </w:numPr>
        <w:spacing w:after="0" w:line="240" w:lineRule="auto"/>
        <w:ind w:left="0" w:firstLine="0"/>
        <w:jc w:val="both"/>
        <w:rPr>
          <w:rFonts w:cs="Calibri"/>
          <w:sz w:val="20"/>
          <w:szCs w:val="20"/>
        </w:rPr>
      </w:pPr>
      <w:r>
        <w:rPr>
          <w:rFonts w:cs="Calibri"/>
          <w:sz w:val="20"/>
          <w:szCs w:val="20"/>
        </w:rPr>
        <w:t>Principales cambios en su estructura.</w:t>
      </w:r>
    </w:p>
    <w:p w14:paraId="38E6C70B" w14:textId="6E6C1F15" w:rsidR="00F26249" w:rsidRDefault="00F26249" w:rsidP="00EC7D22">
      <w:pPr>
        <w:spacing w:after="0" w:line="240" w:lineRule="auto"/>
        <w:contextualSpacing/>
        <w:jc w:val="both"/>
        <w:rPr>
          <w:rFonts w:cs="Calibri"/>
          <w:sz w:val="18"/>
          <w:szCs w:val="18"/>
        </w:rPr>
      </w:pPr>
      <w:r>
        <w:rPr>
          <w:rFonts w:cs="Calibri"/>
          <w:sz w:val="20"/>
          <w:szCs w:val="20"/>
        </w:rPr>
        <w:t xml:space="preserve">Con la Evolución Política y Económica del País, los Tres Poderes que Constituyen el Gobierno del Estado se han adaptado al Entorno Social, Económico y Político que ha transformado a México desde su Independencia, de tal forma que han reformado permanentemente sus Leyes Orgánicas en el caso del Poder Legislativo y del Poder Judicial. Igual ha ocurrido en el Poder Ejecutivo, ya que similar proceso aplica para la Ley Orgánica de la Administración Pública del Estado de Tamaulipas, cuyas última Reforma fue publicada el </w:t>
      </w:r>
      <w:r w:rsidR="00D37857">
        <w:rPr>
          <w:rFonts w:cs="Calibri"/>
          <w:sz w:val="20"/>
          <w:szCs w:val="20"/>
        </w:rPr>
        <w:t>20 de diciembre de</w:t>
      </w:r>
      <w:r>
        <w:rPr>
          <w:rFonts w:cs="Calibri"/>
          <w:sz w:val="20"/>
          <w:szCs w:val="20"/>
        </w:rPr>
        <w:t xml:space="preserve"> 2024 en el Periódico Oficial del Estado.</w:t>
      </w:r>
    </w:p>
    <w:p w14:paraId="6298976A" w14:textId="77777777" w:rsidR="00F26249" w:rsidRDefault="00F26249" w:rsidP="00EC7D22">
      <w:pPr>
        <w:pStyle w:val="Prrafodelista"/>
        <w:shd w:val="clear" w:color="auto" w:fill="FFFFFF"/>
        <w:spacing w:after="0" w:line="240" w:lineRule="exact"/>
        <w:ind w:left="0"/>
        <w:jc w:val="both"/>
        <w:rPr>
          <w:rFonts w:eastAsia="Times New Roman" w:cs="Calibri"/>
          <w:sz w:val="20"/>
          <w:szCs w:val="20"/>
          <w:lang w:val="es-ES" w:eastAsia="es-ES"/>
        </w:rPr>
      </w:pPr>
    </w:p>
    <w:p w14:paraId="694826B1" w14:textId="3EA88821" w:rsidR="00537D12" w:rsidRPr="0081110D" w:rsidRDefault="00537D12" w:rsidP="00EC7D22">
      <w:pPr>
        <w:jc w:val="both"/>
        <w:rPr>
          <w:rFonts w:cs="Calibri"/>
          <w:color w:val="000000" w:themeColor="text1"/>
          <w:sz w:val="20"/>
          <w:szCs w:val="20"/>
        </w:rPr>
      </w:pPr>
      <w:r w:rsidRPr="0081110D">
        <w:rPr>
          <w:rFonts w:cs="Calibri"/>
          <w:color w:val="000000" w:themeColor="text1"/>
          <w:sz w:val="20"/>
          <w:szCs w:val="20"/>
        </w:rPr>
        <w:t>Las cifras utilizadas para el cálculo tomaron en consideración la información y documentación proporcionada por las Entidades Federativas, la información contable publicada por las propias Entidades conforme a los formatos a que hace referencia la Ley; así como, la información disponible en el Registro Público Único a cargo de la Secretaría.</w:t>
      </w:r>
    </w:p>
    <w:p w14:paraId="7FA831AC" w14:textId="627B334D" w:rsidR="00537D12" w:rsidRDefault="00537D12" w:rsidP="00EC7D22">
      <w:pPr>
        <w:rPr>
          <w:rFonts w:cs="Calibri"/>
          <w:color w:val="000000" w:themeColor="text1"/>
          <w:sz w:val="20"/>
          <w:szCs w:val="20"/>
        </w:rPr>
      </w:pPr>
      <w:r w:rsidRPr="0081110D">
        <w:rPr>
          <w:rFonts w:cs="Calibri"/>
          <w:color w:val="000000" w:themeColor="text1"/>
          <w:sz w:val="20"/>
          <w:szCs w:val="20"/>
        </w:rPr>
        <w:t>La medición del Sistema de Alertas es realizada tanto con información de Cuenta Pública la cual es vinculante; así como con las actualizaciones trimestrales las cuales sólo tienen fines informativos y de seguimiento.</w:t>
      </w:r>
    </w:p>
    <w:p w14:paraId="0E0AEC53" w14:textId="60DB52D9" w:rsidR="0059455A" w:rsidRPr="001133D1" w:rsidRDefault="0059455A" w:rsidP="00EC7D22">
      <w:pPr>
        <w:pStyle w:val="Prrafodelista"/>
        <w:numPr>
          <w:ilvl w:val="0"/>
          <w:numId w:val="70"/>
        </w:numPr>
        <w:ind w:left="0" w:firstLine="0"/>
        <w:jc w:val="both"/>
        <w:rPr>
          <w:rFonts w:cs="Calibri"/>
          <w:b/>
          <w:bCs/>
          <w:sz w:val="20"/>
          <w:szCs w:val="20"/>
        </w:rPr>
      </w:pPr>
      <w:r w:rsidRPr="001133D1">
        <w:rPr>
          <w:rFonts w:cs="Calibri"/>
          <w:b/>
          <w:bCs/>
          <w:sz w:val="20"/>
          <w:szCs w:val="20"/>
        </w:rPr>
        <w:t>Panorama Económico y Financiero.</w:t>
      </w:r>
    </w:p>
    <w:p w14:paraId="5CECC907" w14:textId="4E764432" w:rsidR="001701C5" w:rsidRDefault="00F25E5A" w:rsidP="00EC7D22">
      <w:pPr>
        <w:jc w:val="both"/>
        <w:rPr>
          <w:rFonts w:cs="Calibri"/>
          <w:b/>
          <w:bCs/>
          <w:sz w:val="20"/>
          <w:szCs w:val="20"/>
        </w:rPr>
      </w:pPr>
      <w:r w:rsidRPr="00F25E5A">
        <w:rPr>
          <w:rFonts w:cs="Calibri"/>
          <w:b/>
          <w:bCs/>
          <w:sz w:val="20"/>
          <w:szCs w:val="20"/>
        </w:rPr>
        <w:t xml:space="preserve">Escenario Económico </w:t>
      </w:r>
      <w:r w:rsidR="0059455A">
        <w:rPr>
          <w:rFonts w:cs="Calibri"/>
          <w:b/>
          <w:bCs/>
          <w:sz w:val="20"/>
          <w:szCs w:val="20"/>
        </w:rPr>
        <w:t>Estatal</w:t>
      </w:r>
      <w:r w:rsidRPr="00F25E5A">
        <w:rPr>
          <w:rFonts w:cs="Calibri"/>
          <w:b/>
          <w:bCs/>
          <w:sz w:val="20"/>
          <w:szCs w:val="20"/>
        </w:rPr>
        <w:t xml:space="preserve"> al </w:t>
      </w:r>
      <w:r w:rsidR="0059455A">
        <w:rPr>
          <w:rFonts w:cs="Calibri"/>
          <w:b/>
          <w:bCs/>
          <w:sz w:val="20"/>
          <w:szCs w:val="20"/>
        </w:rPr>
        <w:t xml:space="preserve">cierre </w:t>
      </w:r>
      <w:r w:rsidR="0059455A" w:rsidRPr="00F64288">
        <w:rPr>
          <w:rFonts w:cs="Calibri"/>
          <w:b/>
          <w:bCs/>
          <w:sz w:val="20"/>
          <w:szCs w:val="20"/>
        </w:rPr>
        <w:t>de</w:t>
      </w:r>
      <w:r w:rsidR="00450E90" w:rsidRPr="00F64288">
        <w:rPr>
          <w:rFonts w:cs="Calibri"/>
          <w:b/>
          <w:bCs/>
          <w:sz w:val="20"/>
          <w:szCs w:val="20"/>
        </w:rPr>
        <w:t xml:space="preserve"> </w:t>
      </w:r>
      <w:r w:rsidR="0059455A" w:rsidRPr="00F64288">
        <w:rPr>
          <w:rFonts w:cs="Calibri"/>
          <w:b/>
          <w:bCs/>
          <w:sz w:val="20"/>
          <w:szCs w:val="20"/>
        </w:rPr>
        <w:t>l</w:t>
      </w:r>
      <w:r w:rsidR="00450E90" w:rsidRPr="00F64288">
        <w:rPr>
          <w:rFonts w:cs="Calibri"/>
          <w:b/>
          <w:bCs/>
          <w:sz w:val="20"/>
          <w:szCs w:val="20"/>
        </w:rPr>
        <w:t>a Cuenta Pública</w:t>
      </w:r>
      <w:r w:rsidR="00450E90" w:rsidRPr="00F64288">
        <w:rPr>
          <w:rStyle w:val="Refdecomentario"/>
          <w:lang w:val="en-US"/>
        </w:rPr>
        <w:t xml:space="preserve"> </w:t>
      </w:r>
      <w:r w:rsidR="00450E90" w:rsidRPr="00F64288">
        <w:rPr>
          <w:rFonts w:cs="Calibri"/>
          <w:b/>
          <w:bCs/>
          <w:sz w:val="20"/>
          <w:szCs w:val="20"/>
        </w:rPr>
        <w:t>del ejercicio</w:t>
      </w:r>
      <w:r w:rsidRPr="00F64288">
        <w:rPr>
          <w:rFonts w:cs="Calibri"/>
          <w:b/>
          <w:bCs/>
          <w:sz w:val="20"/>
          <w:szCs w:val="20"/>
        </w:rPr>
        <w:t xml:space="preserve"> 2024.</w:t>
      </w:r>
      <w:r w:rsidRPr="00F25E5A">
        <w:rPr>
          <w:rFonts w:cs="Calibri"/>
          <w:b/>
          <w:bCs/>
          <w:sz w:val="20"/>
          <w:szCs w:val="20"/>
        </w:rPr>
        <w:t xml:space="preserve"> </w:t>
      </w:r>
    </w:p>
    <w:p w14:paraId="2A23009E" w14:textId="6AAAD425" w:rsidR="00D829E1" w:rsidRDefault="00D829E1" w:rsidP="00EC7D22">
      <w:pPr>
        <w:jc w:val="both"/>
        <w:rPr>
          <w:rFonts w:cs="Calibri"/>
          <w:b/>
          <w:bCs/>
          <w:sz w:val="20"/>
          <w:szCs w:val="20"/>
        </w:rPr>
      </w:pPr>
    </w:p>
    <w:p w14:paraId="36998DFF" w14:textId="77777777" w:rsidR="00D829E1" w:rsidRPr="0059455A" w:rsidRDefault="00D829E1" w:rsidP="00EC7D22">
      <w:pPr>
        <w:jc w:val="both"/>
        <w:rPr>
          <w:rFonts w:cs="Calibri"/>
          <w:b/>
          <w:bCs/>
          <w:sz w:val="20"/>
          <w:szCs w:val="20"/>
        </w:rPr>
      </w:pPr>
    </w:p>
    <w:p w14:paraId="252FD706" w14:textId="0CFCDE3C" w:rsidR="00F25E5A" w:rsidRDefault="00964D7F" w:rsidP="00EC7D22">
      <w:pPr>
        <w:pStyle w:val="Prrafodelista"/>
        <w:ind w:left="0"/>
        <w:jc w:val="both"/>
        <w:rPr>
          <w:rFonts w:cs="Calibri"/>
          <w:b/>
          <w:bCs/>
          <w:color w:val="000000" w:themeColor="text1"/>
          <w:sz w:val="20"/>
          <w:szCs w:val="20"/>
        </w:rPr>
      </w:pPr>
      <w:r>
        <w:rPr>
          <w:rFonts w:cs="Calibri"/>
          <w:b/>
          <w:bCs/>
          <w:color w:val="000000" w:themeColor="text1"/>
          <w:sz w:val="20"/>
          <w:szCs w:val="20"/>
        </w:rPr>
        <w:lastRenderedPageBreak/>
        <w:t xml:space="preserve">2.1 </w:t>
      </w:r>
      <w:r w:rsidR="00F25E5A" w:rsidRPr="001133D1">
        <w:rPr>
          <w:rFonts w:cs="Calibri"/>
          <w:b/>
          <w:bCs/>
          <w:color w:val="000000" w:themeColor="text1"/>
          <w:sz w:val="20"/>
          <w:szCs w:val="20"/>
        </w:rPr>
        <w:t xml:space="preserve">Panorama </w:t>
      </w:r>
      <w:r w:rsidR="001701C5" w:rsidRPr="001133D1">
        <w:rPr>
          <w:rFonts w:cs="Calibri"/>
          <w:b/>
          <w:bCs/>
          <w:color w:val="000000" w:themeColor="text1"/>
          <w:sz w:val="20"/>
          <w:szCs w:val="20"/>
        </w:rPr>
        <w:t>Socioeconómico</w:t>
      </w:r>
      <w:r w:rsidR="00F25E5A" w:rsidRPr="001133D1">
        <w:rPr>
          <w:rFonts w:cs="Calibri"/>
          <w:b/>
          <w:bCs/>
          <w:color w:val="000000" w:themeColor="text1"/>
          <w:sz w:val="20"/>
          <w:szCs w:val="20"/>
        </w:rPr>
        <w:t xml:space="preserve"> Estatal.</w:t>
      </w:r>
    </w:p>
    <w:p w14:paraId="628FF1C2" w14:textId="68118D5C"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Tamaulipas es una entidad federativa ubicada en la frontera norte del país, con una extensión territorial de 80,249 kilómetros cuadrados, comparte con los Estados Unidos de América una frontera común de 370 kilómetros con el Estado de Texas, colinda también con los Estados de Nuevo León, Veracruz y San Luis Potosí, además cuenta con un litoral de 433 kilómetros con el Golfo de México, que incluye la operación de los Puertos de Tampico, Altamira y Matamoros.</w:t>
      </w:r>
    </w:p>
    <w:p w14:paraId="2E910D72" w14:textId="0468FE5B"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En el rubro de servicios de aeronavegación, Tamaulipas cuenta con los Aeropuertos internacionales de Tampico, Ciudad. Victoria, Matamoros, Reynosa y Nuevo Laredo.</w:t>
      </w:r>
    </w:p>
    <w:p w14:paraId="3DAAD148" w14:textId="67E315B3"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En su importante relación comercial con los Estados Unidos, Tamaulipas comparte con el Estado de Texas un total de 18 cruces internacionales, de los cuales 9 son comerciales, 7 vehiculares y 2 ferroviarios.</w:t>
      </w:r>
    </w:p>
    <w:p w14:paraId="68FC541D" w14:textId="1FAB03D0" w:rsidR="00F25E5A" w:rsidRPr="00DE2B3C" w:rsidRDefault="00F25E5A" w:rsidP="00EC7D22">
      <w:pPr>
        <w:jc w:val="both"/>
        <w:rPr>
          <w:rFonts w:cs="Calibri"/>
          <w:b/>
          <w:bCs/>
          <w:color w:val="000000" w:themeColor="text1"/>
          <w:sz w:val="20"/>
          <w:szCs w:val="20"/>
        </w:rPr>
      </w:pPr>
      <w:r w:rsidRPr="00DE2B3C">
        <w:rPr>
          <w:rFonts w:cs="Calibri"/>
          <w:b/>
          <w:bCs/>
          <w:color w:val="000000" w:themeColor="text1"/>
          <w:sz w:val="20"/>
          <w:szCs w:val="20"/>
        </w:rPr>
        <w:t xml:space="preserve">Pirámide </w:t>
      </w:r>
      <w:r w:rsidR="00DE2B3C" w:rsidRPr="00DE2B3C">
        <w:rPr>
          <w:rFonts w:cs="Calibri"/>
          <w:b/>
          <w:bCs/>
          <w:color w:val="000000" w:themeColor="text1"/>
          <w:sz w:val="20"/>
          <w:szCs w:val="20"/>
        </w:rPr>
        <w:t xml:space="preserve">poblacional. </w:t>
      </w:r>
    </w:p>
    <w:p w14:paraId="6263ECFC" w14:textId="32BEA393" w:rsidR="00F25E5A" w:rsidRPr="004C6E74" w:rsidRDefault="00DE2B3C" w:rsidP="00EC7D22">
      <w:pPr>
        <w:jc w:val="both"/>
        <w:rPr>
          <w:rFonts w:cs="Calibri"/>
          <w:color w:val="000000" w:themeColor="text1"/>
          <w:sz w:val="20"/>
          <w:szCs w:val="20"/>
        </w:rPr>
      </w:pPr>
      <w:r w:rsidRPr="004C6E74">
        <w:rPr>
          <w:rFonts w:cs="Calibri"/>
          <w:color w:val="000000" w:themeColor="text1"/>
          <w:sz w:val="20"/>
          <w:szCs w:val="20"/>
        </w:rPr>
        <w:t>De acuerdo con el</w:t>
      </w:r>
      <w:r w:rsidR="00F25E5A" w:rsidRPr="004C6E74">
        <w:rPr>
          <w:rFonts w:cs="Calibri"/>
          <w:color w:val="000000" w:themeColor="text1"/>
          <w:sz w:val="20"/>
          <w:szCs w:val="20"/>
        </w:rPr>
        <w:t xml:space="preserve"> último Censo de Población y Vivienda 2020 publicado por el INEGI, Tamaulipas cuenta con una población de 3,527,735 habitantes. De ellos, 1,791,595 son mujeres (50.8%) y 1,736,140 son hombres (49.2%). Tamaulipas ocupa el lugar 14 a nivel nacional por número de habitantes, de los cuales un 61.3% está clasificada como población económicamente activa (PEA), ello considerando a un universo de población de 12 años y más. De este universo, un 40.3% son mujeres, y el restante 59.7% son hombres.</w:t>
      </w:r>
    </w:p>
    <w:p w14:paraId="2E87678C" w14:textId="77777777"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Los municipios de Tamaulipas con mayor población fueron Reynosa (704,767 de habitantes), Matamoros (541,979 de habitantes) y Nuevo Laredo (425,058 de habitantes).</w:t>
      </w:r>
    </w:p>
    <w:p w14:paraId="1B9C4432" w14:textId="7F82ABB1" w:rsidR="00F25E5A" w:rsidRPr="004C6E74" w:rsidRDefault="00D829E1" w:rsidP="00EC7D22">
      <w:pPr>
        <w:jc w:val="both"/>
        <w:rPr>
          <w:rFonts w:cs="Calibri"/>
          <w:color w:val="000000" w:themeColor="text1"/>
          <w:sz w:val="20"/>
          <w:szCs w:val="20"/>
        </w:rPr>
      </w:pPr>
      <w:r w:rsidRPr="004C6E74">
        <w:rPr>
          <w:rFonts w:cs="Calibri"/>
          <w:noProof/>
          <w:color w:val="000000" w:themeColor="text1"/>
          <w:sz w:val="20"/>
          <w:szCs w:val="20"/>
          <w:lang w:eastAsia="es-MX"/>
        </w:rPr>
        <w:drawing>
          <wp:anchor distT="0" distB="0" distL="114300" distR="114300" simplePos="0" relativeHeight="251670528" behindDoc="0" locked="0" layoutInCell="1" allowOverlap="1" wp14:anchorId="69077C11" wp14:editId="610AF6AB">
            <wp:simplePos x="0" y="0"/>
            <wp:positionH relativeFrom="column">
              <wp:posOffset>3309620</wp:posOffset>
            </wp:positionH>
            <wp:positionV relativeFrom="paragraph">
              <wp:posOffset>111760</wp:posOffset>
            </wp:positionV>
            <wp:extent cx="2324100" cy="2762250"/>
            <wp:effectExtent l="0" t="0" r="0" b="0"/>
            <wp:wrapSquare wrapText="bothSides"/>
            <wp:docPr id="1855356372"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56372" name="Imagen 6" descr="Gráfico, Gráfico de barras&#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2762250"/>
                    </a:xfrm>
                    <a:prstGeom prst="rect">
                      <a:avLst/>
                    </a:prstGeom>
                  </pic:spPr>
                </pic:pic>
              </a:graphicData>
            </a:graphic>
            <wp14:sizeRelH relativeFrom="margin">
              <wp14:pctWidth>0</wp14:pctWidth>
            </wp14:sizeRelH>
            <wp14:sizeRelV relativeFrom="margin">
              <wp14:pctHeight>0</wp14:pctHeight>
            </wp14:sizeRelV>
          </wp:anchor>
        </w:drawing>
      </w:r>
      <w:r w:rsidRPr="004C6E74">
        <w:rPr>
          <w:rFonts w:cs="Calibri"/>
          <w:noProof/>
          <w:color w:val="000000" w:themeColor="text1"/>
          <w:sz w:val="20"/>
          <w:szCs w:val="20"/>
          <w:lang w:eastAsia="es-MX"/>
        </w:rPr>
        <w:drawing>
          <wp:anchor distT="0" distB="0" distL="114300" distR="114300" simplePos="0" relativeHeight="251669504" behindDoc="0" locked="0" layoutInCell="1" allowOverlap="1" wp14:anchorId="350158F8" wp14:editId="538CF11E">
            <wp:simplePos x="0" y="0"/>
            <wp:positionH relativeFrom="column">
              <wp:posOffset>766445</wp:posOffset>
            </wp:positionH>
            <wp:positionV relativeFrom="paragraph">
              <wp:posOffset>111760</wp:posOffset>
            </wp:positionV>
            <wp:extent cx="1971675" cy="2762250"/>
            <wp:effectExtent l="0" t="0" r="9525" b="0"/>
            <wp:wrapSquare wrapText="bothSides"/>
            <wp:docPr id="1229479508"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79508" name="Imagen 5" descr="Mapa&#10;&#10;Descripción generada automáticament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71675" cy="2762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F0FFF0" w14:textId="12F8A45C" w:rsidR="00F25E5A" w:rsidRPr="004C6E74" w:rsidRDefault="00F25E5A" w:rsidP="00EC7D22">
      <w:pPr>
        <w:jc w:val="center"/>
        <w:rPr>
          <w:rFonts w:cs="Calibri"/>
          <w:color w:val="000000" w:themeColor="text1"/>
          <w:sz w:val="20"/>
          <w:szCs w:val="20"/>
        </w:rPr>
      </w:pPr>
    </w:p>
    <w:p w14:paraId="3C9788DB" w14:textId="77777777" w:rsidR="00F25E5A" w:rsidRPr="004C6E74" w:rsidRDefault="00F25E5A" w:rsidP="00EC7D22">
      <w:pPr>
        <w:rPr>
          <w:rFonts w:cs="Calibri"/>
          <w:color w:val="000000" w:themeColor="text1"/>
          <w:sz w:val="20"/>
          <w:szCs w:val="20"/>
        </w:rPr>
      </w:pPr>
      <w:r w:rsidRPr="004C6E74">
        <w:rPr>
          <w:rFonts w:cs="Calibri"/>
          <w:noProof/>
          <w:color w:val="000000" w:themeColor="text1"/>
          <w:sz w:val="20"/>
          <w:szCs w:val="20"/>
          <w:lang w:eastAsia="es-MX"/>
        </w:rPr>
        <w:drawing>
          <wp:anchor distT="0" distB="0" distL="114300" distR="114300" simplePos="0" relativeHeight="251659264" behindDoc="0" locked="0" layoutInCell="1" allowOverlap="1" wp14:anchorId="29E8282E" wp14:editId="5A72A1B9">
            <wp:simplePos x="0" y="0"/>
            <wp:positionH relativeFrom="column">
              <wp:posOffset>3723640</wp:posOffset>
            </wp:positionH>
            <wp:positionV relativeFrom="paragraph">
              <wp:posOffset>27940</wp:posOffset>
            </wp:positionV>
            <wp:extent cx="558165" cy="189230"/>
            <wp:effectExtent l="0" t="0" r="635" b="1270"/>
            <wp:wrapThrough wrapText="bothSides">
              <wp:wrapPolygon edited="0">
                <wp:start x="0" y="0"/>
                <wp:lineTo x="0" y="20295"/>
                <wp:lineTo x="21133" y="20295"/>
                <wp:lineTo x="21133" y="0"/>
                <wp:lineTo x="0" y="0"/>
              </wp:wrapPolygon>
            </wp:wrapThrough>
            <wp:docPr id="90234716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47162" name="Imagen 9023471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165" cy="189230"/>
                    </a:xfrm>
                    <a:prstGeom prst="rect">
                      <a:avLst/>
                    </a:prstGeom>
                  </pic:spPr>
                </pic:pic>
              </a:graphicData>
            </a:graphic>
            <wp14:sizeRelH relativeFrom="page">
              <wp14:pctWidth>0</wp14:pctWidth>
            </wp14:sizeRelH>
            <wp14:sizeRelV relativeFrom="page">
              <wp14:pctHeight>0</wp14:pctHeight>
            </wp14:sizeRelV>
          </wp:anchor>
        </w:drawing>
      </w:r>
    </w:p>
    <w:p w14:paraId="2E17CEFA" w14:textId="773FDFDE" w:rsidR="00F25E5A" w:rsidRDefault="00F25E5A" w:rsidP="00EC7D22">
      <w:pPr>
        <w:jc w:val="both"/>
        <w:rPr>
          <w:rFonts w:cs="Calibri"/>
          <w:color w:val="000000" w:themeColor="text1"/>
          <w:sz w:val="20"/>
          <w:szCs w:val="20"/>
        </w:rPr>
      </w:pPr>
    </w:p>
    <w:p w14:paraId="687C3B43" w14:textId="2D9CBAB0" w:rsidR="00E27714" w:rsidRDefault="00E27714" w:rsidP="00EC7D22">
      <w:pPr>
        <w:jc w:val="both"/>
        <w:rPr>
          <w:rFonts w:cs="Calibri"/>
          <w:color w:val="000000" w:themeColor="text1"/>
          <w:sz w:val="20"/>
          <w:szCs w:val="20"/>
        </w:rPr>
      </w:pPr>
    </w:p>
    <w:p w14:paraId="70B2B362" w14:textId="1298BD10" w:rsidR="00E27714" w:rsidRDefault="00E27714" w:rsidP="00EC7D22">
      <w:pPr>
        <w:jc w:val="both"/>
        <w:rPr>
          <w:rFonts w:cs="Calibri"/>
          <w:color w:val="000000" w:themeColor="text1"/>
          <w:sz w:val="20"/>
          <w:szCs w:val="20"/>
        </w:rPr>
      </w:pPr>
    </w:p>
    <w:p w14:paraId="0899D3D3" w14:textId="1060044C" w:rsidR="00E27714" w:rsidRDefault="00E27714" w:rsidP="00EC7D22">
      <w:pPr>
        <w:jc w:val="both"/>
        <w:rPr>
          <w:rFonts w:cs="Calibri"/>
          <w:color w:val="000000" w:themeColor="text1"/>
          <w:sz w:val="20"/>
          <w:szCs w:val="20"/>
        </w:rPr>
      </w:pPr>
    </w:p>
    <w:p w14:paraId="4E918564" w14:textId="3FB7267E" w:rsidR="00E27714" w:rsidRDefault="00E27714" w:rsidP="00EC7D22">
      <w:pPr>
        <w:jc w:val="both"/>
        <w:rPr>
          <w:rFonts w:cs="Calibri"/>
          <w:color w:val="000000" w:themeColor="text1"/>
          <w:sz w:val="20"/>
          <w:szCs w:val="20"/>
        </w:rPr>
      </w:pPr>
    </w:p>
    <w:p w14:paraId="704C8F74" w14:textId="4428539F" w:rsidR="00E27714" w:rsidRDefault="00E27714" w:rsidP="00EC7D22">
      <w:pPr>
        <w:jc w:val="both"/>
        <w:rPr>
          <w:rFonts w:cs="Calibri"/>
          <w:color w:val="000000" w:themeColor="text1"/>
          <w:sz w:val="20"/>
          <w:szCs w:val="20"/>
        </w:rPr>
      </w:pPr>
    </w:p>
    <w:p w14:paraId="5A1CC59D" w14:textId="1CD6037C" w:rsidR="00E27714" w:rsidRDefault="00E27714" w:rsidP="00EC7D22">
      <w:pPr>
        <w:jc w:val="both"/>
        <w:rPr>
          <w:rFonts w:cs="Calibri"/>
          <w:color w:val="000000" w:themeColor="text1"/>
          <w:sz w:val="20"/>
          <w:szCs w:val="20"/>
        </w:rPr>
      </w:pPr>
    </w:p>
    <w:p w14:paraId="595071A7" w14:textId="7E250A0D" w:rsidR="00E27714" w:rsidRDefault="00E27714" w:rsidP="00EC7D22">
      <w:pPr>
        <w:jc w:val="both"/>
        <w:rPr>
          <w:rFonts w:cs="Calibri"/>
          <w:color w:val="000000" w:themeColor="text1"/>
          <w:sz w:val="20"/>
          <w:szCs w:val="20"/>
        </w:rPr>
      </w:pPr>
    </w:p>
    <w:p w14:paraId="66B2B9FE" w14:textId="077B60B2"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lastRenderedPageBreak/>
        <w:t>Los rangos de edad que concentraron mayor población fueron 10 a 14 años (305,853 habitantes), 15 a 19 años (294,950 habitantes) y 5 a 9 años (294,344 habitantes). Entre ellos concentraron el 25.4% de la población total.</w:t>
      </w:r>
    </w:p>
    <w:p w14:paraId="290EB7DF" w14:textId="29372E1D" w:rsidR="00F25E5A" w:rsidRPr="00DE2B3C" w:rsidRDefault="00F25E5A" w:rsidP="00EC7D22">
      <w:pPr>
        <w:spacing w:after="120"/>
        <w:jc w:val="both"/>
        <w:rPr>
          <w:rFonts w:cs="Calibri"/>
          <w:color w:val="000000" w:themeColor="text1"/>
          <w:sz w:val="20"/>
          <w:szCs w:val="20"/>
        </w:rPr>
      </w:pPr>
      <w:r w:rsidRPr="00DE2B3C">
        <w:rPr>
          <w:rFonts w:cs="Calibri"/>
          <w:b/>
          <w:bCs/>
          <w:color w:val="000000" w:themeColor="text1"/>
          <w:sz w:val="20"/>
          <w:szCs w:val="20"/>
        </w:rPr>
        <w:t>Población Económicamente Activa (PEA).</w:t>
      </w:r>
      <w:r w:rsidRPr="00DE2B3C">
        <w:rPr>
          <w:rFonts w:cs="Calibri"/>
          <w:color w:val="000000" w:themeColor="text1"/>
          <w:sz w:val="20"/>
          <w:szCs w:val="20"/>
        </w:rPr>
        <w:t xml:space="preserve"> </w:t>
      </w:r>
    </w:p>
    <w:p w14:paraId="7784107E" w14:textId="7EAECC51" w:rsidR="00F25E5A" w:rsidRPr="004C6E74" w:rsidRDefault="00F25E5A" w:rsidP="00EC7D22">
      <w:pPr>
        <w:spacing w:after="120"/>
        <w:jc w:val="both"/>
        <w:rPr>
          <w:rFonts w:cs="Calibri"/>
          <w:color w:val="000000" w:themeColor="text1"/>
          <w:sz w:val="20"/>
          <w:szCs w:val="20"/>
        </w:rPr>
      </w:pPr>
      <w:r w:rsidRPr="004C6E74">
        <w:rPr>
          <w:rFonts w:cs="Calibri"/>
          <w:color w:val="000000" w:themeColor="text1"/>
          <w:sz w:val="20"/>
          <w:szCs w:val="20"/>
        </w:rPr>
        <w:t>En el segundo trimestre de 2024, la tasa de participación laboral en Tamaulipas fue 60.6%, lo que implicó un aumento de 0.52 puntos porcentuales respecto al trimestre anterior (60.1%).</w:t>
      </w:r>
    </w:p>
    <w:p w14:paraId="741B7EB1" w14:textId="12E13152" w:rsidR="00F25E5A" w:rsidRPr="004C6E74" w:rsidRDefault="00F25E5A" w:rsidP="00EC7D22">
      <w:pPr>
        <w:spacing w:after="120"/>
        <w:jc w:val="both"/>
        <w:rPr>
          <w:rFonts w:cs="Calibri"/>
          <w:color w:val="000000" w:themeColor="text1"/>
          <w:sz w:val="20"/>
          <w:szCs w:val="20"/>
        </w:rPr>
      </w:pPr>
      <w:r w:rsidRPr="004C6E74">
        <w:rPr>
          <w:rFonts w:cs="Calibri"/>
          <w:color w:val="000000" w:themeColor="text1"/>
          <w:sz w:val="20"/>
          <w:szCs w:val="20"/>
        </w:rPr>
        <w:t>La tasa de desocupación fue de 3.43% (57.3k personas), lo que implicó un aumento de 0.34 puntos porcentuales respecto al trimestre anterior (3.09%).</w:t>
      </w:r>
    </w:p>
    <w:p w14:paraId="4A21CEE5" w14:textId="642DCDDC" w:rsidR="00F25E5A" w:rsidRPr="004C6E74" w:rsidRDefault="00F25E5A" w:rsidP="00EC7D22">
      <w:pPr>
        <w:spacing w:after="120"/>
        <w:jc w:val="both"/>
        <w:rPr>
          <w:rFonts w:cs="Calibri"/>
          <w:color w:val="000000" w:themeColor="text1"/>
          <w:sz w:val="20"/>
          <w:szCs w:val="20"/>
        </w:rPr>
      </w:pPr>
      <w:r w:rsidRPr="004C6E74">
        <w:rPr>
          <w:rFonts w:cs="Calibri"/>
          <w:color w:val="000000" w:themeColor="text1"/>
          <w:sz w:val="20"/>
          <w:szCs w:val="20"/>
        </w:rPr>
        <w:t>En segundo trimestre de 2024, Tamaulipas tuvo 1,611,912 ocupados, 41.2% mujeres y 58.8% hombres, siendo las ocupaciones con más trabajadores las de empleados de ventas, despachadores y dependientes en comercios (74.7k), comerciantes en establecimientos (69.2k) y conductores de camiones, camionetas y automóviles de carga (47.2k).</w:t>
      </w:r>
    </w:p>
    <w:p w14:paraId="563F0C92" w14:textId="4C3F5E2B" w:rsidR="00F25E5A" w:rsidRPr="004C6E74" w:rsidRDefault="00F25E5A" w:rsidP="00EC7D22">
      <w:pPr>
        <w:spacing w:after="120"/>
        <w:jc w:val="both"/>
        <w:rPr>
          <w:rFonts w:cs="Calibri"/>
          <w:color w:val="000000" w:themeColor="text1"/>
          <w:sz w:val="20"/>
          <w:szCs w:val="20"/>
        </w:rPr>
      </w:pPr>
      <w:r w:rsidRPr="004C6E74">
        <w:rPr>
          <w:rFonts w:cs="Calibri"/>
          <w:color w:val="000000" w:themeColor="text1"/>
          <w:sz w:val="20"/>
          <w:szCs w:val="20"/>
        </w:rPr>
        <w:t>El salario promedio mensual en el segundo trimestre de 2024 fue de $8.46k MX siendo inferior en $43.7 MX respecto al trimestre anterior ($8.51k MX).</w:t>
      </w:r>
    </w:p>
    <w:p w14:paraId="5673DF85" w14:textId="0DAEB178" w:rsidR="00F25E5A" w:rsidRPr="00DE2B3C" w:rsidRDefault="00F25E5A" w:rsidP="00EC7D22">
      <w:pPr>
        <w:spacing w:after="120"/>
        <w:jc w:val="both"/>
        <w:rPr>
          <w:rFonts w:cs="Calibri"/>
          <w:b/>
          <w:bCs/>
          <w:color w:val="000000" w:themeColor="text1"/>
          <w:sz w:val="20"/>
          <w:szCs w:val="20"/>
        </w:rPr>
      </w:pPr>
      <w:r w:rsidRPr="00DE2B3C">
        <w:rPr>
          <w:rFonts w:cs="Calibri"/>
          <w:b/>
          <w:bCs/>
          <w:color w:val="000000" w:themeColor="text1"/>
          <w:sz w:val="20"/>
          <w:szCs w:val="20"/>
        </w:rPr>
        <w:t>Inmigración Extranjera</w:t>
      </w:r>
      <w:r w:rsidR="00DE2B3C">
        <w:rPr>
          <w:rFonts w:cs="Calibri"/>
          <w:b/>
          <w:bCs/>
          <w:color w:val="000000" w:themeColor="text1"/>
          <w:sz w:val="20"/>
          <w:szCs w:val="20"/>
        </w:rPr>
        <w:t>.</w:t>
      </w:r>
    </w:p>
    <w:p w14:paraId="23C9925E" w14:textId="01DB104E" w:rsidR="00F25E5A" w:rsidRPr="004C6E74" w:rsidRDefault="00F25E5A" w:rsidP="00EC7D22">
      <w:pPr>
        <w:spacing w:after="120"/>
        <w:jc w:val="both"/>
        <w:rPr>
          <w:rFonts w:cs="Calibri"/>
          <w:color w:val="000000" w:themeColor="text1"/>
          <w:sz w:val="20"/>
          <w:szCs w:val="20"/>
        </w:rPr>
      </w:pPr>
      <w:r w:rsidRPr="004C6E74">
        <w:rPr>
          <w:rFonts w:cs="Calibri"/>
          <w:color w:val="000000" w:themeColor="text1"/>
          <w:sz w:val="20"/>
          <w:szCs w:val="20"/>
        </w:rPr>
        <w:t>La mayor cantidad de migrantes que ingresó a Tamaulipas en los últimos 5 años provino de Estados Unidos (14.4k personas), Cuba (1.41k personas) y Honduras (314 personas).</w:t>
      </w:r>
    </w:p>
    <w:p w14:paraId="45F45099" w14:textId="4C0D2D4B" w:rsidR="00F25E5A" w:rsidRPr="004C6E74" w:rsidRDefault="00F25E5A" w:rsidP="00EC7D22">
      <w:pPr>
        <w:spacing w:after="120"/>
        <w:jc w:val="both"/>
        <w:rPr>
          <w:rFonts w:cs="Calibri"/>
          <w:color w:val="000000" w:themeColor="text1"/>
          <w:sz w:val="20"/>
          <w:szCs w:val="20"/>
        </w:rPr>
      </w:pPr>
      <w:r w:rsidRPr="004C6E74">
        <w:rPr>
          <w:rFonts w:cs="Calibri"/>
          <w:color w:val="000000" w:themeColor="text1"/>
          <w:sz w:val="20"/>
          <w:szCs w:val="20"/>
        </w:rPr>
        <w:t>Las principales causas de migración a Tamaulipas en los últimos años fueron familiares (7.46k personas), legales (2.3k personas) y laborales (1.66k personas).</w:t>
      </w:r>
    </w:p>
    <w:p w14:paraId="4377B12C" w14:textId="09B4E5B5" w:rsidR="00F25E5A" w:rsidRPr="00DE2B3C" w:rsidRDefault="00F25E5A" w:rsidP="00EC7D22">
      <w:pPr>
        <w:spacing w:after="120"/>
        <w:jc w:val="both"/>
        <w:rPr>
          <w:rFonts w:cs="Calibri"/>
          <w:b/>
          <w:bCs/>
          <w:color w:val="000000" w:themeColor="text1"/>
          <w:sz w:val="20"/>
          <w:szCs w:val="20"/>
        </w:rPr>
      </w:pPr>
      <w:r w:rsidRPr="00DE2B3C">
        <w:rPr>
          <w:rFonts w:cs="Calibri"/>
          <w:b/>
          <w:bCs/>
          <w:color w:val="000000" w:themeColor="text1"/>
          <w:sz w:val="20"/>
          <w:szCs w:val="20"/>
        </w:rPr>
        <w:t>Inmigración Interna.</w:t>
      </w:r>
    </w:p>
    <w:p w14:paraId="3A13D18A" w14:textId="7BDCF551" w:rsidR="00F25E5A" w:rsidRPr="004C6E74" w:rsidRDefault="00F25E5A" w:rsidP="00EC7D22">
      <w:pPr>
        <w:spacing w:after="120"/>
        <w:jc w:val="both"/>
        <w:rPr>
          <w:rFonts w:cs="Calibri"/>
          <w:color w:val="000000" w:themeColor="text1"/>
          <w:sz w:val="20"/>
          <w:szCs w:val="20"/>
        </w:rPr>
      </w:pPr>
      <w:r w:rsidRPr="004C6E74">
        <w:rPr>
          <w:rFonts w:cs="Calibri"/>
          <w:color w:val="000000" w:themeColor="text1"/>
          <w:sz w:val="20"/>
          <w:szCs w:val="20"/>
        </w:rPr>
        <w:t>La mayor cantidad de inmigrantes que llegaron a Tamaulipas provienen de Veracruz de Ignacio de la Llave (48.2k personas, 44.5% del total de migrantes), Nuevo León (11k personas, 10.2% del total de migrantes) y San Luis Potosí (7.06k personas, 6.52% del total de migrantes).</w:t>
      </w:r>
    </w:p>
    <w:p w14:paraId="1A5A653A" w14:textId="6D7F35F9" w:rsidR="00F25E5A" w:rsidRDefault="00F25E5A" w:rsidP="00EC7D22">
      <w:pPr>
        <w:rPr>
          <w:rFonts w:cs="Calibri"/>
          <w:b/>
          <w:bCs/>
          <w:color w:val="AB0033"/>
          <w:sz w:val="20"/>
          <w:szCs w:val="20"/>
        </w:rPr>
      </w:pPr>
      <w:hyperlink r:id="rId11" w:anchor="economy" w:history="1">
        <w:r w:rsidRPr="00DE2B3C">
          <w:rPr>
            <w:rFonts w:cs="Calibri"/>
            <w:b/>
            <w:bCs/>
            <w:color w:val="AB0033"/>
            <w:sz w:val="20"/>
            <w:szCs w:val="20"/>
          </w:rPr>
          <w:t>https://www.economia.gob.mx/datamexico/es/profile/geo/tamaulipas-tm#economy</w:t>
        </w:r>
      </w:hyperlink>
    </w:p>
    <w:p w14:paraId="68A53DE1" w14:textId="7BD0C701" w:rsidR="00F25E5A" w:rsidRDefault="00964D7F" w:rsidP="00EC7D22">
      <w:pPr>
        <w:pStyle w:val="Prrafodelista"/>
        <w:ind w:left="0"/>
        <w:jc w:val="both"/>
        <w:rPr>
          <w:rFonts w:cs="Calibri"/>
          <w:b/>
          <w:bCs/>
          <w:color w:val="000000" w:themeColor="text1"/>
          <w:sz w:val="20"/>
          <w:szCs w:val="20"/>
        </w:rPr>
      </w:pPr>
      <w:r>
        <w:rPr>
          <w:rFonts w:cs="Calibri"/>
          <w:b/>
          <w:bCs/>
          <w:color w:val="000000" w:themeColor="text1"/>
          <w:sz w:val="20"/>
          <w:szCs w:val="20"/>
        </w:rPr>
        <w:t xml:space="preserve">2.2 </w:t>
      </w:r>
      <w:r w:rsidR="00F25E5A" w:rsidRPr="00817291">
        <w:rPr>
          <w:rFonts w:cs="Calibri"/>
          <w:b/>
          <w:bCs/>
          <w:color w:val="000000" w:themeColor="text1"/>
          <w:sz w:val="20"/>
          <w:szCs w:val="20"/>
        </w:rPr>
        <w:t>Captación de Inversión Extranjera Directa. (IED)</w:t>
      </w:r>
    </w:p>
    <w:p w14:paraId="150AEFDF" w14:textId="1D1DF046"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En el periodo enero a junio de 2024, la IED en Tamaulipas alcanzó los US$341M, distribuidos en reinversión de utilidades (US$69.3M), cuentas entre compañías (US$34.4M) y nuevas inversiones (Confidencial).</w:t>
      </w:r>
    </w:p>
    <w:p w14:paraId="3F62574B" w14:textId="20977F54"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Desde enero de 1999 a junio de 2024, Tamaulipas acumula un total de US$25,587M en IED, distribuidos en cuentas entre compañías (US$12,001M), nuevas inversiones (US$8,487M) y reinversión de utilidades (US$5,099M).</w:t>
      </w:r>
    </w:p>
    <w:p w14:paraId="4E32E196" w14:textId="6EFC8172"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En el segundo trimestre de 2024 los municipios de Tamaulipas con mayores ingresos por remesas fueron Matamoros (US$39.9M), Victoria (US$36.7M) y Reynosa (US$36.3M).</w:t>
      </w:r>
    </w:p>
    <w:p w14:paraId="0A1D9F90" w14:textId="67FEDAA3"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Durante 2024, se acumula un monto total de remesas de US$483M, mientras que la IED acumulada en el año alcanza los US$341M.</w:t>
      </w:r>
    </w:p>
    <w:p w14:paraId="7FA243F9" w14:textId="37169288" w:rsidR="00F25E5A" w:rsidRPr="00DE2B3C" w:rsidRDefault="00F25E5A" w:rsidP="00EC7D22">
      <w:pPr>
        <w:rPr>
          <w:rFonts w:cs="Calibri"/>
          <w:b/>
          <w:bCs/>
          <w:color w:val="AB0033"/>
          <w:sz w:val="20"/>
          <w:szCs w:val="20"/>
        </w:rPr>
      </w:pPr>
      <w:hyperlink r:id="rId12" w:anchor="economy" w:history="1">
        <w:r w:rsidRPr="00DE2B3C">
          <w:rPr>
            <w:rFonts w:cs="Calibri"/>
            <w:b/>
            <w:bCs/>
            <w:color w:val="AB0033"/>
            <w:sz w:val="20"/>
            <w:szCs w:val="20"/>
          </w:rPr>
          <w:t>https://www.economia.gob.mx/datamexico/es/profile/geo/tamaulipas-tm#economy</w:t>
        </w:r>
      </w:hyperlink>
    </w:p>
    <w:p w14:paraId="702B5298" w14:textId="4C21DA0C" w:rsidR="00F25E5A" w:rsidRPr="005B3924" w:rsidRDefault="005B3924" w:rsidP="00EC7D22">
      <w:pPr>
        <w:jc w:val="both"/>
        <w:rPr>
          <w:rFonts w:cs="Calibri"/>
          <w:b/>
          <w:bCs/>
          <w:color w:val="000000" w:themeColor="text1"/>
          <w:sz w:val="20"/>
          <w:szCs w:val="20"/>
        </w:rPr>
      </w:pPr>
      <w:r>
        <w:rPr>
          <w:rFonts w:cs="Calibri"/>
          <w:b/>
          <w:bCs/>
          <w:color w:val="000000" w:themeColor="text1"/>
          <w:sz w:val="20"/>
          <w:szCs w:val="20"/>
        </w:rPr>
        <w:lastRenderedPageBreak/>
        <w:t xml:space="preserve">2.3 </w:t>
      </w:r>
      <w:r w:rsidR="00F25E5A" w:rsidRPr="005B3924">
        <w:rPr>
          <w:rFonts w:cs="Calibri"/>
          <w:b/>
          <w:bCs/>
          <w:color w:val="000000" w:themeColor="text1"/>
          <w:sz w:val="20"/>
          <w:szCs w:val="20"/>
        </w:rPr>
        <w:t>Producto Interno Bruto Estatal. (PIB Estatal)</w:t>
      </w:r>
    </w:p>
    <w:p w14:paraId="004DE3EB" w14:textId="5681BF54"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 xml:space="preserve">Según el </w:t>
      </w:r>
      <w:r w:rsidR="00DE2B3C" w:rsidRPr="004C6E74">
        <w:rPr>
          <w:rFonts w:cs="Calibri"/>
          <w:color w:val="000000" w:themeColor="text1"/>
          <w:sz w:val="20"/>
          <w:szCs w:val="20"/>
        </w:rPr>
        <w:t>último</w:t>
      </w:r>
      <w:r w:rsidRPr="004C6E74">
        <w:rPr>
          <w:rFonts w:cs="Calibri"/>
          <w:color w:val="000000" w:themeColor="text1"/>
          <w:sz w:val="20"/>
          <w:szCs w:val="20"/>
        </w:rPr>
        <w:t xml:space="preserve"> informe publicado por el Indicador Trimestral de la Actividad </w:t>
      </w:r>
      <w:r w:rsidR="00DE2B3C" w:rsidRPr="004C6E74">
        <w:rPr>
          <w:rFonts w:cs="Calibri"/>
          <w:color w:val="000000" w:themeColor="text1"/>
          <w:sz w:val="20"/>
          <w:szCs w:val="20"/>
        </w:rPr>
        <w:t>Económica</w:t>
      </w:r>
      <w:r w:rsidRPr="004C6E74">
        <w:rPr>
          <w:rFonts w:cs="Calibri"/>
          <w:color w:val="000000" w:themeColor="text1"/>
          <w:sz w:val="20"/>
          <w:szCs w:val="20"/>
        </w:rPr>
        <w:t xml:space="preserve"> Estatal (ITAEE), el cual ofrece un panorama sobre la evolución económica de las entidades federativas del país, publicado con fecha 28 de octubre de 2024, durante el segundo trimestre de 2024, la actividad económica de Tamaulipas registró una variación de 3%, a tasa anual.</w:t>
      </w:r>
    </w:p>
    <w:p w14:paraId="3038543A" w14:textId="4A95EEC7"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Este resultó del avance de las actividades secundarias y terciarias de 4.1 y 2.9 %, respectivamente. A su vez, las primarias se contrajeron 13.9 %.</w:t>
      </w:r>
    </w:p>
    <w:p w14:paraId="401950B5" w14:textId="3B7E32C6"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Durante el periodo enero a junio de 2024, el acumulado de la actividad económica estatal creció 2.1 %, por el incremento en las actividades secundarias y terciarias de 1.8 y 2.8 %, respectivamente; mientras que, las primarias cayeron 5.6 %.</w:t>
      </w:r>
    </w:p>
    <w:p w14:paraId="636A3B6C" w14:textId="19EE7D23" w:rsidR="00DE2B3C" w:rsidRDefault="00F25E5A" w:rsidP="00EC7D22">
      <w:pPr>
        <w:jc w:val="center"/>
        <w:rPr>
          <w:rFonts w:cs="Calibri"/>
          <w:color w:val="000000" w:themeColor="text1"/>
          <w:sz w:val="20"/>
          <w:szCs w:val="20"/>
        </w:rPr>
      </w:pPr>
      <w:r w:rsidRPr="004C6E74">
        <w:rPr>
          <w:rFonts w:cs="Calibri"/>
          <w:noProof/>
          <w:color w:val="000000" w:themeColor="text1"/>
          <w:sz w:val="20"/>
          <w:szCs w:val="20"/>
          <w:lang w:eastAsia="es-MX"/>
        </w:rPr>
        <w:drawing>
          <wp:anchor distT="0" distB="0" distL="114300" distR="114300" simplePos="0" relativeHeight="251671552" behindDoc="0" locked="0" layoutInCell="1" allowOverlap="1" wp14:anchorId="44BBA106" wp14:editId="3D817632">
            <wp:simplePos x="0" y="0"/>
            <wp:positionH relativeFrom="column">
              <wp:posOffset>680720</wp:posOffset>
            </wp:positionH>
            <wp:positionV relativeFrom="paragraph">
              <wp:posOffset>162560</wp:posOffset>
            </wp:positionV>
            <wp:extent cx="4615200" cy="1935054"/>
            <wp:effectExtent l="0" t="0" r="0" b="8255"/>
            <wp:wrapSquare wrapText="bothSides"/>
            <wp:docPr id="1402337783"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37783" name="Imagen 9" descr="Tabla&#10;&#10;Descripción generada automáticamente"/>
                    <pic:cNvPicPr/>
                  </pic:nvPicPr>
                  <pic:blipFill rotWithShape="1">
                    <a:blip r:embed="rId13" cstate="print">
                      <a:extLst>
                        <a:ext uri="{28A0092B-C50C-407E-A947-70E740481C1C}">
                          <a14:useLocalDpi xmlns:a14="http://schemas.microsoft.com/office/drawing/2010/main" val="0"/>
                        </a:ext>
                      </a:extLst>
                    </a:blip>
                    <a:srcRect t="4667"/>
                    <a:stretch/>
                  </pic:blipFill>
                  <pic:spPr bwMode="auto">
                    <a:xfrm>
                      <a:off x="0" y="0"/>
                      <a:ext cx="4615200" cy="1935054"/>
                    </a:xfrm>
                    <a:prstGeom prst="rect">
                      <a:avLst/>
                    </a:prstGeom>
                    <a:ln>
                      <a:noFill/>
                    </a:ln>
                    <a:extLst>
                      <a:ext uri="{53640926-AAD7-44D8-BBD7-CCE9431645EC}">
                        <a14:shadowObscured xmlns:a14="http://schemas.microsoft.com/office/drawing/2010/main"/>
                      </a:ext>
                    </a:extLst>
                  </pic:spPr>
                </pic:pic>
              </a:graphicData>
            </a:graphic>
          </wp:anchor>
        </w:drawing>
      </w:r>
    </w:p>
    <w:p w14:paraId="08DF4B52" w14:textId="77777777" w:rsidR="00E27714" w:rsidRDefault="00E27714" w:rsidP="00EC7D22">
      <w:pPr>
        <w:jc w:val="both"/>
        <w:rPr>
          <w:rFonts w:cs="Calibri"/>
          <w:color w:val="000000" w:themeColor="text1"/>
          <w:sz w:val="20"/>
          <w:szCs w:val="20"/>
        </w:rPr>
      </w:pPr>
    </w:p>
    <w:p w14:paraId="6D6465A7" w14:textId="77777777" w:rsidR="00E27714" w:rsidRDefault="00E27714" w:rsidP="00EC7D22">
      <w:pPr>
        <w:jc w:val="both"/>
        <w:rPr>
          <w:rFonts w:cs="Calibri"/>
          <w:color w:val="000000" w:themeColor="text1"/>
          <w:sz w:val="20"/>
          <w:szCs w:val="20"/>
        </w:rPr>
      </w:pPr>
    </w:p>
    <w:p w14:paraId="7669E43E" w14:textId="77777777" w:rsidR="00E27714" w:rsidRDefault="00E27714" w:rsidP="00EC7D22">
      <w:pPr>
        <w:jc w:val="both"/>
        <w:rPr>
          <w:rFonts w:cs="Calibri"/>
          <w:color w:val="000000" w:themeColor="text1"/>
          <w:sz w:val="20"/>
          <w:szCs w:val="20"/>
        </w:rPr>
      </w:pPr>
    </w:p>
    <w:p w14:paraId="046AAF40" w14:textId="77777777" w:rsidR="00E27714" w:rsidRDefault="00E27714" w:rsidP="00EC7D22">
      <w:pPr>
        <w:jc w:val="both"/>
        <w:rPr>
          <w:rFonts w:cs="Calibri"/>
          <w:color w:val="000000" w:themeColor="text1"/>
          <w:sz w:val="20"/>
          <w:szCs w:val="20"/>
        </w:rPr>
      </w:pPr>
    </w:p>
    <w:p w14:paraId="0ACFB5CB" w14:textId="77777777" w:rsidR="00E27714" w:rsidRDefault="00E27714" w:rsidP="00EC7D22">
      <w:pPr>
        <w:jc w:val="both"/>
        <w:rPr>
          <w:rFonts w:cs="Calibri"/>
          <w:color w:val="000000" w:themeColor="text1"/>
          <w:sz w:val="20"/>
          <w:szCs w:val="20"/>
        </w:rPr>
      </w:pPr>
    </w:p>
    <w:p w14:paraId="404F250B" w14:textId="77777777" w:rsidR="00E27714" w:rsidRDefault="00E27714" w:rsidP="00EC7D22">
      <w:pPr>
        <w:jc w:val="both"/>
        <w:rPr>
          <w:rFonts w:cs="Calibri"/>
          <w:color w:val="000000" w:themeColor="text1"/>
          <w:sz w:val="20"/>
          <w:szCs w:val="20"/>
        </w:rPr>
      </w:pPr>
    </w:p>
    <w:p w14:paraId="1ED12721" w14:textId="77777777" w:rsidR="00E27714" w:rsidRDefault="00E27714" w:rsidP="00EC7D22">
      <w:pPr>
        <w:jc w:val="both"/>
        <w:rPr>
          <w:rFonts w:cs="Calibri"/>
          <w:color w:val="000000" w:themeColor="text1"/>
          <w:sz w:val="20"/>
          <w:szCs w:val="20"/>
        </w:rPr>
      </w:pPr>
    </w:p>
    <w:p w14:paraId="09F74013" w14:textId="374CF7F4" w:rsidR="00F25E5A" w:rsidRDefault="00F25E5A" w:rsidP="00EC7D22">
      <w:pPr>
        <w:jc w:val="both"/>
        <w:rPr>
          <w:rFonts w:cs="Calibri"/>
          <w:color w:val="000000" w:themeColor="text1"/>
          <w:sz w:val="20"/>
          <w:szCs w:val="20"/>
        </w:rPr>
      </w:pPr>
      <w:r w:rsidRPr="004C6E74">
        <w:rPr>
          <w:rFonts w:cs="Calibri"/>
          <w:color w:val="000000" w:themeColor="text1"/>
          <w:sz w:val="20"/>
          <w:szCs w:val="20"/>
        </w:rPr>
        <w:t>En el trimestre de estudio, las actividades secundarias contribuyeron con 1.7 puntos porcentuales a la variación total del estado. Por su parte, en los primeros seis meses del año, las actividades terciarias, fueron las de mayor aportación.</w:t>
      </w:r>
    </w:p>
    <w:p w14:paraId="2474162C" w14:textId="153EC5EE" w:rsidR="00AE4E78" w:rsidRPr="004C6E74" w:rsidRDefault="00E27714" w:rsidP="00EC7D22">
      <w:pPr>
        <w:jc w:val="both"/>
        <w:rPr>
          <w:rFonts w:cs="Calibri"/>
          <w:color w:val="000000" w:themeColor="text1"/>
          <w:sz w:val="20"/>
          <w:szCs w:val="20"/>
        </w:rPr>
      </w:pPr>
      <w:r w:rsidRPr="004C6E74">
        <w:rPr>
          <w:rFonts w:cs="Calibri"/>
          <w:noProof/>
          <w:color w:val="000000" w:themeColor="text1"/>
          <w:sz w:val="20"/>
          <w:szCs w:val="20"/>
          <w:lang w:eastAsia="es-MX"/>
        </w:rPr>
        <w:drawing>
          <wp:anchor distT="0" distB="0" distL="114300" distR="114300" simplePos="0" relativeHeight="251672576" behindDoc="0" locked="0" layoutInCell="1" allowOverlap="1" wp14:anchorId="58D6EE82" wp14:editId="7B5686E2">
            <wp:simplePos x="0" y="0"/>
            <wp:positionH relativeFrom="column">
              <wp:posOffset>730886</wp:posOffset>
            </wp:positionH>
            <wp:positionV relativeFrom="paragraph">
              <wp:posOffset>170180</wp:posOffset>
            </wp:positionV>
            <wp:extent cx="4678680" cy="1936006"/>
            <wp:effectExtent l="0" t="0" r="7620" b="7620"/>
            <wp:wrapSquare wrapText="bothSides"/>
            <wp:docPr id="291074269"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74269" name="Imagen 10" descr="Tabl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8680" cy="1936006"/>
                    </a:xfrm>
                    <a:prstGeom prst="rect">
                      <a:avLst/>
                    </a:prstGeom>
                  </pic:spPr>
                </pic:pic>
              </a:graphicData>
            </a:graphic>
          </wp:anchor>
        </w:drawing>
      </w:r>
    </w:p>
    <w:p w14:paraId="6D61D37F" w14:textId="1C0209CD" w:rsidR="00F25E5A" w:rsidRPr="004C6E74" w:rsidRDefault="00F25E5A" w:rsidP="00EC7D22">
      <w:pPr>
        <w:jc w:val="center"/>
        <w:rPr>
          <w:rFonts w:cs="Calibri"/>
          <w:color w:val="000000" w:themeColor="text1"/>
          <w:sz w:val="20"/>
          <w:szCs w:val="20"/>
        </w:rPr>
      </w:pPr>
    </w:p>
    <w:p w14:paraId="5CFB9620" w14:textId="77777777" w:rsidR="00F25E5A" w:rsidRPr="004C6E74" w:rsidRDefault="00F25E5A" w:rsidP="00EC7D22">
      <w:pPr>
        <w:jc w:val="both"/>
        <w:rPr>
          <w:rFonts w:cs="Calibri"/>
          <w:color w:val="000000" w:themeColor="text1"/>
          <w:sz w:val="20"/>
          <w:szCs w:val="20"/>
        </w:rPr>
      </w:pPr>
    </w:p>
    <w:p w14:paraId="6AD9E88F" w14:textId="77777777" w:rsidR="00E27714" w:rsidRDefault="00E27714" w:rsidP="00EC7D22">
      <w:pPr>
        <w:jc w:val="both"/>
        <w:rPr>
          <w:rFonts w:cs="Calibri"/>
          <w:b/>
          <w:bCs/>
          <w:color w:val="000000" w:themeColor="text1"/>
          <w:sz w:val="20"/>
          <w:szCs w:val="20"/>
        </w:rPr>
      </w:pPr>
    </w:p>
    <w:p w14:paraId="4BF1DE55" w14:textId="77777777" w:rsidR="00E27714" w:rsidRDefault="00E27714" w:rsidP="00EC7D22">
      <w:pPr>
        <w:jc w:val="both"/>
        <w:rPr>
          <w:rFonts w:cs="Calibri"/>
          <w:b/>
          <w:bCs/>
          <w:color w:val="000000" w:themeColor="text1"/>
          <w:sz w:val="20"/>
          <w:szCs w:val="20"/>
        </w:rPr>
      </w:pPr>
    </w:p>
    <w:p w14:paraId="1371116D" w14:textId="77777777" w:rsidR="00E27714" w:rsidRDefault="00E27714" w:rsidP="00EC7D22">
      <w:pPr>
        <w:jc w:val="both"/>
        <w:rPr>
          <w:rFonts w:cs="Calibri"/>
          <w:b/>
          <w:bCs/>
          <w:color w:val="000000" w:themeColor="text1"/>
          <w:sz w:val="20"/>
          <w:szCs w:val="20"/>
        </w:rPr>
      </w:pPr>
    </w:p>
    <w:p w14:paraId="2EC6F9C7" w14:textId="522D4BEA" w:rsidR="00E27714" w:rsidRDefault="00E27714" w:rsidP="00EC7D22">
      <w:pPr>
        <w:jc w:val="both"/>
        <w:rPr>
          <w:rFonts w:cs="Calibri"/>
          <w:b/>
          <w:bCs/>
          <w:color w:val="000000" w:themeColor="text1"/>
          <w:sz w:val="20"/>
          <w:szCs w:val="20"/>
        </w:rPr>
      </w:pPr>
    </w:p>
    <w:p w14:paraId="2EC6378F" w14:textId="77777777" w:rsidR="00036395" w:rsidRDefault="00036395" w:rsidP="00EC7D22">
      <w:pPr>
        <w:jc w:val="both"/>
        <w:rPr>
          <w:rFonts w:cs="Calibri"/>
          <w:b/>
          <w:bCs/>
          <w:color w:val="000000" w:themeColor="text1"/>
          <w:sz w:val="20"/>
          <w:szCs w:val="20"/>
        </w:rPr>
      </w:pPr>
    </w:p>
    <w:p w14:paraId="3ABB29E9" w14:textId="786E9F05" w:rsidR="00F25E5A" w:rsidRPr="00AE4E78" w:rsidRDefault="00F25E5A" w:rsidP="00EC7D22">
      <w:pPr>
        <w:jc w:val="both"/>
        <w:rPr>
          <w:rFonts w:cs="Calibri"/>
          <w:b/>
          <w:bCs/>
          <w:color w:val="000000" w:themeColor="text1"/>
          <w:sz w:val="20"/>
          <w:szCs w:val="20"/>
        </w:rPr>
      </w:pPr>
      <w:r w:rsidRPr="00AE4E78">
        <w:rPr>
          <w:rFonts w:cs="Calibri"/>
          <w:b/>
          <w:bCs/>
          <w:color w:val="000000" w:themeColor="text1"/>
          <w:sz w:val="20"/>
          <w:szCs w:val="20"/>
        </w:rPr>
        <w:lastRenderedPageBreak/>
        <w:t>Actividades primarias</w:t>
      </w:r>
      <w:r w:rsidR="00AE4E78">
        <w:rPr>
          <w:rFonts w:cs="Calibri"/>
          <w:b/>
          <w:bCs/>
          <w:color w:val="000000" w:themeColor="text1"/>
          <w:sz w:val="20"/>
          <w:szCs w:val="20"/>
        </w:rPr>
        <w:t>.</w:t>
      </w:r>
    </w:p>
    <w:p w14:paraId="1A41D65D" w14:textId="0D384413"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 xml:space="preserve">Las actividades primarias corresponden a los sectores dedicados a la agricultura, </w:t>
      </w:r>
      <w:r w:rsidR="00AE4E78" w:rsidRPr="004C6E74">
        <w:rPr>
          <w:rFonts w:cs="Calibri"/>
          <w:color w:val="000000" w:themeColor="text1"/>
          <w:sz w:val="20"/>
          <w:szCs w:val="20"/>
        </w:rPr>
        <w:t>cría</w:t>
      </w:r>
      <w:r w:rsidRPr="004C6E74">
        <w:rPr>
          <w:rFonts w:cs="Calibri"/>
          <w:color w:val="000000" w:themeColor="text1"/>
          <w:sz w:val="20"/>
          <w:szCs w:val="20"/>
        </w:rPr>
        <w:t xml:space="preserve"> y </w:t>
      </w:r>
      <w:r w:rsidR="00AE4E78" w:rsidRPr="004C6E74">
        <w:rPr>
          <w:rFonts w:cs="Calibri"/>
          <w:color w:val="000000" w:themeColor="text1"/>
          <w:sz w:val="20"/>
          <w:szCs w:val="20"/>
        </w:rPr>
        <w:t>explotación</w:t>
      </w:r>
      <w:r w:rsidRPr="004C6E74">
        <w:rPr>
          <w:rFonts w:cs="Calibri"/>
          <w:color w:val="000000" w:themeColor="text1"/>
          <w:sz w:val="20"/>
          <w:szCs w:val="20"/>
        </w:rPr>
        <w:t xml:space="preserve"> de animales, aprovechamiento forestal, pesca y caza, dentro de esta clasificación se obtuvo un decremento anual de 13.9%, principalmente, por el comportamiento de la agricultura. ubicando a Tamaulipas en el lugar 29 a nivel nacional.</w:t>
      </w:r>
    </w:p>
    <w:p w14:paraId="6AC97DBB" w14:textId="6D86CDC4" w:rsidR="00F25E5A" w:rsidRPr="00AE4E78" w:rsidRDefault="00F25E5A" w:rsidP="00EC7D22">
      <w:pPr>
        <w:jc w:val="both"/>
        <w:rPr>
          <w:rFonts w:cs="Calibri"/>
          <w:b/>
          <w:bCs/>
          <w:color w:val="000000" w:themeColor="text1"/>
          <w:sz w:val="20"/>
          <w:szCs w:val="20"/>
        </w:rPr>
      </w:pPr>
      <w:r w:rsidRPr="00AE4E78">
        <w:rPr>
          <w:rFonts w:cs="Calibri"/>
          <w:b/>
          <w:bCs/>
          <w:color w:val="000000" w:themeColor="text1"/>
          <w:sz w:val="20"/>
          <w:szCs w:val="20"/>
        </w:rPr>
        <w:t>Actividades secundarias</w:t>
      </w:r>
      <w:r w:rsidR="00AE4E78">
        <w:rPr>
          <w:rFonts w:cs="Calibri"/>
          <w:b/>
          <w:bCs/>
          <w:color w:val="000000" w:themeColor="text1"/>
          <w:sz w:val="20"/>
          <w:szCs w:val="20"/>
        </w:rPr>
        <w:t>.</w:t>
      </w:r>
    </w:p>
    <w:p w14:paraId="6B429014" w14:textId="2E01B40E"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 xml:space="preserve">Las actividades secundarias corresponden a los sectores dedicados a la industria de la </w:t>
      </w:r>
      <w:r w:rsidR="00AE4E78" w:rsidRPr="004C6E74">
        <w:rPr>
          <w:rFonts w:cs="Calibri"/>
          <w:color w:val="000000" w:themeColor="text1"/>
          <w:sz w:val="20"/>
          <w:szCs w:val="20"/>
        </w:rPr>
        <w:t>minería</w:t>
      </w:r>
      <w:r w:rsidRPr="004C6E74">
        <w:rPr>
          <w:rFonts w:cs="Calibri"/>
          <w:color w:val="000000" w:themeColor="text1"/>
          <w:sz w:val="20"/>
          <w:szCs w:val="20"/>
        </w:rPr>
        <w:t xml:space="preserve">, manufacturas, </w:t>
      </w:r>
      <w:r w:rsidR="00AE4E78" w:rsidRPr="004C6E74">
        <w:rPr>
          <w:rFonts w:cs="Calibri"/>
          <w:color w:val="000000" w:themeColor="text1"/>
          <w:sz w:val="20"/>
          <w:szCs w:val="20"/>
        </w:rPr>
        <w:t>construcción</w:t>
      </w:r>
      <w:r w:rsidRPr="004C6E74">
        <w:rPr>
          <w:rFonts w:cs="Calibri"/>
          <w:color w:val="000000" w:themeColor="text1"/>
          <w:sz w:val="20"/>
          <w:szCs w:val="20"/>
        </w:rPr>
        <w:t xml:space="preserve"> y electricidad, dentro de esta clasificación se obtuvo el ascenso anual de 4.1%, ubicando a Tamaulipas en el lugar 15 de las 32 entidades federativas.</w:t>
      </w:r>
    </w:p>
    <w:p w14:paraId="739E46B3" w14:textId="3B3AFA8F" w:rsidR="00F25E5A" w:rsidRPr="00AE4E78" w:rsidRDefault="00F25E5A" w:rsidP="00EC7D22">
      <w:pPr>
        <w:jc w:val="both"/>
        <w:rPr>
          <w:rFonts w:cs="Calibri"/>
          <w:b/>
          <w:bCs/>
          <w:color w:val="000000" w:themeColor="text1"/>
          <w:sz w:val="20"/>
          <w:szCs w:val="20"/>
        </w:rPr>
      </w:pPr>
      <w:r w:rsidRPr="00AE4E78">
        <w:rPr>
          <w:rFonts w:cs="Calibri"/>
          <w:b/>
          <w:bCs/>
          <w:color w:val="000000" w:themeColor="text1"/>
          <w:sz w:val="20"/>
          <w:szCs w:val="20"/>
        </w:rPr>
        <w:t>Actividades terciarias</w:t>
      </w:r>
      <w:r w:rsidR="00AE4E78" w:rsidRPr="00AE4E78">
        <w:rPr>
          <w:rFonts w:cs="Calibri"/>
          <w:b/>
          <w:bCs/>
          <w:color w:val="000000" w:themeColor="text1"/>
          <w:sz w:val="20"/>
          <w:szCs w:val="20"/>
        </w:rPr>
        <w:t>.</w:t>
      </w:r>
    </w:p>
    <w:p w14:paraId="3A2BE4B4" w14:textId="52F63880"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 xml:space="preserve">Las actividades terciarias incluyen los sectores dedicados a la </w:t>
      </w:r>
      <w:r w:rsidR="00AE4E78" w:rsidRPr="004C6E74">
        <w:rPr>
          <w:rFonts w:cs="Calibri"/>
          <w:color w:val="000000" w:themeColor="text1"/>
          <w:sz w:val="20"/>
          <w:szCs w:val="20"/>
        </w:rPr>
        <w:t>distribución</w:t>
      </w:r>
      <w:r w:rsidRPr="004C6E74">
        <w:rPr>
          <w:rFonts w:cs="Calibri"/>
          <w:color w:val="000000" w:themeColor="text1"/>
          <w:sz w:val="20"/>
          <w:szCs w:val="20"/>
        </w:rPr>
        <w:t xml:space="preserve"> de bienes y aquellas actividades relativas a operaciones con </w:t>
      </w:r>
      <w:r w:rsidR="00AE4E78" w:rsidRPr="004C6E74">
        <w:rPr>
          <w:rFonts w:cs="Calibri"/>
          <w:color w:val="000000" w:themeColor="text1"/>
          <w:sz w:val="20"/>
          <w:szCs w:val="20"/>
        </w:rPr>
        <w:t>información</w:t>
      </w:r>
      <w:r w:rsidRPr="004C6E74">
        <w:rPr>
          <w:rFonts w:cs="Calibri"/>
          <w:color w:val="000000" w:themeColor="text1"/>
          <w:sz w:val="20"/>
          <w:szCs w:val="20"/>
        </w:rPr>
        <w:t xml:space="preserve"> o con activos, </w:t>
      </w:r>
      <w:r w:rsidR="00AE4E78" w:rsidRPr="004C6E74">
        <w:rPr>
          <w:rFonts w:cs="Calibri"/>
          <w:color w:val="000000" w:themeColor="text1"/>
          <w:sz w:val="20"/>
          <w:szCs w:val="20"/>
        </w:rPr>
        <w:t>así</w:t>
      </w:r>
      <w:r w:rsidRPr="004C6E74">
        <w:rPr>
          <w:rFonts w:cs="Calibri"/>
          <w:color w:val="000000" w:themeColor="text1"/>
          <w:sz w:val="20"/>
          <w:szCs w:val="20"/>
        </w:rPr>
        <w:t xml:space="preserve">́ como a servicios cuyo insumo principal es el conocimiento y la experiencia de personal. Incluyen </w:t>
      </w:r>
      <w:r w:rsidR="00AE4E78" w:rsidRPr="004C6E74">
        <w:rPr>
          <w:rFonts w:cs="Calibri"/>
          <w:color w:val="000000" w:themeColor="text1"/>
          <w:sz w:val="20"/>
          <w:szCs w:val="20"/>
        </w:rPr>
        <w:t>también</w:t>
      </w:r>
      <w:r w:rsidRPr="004C6E74">
        <w:rPr>
          <w:rFonts w:cs="Calibri"/>
          <w:color w:val="000000" w:themeColor="text1"/>
          <w:sz w:val="20"/>
          <w:szCs w:val="20"/>
        </w:rPr>
        <w:t xml:space="preserve"> todo lo relacionado con la </w:t>
      </w:r>
      <w:r w:rsidR="00AE4E78" w:rsidRPr="004C6E74">
        <w:rPr>
          <w:rFonts w:cs="Calibri"/>
          <w:color w:val="000000" w:themeColor="text1"/>
          <w:sz w:val="20"/>
          <w:szCs w:val="20"/>
        </w:rPr>
        <w:t>recreación</w:t>
      </w:r>
      <w:r w:rsidRPr="004C6E74">
        <w:rPr>
          <w:rFonts w:cs="Calibri"/>
          <w:color w:val="000000" w:themeColor="text1"/>
          <w:sz w:val="20"/>
          <w:szCs w:val="20"/>
        </w:rPr>
        <w:t xml:space="preserve"> y el gobierno, dentro de esta clasificación Tamaulipas registró una variación anual de 2.9 %, con lo que se ubicó en el lugar 14 a nivel nacional.</w:t>
      </w:r>
    </w:p>
    <w:p w14:paraId="1EA911FD" w14:textId="4AE2758B" w:rsidR="00F25E5A" w:rsidRDefault="00F25E5A" w:rsidP="00EC7D22">
      <w:pPr>
        <w:jc w:val="both"/>
        <w:rPr>
          <w:b/>
          <w:bCs/>
          <w:color w:val="AB0033"/>
        </w:rPr>
      </w:pPr>
      <w:hyperlink r:id="rId15" w:history="1">
        <w:r w:rsidRPr="00AE4E78">
          <w:rPr>
            <w:rFonts w:cs="Calibri"/>
            <w:b/>
            <w:bCs/>
            <w:color w:val="AB0033"/>
            <w:sz w:val="20"/>
            <w:szCs w:val="20"/>
          </w:rPr>
          <w:t>https://www.inegi.org.mx/contenidos/saladeprensa/boletines/2024/itaee/itaee2024_10_Tamps.pdf</w:t>
        </w:r>
      </w:hyperlink>
    </w:p>
    <w:p w14:paraId="3B0AF1E4" w14:textId="77777777" w:rsidR="00AE4E78" w:rsidRPr="00AE4E78" w:rsidRDefault="00AE4E78" w:rsidP="00EC7D22">
      <w:pPr>
        <w:jc w:val="both"/>
        <w:rPr>
          <w:rFonts w:cs="Calibri"/>
          <w:b/>
          <w:bCs/>
          <w:color w:val="AB0033"/>
          <w:sz w:val="20"/>
          <w:szCs w:val="20"/>
        </w:rPr>
      </w:pPr>
    </w:p>
    <w:p w14:paraId="14D87577" w14:textId="73383779" w:rsidR="00F25E5A" w:rsidRPr="00AE4E78" w:rsidRDefault="00F25E5A" w:rsidP="00EC7D22">
      <w:pPr>
        <w:jc w:val="both"/>
        <w:rPr>
          <w:rFonts w:cs="Calibri"/>
          <w:b/>
          <w:bCs/>
          <w:color w:val="000000" w:themeColor="text1"/>
          <w:sz w:val="20"/>
          <w:szCs w:val="20"/>
        </w:rPr>
      </w:pPr>
      <w:r w:rsidRPr="00AE4E78">
        <w:rPr>
          <w:rFonts w:cs="Calibri"/>
          <w:b/>
          <w:bCs/>
          <w:color w:val="000000" w:themeColor="text1"/>
          <w:sz w:val="20"/>
          <w:szCs w:val="20"/>
        </w:rPr>
        <w:t>2.4.</w:t>
      </w:r>
      <w:r w:rsidR="005B3924">
        <w:rPr>
          <w:rFonts w:cs="Calibri"/>
          <w:b/>
          <w:bCs/>
          <w:color w:val="000000" w:themeColor="text1"/>
          <w:sz w:val="20"/>
          <w:szCs w:val="20"/>
        </w:rPr>
        <w:t xml:space="preserve"> </w:t>
      </w:r>
      <w:r w:rsidRPr="00AE4E78">
        <w:rPr>
          <w:rFonts w:cs="Calibri"/>
          <w:b/>
          <w:bCs/>
          <w:color w:val="000000" w:themeColor="text1"/>
          <w:sz w:val="20"/>
          <w:szCs w:val="20"/>
        </w:rPr>
        <w:t xml:space="preserve"> Nivel de Exportaciones.</w:t>
      </w:r>
    </w:p>
    <w:p w14:paraId="7617672A" w14:textId="5B588C74"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 xml:space="preserve">Durante el tercer trimestre de 2024, el estado de Tamaulipas se posiciono en el quinto lugar a nivel nacional conforme al total de las exportaciones, representando en </w:t>
      </w:r>
      <w:r w:rsidR="00AE4E78" w:rsidRPr="004C6E74">
        <w:rPr>
          <w:rFonts w:cs="Calibri"/>
          <w:color w:val="000000" w:themeColor="text1"/>
          <w:sz w:val="20"/>
          <w:szCs w:val="20"/>
        </w:rPr>
        <w:t>términos</w:t>
      </w:r>
      <w:r w:rsidRPr="004C6E74">
        <w:rPr>
          <w:rFonts w:cs="Calibri"/>
          <w:color w:val="000000" w:themeColor="text1"/>
          <w:sz w:val="20"/>
          <w:szCs w:val="20"/>
        </w:rPr>
        <w:t xml:space="preserve"> monetarios un total de 9,548.9 millones de </w:t>
      </w:r>
      <w:r w:rsidR="00AE4E78" w:rsidRPr="004C6E74">
        <w:rPr>
          <w:rFonts w:cs="Calibri"/>
          <w:color w:val="000000" w:themeColor="text1"/>
          <w:sz w:val="20"/>
          <w:szCs w:val="20"/>
        </w:rPr>
        <w:t>dólares</w:t>
      </w:r>
      <w:r w:rsidRPr="004C6E74">
        <w:rPr>
          <w:rFonts w:cs="Calibri"/>
          <w:color w:val="000000" w:themeColor="text1"/>
          <w:sz w:val="20"/>
          <w:szCs w:val="20"/>
        </w:rPr>
        <w:t xml:space="preserve"> y una participación porcentual del 6.8%.</w:t>
      </w:r>
    </w:p>
    <w:p w14:paraId="22B9CC24" w14:textId="0FD311DA"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 xml:space="preserve">En la comparativa anual la entidad </w:t>
      </w:r>
      <w:r w:rsidR="00AE4E78" w:rsidRPr="004C6E74">
        <w:rPr>
          <w:rFonts w:cs="Calibri"/>
          <w:color w:val="000000" w:themeColor="text1"/>
          <w:sz w:val="20"/>
          <w:szCs w:val="20"/>
        </w:rPr>
        <w:t>sobresalió</w:t>
      </w:r>
      <w:r w:rsidRPr="004C6E74">
        <w:rPr>
          <w:rFonts w:cs="Calibri"/>
          <w:color w:val="000000" w:themeColor="text1"/>
          <w:sz w:val="20"/>
          <w:szCs w:val="20"/>
        </w:rPr>
        <w:t xml:space="preserve"> en los siguientes grupos de exportaciones: </w:t>
      </w:r>
    </w:p>
    <w:p w14:paraId="4CD933F4" w14:textId="77777777" w:rsidR="00F25E5A" w:rsidRPr="004C6E74" w:rsidRDefault="00F25E5A" w:rsidP="00EC7D22">
      <w:pPr>
        <w:pStyle w:val="Prrafodelista"/>
        <w:numPr>
          <w:ilvl w:val="0"/>
          <w:numId w:val="58"/>
        </w:numPr>
        <w:suppressAutoHyphens w:val="0"/>
        <w:overflowPunct/>
        <w:spacing w:after="0" w:line="240" w:lineRule="auto"/>
        <w:ind w:left="0" w:firstLine="0"/>
        <w:contextualSpacing w:val="0"/>
        <w:jc w:val="both"/>
        <w:rPr>
          <w:rFonts w:cs="Calibri"/>
          <w:color w:val="000000" w:themeColor="text1"/>
          <w:sz w:val="20"/>
          <w:szCs w:val="20"/>
        </w:rPr>
      </w:pPr>
      <w:r w:rsidRPr="004C6E74">
        <w:rPr>
          <w:rFonts w:cs="Calibri"/>
          <w:color w:val="000000" w:themeColor="text1"/>
          <w:sz w:val="20"/>
          <w:szCs w:val="20"/>
        </w:rPr>
        <w:t>Equipo de computación, comunicación, medición y de otros equipos, con un 8.8%.</w:t>
      </w:r>
    </w:p>
    <w:p w14:paraId="43AAFE4B" w14:textId="77777777" w:rsidR="00F25E5A" w:rsidRPr="004C6E74" w:rsidRDefault="00F25E5A" w:rsidP="00EC7D22">
      <w:pPr>
        <w:pStyle w:val="Prrafodelista"/>
        <w:numPr>
          <w:ilvl w:val="0"/>
          <w:numId w:val="58"/>
        </w:numPr>
        <w:suppressAutoHyphens w:val="0"/>
        <w:overflowPunct/>
        <w:spacing w:after="0" w:line="240" w:lineRule="auto"/>
        <w:ind w:left="0" w:firstLine="0"/>
        <w:contextualSpacing w:val="0"/>
        <w:jc w:val="both"/>
        <w:rPr>
          <w:rFonts w:cs="Calibri"/>
          <w:color w:val="000000" w:themeColor="text1"/>
          <w:sz w:val="20"/>
          <w:szCs w:val="20"/>
        </w:rPr>
      </w:pPr>
      <w:r w:rsidRPr="004C6E74">
        <w:rPr>
          <w:rFonts w:cs="Calibri"/>
          <w:color w:val="000000" w:themeColor="text1"/>
          <w:sz w:val="20"/>
          <w:szCs w:val="20"/>
        </w:rPr>
        <w:t>Accesorios, aparatos eléctricos y equipo de generación de energía eléctrica, con un 11.2%.</w:t>
      </w:r>
    </w:p>
    <w:p w14:paraId="6621B0C0" w14:textId="4A3464A1" w:rsidR="00F25E5A" w:rsidRDefault="00F25E5A" w:rsidP="00EC7D22">
      <w:pPr>
        <w:pStyle w:val="Prrafodelista"/>
        <w:numPr>
          <w:ilvl w:val="0"/>
          <w:numId w:val="58"/>
        </w:numPr>
        <w:suppressAutoHyphens w:val="0"/>
        <w:overflowPunct/>
        <w:spacing w:after="0" w:line="240" w:lineRule="auto"/>
        <w:ind w:left="0" w:firstLine="0"/>
        <w:contextualSpacing w:val="0"/>
        <w:jc w:val="both"/>
        <w:rPr>
          <w:rFonts w:cs="Calibri"/>
          <w:color w:val="000000" w:themeColor="text1"/>
          <w:sz w:val="20"/>
          <w:szCs w:val="20"/>
        </w:rPr>
      </w:pPr>
      <w:r w:rsidRPr="004C6E74">
        <w:rPr>
          <w:rFonts w:cs="Calibri"/>
          <w:color w:val="000000" w:themeColor="text1"/>
          <w:sz w:val="20"/>
          <w:szCs w:val="20"/>
        </w:rPr>
        <w:t>Subsector de extracción de petróleo y gas, con un 0.5%.</w:t>
      </w:r>
    </w:p>
    <w:p w14:paraId="00FCA54E" w14:textId="77777777" w:rsidR="00AE4E78" w:rsidRPr="00AE4E78" w:rsidRDefault="00AE4E78" w:rsidP="00EC7D22">
      <w:pPr>
        <w:pStyle w:val="Prrafodelista"/>
        <w:suppressAutoHyphens w:val="0"/>
        <w:overflowPunct/>
        <w:spacing w:after="0" w:line="240" w:lineRule="auto"/>
        <w:ind w:left="0"/>
        <w:contextualSpacing w:val="0"/>
        <w:jc w:val="both"/>
        <w:rPr>
          <w:rFonts w:cs="Calibri"/>
          <w:color w:val="000000" w:themeColor="text1"/>
          <w:sz w:val="20"/>
          <w:szCs w:val="20"/>
        </w:rPr>
      </w:pPr>
    </w:p>
    <w:p w14:paraId="085BCD38" w14:textId="6B75D8DF"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 xml:space="preserve">Tamaulipas se </w:t>
      </w:r>
      <w:r w:rsidR="00AE4E78" w:rsidRPr="004C6E74">
        <w:rPr>
          <w:rFonts w:cs="Calibri"/>
          <w:color w:val="000000" w:themeColor="text1"/>
          <w:sz w:val="20"/>
          <w:szCs w:val="20"/>
        </w:rPr>
        <w:t>encuentra</w:t>
      </w:r>
      <w:r w:rsidRPr="004C6E74">
        <w:rPr>
          <w:rFonts w:cs="Calibri"/>
          <w:color w:val="000000" w:themeColor="text1"/>
          <w:sz w:val="20"/>
          <w:szCs w:val="20"/>
        </w:rPr>
        <w:t xml:space="preserve"> durante el tercer </w:t>
      </w:r>
      <w:r w:rsidR="00AE4E78" w:rsidRPr="004C6E74">
        <w:rPr>
          <w:rFonts w:cs="Calibri"/>
          <w:color w:val="000000" w:themeColor="text1"/>
          <w:sz w:val="20"/>
          <w:szCs w:val="20"/>
        </w:rPr>
        <w:t>trimestre</w:t>
      </w:r>
      <w:r w:rsidRPr="004C6E74">
        <w:rPr>
          <w:rFonts w:cs="Calibri"/>
          <w:color w:val="000000" w:themeColor="text1"/>
          <w:sz w:val="20"/>
          <w:szCs w:val="20"/>
        </w:rPr>
        <w:t xml:space="preserve"> de 2024 entre las entidades que registraron mayor </w:t>
      </w:r>
      <w:r w:rsidR="00AE4E78" w:rsidRPr="004C6E74">
        <w:rPr>
          <w:rFonts w:cs="Calibri"/>
          <w:color w:val="000000" w:themeColor="text1"/>
          <w:sz w:val="20"/>
          <w:szCs w:val="20"/>
        </w:rPr>
        <w:t>contribución</w:t>
      </w:r>
      <w:r w:rsidRPr="004C6E74">
        <w:rPr>
          <w:rFonts w:cs="Calibri"/>
          <w:color w:val="000000" w:themeColor="text1"/>
          <w:sz w:val="20"/>
          <w:szCs w:val="20"/>
        </w:rPr>
        <w:t xml:space="preserve"> en el valor de las exportaciones del subsector </w:t>
      </w:r>
      <w:r w:rsidR="00AE4E78" w:rsidRPr="004C6E74">
        <w:rPr>
          <w:rFonts w:cs="Calibri"/>
          <w:color w:val="000000" w:themeColor="text1"/>
          <w:sz w:val="20"/>
          <w:szCs w:val="20"/>
        </w:rPr>
        <w:t>Fabricación</w:t>
      </w:r>
      <w:r w:rsidRPr="004C6E74">
        <w:rPr>
          <w:rFonts w:cs="Calibri"/>
          <w:color w:val="000000" w:themeColor="text1"/>
          <w:sz w:val="20"/>
          <w:szCs w:val="20"/>
        </w:rPr>
        <w:t xml:space="preserve"> de equipo de </w:t>
      </w:r>
      <w:r w:rsidR="00AE4E78" w:rsidRPr="004C6E74">
        <w:rPr>
          <w:rFonts w:cs="Calibri"/>
          <w:color w:val="000000" w:themeColor="text1"/>
          <w:sz w:val="20"/>
          <w:szCs w:val="20"/>
        </w:rPr>
        <w:t>computación</w:t>
      </w:r>
      <w:r w:rsidRPr="004C6E74">
        <w:rPr>
          <w:rFonts w:cs="Calibri"/>
          <w:color w:val="000000" w:themeColor="text1"/>
          <w:sz w:val="20"/>
          <w:szCs w:val="20"/>
        </w:rPr>
        <w:t xml:space="preserve">, </w:t>
      </w:r>
      <w:r w:rsidR="00AE4E78" w:rsidRPr="004C6E74">
        <w:rPr>
          <w:rFonts w:cs="Calibri"/>
          <w:color w:val="000000" w:themeColor="text1"/>
          <w:sz w:val="20"/>
          <w:szCs w:val="20"/>
        </w:rPr>
        <w:t>comunicación</w:t>
      </w:r>
      <w:r w:rsidRPr="004C6E74">
        <w:rPr>
          <w:rFonts w:cs="Calibri"/>
          <w:color w:val="000000" w:themeColor="text1"/>
          <w:sz w:val="20"/>
          <w:szCs w:val="20"/>
        </w:rPr>
        <w:t xml:space="preserve">, </w:t>
      </w:r>
      <w:r w:rsidR="00AE4E78" w:rsidRPr="004C6E74">
        <w:rPr>
          <w:rFonts w:cs="Calibri"/>
          <w:color w:val="000000" w:themeColor="text1"/>
          <w:sz w:val="20"/>
          <w:szCs w:val="20"/>
        </w:rPr>
        <w:t>medición</w:t>
      </w:r>
      <w:r w:rsidRPr="004C6E74">
        <w:rPr>
          <w:rFonts w:cs="Calibri"/>
          <w:color w:val="000000" w:themeColor="text1"/>
          <w:sz w:val="20"/>
          <w:szCs w:val="20"/>
        </w:rPr>
        <w:t xml:space="preserve"> y de otros equipos, componentes y accesorios </w:t>
      </w:r>
      <w:r w:rsidR="00AE4E78" w:rsidRPr="004C6E74">
        <w:rPr>
          <w:rFonts w:cs="Calibri"/>
          <w:color w:val="000000" w:themeColor="text1"/>
          <w:sz w:val="20"/>
          <w:szCs w:val="20"/>
        </w:rPr>
        <w:t>electrónicos</w:t>
      </w:r>
      <w:r w:rsidRPr="004C6E74">
        <w:rPr>
          <w:rFonts w:cs="Calibri"/>
          <w:color w:val="000000" w:themeColor="text1"/>
          <w:sz w:val="20"/>
          <w:szCs w:val="20"/>
        </w:rPr>
        <w:t xml:space="preserve">, con una </w:t>
      </w:r>
      <w:r w:rsidR="00AE4E78" w:rsidRPr="004C6E74">
        <w:rPr>
          <w:rFonts w:cs="Calibri"/>
          <w:color w:val="000000" w:themeColor="text1"/>
          <w:sz w:val="20"/>
          <w:szCs w:val="20"/>
        </w:rPr>
        <w:t>participación</w:t>
      </w:r>
      <w:r w:rsidRPr="004C6E74">
        <w:rPr>
          <w:rFonts w:cs="Calibri"/>
          <w:color w:val="000000" w:themeColor="text1"/>
          <w:sz w:val="20"/>
          <w:szCs w:val="20"/>
        </w:rPr>
        <w:t xml:space="preserve"> en 2,100.7 millones de </w:t>
      </w:r>
      <w:r w:rsidR="00AE4E78" w:rsidRPr="004C6E74">
        <w:rPr>
          <w:rFonts w:cs="Calibri"/>
          <w:color w:val="000000" w:themeColor="text1"/>
          <w:sz w:val="20"/>
          <w:szCs w:val="20"/>
        </w:rPr>
        <w:t>dólares</w:t>
      </w:r>
      <w:r w:rsidRPr="004C6E74">
        <w:rPr>
          <w:rFonts w:cs="Calibri"/>
          <w:color w:val="000000" w:themeColor="text1"/>
          <w:sz w:val="20"/>
          <w:szCs w:val="20"/>
        </w:rPr>
        <w:t>, representando una participación porcentual de 8.8.</w:t>
      </w:r>
    </w:p>
    <w:p w14:paraId="5B7BE7AB" w14:textId="3C4B74D6"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 xml:space="preserve">Sobresaliendo </w:t>
      </w:r>
      <w:r w:rsidR="00AE4E78" w:rsidRPr="004C6E74">
        <w:rPr>
          <w:rFonts w:cs="Calibri"/>
          <w:color w:val="000000" w:themeColor="text1"/>
          <w:sz w:val="20"/>
          <w:szCs w:val="20"/>
        </w:rPr>
        <w:t>también</w:t>
      </w:r>
      <w:r w:rsidRPr="004C6E74">
        <w:rPr>
          <w:rFonts w:cs="Calibri"/>
          <w:color w:val="000000" w:themeColor="text1"/>
          <w:sz w:val="20"/>
          <w:szCs w:val="20"/>
        </w:rPr>
        <w:t xml:space="preserve"> entre las entidades con mayor </w:t>
      </w:r>
      <w:r w:rsidR="00AE4E78" w:rsidRPr="004C6E74">
        <w:rPr>
          <w:rFonts w:cs="Calibri"/>
          <w:color w:val="000000" w:themeColor="text1"/>
          <w:sz w:val="20"/>
          <w:szCs w:val="20"/>
        </w:rPr>
        <w:t>aportación</w:t>
      </w:r>
      <w:r w:rsidRPr="004C6E74">
        <w:rPr>
          <w:rFonts w:cs="Calibri"/>
          <w:color w:val="000000" w:themeColor="text1"/>
          <w:sz w:val="20"/>
          <w:szCs w:val="20"/>
        </w:rPr>
        <w:t xml:space="preserve"> en las exportaciones del subsector </w:t>
      </w:r>
      <w:r w:rsidR="00AE4E78" w:rsidRPr="004C6E74">
        <w:rPr>
          <w:rFonts w:cs="Calibri"/>
          <w:color w:val="000000" w:themeColor="text1"/>
          <w:sz w:val="20"/>
          <w:szCs w:val="20"/>
        </w:rPr>
        <w:t>Fabricación</w:t>
      </w:r>
      <w:r w:rsidRPr="004C6E74">
        <w:rPr>
          <w:rFonts w:cs="Calibri"/>
          <w:color w:val="000000" w:themeColor="text1"/>
          <w:sz w:val="20"/>
          <w:szCs w:val="20"/>
        </w:rPr>
        <w:t xml:space="preserve"> de accesorios, aparatos </w:t>
      </w:r>
      <w:r w:rsidR="00AE4E78" w:rsidRPr="004C6E74">
        <w:rPr>
          <w:rFonts w:cs="Calibri"/>
          <w:color w:val="000000" w:themeColor="text1"/>
          <w:sz w:val="20"/>
          <w:szCs w:val="20"/>
        </w:rPr>
        <w:t>eléctricos</w:t>
      </w:r>
      <w:r w:rsidRPr="004C6E74">
        <w:rPr>
          <w:rFonts w:cs="Calibri"/>
          <w:color w:val="000000" w:themeColor="text1"/>
          <w:sz w:val="20"/>
          <w:szCs w:val="20"/>
        </w:rPr>
        <w:t xml:space="preserve"> y equipo de </w:t>
      </w:r>
      <w:r w:rsidR="00AE4E78" w:rsidRPr="004C6E74">
        <w:rPr>
          <w:rFonts w:cs="Calibri"/>
          <w:color w:val="000000" w:themeColor="text1"/>
          <w:sz w:val="20"/>
          <w:szCs w:val="20"/>
        </w:rPr>
        <w:t>generación</w:t>
      </w:r>
      <w:r w:rsidRPr="004C6E74">
        <w:rPr>
          <w:rFonts w:cs="Calibri"/>
          <w:color w:val="000000" w:themeColor="text1"/>
          <w:sz w:val="20"/>
          <w:szCs w:val="20"/>
        </w:rPr>
        <w:t xml:space="preserve"> de </w:t>
      </w:r>
      <w:r w:rsidR="00AE4E78" w:rsidRPr="004C6E74">
        <w:rPr>
          <w:rFonts w:cs="Calibri"/>
          <w:color w:val="000000" w:themeColor="text1"/>
          <w:sz w:val="20"/>
          <w:szCs w:val="20"/>
        </w:rPr>
        <w:t>energía</w:t>
      </w:r>
      <w:r w:rsidRPr="004C6E74">
        <w:rPr>
          <w:rFonts w:cs="Calibri"/>
          <w:color w:val="000000" w:themeColor="text1"/>
          <w:sz w:val="20"/>
          <w:szCs w:val="20"/>
        </w:rPr>
        <w:t xml:space="preserve"> </w:t>
      </w:r>
      <w:r w:rsidR="00AE4E78" w:rsidRPr="004C6E74">
        <w:rPr>
          <w:rFonts w:cs="Calibri"/>
          <w:color w:val="000000" w:themeColor="text1"/>
          <w:sz w:val="20"/>
          <w:szCs w:val="20"/>
        </w:rPr>
        <w:t>eléctrica</w:t>
      </w:r>
      <w:r w:rsidRPr="004C6E74">
        <w:rPr>
          <w:rFonts w:cs="Calibri"/>
          <w:color w:val="000000" w:themeColor="text1"/>
          <w:sz w:val="20"/>
          <w:szCs w:val="20"/>
        </w:rPr>
        <w:t xml:space="preserve">, con una </w:t>
      </w:r>
      <w:r w:rsidR="00AE4E78" w:rsidRPr="004C6E74">
        <w:rPr>
          <w:rFonts w:cs="Calibri"/>
          <w:color w:val="000000" w:themeColor="text1"/>
          <w:sz w:val="20"/>
          <w:szCs w:val="20"/>
        </w:rPr>
        <w:t>participación</w:t>
      </w:r>
      <w:r w:rsidRPr="004C6E74">
        <w:rPr>
          <w:rFonts w:cs="Calibri"/>
          <w:color w:val="000000" w:themeColor="text1"/>
          <w:sz w:val="20"/>
          <w:szCs w:val="20"/>
        </w:rPr>
        <w:t xml:space="preserve"> en 1,011.3 millones de </w:t>
      </w:r>
      <w:r w:rsidR="00AE4E78" w:rsidRPr="004C6E74">
        <w:rPr>
          <w:rFonts w:cs="Calibri"/>
          <w:color w:val="000000" w:themeColor="text1"/>
          <w:sz w:val="20"/>
          <w:szCs w:val="20"/>
        </w:rPr>
        <w:t>dólares</w:t>
      </w:r>
      <w:r w:rsidRPr="004C6E74">
        <w:rPr>
          <w:rFonts w:cs="Calibri"/>
          <w:color w:val="000000" w:themeColor="text1"/>
          <w:sz w:val="20"/>
          <w:szCs w:val="20"/>
        </w:rPr>
        <w:t>, representando una participación porcentual de 11.2.</w:t>
      </w:r>
    </w:p>
    <w:p w14:paraId="3B737359" w14:textId="77777777" w:rsidR="00F25E5A" w:rsidRPr="00AE4E78" w:rsidRDefault="00F25E5A" w:rsidP="00EC7D22">
      <w:pPr>
        <w:jc w:val="both"/>
        <w:rPr>
          <w:rFonts w:cs="Calibri"/>
          <w:b/>
          <w:bCs/>
          <w:color w:val="AB0033"/>
          <w:sz w:val="20"/>
          <w:szCs w:val="20"/>
        </w:rPr>
      </w:pPr>
      <w:hyperlink r:id="rId16" w:history="1">
        <w:r w:rsidRPr="00AE4E78">
          <w:rPr>
            <w:rFonts w:cs="Calibri"/>
            <w:b/>
            <w:bCs/>
            <w:color w:val="AB0033"/>
            <w:sz w:val="20"/>
            <w:szCs w:val="20"/>
          </w:rPr>
          <w:t>https://www.inegi.org.mx/contenidos/saladeprensa/boletines/2024/etef/etef2024_12.pdf</w:t>
        </w:r>
      </w:hyperlink>
    </w:p>
    <w:p w14:paraId="398A3C62" w14:textId="326F9408" w:rsidR="00F25E5A" w:rsidRPr="00AE4E78" w:rsidRDefault="005B3924" w:rsidP="00EC7D22">
      <w:pPr>
        <w:jc w:val="both"/>
        <w:rPr>
          <w:rFonts w:cs="Calibri"/>
          <w:b/>
          <w:bCs/>
          <w:color w:val="000000" w:themeColor="text1"/>
          <w:sz w:val="20"/>
          <w:szCs w:val="20"/>
        </w:rPr>
      </w:pPr>
      <w:r>
        <w:rPr>
          <w:rFonts w:cs="Calibri"/>
          <w:b/>
          <w:bCs/>
          <w:color w:val="000000" w:themeColor="text1"/>
          <w:sz w:val="20"/>
          <w:szCs w:val="20"/>
        </w:rPr>
        <w:lastRenderedPageBreak/>
        <w:t xml:space="preserve">2.5. </w:t>
      </w:r>
      <w:r w:rsidR="00F25E5A" w:rsidRPr="00AE4E78">
        <w:rPr>
          <w:rFonts w:cs="Calibri"/>
          <w:b/>
          <w:bCs/>
          <w:color w:val="000000" w:themeColor="text1"/>
          <w:sz w:val="20"/>
          <w:szCs w:val="20"/>
        </w:rPr>
        <w:t xml:space="preserve"> Deuda Pública Estatal.</w:t>
      </w:r>
    </w:p>
    <w:p w14:paraId="077DE1EE" w14:textId="6C660783"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 xml:space="preserve">Según el </w:t>
      </w:r>
      <w:r w:rsidR="00AE4E78" w:rsidRPr="004C6E74">
        <w:rPr>
          <w:rFonts w:cs="Calibri"/>
          <w:color w:val="000000" w:themeColor="text1"/>
          <w:sz w:val="20"/>
          <w:szCs w:val="20"/>
        </w:rPr>
        <w:t>último</w:t>
      </w:r>
      <w:r w:rsidRPr="004C6E74">
        <w:rPr>
          <w:rFonts w:cs="Calibri"/>
          <w:color w:val="000000" w:themeColor="text1"/>
          <w:sz w:val="20"/>
          <w:szCs w:val="20"/>
        </w:rPr>
        <w:t xml:space="preserve"> informe publicado por la Secretaría de Hacienda y Crédito Público (SHCP) de </w:t>
      </w:r>
      <w:r w:rsidRPr="00F64288">
        <w:rPr>
          <w:rFonts w:cs="Calibri"/>
          <w:color w:val="000000" w:themeColor="text1"/>
          <w:sz w:val="20"/>
          <w:szCs w:val="20"/>
        </w:rPr>
        <w:t xml:space="preserve">fecha 29 de noviembre de 2024 correspondiente al </w:t>
      </w:r>
      <w:r w:rsidR="00425216" w:rsidRPr="00F64288">
        <w:rPr>
          <w:rFonts w:cs="Calibri"/>
          <w:color w:val="000000" w:themeColor="text1"/>
          <w:sz w:val="20"/>
          <w:szCs w:val="20"/>
        </w:rPr>
        <w:t>tercer</w:t>
      </w:r>
      <w:r w:rsidRPr="00F64288">
        <w:rPr>
          <w:rFonts w:cs="Calibri"/>
          <w:color w:val="000000" w:themeColor="text1"/>
          <w:sz w:val="20"/>
          <w:szCs w:val="20"/>
        </w:rPr>
        <w:t xml:space="preserve"> trimestre de 2024, el estado de Tamaulipas es ubicado en semáforo verde en el Sistema de Alertas, Indicador que establece una calificación considerada como sostenible para el nivel de endeudamiento</w:t>
      </w:r>
      <w:r w:rsidRPr="004C6E74">
        <w:rPr>
          <w:rFonts w:cs="Calibri"/>
          <w:color w:val="000000" w:themeColor="text1"/>
          <w:sz w:val="20"/>
          <w:szCs w:val="20"/>
        </w:rPr>
        <w:t xml:space="preserve"> del Gobierno del Estado, ello </w:t>
      </w:r>
      <w:r w:rsidR="0059455A" w:rsidRPr="004C6E74">
        <w:rPr>
          <w:rFonts w:cs="Calibri"/>
          <w:color w:val="000000" w:themeColor="text1"/>
          <w:sz w:val="20"/>
          <w:szCs w:val="20"/>
        </w:rPr>
        <w:t>con relación a</w:t>
      </w:r>
      <w:r w:rsidRPr="004C6E74">
        <w:rPr>
          <w:rFonts w:cs="Calibri"/>
          <w:color w:val="000000" w:themeColor="text1"/>
          <w:sz w:val="20"/>
          <w:szCs w:val="20"/>
        </w:rPr>
        <w:t xml:space="preserve"> sus ingresos de libre disposición (ILD).</w:t>
      </w:r>
    </w:p>
    <w:p w14:paraId="57FF2C51" w14:textId="684AFFD4"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El Sistema de Alertas mide el nivel de endeudamiento de los Entes Públicos que tengan contratados Financiamientos y Obligaciones, y éstos se encuentren inscritos en el Registro Público Único, cuya fuente o garantía de pago sea de Ingresos de Libre Disposición. La Ley de Disciplina Financiera de las Entidades Federativas y los Municipios establece tres indicadores de corto y largo plazo para realizar la medición del Sistema de Alertas: (1) Deuda Pública y Obligaciones sobre Ingresos de Libre Disposición, (2) Servicio de la Deuda y de Obligaciones sobre Ingresos de Libre Disposición y (3) Obligaciones a Corto Plazo y Proveedores y Contratistas, menos los montos de efectivo, bancos e inversiones temporales, sobre Ingresos Totales.</w:t>
      </w:r>
    </w:p>
    <w:p w14:paraId="7A600DEA" w14:textId="2B702D48" w:rsidR="00F25E5A" w:rsidRPr="004C6E74" w:rsidRDefault="00F25E5A" w:rsidP="00EC7D22">
      <w:pPr>
        <w:jc w:val="both"/>
        <w:rPr>
          <w:rFonts w:cs="Calibri"/>
          <w:color w:val="000000" w:themeColor="text1"/>
          <w:sz w:val="20"/>
          <w:szCs w:val="20"/>
        </w:rPr>
      </w:pPr>
      <w:r w:rsidRPr="004C6E74">
        <w:rPr>
          <w:rFonts w:cs="Calibri"/>
          <w:color w:val="000000" w:themeColor="text1"/>
          <w:sz w:val="20"/>
          <w:szCs w:val="20"/>
        </w:rPr>
        <w:t>Las cifras utilizadas para el cálculo tomaron en consideración la información y documentación proporcionada por las Entidades Federativas, la información contable publicada por las propias Entidades conforme a los formatos a que hace referencia la Ley; así como, la información disponible en el Registro Público Único a cargo de la Secretaría</w:t>
      </w:r>
      <w:r w:rsidR="00F64288">
        <w:rPr>
          <w:rFonts w:cs="Calibri"/>
          <w:color w:val="000000" w:themeColor="text1"/>
          <w:sz w:val="20"/>
          <w:szCs w:val="20"/>
        </w:rPr>
        <w:t xml:space="preserve"> de Hacienda y Crédito </w:t>
      </w:r>
      <w:r w:rsidR="004B7759">
        <w:rPr>
          <w:rFonts w:cs="Calibri"/>
          <w:color w:val="000000" w:themeColor="text1"/>
          <w:sz w:val="20"/>
          <w:szCs w:val="20"/>
        </w:rPr>
        <w:t>Público</w:t>
      </w:r>
      <w:r w:rsidR="00F64288">
        <w:rPr>
          <w:rFonts w:cs="Calibri"/>
          <w:color w:val="000000" w:themeColor="text1"/>
          <w:sz w:val="20"/>
          <w:szCs w:val="20"/>
        </w:rPr>
        <w:t>.</w:t>
      </w:r>
    </w:p>
    <w:p w14:paraId="2FE762F4" w14:textId="212F245B" w:rsidR="00F25E5A" w:rsidRPr="004C6E74" w:rsidRDefault="00F25E5A" w:rsidP="00EC7D22">
      <w:pPr>
        <w:rPr>
          <w:rFonts w:cs="Calibri"/>
          <w:color w:val="000000" w:themeColor="text1"/>
          <w:sz w:val="20"/>
          <w:szCs w:val="20"/>
        </w:rPr>
      </w:pPr>
      <w:r w:rsidRPr="004C6E74">
        <w:rPr>
          <w:rFonts w:cs="Calibri"/>
          <w:color w:val="000000" w:themeColor="text1"/>
          <w:sz w:val="20"/>
          <w:szCs w:val="20"/>
        </w:rPr>
        <w:t>La medición del Sistema de Alertas es realizada tanto con información de Cuenta Pública la cual es vinculante; así como con las actualizaciones trimestrales las cuales sólo tienen fines informativos y de seguimiento.</w:t>
      </w:r>
    </w:p>
    <w:p w14:paraId="2C7B5FB0" w14:textId="28927434" w:rsidR="00537D12" w:rsidRPr="00AE4E78" w:rsidRDefault="00F25E5A" w:rsidP="00EC7D22">
      <w:pPr>
        <w:jc w:val="both"/>
        <w:rPr>
          <w:rFonts w:cs="Calibri"/>
          <w:b/>
          <w:bCs/>
          <w:color w:val="AB0033"/>
          <w:sz w:val="20"/>
          <w:szCs w:val="20"/>
        </w:rPr>
      </w:pPr>
      <w:hyperlink r:id="rId17" w:history="1">
        <w:r w:rsidRPr="00AE4E78">
          <w:rPr>
            <w:rFonts w:cs="Calibri"/>
            <w:b/>
            <w:bCs/>
            <w:color w:val="AB0033"/>
            <w:sz w:val="20"/>
            <w:szCs w:val="20"/>
          </w:rPr>
          <w:t>https://www.disciplinafinanciera.hacienda.gob.mx/es/DISCIPLINA_FINANCIERA/Entidades_Federativas_2024</w:t>
        </w:r>
      </w:hyperlink>
    </w:p>
    <w:p w14:paraId="043F0A6D" w14:textId="77777777" w:rsidR="00374A74" w:rsidRDefault="00374A74" w:rsidP="00EC7D22">
      <w:pPr>
        <w:spacing w:after="0" w:line="240" w:lineRule="auto"/>
        <w:jc w:val="both"/>
        <w:rPr>
          <w:rFonts w:eastAsia="Times New Roman" w:cs="Calibri"/>
          <w:b/>
          <w:sz w:val="20"/>
          <w:szCs w:val="18"/>
          <w:lang w:eastAsia="es-ES"/>
        </w:rPr>
      </w:pPr>
    </w:p>
    <w:p w14:paraId="52AF20A7" w14:textId="00096A48" w:rsidR="007745EB" w:rsidRPr="00F26249" w:rsidRDefault="00F26249" w:rsidP="00EC7D22">
      <w:pPr>
        <w:spacing w:after="0" w:line="240" w:lineRule="auto"/>
        <w:jc w:val="both"/>
        <w:rPr>
          <w:rFonts w:eastAsia="Times New Roman" w:cs="Calibri"/>
          <w:b/>
          <w:sz w:val="20"/>
          <w:szCs w:val="18"/>
          <w:lang w:eastAsia="es-ES"/>
        </w:rPr>
      </w:pPr>
      <w:r>
        <w:rPr>
          <w:rFonts w:eastAsia="Times New Roman" w:cs="Calibri"/>
          <w:b/>
          <w:sz w:val="20"/>
          <w:szCs w:val="18"/>
          <w:lang w:eastAsia="es-ES"/>
        </w:rPr>
        <w:t>3.</w:t>
      </w:r>
      <w:r w:rsidR="0076422C">
        <w:rPr>
          <w:rFonts w:eastAsia="Times New Roman" w:cs="Calibri"/>
          <w:b/>
          <w:sz w:val="20"/>
          <w:szCs w:val="18"/>
          <w:lang w:eastAsia="es-ES"/>
        </w:rPr>
        <w:t xml:space="preserve">      </w:t>
      </w:r>
      <w:r w:rsidR="00C87FDA" w:rsidRPr="00F26249">
        <w:rPr>
          <w:rFonts w:eastAsia="Times New Roman" w:cs="Calibri"/>
          <w:b/>
          <w:sz w:val="20"/>
          <w:szCs w:val="18"/>
          <w:lang w:eastAsia="es-ES"/>
        </w:rPr>
        <w:t>Organización y Objeto Social</w:t>
      </w:r>
    </w:p>
    <w:p w14:paraId="238487ED" w14:textId="77777777" w:rsidR="007745EB" w:rsidRDefault="007745EB" w:rsidP="00EC7D22">
      <w:pPr>
        <w:pStyle w:val="Prrafodelista"/>
        <w:spacing w:after="0" w:line="240" w:lineRule="auto"/>
        <w:ind w:left="0"/>
        <w:jc w:val="both"/>
        <w:rPr>
          <w:rFonts w:eastAsia="Times New Roman" w:cs="Calibri"/>
          <w:b/>
          <w:sz w:val="18"/>
          <w:szCs w:val="18"/>
          <w:lang w:eastAsia="es-ES"/>
        </w:rPr>
      </w:pPr>
    </w:p>
    <w:p w14:paraId="2E5F6019" w14:textId="77777777" w:rsidR="007745EB" w:rsidRDefault="00C87FDA" w:rsidP="00EC7D22">
      <w:pPr>
        <w:pStyle w:val="Prrafodelista"/>
        <w:numPr>
          <w:ilvl w:val="0"/>
          <w:numId w:val="4"/>
        </w:numPr>
        <w:spacing w:after="0" w:line="240" w:lineRule="auto"/>
        <w:ind w:left="0" w:firstLine="0"/>
        <w:jc w:val="both"/>
        <w:rPr>
          <w:rFonts w:eastAsia="Times New Roman" w:cs="Calibri"/>
          <w:sz w:val="20"/>
          <w:szCs w:val="20"/>
          <w:lang w:eastAsia="es-ES"/>
        </w:rPr>
      </w:pPr>
      <w:r>
        <w:rPr>
          <w:rFonts w:eastAsia="Times New Roman" w:cs="Calibri"/>
          <w:sz w:val="20"/>
          <w:szCs w:val="20"/>
          <w:lang w:eastAsia="es-ES"/>
        </w:rPr>
        <w:t>Objeto social</w:t>
      </w:r>
    </w:p>
    <w:p w14:paraId="1BF6601F" w14:textId="77777777" w:rsidR="007745EB" w:rsidRDefault="00C87FDA" w:rsidP="00EC7D22">
      <w:pPr>
        <w:spacing w:after="0" w:line="240" w:lineRule="auto"/>
        <w:jc w:val="both"/>
        <w:rPr>
          <w:rFonts w:eastAsia="Times New Roman" w:cs="Calibri"/>
          <w:sz w:val="20"/>
          <w:szCs w:val="20"/>
          <w:lang w:val="es-ES" w:eastAsia="es-ES"/>
        </w:rPr>
      </w:pPr>
      <w:r>
        <w:rPr>
          <w:rFonts w:eastAsia="Times New Roman" w:cs="Calibri"/>
          <w:sz w:val="20"/>
          <w:szCs w:val="20"/>
          <w:lang w:val="es-ES" w:eastAsia="es-ES"/>
        </w:rPr>
        <w:t xml:space="preserve">De acuerdo con </w:t>
      </w:r>
      <w:r w:rsidR="00DB7BCC">
        <w:rPr>
          <w:rFonts w:eastAsia="Times New Roman" w:cs="Calibri"/>
          <w:sz w:val="20"/>
          <w:szCs w:val="20"/>
          <w:lang w:val="es-ES" w:eastAsia="es-ES"/>
        </w:rPr>
        <w:t>el Artículo</w:t>
      </w:r>
      <w:r>
        <w:rPr>
          <w:rFonts w:eastAsia="Times New Roman" w:cs="Calibri"/>
          <w:sz w:val="20"/>
          <w:szCs w:val="20"/>
          <w:lang w:val="es-ES" w:eastAsia="es-ES"/>
        </w:rPr>
        <w:t xml:space="preserve"> 1 de la Constitución Política del Estado, el Estado de Tamaulipas es Libre, Soberano e Independiente en cuanto a su Gobierno y Administración Interior; pero está ligado a los Poderes de la Unión como parte integrante de los Estados Unidos Mexicanos, en todo aquello que fija expresamente la Constitución Política de los Estados Unidos Mexicanos y las Leyes que de ella emanan.</w:t>
      </w:r>
    </w:p>
    <w:p w14:paraId="55D25236" w14:textId="77777777" w:rsidR="007745EB" w:rsidRDefault="007745EB" w:rsidP="00EC7D22">
      <w:pPr>
        <w:spacing w:after="0" w:line="240" w:lineRule="auto"/>
        <w:jc w:val="both"/>
        <w:rPr>
          <w:rFonts w:eastAsia="Times New Roman" w:cs="Calibri"/>
          <w:sz w:val="20"/>
          <w:szCs w:val="20"/>
          <w:lang w:val="es-ES" w:eastAsia="es-ES"/>
        </w:rPr>
      </w:pPr>
    </w:p>
    <w:p w14:paraId="00A8D05E" w14:textId="77777777" w:rsidR="007745EB" w:rsidRDefault="00C87FDA" w:rsidP="00EC7D22">
      <w:pPr>
        <w:pStyle w:val="Prrafodelista"/>
        <w:numPr>
          <w:ilvl w:val="0"/>
          <w:numId w:val="4"/>
        </w:numPr>
        <w:spacing w:after="0" w:line="240" w:lineRule="auto"/>
        <w:ind w:left="0" w:firstLine="0"/>
        <w:jc w:val="both"/>
        <w:rPr>
          <w:rFonts w:eastAsia="Times New Roman" w:cs="Calibri"/>
          <w:sz w:val="20"/>
          <w:szCs w:val="20"/>
          <w:lang w:val="es-ES" w:eastAsia="es-ES"/>
        </w:rPr>
      </w:pPr>
      <w:r>
        <w:rPr>
          <w:rFonts w:eastAsia="Times New Roman" w:cs="Calibri"/>
          <w:sz w:val="20"/>
          <w:szCs w:val="20"/>
          <w:lang w:val="es-ES" w:eastAsia="es-ES"/>
        </w:rPr>
        <w:t>Principal actividad.</w:t>
      </w:r>
    </w:p>
    <w:p w14:paraId="674E4517" w14:textId="77777777" w:rsidR="007745EB" w:rsidRDefault="00C87FDA" w:rsidP="00EC7D22">
      <w:pPr>
        <w:pStyle w:val="Prrafodelista"/>
        <w:spacing w:after="0" w:line="240" w:lineRule="auto"/>
        <w:ind w:left="0"/>
        <w:jc w:val="both"/>
        <w:rPr>
          <w:rFonts w:eastAsia="Times New Roman" w:cs="Calibri"/>
          <w:sz w:val="20"/>
          <w:szCs w:val="20"/>
          <w:lang w:val="es-ES" w:eastAsia="es-ES"/>
        </w:rPr>
      </w:pPr>
      <w:r>
        <w:rPr>
          <w:rFonts w:eastAsia="Times New Roman" w:cs="Calibri"/>
          <w:sz w:val="20"/>
          <w:szCs w:val="20"/>
          <w:lang w:val="es-ES" w:eastAsia="es-ES"/>
        </w:rPr>
        <w:t>Entre sus principales actividades el gobierno del estado tiene la planeación estratégica del desarrollo económico, urbano y rural, orientando las políticas públicas que cada región necesita para aprovechar de una mejor manera los recursos públicos y así  lograr una mejor calidad de vida de sus gobernados., abarcando cada dependencia de gobierno los sectores económicos y sociales de cada región y municipio con todos los actores involucrados para lograr ser un gestor efectivo de necesidades y recursos ante la federación.</w:t>
      </w:r>
    </w:p>
    <w:p w14:paraId="40BD843C" w14:textId="77777777" w:rsidR="007745EB" w:rsidRDefault="007745EB" w:rsidP="00EC7D22">
      <w:pPr>
        <w:pStyle w:val="Prrafodelista"/>
        <w:spacing w:after="0" w:line="240" w:lineRule="auto"/>
        <w:ind w:left="0"/>
        <w:jc w:val="both"/>
        <w:rPr>
          <w:rFonts w:eastAsia="Times New Roman" w:cs="Calibri"/>
          <w:sz w:val="20"/>
          <w:szCs w:val="20"/>
          <w:lang w:val="es-ES" w:eastAsia="es-ES"/>
        </w:rPr>
      </w:pPr>
    </w:p>
    <w:p w14:paraId="4186C0EC" w14:textId="6A787F80" w:rsidR="007745EB" w:rsidRDefault="00C87FDA" w:rsidP="00EC7D22">
      <w:pPr>
        <w:pStyle w:val="Prrafodelista"/>
        <w:numPr>
          <w:ilvl w:val="0"/>
          <w:numId w:val="4"/>
        </w:numPr>
        <w:spacing w:after="0" w:line="240" w:lineRule="auto"/>
        <w:ind w:left="0" w:firstLine="0"/>
        <w:jc w:val="both"/>
        <w:rPr>
          <w:rFonts w:eastAsia="Times New Roman" w:cs="Calibri"/>
          <w:b/>
          <w:sz w:val="20"/>
          <w:szCs w:val="20"/>
          <w:lang w:val="es-ES" w:eastAsia="es-ES"/>
        </w:rPr>
      </w:pPr>
      <w:r>
        <w:rPr>
          <w:rFonts w:eastAsia="Times New Roman" w:cs="Calibri"/>
          <w:sz w:val="20"/>
          <w:szCs w:val="20"/>
          <w:lang w:val="es-ES" w:eastAsia="es-ES"/>
        </w:rPr>
        <w:t>Ejercicio Fiscal que se informa</w:t>
      </w:r>
      <w:r>
        <w:rPr>
          <w:rFonts w:eastAsia="Times New Roman" w:cs="Calibri"/>
          <w:b/>
          <w:sz w:val="20"/>
          <w:szCs w:val="20"/>
          <w:lang w:val="es-ES" w:eastAsia="es-ES"/>
        </w:rPr>
        <w:t>:</w:t>
      </w:r>
      <w:r>
        <w:rPr>
          <w:rFonts w:eastAsia="Times New Roman" w:cs="Calibri"/>
          <w:sz w:val="20"/>
          <w:szCs w:val="20"/>
          <w:lang w:val="es-ES" w:eastAsia="es-ES"/>
        </w:rPr>
        <w:t xml:space="preserve"> Del 1° de enero al </w:t>
      </w:r>
      <w:r w:rsidR="00831652">
        <w:rPr>
          <w:rFonts w:eastAsia="Times New Roman" w:cs="Calibri"/>
          <w:sz w:val="20"/>
          <w:szCs w:val="20"/>
          <w:lang w:val="es-ES" w:eastAsia="es-ES"/>
        </w:rPr>
        <w:t>31 de dici</w:t>
      </w:r>
      <w:r w:rsidR="00225690">
        <w:rPr>
          <w:rFonts w:eastAsia="Times New Roman" w:cs="Calibri"/>
          <w:sz w:val="20"/>
          <w:szCs w:val="20"/>
          <w:lang w:val="es-ES" w:eastAsia="es-ES"/>
        </w:rPr>
        <w:t>embre</w:t>
      </w:r>
      <w:r>
        <w:rPr>
          <w:rFonts w:eastAsia="Times New Roman" w:cs="Calibri"/>
          <w:sz w:val="20"/>
          <w:szCs w:val="20"/>
          <w:lang w:val="es-ES" w:eastAsia="es-ES"/>
        </w:rPr>
        <w:t xml:space="preserve"> de 2024.</w:t>
      </w:r>
    </w:p>
    <w:p w14:paraId="69A3F061" w14:textId="77777777" w:rsidR="007745EB" w:rsidRDefault="007745EB" w:rsidP="00EC7D22">
      <w:pPr>
        <w:pStyle w:val="Prrafodelista"/>
        <w:spacing w:after="0" w:line="240" w:lineRule="auto"/>
        <w:ind w:left="0"/>
        <w:jc w:val="both"/>
        <w:rPr>
          <w:rFonts w:eastAsia="Times New Roman" w:cs="Calibri"/>
          <w:b/>
          <w:sz w:val="20"/>
          <w:szCs w:val="20"/>
          <w:lang w:val="es-ES" w:eastAsia="es-ES"/>
        </w:rPr>
      </w:pPr>
    </w:p>
    <w:p w14:paraId="5149A07D" w14:textId="77777777" w:rsidR="007745EB" w:rsidRDefault="00C87FDA" w:rsidP="00EC7D22">
      <w:pPr>
        <w:pStyle w:val="Prrafodelista"/>
        <w:numPr>
          <w:ilvl w:val="0"/>
          <w:numId w:val="4"/>
        </w:numPr>
        <w:spacing w:after="0" w:line="240" w:lineRule="auto"/>
        <w:ind w:left="0" w:firstLine="0"/>
        <w:jc w:val="both"/>
        <w:rPr>
          <w:rFonts w:eastAsia="Times New Roman" w:cs="Calibri"/>
          <w:sz w:val="20"/>
          <w:szCs w:val="20"/>
          <w:lang w:val="es-ES" w:eastAsia="es-ES"/>
        </w:rPr>
      </w:pPr>
      <w:r>
        <w:rPr>
          <w:rFonts w:eastAsia="Times New Roman" w:cs="Calibri"/>
          <w:sz w:val="20"/>
          <w:szCs w:val="20"/>
          <w:lang w:val="es-ES" w:eastAsia="es-ES"/>
        </w:rPr>
        <w:t>Régimen Jurídico</w:t>
      </w:r>
    </w:p>
    <w:p w14:paraId="109EC0CB" w14:textId="77777777" w:rsidR="007745EB" w:rsidRDefault="00C87FDA" w:rsidP="00EC7D22">
      <w:pPr>
        <w:pStyle w:val="Prrafodelista"/>
        <w:spacing w:after="0" w:line="240" w:lineRule="auto"/>
        <w:ind w:left="0"/>
        <w:jc w:val="both"/>
        <w:rPr>
          <w:rFonts w:eastAsia="Times New Roman" w:cs="Calibri"/>
          <w:sz w:val="20"/>
          <w:szCs w:val="20"/>
          <w:lang w:val="es-ES" w:eastAsia="es-ES"/>
        </w:rPr>
      </w:pPr>
      <w:r>
        <w:rPr>
          <w:rFonts w:eastAsia="Times New Roman" w:cs="Calibri"/>
          <w:sz w:val="20"/>
          <w:szCs w:val="20"/>
          <w:lang w:val="es-ES" w:eastAsia="es-ES"/>
        </w:rPr>
        <w:t xml:space="preserve">En la parte normativa, la Administración Pública del Estado funciona acorde a lo establecido en la  Constitución Política de los Estados Unidos Mexicanos, la propia del Estado, la Ley Orgánica de la Administración Pública del Estado de </w:t>
      </w:r>
      <w:r>
        <w:rPr>
          <w:rFonts w:eastAsia="Times New Roman" w:cs="Calibri"/>
          <w:sz w:val="20"/>
          <w:szCs w:val="20"/>
          <w:lang w:val="es-ES" w:eastAsia="es-ES"/>
        </w:rPr>
        <w:lastRenderedPageBreak/>
        <w:t xml:space="preserve">Tamaulipas, la Ley de Responsabilidades de los Servidores Públicos del Estado, Ley de Gasto Público, Ley de Deuda Pública Estatal y Municipal, Ley Estatal de Planeación, Ley de Entidades Paraestatales y Ley de Fiscalización y Rendición de Cuentas del Estado, entre otras.     </w:t>
      </w:r>
    </w:p>
    <w:p w14:paraId="3556D602" w14:textId="77777777" w:rsidR="007745EB" w:rsidRDefault="007745EB" w:rsidP="00EC7D22">
      <w:pPr>
        <w:pStyle w:val="Prrafodelista"/>
        <w:spacing w:after="0" w:line="240" w:lineRule="auto"/>
        <w:ind w:left="0"/>
        <w:jc w:val="both"/>
        <w:rPr>
          <w:rFonts w:eastAsia="Times New Roman" w:cs="Calibri"/>
          <w:sz w:val="20"/>
          <w:szCs w:val="20"/>
          <w:lang w:val="es-ES" w:eastAsia="es-ES"/>
        </w:rPr>
      </w:pPr>
    </w:p>
    <w:p w14:paraId="5F5CCF49" w14:textId="77777777" w:rsidR="007745EB" w:rsidRDefault="00C87FDA" w:rsidP="00EC7D22">
      <w:pPr>
        <w:pStyle w:val="Prrafodelista"/>
        <w:numPr>
          <w:ilvl w:val="0"/>
          <w:numId w:val="4"/>
        </w:numPr>
        <w:spacing w:after="0" w:line="240" w:lineRule="auto"/>
        <w:ind w:left="0" w:firstLine="0"/>
        <w:jc w:val="both"/>
        <w:rPr>
          <w:rFonts w:eastAsia="Times New Roman" w:cs="Calibri"/>
          <w:sz w:val="20"/>
          <w:szCs w:val="20"/>
          <w:lang w:val="es-ES" w:eastAsia="es-ES"/>
        </w:rPr>
      </w:pPr>
      <w:r>
        <w:rPr>
          <w:rFonts w:eastAsia="Times New Roman" w:cs="Calibri"/>
          <w:sz w:val="20"/>
          <w:szCs w:val="20"/>
          <w:lang w:val="es-ES" w:eastAsia="es-ES"/>
        </w:rPr>
        <w:t>Consideraciones Fiscales del Ente:</w:t>
      </w:r>
    </w:p>
    <w:p w14:paraId="06890514" w14:textId="77777777" w:rsidR="007745EB" w:rsidRDefault="00C87FDA" w:rsidP="00EC7D22">
      <w:pPr>
        <w:pStyle w:val="Prrafodelista"/>
        <w:spacing w:after="0" w:line="240" w:lineRule="auto"/>
        <w:ind w:left="0"/>
        <w:jc w:val="both"/>
        <w:rPr>
          <w:rFonts w:eastAsia="Times New Roman" w:cs="Calibri"/>
          <w:sz w:val="20"/>
          <w:szCs w:val="20"/>
          <w:lang w:val="es-ES" w:eastAsia="es-ES"/>
        </w:rPr>
      </w:pPr>
      <w:r>
        <w:rPr>
          <w:rFonts w:eastAsia="Times New Roman" w:cs="Calibri"/>
          <w:sz w:val="20"/>
          <w:szCs w:val="20"/>
          <w:lang w:val="es-ES" w:eastAsia="es-ES"/>
        </w:rPr>
        <w:t>Obligado a retenciones en materia de Salarios y demás prestaciones que deriven de una relación laboral subordinada, así como retenciones en materia de Ingresos Asimilables a Salarios, retenciones en materia de prestación de Servicios Profesionales, retenciones en materia de Arrendamientos y en general por otorgar el uso o goce temporal de Inmuebles, así como el Impuesto al Valor Agregado por los actos o actividades que realice que cause este Impuesto.</w:t>
      </w:r>
    </w:p>
    <w:p w14:paraId="519496C6" w14:textId="77777777" w:rsidR="007745EB" w:rsidRDefault="007745EB" w:rsidP="00EC7D22">
      <w:pPr>
        <w:pStyle w:val="Prrafodelista"/>
        <w:spacing w:after="0" w:line="240" w:lineRule="auto"/>
        <w:ind w:left="0"/>
        <w:jc w:val="both"/>
        <w:rPr>
          <w:rFonts w:eastAsia="Times New Roman" w:cs="Calibri"/>
          <w:sz w:val="20"/>
          <w:szCs w:val="20"/>
          <w:lang w:val="es-ES" w:eastAsia="es-ES"/>
        </w:rPr>
      </w:pPr>
    </w:p>
    <w:p w14:paraId="4C6900D9" w14:textId="77777777" w:rsidR="007745EB" w:rsidRDefault="00C87FDA" w:rsidP="00EC7D22">
      <w:pPr>
        <w:pStyle w:val="Prrafodelista"/>
        <w:numPr>
          <w:ilvl w:val="0"/>
          <w:numId w:val="4"/>
        </w:numPr>
        <w:spacing w:after="0" w:line="240" w:lineRule="auto"/>
        <w:ind w:left="0" w:firstLine="0"/>
        <w:jc w:val="both"/>
        <w:rPr>
          <w:rFonts w:eastAsia="Times New Roman" w:cs="Calibri"/>
          <w:sz w:val="20"/>
          <w:szCs w:val="20"/>
          <w:lang w:val="es-ES" w:eastAsia="es-ES"/>
        </w:rPr>
      </w:pPr>
      <w:r>
        <w:rPr>
          <w:rFonts w:eastAsia="Times New Roman" w:cs="Calibri"/>
          <w:sz w:val="20"/>
          <w:szCs w:val="20"/>
          <w:lang w:val="es-ES" w:eastAsia="es-ES"/>
        </w:rPr>
        <w:t>Estructura Organizacional Básica.</w:t>
      </w:r>
    </w:p>
    <w:p w14:paraId="2A2CEBA6" w14:textId="66478907" w:rsidR="00EC7D22" w:rsidRDefault="00C87FDA" w:rsidP="00EC7D22">
      <w:pPr>
        <w:pStyle w:val="Prrafodelista"/>
        <w:spacing w:after="0" w:line="240" w:lineRule="exact"/>
        <w:ind w:left="0"/>
        <w:jc w:val="both"/>
        <w:rPr>
          <w:rFonts w:eastAsia="Times New Roman" w:cs="Calibri"/>
          <w:sz w:val="20"/>
          <w:szCs w:val="20"/>
          <w:lang w:val="es-ES" w:eastAsia="es-ES"/>
        </w:rPr>
      </w:pPr>
      <w:r>
        <w:rPr>
          <w:rFonts w:eastAsia="Times New Roman" w:cs="Calibri"/>
          <w:sz w:val="20"/>
          <w:szCs w:val="20"/>
          <w:lang w:val="es-ES" w:eastAsia="es-ES"/>
        </w:rPr>
        <w:t xml:space="preserve">Conforme al Artículo 24 de la Ley Orgánica de la Administración Pública del Estado de Tamaulipas cuya última reforma fue publicada el </w:t>
      </w:r>
      <w:r w:rsidR="006B6F3E">
        <w:rPr>
          <w:rFonts w:eastAsia="Times New Roman" w:cs="Calibri"/>
          <w:sz w:val="20"/>
          <w:szCs w:val="20"/>
          <w:lang w:val="es-ES" w:eastAsia="es-ES"/>
        </w:rPr>
        <w:t>20 de diciembre</w:t>
      </w:r>
      <w:r>
        <w:rPr>
          <w:rFonts w:eastAsia="Times New Roman" w:cs="Calibri"/>
          <w:sz w:val="20"/>
          <w:szCs w:val="20"/>
          <w:lang w:val="es-ES" w:eastAsia="es-ES"/>
        </w:rPr>
        <w:t xml:space="preserve"> de 2024 en el Periódico Oficial del Estado., el Titular del Poder Ejecutivo cuenta con las siguientes Dependencias.</w:t>
      </w:r>
    </w:p>
    <w:p w14:paraId="35EAFEB1" w14:textId="77777777" w:rsidR="007745EB" w:rsidRDefault="007745EB" w:rsidP="00EC7D22">
      <w:pPr>
        <w:spacing w:after="0" w:line="240" w:lineRule="exact"/>
        <w:jc w:val="both"/>
        <w:rPr>
          <w:rFonts w:eastAsia="Times New Roman" w:cs="Calibri"/>
          <w:sz w:val="20"/>
          <w:szCs w:val="20"/>
          <w:lang w:val="es-ES" w:eastAsia="es-ES"/>
        </w:rPr>
      </w:pPr>
    </w:p>
    <w:tbl>
      <w:tblPr>
        <w:tblW w:w="9918" w:type="dxa"/>
        <w:shd w:val="clear" w:color="auto" w:fill="FFFFFF" w:themeFill="background1"/>
        <w:tblCellMar>
          <w:left w:w="0" w:type="dxa"/>
          <w:right w:w="0" w:type="dxa"/>
        </w:tblCellMar>
        <w:tblLook w:val="04A0" w:firstRow="1" w:lastRow="0" w:firstColumn="1" w:lastColumn="0" w:noHBand="0" w:noVBand="1"/>
      </w:tblPr>
      <w:tblGrid>
        <w:gridCol w:w="9918"/>
      </w:tblGrid>
      <w:tr w:rsidR="007745EB" w:rsidRPr="001F72C2" w14:paraId="0F0454E6" w14:textId="77777777" w:rsidTr="00EC7D22">
        <w:trPr>
          <w:cantSplit/>
          <w:trHeight w:val="1134"/>
        </w:trPr>
        <w:tc>
          <w:tcPr>
            <w:tcW w:w="9918" w:type="dxa"/>
            <w:shd w:val="clear" w:color="auto" w:fill="FFFFFF" w:themeFill="background1"/>
            <w:vAlign w:val="center"/>
          </w:tcPr>
          <w:p w14:paraId="133995E2"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Oficina del Gobernador;</w:t>
            </w:r>
          </w:p>
          <w:p w14:paraId="2337C0D1"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General de Gobierno;</w:t>
            </w:r>
          </w:p>
          <w:p w14:paraId="2CECD0DE"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Finanzas;</w:t>
            </w:r>
          </w:p>
          <w:p w14:paraId="14159E4E"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Administración;</w:t>
            </w:r>
          </w:p>
          <w:p w14:paraId="1C66DF05"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Economía;</w:t>
            </w:r>
          </w:p>
          <w:p w14:paraId="31867DA3"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Turismo;</w:t>
            </w:r>
          </w:p>
          <w:p w14:paraId="0F8EA03F"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Secretaria de Recursos Hidráulicos para el Desarrollo Social;</w:t>
            </w:r>
          </w:p>
          <w:p w14:paraId="6DA6560B"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del Trabajo y Previsión Social;</w:t>
            </w:r>
          </w:p>
          <w:p w14:paraId="213FD6F0"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Desarrollo Rural, Pesca y Acuacultura;</w:t>
            </w:r>
          </w:p>
          <w:p w14:paraId="2925813E"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Desarrollo Energético;</w:t>
            </w:r>
          </w:p>
          <w:p w14:paraId="1EDBE903"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Bienestar Social;</w:t>
            </w:r>
          </w:p>
          <w:p w14:paraId="7586E87C"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Educación;</w:t>
            </w:r>
          </w:p>
          <w:p w14:paraId="5391D96D"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Salud;</w:t>
            </w:r>
          </w:p>
          <w:p w14:paraId="1D4F1885"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Desarrollo Urbano y Medio Ambiente;</w:t>
            </w:r>
          </w:p>
          <w:p w14:paraId="7E6C6BB2"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Obras Públicas;</w:t>
            </w:r>
          </w:p>
          <w:p w14:paraId="206C9383"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Secretaría de Seguridad Pública;</w:t>
            </w:r>
          </w:p>
          <w:p w14:paraId="0063C835" w14:textId="77777777" w:rsidR="007745EB" w:rsidRPr="001F72C2" w:rsidRDefault="00C87FDA" w:rsidP="00EC7D22">
            <w:pPr>
              <w:pStyle w:val="Prrafodelista"/>
              <w:numPr>
                <w:ilvl w:val="0"/>
                <w:numId w:val="10"/>
              </w:numPr>
              <w:tabs>
                <w:tab w:val="clear" w:pos="0"/>
              </w:tabs>
              <w:ind w:left="0" w:firstLine="0"/>
              <w:rPr>
                <w:rFonts w:cs="Calibri"/>
                <w:sz w:val="20"/>
                <w:szCs w:val="20"/>
              </w:rPr>
            </w:pPr>
            <w:r w:rsidRPr="001F72C2">
              <w:rPr>
                <w:rFonts w:cs="Calibri"/>
                <w:sz w:val="20"/>
                <w:szCs w:val="20"/>
              </w:rPr>
              <w:t>Contraloría Gubernamental.</w:t>
            </w:r>
          </w:p>
        </w:tc>
      </w:tr>
    </w:tbl>
    <w:p w14:paraId="3439C583" w14:textId="77777777" w:rsidR="007745EB" w:rsidRPr="001F72C2" w:rsidRDefault="00C87FDA" w:rsidP="00EC7D22">
      <w:pPr>
        <w:spacing w:after="0" w:line="240" w:lineRule="exact"/>
        <w:jc w:val="both"/>
        <w:rPr>
          <w:rFonts w:eastAsia="Times New Roman" w:cs="Calibri"/>
          <w:sz w:val="20"/>
          <w:szCs w:val="20"/>
          <w:lang w:val="es-ES" w:eastAsia="es-ES"/>
        </w:rPr>
      </w:pPr>
      <w:r w:rsidRPr="001F72C2">
        <w:rPr>
          <w:rFonts w:eastAsia="Times New Roman" w:cs="Calibri"/>
          <w:sz w:val="20"/>
          <w:szCs w:val="20"/>
          <w:lang w:val="es-ES" w:eastAsia="es-ES"/>
        </w:rPr>
        <w:t xml:space="preserve">La Administración Pública Paraestatal, está conformada por los Organismos Descentralizados, las Empresas de Participación </w:t>
      </w:r>
      <w:r w:rsidRPr="001F72C2">
        <w:rPr>
          <w:rFonts w:eastAsia="Times New Roman" w:cs="Calibri"/>
          <w:color w:val="000000"/>
          <w:sz w:val="20"/>
          <w:szCs w:val="20"/>
          <w:lang w:val="es-ES" w:eastAsia="es-ES"/>
        </w:rPr>
        <w:t>Estatal,</w:t>
      </w:r>
      <w:r w:rsidRPr="001F72C2">
        <w:rPr>
          <w:rFonts w:eastAsia="Times New Roman" w:cs="Calibri"/>
          <w:sz w:val="20"/>
          <w:szCs w:val="20"/>
          <w:lang w:val="es-ES" w:eastAsia="es-ES"/>
        </w:rPr>
        <w:t xml:space="preserve"> y los Fideicomisos Públicos, cualquiera que sea su denominación, ello conforme al Artículo 1, Tercer Párrafo de la Ley Orgánica de la Administración Pública del Estado de Tamaulipas.</w:t>
      </w:r>
    </w:p>
    <w:p w14:paraId="275AFF26" w14:textId="77777777" w:rsidR="007745EB" w:rsidRPr="001F72C2" w:rsidRDefault="007745EB" w:rsidP="00EC7D22">
      <w:pPr>
        <w:spacing w:after="0" w:line="240" w:lineRule="exact"/>
        <w:jc w:val="both"/>
        <w:rPr>
          <w:rFonts w:eastAsia="Times New Roman" w:cs="Calibri"/>
          <w:sz w:val="20"/>
          <w:szCs w:val="20"/>
          <w:lang w:val="es-ES" w:eastAsia="es-ES"/>
        </w:rPr>
      </w:pPr>
    </w:p>
    <w:p w14:paraId="764A8256" w14:textId="2AB03250" w:rsidR="00374A74" w:rsidRDefault="00C87FDA" w:rsidP="00EC7D22">
      <w:pPr>
        <w:spacing w:after="0"/>
        <w:jc w:val="both"/>
        <w:rPr>
          <w:rFonts w:cs="Calibri"/>
          <w:sz w:val="20"/>
          <w:szCs w:val="20"/>
        </w:rPr>
      </w:pPr>
      <w:r w:rsidRPr="001F72C2">
        <w:rPr>
          <w:rFonts w:cs="Calibri"/>
          <w:sz w:val="20"/>
          <w:szCs w:val="20"/>
        </w:rPr>
        <w:t>Por otra parte, el Artículo 2 de la Ley de Entidades Paraestatales del Estado de Tamaulipas, menciona que “Las Entidades de la Administración Pública Paraestatal son aquellas que se determinan con tal carácter en la Ley Orgánica de la Administración Pública del Estado de Tamaulipas y en la presente ley.”</w:t>
      </w:r>
    </w:p>
    <w:p w14:paraId="4CA2D0A1" w14:textId="01993D95" w:rsidR="00374A74" w:rsidRDefault="00374A74" w:rsidP="00EC7D22">
      <w:pPr>
        <w:spacing w:after="0"/>
        <w:jc w:val="both"/>
        <w:rPr>
          <w:rFonts w:cs="Calibri"/>
          <w:sz w:val="20"/>
          <w:szCs w:val="20"/>
        </w:rPr>
      </w:pPr>
    </w:p>
    <w:p w14:paraId="5FA8EB39" w14:textId="491A1B23" w:rsidR="00E27714" w:rsidRPr="00374A74" w:rsidRDefault="00C87FDA" w:rsidP="00EC7D22">
      <w:pPr>
        <w:pStyle w:val="Prrafodelista"/>
        <w:numPr>
          <w:ilvl w:val="0"/>
          <w:numId w:val="4"/>
        </w:numPr>
        <w:spacing w:after="0"/>
        <w:ind w:left="0" w:firstLine="0"/>
        <w:jc w:val="both"/>
        <w:rPr>
          <w:rFonts w:cs="Calibri"/>
          <w:sz w:val="20"/>
          <w:szCs w:val="20"/>
        </w:rPr>
      </w:pPr>
      <w:r w:rsidRPr="00374A74">
        <w:rPr>
          <w:rFonts w:cs="Calibri"/>
          <w:sz w:val="20"/>
          <w:szCs w:val="20"/>
        </w:rPr>
        <w:t>Fideicomisos, mandatos y análogos de los cuales es fideicomitente o fideicomisario.</w:t>
      </w:r>
    </w:p>
    <w:p w14:paraId="6D66EE25" w14:textId="77777777" w:rsidR="00AE4E78" w:rsidRDefault="00AE4E78" w:rsidP="00EC7D22">
      <w:pPr>
        <w:pStyle w:val="Prrafodelista"/>
        <w:spacing w:after="0"/>
        <w:ind w:left="0"/>
        <w:jc w:val="both"/>
        <w:rPr>
          <w:rFonts w:cs="Calibri"/>
          <w:sz w:val="20"/>
          <w:szCs w:val="20"/>
        </w:rPr>
      </w:pPr>
    </w:p>
    <w:p w14:paraId="07381241" w14:textId="77777777" w:rsidR="000C429E" w:rsidRDefault="000C429E" w:rsidP="00EC7D22">
      <w:pPr>
        <w:pStyle w:val="Prrafodelista"/>
        <w:spacing w:after="0"/>
        <w:ind w:left="0"/>
        <w:jc w:val="both"/>
        <w:rPr>
          <w:rFonts w:cs="Calibri"/>
          <w:sz w:val="20"/>
          <w:szCs w:val="20"/>
        </w:rPr>
      </w:pPr>
    </w:p>
    <w:p w14:paraId="4DE24FFC" w14:textId="77777777" w:rsidR="00EC7D22" w:rsidRPr="001F72C2" w:rsidRDefault="00EC7D22" w:rsidP="00EC7D22">
      <w:pPr>
        <w:pStyle w:val="Prrafodelista"/>
        <w:spacing w:after="0"/>
        <w:ind w:left="0"/>
        <w:jc w:val="both"/>
        <w:rPr>
          <w:rFonts w:cs="Calibri"/>
          <w:sz w:val="20"/>
          <w:szCs w:val="20"/>
        </w:rPr>
      </w:pPr>
    </w:p>
    <w:p w14:paraId="6B65A184" w14:textId="77777777" w:rsidR="007745EB" w:rsidRPr="001F72C2" w:rsidRDefault="00C87FDA" w:rsidP="00EC7D22">
      <w:pPr>
        <w:spacing w:after="0" w:line="240" w:lineRule="auto"/>
        <w:jc w:val="both"/>
        <w:rPr>
          <w:rFonts w:eastAsia="Times New Roman" w:cs="Calibri"/>
          <w:b/>
          <w:sz w:val="20"/>
          <w:szCs w:val="20"/>
          <w:lang w:val="es-ES" w:eastAsia="es-ES"/>
        </w:rPr>
      </w:pPr>
      <w:bookmarkStart w:id="0" w:name="_Hlk178865018"/>
      <w:bookmarkStart w:id="1" w:name="_Hlk192068411"/>
      <w:r w:rsidRPr="001F72C2">
        <w:rPr>
          <w:rFonts w:eastAsia="Times New Roman" w:cs="Calibri"/>
          <w:b/>
          <w:sz w:val="20"/>
          <w:szCs w:val="20"/>
          <w:lang w:val="es-ES" w:eastAsia="es-ES"/>
        </w:rPr>
        <w:lastRenderedPageBreak/>
        <w:t>Fideicomisos del Gobierno del Estado sin Estructura</w:t>
      </w:r>
    </w:p>
    <w:tbl>
      <w:tblPr>
        <w:tblW w:w="9781" w:type="dxa"/>
        <w:jc w:val="center"/>
        <w:tblLayout w:type="fixed"/>
        <w:tblCellMar>
          <w:left w:w="70" w:type="dxa"/>
          <w:right w:w="70" w:type="dxa"/>
        </w:tblCellMar>
        <w:tblLook w:val="04A0" w:firstRow="1" w:lastRow="0" w:firstColumn="1" w:lastColumn="0" w:noHBand="0" w:noVBand="1"/>
      </w:tblPr>
      <w:tblGrid>
        <w:gridCol w:w="9781"/>
      </w:tblGrid>
      <w:tr w:rsidR="007745EB" w:rsidRPr="001F72C2" w14:paraId="4868D9EC" w14:textId="77777777" w:rsidTr="00EC7D22">
        <w:trPr>
          <w:trHeight w:val="200"/>
          <w:jc w:val="center"/>
        </w:trPr>
        <w:tc>
          <w:tcPr>
            <w:tcW w:w="9781" w:type="dxa"/>
            <w:shd w:val="clear" w:color="auto" w:fill="auto"/>
            <w:vAlign w:val="center"/>
          </w:tcPr>
          <w:p w14:paraId="34F22456" w14:textId="77777777" w:rsidR="007745EB" w:rsidRPr="001F72C2" w:rsidRDefault="007745EB" w:rsidP="00EC7D22">
            <w:pPr>
              <w:spacing w:after="0" w:line="240" w:lineRule="auto"/>
              <w:rPr>
                <w:rFonts w:eastAsia="Times New Roman" w:cs="Calibri"/>
                <w:color w:val="000000"/>
                <w:sz w:val="20"/>
                <w:szCs w:val="20"/>
                <w:lang w:eastAsia="es-MX"/>
              </w:rPr>
            </w:pPr>
          </w:p>
        </w:tc>
      </w:tr>
      <w:tr w:rsidR="007745EB" w:rsidRPr="001F72C2" w14:paraId="4E9D0676" w14:textId="77777777" w:rsidTr="00EC7D22">
        <w:trPr>
          <w:trHeight w:val="200"/>
          <w:jc w:val="center"/>
        </w:trPr>
        <w:tc>
          <w:tcPr>
            <w:tcW w:w="9781" w:type="dxa"/>
            <w:shd w:val="clear" w:color="auto" w:fill="auto"/>
            <w:vAlign w:val="center"/>
          </w:tcPr>
          <w:p w14:paraId="797D150A" w14:textId="77777777" w:rsidR="007745EB" w:rsidRPr="001F72C2" w:rsidRDefault="00C87FDA" w:rsidP="00EC7D22">
            <w:pPr>
              <w:spacing w:after="0" w:line="240" w:lineRule="auto"/>
              <w:ind w:left="-359" w:firstLine="284"/>
              <w:rPr>
                <w:rFonts w:eastAsia="Times New Roman" w:cs="Calibri"/>
                <w:color w:val="000000"/>
                <w:sz w:val="20"/>
                <w:szCs w:val="20"/>
                <w:lang w:eastAsia="es-MX"/>
              </w:rPr>
            </w:pPr>
            <w:r w:rsidRPr="001F72C2">
              <w:rPr>
                <w:rFonts w:eastAsia="Times New Roman" w:cs="Calibri"/>
                <w:color w:val="000000"/>
                <w:sz w:val="20"/>
                <w:szCs w:val="20"/>
                <w:lang w:eastAsia="es-MX"/>
              </w:rPr>
              <w:t>1.   Fideicomiso para el Pago de Créditos del Estado de Tamaulipas (</w:t>
            </w:r>
            <w:proofErr w:type="spellStart"/>
            <w:r w:rsidRPr="001F72C2">
              <w:rPr>
                <w:rFonts w:eastAsia="Times New Roman" w:cs="Calibri"/>
                <w:color w:val="000000"/>
                <w:sz w:val="20"/>
                <w:szCs w:val="20"/>
                <w:lang w:eastAsia="es-MX"/>
              </w:rPr>
              <w:t>Fipac</w:t>
            </w:r>
            <w:proofErr w:type="spellEnd"/>
            <w:r w:rsidRPr="001F72C2">
              <w:rPr>
                <w:rFonts w:eastAsia="Times New Roman" w:cs="Calibri"/>
                <w:color w:val="000000"/>
                <w:sz w:val="20"/>
                <w:szCs w:val="20"/>
                <w:lang w:eastAsia="es-MX"/>
              </w:rPr>
              <w:t>)</w:t>
            </w:r>
          </w:p>
        </w:tc>
      </w:tr>
      <w:tr w:rsidR="007745EB" w:rsidRPr="001F72C2" w14:paraId="1D4C9942" w14:textId="77777777" w:rsidTr="00EC7D22">
        <w:trPr>
          <w:trHeight w:val="200"/>
          <w:jc w:val="center"/>
        </w:trPr>
        <w:tc>
          <w:tcPr>
            <w:tcW w:w="9781" w:type="dxa"/>
            <w:shd w:val="clear" w:color="auto" w:fill="auto"/>
            <w:vAlign w:val="center"/>
          </w:tcPr>
          <w:p w14:paraId="790DB102"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2.   Fideicomiso Puente Internacional Nuevo Laredo III</w:t>
            </w:r>
          </w:p>
        </w:tc>
      </w:tr>
      <w:tr w:rsidR="007745EB" w:rsidRPr="001F72C2" w14:paraId="02BC2578" w14:textId="77777777" w:rsidTr="00EC7D22">
        <w:trPr>
          <w:trHeight w:val="200"/>
          <w:jc w:val="center"/>
        </w:trPr>
        <w:tc>
          <w:tcPr>
            <w:tcW w:w="9781" w:type="dxa"/>
            <w:shd w:val="clear" w:color="auto" w:fill="auto"/>
            <w:vAlign w:val="center"/>
          </w:tcPr>
          <w:p w14:paraId="1EA03273"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3.   Fideicomiso Irrevocable de Administración y Fuente de Pago No. 851-00901 (</w:t>
            </w:r>
            <w:proofErr w:type="spellStart"/>
            <w:r w:rsidRPr="001F72C2">
              <w:rPr>
                <w:rFonts w:eastAsia="Times New Roman" w:cs="Calibri"/>
                <w:color w:val="000000"/>
                <w:sz w:val="20"/>
                <w:szCs w:val="20"/>
                <w:lang w:eastAsia="es-MX"/>
              </w:rPr>
              <w:t>Banregio</w:t>
            </w:r>
            <w:proofErr w:type="spellEnd"/>
            <w:r w:rsidRPr="001F72C2">
              <w:rPr>
                <w:rFonts w:eastAsia="Times New Roman" w:cs="Calibri"/>
                <w:color w:val="000000"/>
                <w:sz w:val="20"/>
                <w:szCs w:val="20"/>
                <w:lang w:eastAsia="es-MX"/>
              </w:rPr>
              <w:t>)</w:t>
            </w:r>
          </w:p>
        </w:tc>
      </w:tr>
      <w:tr w:rsidR="007745EB" w:rsidRPr="001F72C2" w14:paraId="2D7DCA17" w14:textId="77777777" w:rsidTr="00EC7D22">
        <w:trPr>
          <w:trHeight w:val="200"/>
          <w:jc w:val="center"/>
        </w:trPr>
        <w:tc>
          <w:tcPr>
            <w:tcW w:w="9781" w:type="dxa"/>
            <w:shd w:val="clear" w:color="auto" w:fill="auto"/>
            <w:vAlign w:val="center"/>
          </w:tcPr>
          <w:p w14:paraId="06F62F35"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4.   Fideicomiso Irrevocable de Administración y Fuente de Pago No. 2003885 (Santander)</w:t>
            </w:r>
          </w:p>
        </w:tc>
      </w:tr>
      <w:tr w:rsidR="007745EB" w:rsidRPr="001F72C2" w14:paraId="2689513C" w14:textId="77777777" w:rsidTr="00EC7D22">
        <w:trPr>
          <w:trHeight w:val="200"/>
          <w:jc w:val="center"/>
        </w:trPr>
        <w:tc>
          <w:tcPr>
            <w:tcW w:w="9781" w:type="dxa"/>
            <w:shd w:val="clear" w:color="auto" w:fill="auto"/>
            <w:vAlign w:val="center"/>
          </w:tcPr>
          <w:p w14:paraId="4DBEA9EA" w14:textId="284D61F9"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 xml:space="preserve">5.   </w:t>
            </w:r>
            <w:r w:rsidR="00656096" w:rsidRPr="001F72C2">
              <w:rPr>
                <w:rFonts w:eastAsia="Times New Roman" w:cs="Calibri"/>
                <w:color w:val="000000"/>
                <w:sz w:val="20"/>
                <w:szCs w:val="20"/>
                <w:lang w:eastAsia="es-MX"/>
              </w:rPr>
              <w:t>Fideicomiso Fondo</w:t>
            </w:r>
            <w:r w:rsidRPr="001F72C2">
              <w:rPr>
                <w:rFonts w:eastAsia="Times New Roman" w:cs="Calibri"/>
                <w:color w:val="000000"/>
                <w:sz w:val="20"/>
                <w:szCs w:val="20"/>
                <w:lang w:eastAsia="es-MX"/>
              </w:rPr>
              <w:t xml:space="preserve"> de Desastres Naturales del Estado de Tamaulipas</w:t>
            </w:r>
          </w:p>
        </w:tc>
      </w:tr>
      <w:tr w:rsidR="007745EB" w:rsidRPr="001F72C2" w14:paraId="3F93AA4C" w14:textId="77777777" w:rsidTr="00EC7D22">
        <w:trPr>
          <w:trHeight w:val="200"/>
          <w:jc w:val="center"/>
        </w:trPr>
        <w:tc>
          <w:tcPr>
            <w:tcW w:w="9781" w:type="dxa"/>
            <w:shd w:val="clear" w:color="auto" w:fill="auto"/>
            <w:vAlign w:val="center"/>
          </w:tcPr>
          <w:p w14:paraId="7CFE3712"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6.   Fideicomiso Nuevo Santander</w:t>
            </w:r>
          </w:p>
        </w:tc>
      </w:tr>
      <w:tr w:rsidR="007745EB" w:rsidRPr="001F72C2" w14:paraId="4E2B15F4" w14:textId="77777777" w:rsidTr="00EC7D22">
        <w:trPr>
          <w:trHeight w:val="200"/>
          <w:jc w:val="center"/>
        </w:trPr>
        <w:tc>
          <w:tcPr>
            <w:tcW w:w="9781" w:type="dxa"/>
            <w:shd w:val="clear" w:color="auto" w:fill="auto"/>
            <w:vAlign w:val="center"/>
          </w:tcPr>
          <w:p w14:paraId="1EF8E9B9" w14:textId="430197BF"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7.    Fideicomiso de Administración e Inversión del Impuesto por Servicios de Hospedaje del Estado de</w:t>
            </w:r>
            <w:r w:rsidR="00F067D3">
              <w:rPr>
                <w:rFonts w:eastAsia="Times New Roman" w:cs="Calibri"/>
                <w:color w:val="000000"/>
                <w:sz w:val="20"/>
                <w:szCs w:val="20"/>
                <w:lang w:eastAsia="es-MX"/>
              </w:rPr>
              <w:t xml:space="preserve"> </w:t>
            </w:r>
            <w:r w:rsidRPr="001F72C2">
              <w:rPr>
                <w:rFonts w:eastAsia="Times New Roman" w:cs="Calibri"/>
                <w:color w:val="000000"/>
                <w:sz w:val="20"/>
                <w:szCs w:val="20"/>
                <w:lang w:eastAsia="es-MX"/>
              </w:rPr>
              <w:t>Tamaulipas</w:t>
            </w:r>
          </w:p>
        </w:tc>
      </w:tr>
      <w:tr w:rsidR="007745EB" w:rsidRPr="001F72C2" w14:paraId="2BF2360C" w14:textId="77777777" w:rsidTr="00EC7D22">
        <w:trPr>
          <w:trHeight w:val="200"/>
          <w:jc w:val="center"/>
        </w:trPr>
        <w:tc>
          <w:tcPr>
            <w:tcW w:w="9781" w:type="dxa"/>
            <w:shd w:val="clear" w:color="auto" w:fill="auto"/>
            <w:vAlign w:val="center"/>
          </w:tcPr>
          <w:p w14:paraId="65F610DF"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8.    Fideicomiso Fondo de Fomento Agropecuario del Estado de Tamaulipas (</w:t>
            </w:r>
            <w:proofErr w:type="spellStart"/>
            <w:r w:rsidRPr="001F72C2">
              <w:rPr>
                <w:rFonts w:eastAsia="Times New Roman" w:cs="Calibri"/>
                <w:color w:val="000000"/>
                <w:sz w:val="20"/>
                <w:szCs w:val="20"/>
                <w:lang w:eastAsia="es-MX"/>
              </w:rPr>
              <w:t>Fofaet</w:t>
            </w:r>
            <w:proofErr w:type="spellEnd"/>
            <w:r w:rsidRPr="001F72C2">
              <w:rPr>
                <w:rFonts w:eastAsia="Times New Roman" w:cs="Calibri"/>
                <w:color w:val="000000"/>
                <w:sz w:val="20"/>
                <w:szCs w:val="20"/>
                <w:lang w:eastAsia="es-MX"/>
              </w:rPr>
              <w:t>)</w:t>
            </w:r>
          </w:p>
        </w:tc>
      </w:tr>
      <w:tr w:rsidR="007745EB" w:rsidRPr="001F72C2" w14:paraId="34CB1B9A" w14:textId="77777777" w:rsidTr="00EC7D22">
        <w:trPr>
          <w:trHeight w:val="200"/>
          <w:jc w:val="center"/>
        </w:trPr>
        <w:tc>
          <w:tcPr>
            <w:tcW w:w="9781" w:type="dxa"/>
            <w:shd w:val="clear" w:color="auto" w:fill="auto"/>
            <w:vAlign w:val="center"/>
          </w:tcPr>
          <w:p w14:paraId="06102794"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9.    Fideicomiso de Garantía Líquida Solidaria del Estado de Tamaulipas (</w:t>
            </w:r>
            <w:proofErr w:type="spellStart"/>
            <w:r w:rsidRPr="001F72C2">
              <w:rPr>
                <w:rFonts w:eastAsia="Times New Roman" w:cs="Calibri"/>
                <w:color w:val="000000"/>
                <w:sz w:val="20"/>
                <w:szCs w:val="20"/>
                <w:lang w:eastAsia="es-MX"/>
              </w:rPr>
              <w:t>Fidegat</w:t>
            </w:r>
            <w:proofErr w:type="spellEnd"/>
            <w:r w:rsidRPr="001F72C2">
              <w:rPr>
                <w:rFonts w:eastAsia="Times New Roman" w:cs="Calibri"/>
                <w:color w:val="000000"/>
                <w:sz w:val="20"/>
                <w:szCs w:val="20"/>
                <w:lang w:eastAsia="es-MX"/>
              </w:rPr>
              <w:t>)</w:t>
            </w:r>
          </w:p>
        </w:tc>
      </w:tr>
      <w:tr w:rsidR="007745EB" w:rsidRPr="001F72C2" w14:paraId="57EFBB23" w14:textId="77777777" w:rsidTr="00EC7D22">
        <w:trPr>
          <w:trHeight w:val="200"/>
          <w:jc w:val="center"/>
        </w:trPr>
        <w:tc>
          <w:tcPr>
            <w:tcW w:w="9781" w:type="dxa"/>
            <w:shd w:val="clear" w:color="auto" w:fill="auto"/>
            <w:vAlign w:val="center"/>
          </w:tcPr>
          <w:p w14:paraId="6EEEBDAE"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10.  Fideicomiso para el Desarrollo Forestal Sustentable del Estado de Tamaulipas (</w:t>
            </w:r>
            <w:proofErr w:type="spellStart"/>
            <w:r w:rsidRPr="001F72C2">
              <w:rPr>
                <w:rFonts w:eastAsia="Times New Roman" w:cs="Calibri"/>
                <w:color w:val="000000"/>
                <w:sz w:val="20"/>
                <w:szCs w:val="20"/>
                <w:lang w:eastAsia="es-MX"/>
              </w:rPr>
              <w:t>Fidefoset</w:t>
            </w:r>
            <w:proofErr w:type="spellEnd"/>
            <w:r w:rsidRPr="001F72C2">
              <w:rPr>
                <w:rFonts w:eastAsia="Times New Roman" w:cs="Calibri"/>
                <w:color w:val="000000"/>
                <w:sz w:val="20"/>
                <w:szCs w:val="20"/>
                <w:lang w:eastAsia="es-MX"/>
              </w:rPr>
              <w:t>)</w:t>
            </w:r>
          </w:p>
        </w:tc>
      </w:tr>
      <w:tr w:rsidR="007745EB" w:rsidRPr="001F72C2" w14:paraId="319875B4" w14:textId="77777777" w:rsidTr="00EC7D22">
        <w:trPr>
          <w:trHeight w:val="200"/>
          <w:jc w:val="center"/>
        </w:trPr>
        <w:tc>
          <w:tcPr>
            <w:tcW w:w="9781" w:type="dxa"/>
            <w:shd w:val="clear" w:color="auto" w:fill="auto"/>
            <w:vAlign w:val="center"/>
          </w:tcPr>
          <w:p w14:paraId="22EB2288"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11.  Fideicomiso Tamaulipas para Cobertura de Precios y Agricultura por Contrato (</w:t>
            </w:r>
            <w:proofErr w:type="spellStart"/>
            <w:r w:rsidRPr="001F72C2">
              <w:rPr>
                <w:rFonts w:eastAsia="Times New Roman" w:cs="Calibri"/>
                <w:color w:val="000000"/>
                <w:sz w:val="20"/>
                <w:szCs w:val="20"/>
                <w:lang w:eastAsia="es-MX"/>
              </w:rPr>
              <w:t>Fitam</w:t>
            </w:r>
            <w:proofErr w:type="spellEnd"/>
            <w:r w:rsidRPr="001F72C2">
              <w:rPr>
                <w:rFonts w:eastAsia="Times New Roman" w:cs="Calibri"/>
                <w:color w:val="000000"/>
                <w:sz w:val="20"/>
                <w:szCs w:val="20"/>
                <w:lang w:eastAsia="es-MX"/>
              </w:rPr>
              <w:t>)</w:t>
            </w:r>
          </w:p>
        </w:tc>
      </w:tr>
      <w:tr w:rsidR="007745EB" w:rsidRPr="001F72C2" w14:paraId="28061A5F" w14:textId="77777777" w:rsidTr="00EC7D22">
        <w:trPr>
          <w:trHeight w:val="200"/>
          <w:jc w:val="center"/>
        </w:trPr>
        <w:tc>
          <w:tcPr>
            <w:tcW w:w="9781" w:type="dxa"/>
            <w:shd w:val="clear" w:color="auto" w:fill="auto"/>
            <w:vAlign w:val="center"/>
          </w:tcPr>
          <w:p w14:paraId="40E83A01"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12.  Fideicomiso Fondo de Garantía Agropecuaria del Estado de Tamaulipas (</w:t>
            </w:r>
            <w:proofErr w:type="spellStart"/>
            <w:r w:rsidRPr="001F72C2">
              <w:rPr>
                <w:rFonts w:eastAsia="Times New Roman" w:cs="Calibri"/>
                <w:color w:val="000000"/>
                <w:sz w:val="20"/>
                <w:szCs w:val="20"/>
                <w:lang w:eastAsia="es-MX"/>
              </w:rPr>
              <w:t>Fogagro</w:t>
            </w:r>
            <w:proofErr w:type="spellEnd"/>
            <w:r w:rsidRPr="001F72C2">
              <w:rPr>
                <w:rFonts w:eastAsia="Times New Roman" w:cs="Calibri"/>
                <w:color w:val="000000"/>
                <w:sz w:val="20"/>
                <w:szCs w:val="20"/>
                <w:lang w:eastAsia="es-MX"/>
              </w:rPr>
              <w:t>)</w:t>
            </w:r>
          </w:p>
        </w:tc>
      </w:tr>
      <w:tr w:rsidR="007745EB" w:rsidRPr="001F72C2" w14:paraId="4AD051C9" w14:textId="77777777" w:rsidTr="00EC7D22">
        <w:trPr>
          <w:trHeight w:val="200"/>
          <w:jc w:val="center"/>
        </w:trPr>
        <w:tc>
          <w:tcPr>
            <w:tcW w:w="9781" w:type="dxa"/>
            <w:shd w:val="clear" w:color="auto" w:fill="auto"/>
            <w:vAlign w:val="center"/>
          </w:tcPr>
          <w:p w14:paraId="0D2E7878"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13.  Fideicomiso del Instituto Tamaulipeco de Becas, Estímulos y Créditos Educativos (</w:t>
            </w:r>
            <w:proofErr w:type="spellStart"/>
            <w:r w:rsidRPr="001F72C2">
              <w:rPr>
                <w:rFonts w:eastAsia="Times New Roman" w:cs="Calibri"/>
                <w:color w:val="000000"/>
                <w:sz w:val="20"/>
                <w:szCs w:val="20"/>
                <w:lang w:eastAsia="es-MX"/>
              </w:rPr>
              <w:t>Fitabec</w:t>
            </w:r>
            <w:proofErr w:type="spellEnd"/>
            <w:r w:rsidRPr="001F72C2">
              <w:rPr>
                <w:rFonts w:eastAsia="Times New Roman" w:cs="Calibri"/>
                <w:color w:val="000000"/>
                <w:sz w:val="20"/>
                <w:szCs w:val="20"/>
                <w:lang w:eastAsia="es-MX"/>
              </w:rPr>
              <w:t>)</w:t>
            </w:r>
          </w:p>
        </w:tc>
      </w:tr>
      <w:tr w:rsidR="007745EB" w:rsidRPr="001F72C2" w14:paraId="5197CA5F" w14:textId="77777777" w:rsidTr="00EC7D22">
        <w:trPr>
          <w:trHeight w:val="200"/>
          <w:jc w:val="center"/>
        </w:trPr>
        <w:tc>
          <w:tcPr>
            <w:tcW w:w="9781" w:type="dxa"/>
            <w:shd w:val="clear" w:color="auto" w:fill="auto"/>
            <w:vAlign w:val="center"/>
          </w:tcPr>
          <w:p w14:paraId="34DE5CB8" w14:textId="76834430"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14.  Fideicomiso de Apoyo de Tecnologías Educativas y de la Información para el Personal al Servicio de la Educación.</w:t>
            </w:r>
          </w:p>
        </w:tc>
      </w:tr>
      <w:tr w:rsidR="007745EB" w:rsidRPr="001F72C2" w14:paraId="500EE029" w14:textId="77777777" w:rsidTr="00EC7D22">
        <w:trPr>
          <w:trHeight w:val="200"/>
          <w:jc w:val="center"/>
        </w:trPr>
        <w:tc>
          <w:tcPr>
            <w:tcW w:w="9781" w:type="dxa"/>
            <w:shd w:val="clear" w:color="auto" w:fill="auto"/>
            <w:vAlign w:val="center"/>
          </w:tcPr>
          <w:p w14:paraId="473B7BF2" w14:textId="2A919E20"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15.  Fideicomiso Puente Internacional Río Bravo-Donna</w:t>
            </w:r>
          </w:p>
        </w:tc>
      </w:tr>
      <w:tr w:rsidR="007745EB" w:rsidRPr="001F72C2" w14:paraId="38D9EF17" w14:textId="77777777" w:rsidTr="00EC7D22">
        <w:trPr>
          <w:trHeight w:val="200"/>
          <w:jc w:val="center"/>
        </w:trPr>
        <w:tc>
          <w:tcPr>
            <w:tcW w:w="9781" w:type="dxa"/>
            <w:shd w:val="clear" w:color="auto" w:fill="auto"/>
            <w:vAlign w:val="center"/>
          </w:tcPr>
          <w:p w14:paraId="65BA584A" w14:textId="023E4960"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16.  Fideicomiso Mante-Ocampo-Tula</w:t>
            </w:r>
          </w:p>
        </w:tc>
      </w:tr>
      <w:tr w:rsidR="007745EB" w:rsidRPr="001F72C2" w14:paraId="362503D6" w14:textId="77777777" w:rsidTr="00EC7D22">
        <w:trPr>
          <w:trHeight w:val="200"/>
          <w:jc w:val="center"/>
        </w:trPr>
        <w:tc>
          <w:tcPr>
            <w:tcW w:w="9781" w:type="dxa"/>
            <w:shd w:val="clear" w:color="auto" w:fill="auto"/>
            <w:vAlign w:val="center"/>
          </w:tcPr>
          <w:p w14:paraId="1BB627E4" w14:textId="60E07C89"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17.  Fideicomiso de Administración e Inversión para el Desarrollo del Programa “Nuestros Niños, Nuestro Futuro”</w:t>
            </w:r>
          </w:p>
        </w:tc>
      </w:tr>
      <w:tr w:rsidR="007745EB" w:rsidRPr="001F72C2" w14:paraId="35E53F19" w14:textId="77777777" w:rsidTr="00EC7D22">
        <w:trPr>
          <w:trHeight w:val="200"/>
          <w:jc w:val="center"/>
        </w:trPr>
        <w:tc>
          <w:tcPr>
            <w:tcW w:w="9781" w:type="dxa"/>
            <w:shd w:val="clear" w:color="auto" w:fill="auto"/>
            <w:vAlign w:val="center"/>
          </w:tcPr>
          <w:p w14:paraId="4510F073" w14:textId="1FA017D4"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18.  Fideicomiso para el Programa Especial de Financiamiento a la Vivienda para el Magisterio del</w:t>
            </w:r>
            <w:r w:rsidR="00EC7D22">
              <w:rPr>
                <w:rFonts w:eastAsia="Times New Roman" w:cs="Calibri"/>
                <w:color w:val="000000"/>
                <w:sz w:val="20"/>
                <w:szCs w:val="20"/>
                <w:lang w:eastAsia="es-MX"/>
              </w:rPr>
              <w:t xml:space="preserve"> </w:t>
            </w:r>
            <w:r w:rsidRPr="001F72C2">
              <w:rPr>
                <w:rFonts w:eastAsia="Times New Roman" w:cs="Calibri"/>
                <w:color w:val="000000"/>
                <w:sz w:val="20"/>
                <w:szCs w:val="20"/>
                <w:lang w:eastAsia="es-MX"/>
              </w:rPr>
              <w:t>Estado de</w:t>
            </w:r>
            <w:r w:rsidR="00EC7D22">
              <w:rPr>
                <w:rFonts w:eastAsia="Times New Roman" w:cs="Calibri"/>
                <w:color w:val="000000"/>
                <w:sz w:val="20"/>
                <w:szCs w:val="20"/>
                <w:lang w:eastAsia="es-MX"/>
              </w:rPr>
              <w:t xml:space="preserve"> </w:t>
            </w:r>
            <w:r w:rsidRPr="001F72C2">
              <w:rPr>
                <w:rFonts w:eastAsia="Times New Roman" w:cs="Calibri"/>
                <w:color w:val="000000"/>
                <w:sz w:val="20"/>
                <w:szCs w:val="20"/>
                <w:lang w:eastAsia="es-MX"/>
              </w:rPr>
              <w:t>Tamaulipas (</w:t>
            </w:r>
            <w:proofErr w:type="spellStart"/>
            <w:r w:rsidRPr="001F72C2">
              <w:rPr>
                <w:rFonts w:eastAsia="Times New Roman" w:cs="Calibri"/>
                <w:color w:val="000000"/>
                <w:sz w:val="20"/>
                <w:szCs w:val="20"/>
                <w:lang w:eastAsia="es-MX"/>
              </w:rPr>
              <w:t>Fovimat</w:t>
            </w:r>
            <w:proofErr w:type="spellEnd"/>
            <w:r w:rsidRPr="001F72C2">
              <w:rPr>
                <w:rFonts w:eastAsia="Times New Roman" w:cs="Calibri"/>
                <w:color w:val="000000"/>
                <w:sz w:val="20"/>
                <w:szCs w:val="20"/>
                <w:lang w:eastAsia="es-MX"/>
              </w:rPr>
              <w:t>)</w:t>
            </w:r>
          </w:p>
        </w:tc>
      </w:tr>
      <w:tr w:rsidR="007745EB" w:rsidRPr="001F72C2" w14:paraId="7831DF70" w14:textId="77777777" w:rsidTr="00EC7D22">
        <w:trPr>
          <w:trHeight w:val="200"/>
          <w:jc w:val="center"/>
        </w:trPr>
        <w:tc>
          <w:tcPr>
            <w:tcW w:w="9781" w:type="dxa"/>
            <w:shd w:val="clear" w:color="auto" w:fill="auto"/>
            <w:vAlign w:val="center"/>
          </w:tcPr>
          <w:p w14:paraId="36B27B53" w14:textId="708FB56C"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19.   Fideicomiso Irrevocable de Administración y Fuente Alterna de Pago No. 3404/2019</w:t>
            </w:r>
            <w:r w:rsidR="001F72C2" w:rsidRPr="001F72C2">
              <w:rPr>
                <w:rFonts w:eastAsia="Times New Roman" w:cs="Calibri"/>
                <w:color w:val="000000"/>
                <w:sz w:val="20"/>
                <w:szCs w:val="20"/>
                <w:lang w:eastAsia="es-MX"/>
              </w:rPr>
              <w:t>(APP)</w:t>
            </w:r>
          </w:p>
        </w:tc>
      </w:tr>
      <w:tr w:rsidR="007745EB" w:rsidRPr="001F72C2" w14:paraId="09AB5244" w14:textId="77777777" w:rsidTr="00EC7D22">
        <w:trPr>
          <w:trHeight w:val="200"/>
          <w:jc w:val="center"/>
        </w:trPr>
        <w:tc>
          <w:tcPr>
            <w:tcW w:w="9781" w:type="dxa"/>
            <w:shd w:val="clear" w:color="auto" w:fill="auto"/>
            <w:vAlign w:val="center"/>
          </w:tcPr>
          <w:p w14:paraId="2C55C60C" w14:textId="5E1FDFE4"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 xml:space="preserve">20.   Fideicomiso Público, Sin estructura, Maestro Irrevocable de </w:t>
            </w:r>
            <w:proofErr w:type="spellStart"/>
            <w:r w:rsidRPr="001F72C2">
              <w:rPr>
                <w:rFonts w:eastAsia="Times New Roman" w:cs="Calibri"/>
                <w:color w:val="000000"/>
                <w:sz w:val="20"/>
                <w:szCs w:val="20"/>
                <w:lang w:eastAsia="es-MX"/>
              </w:rPr>
              <w:t>Adm</w:t>
            </w:r>
            <w:r w:rsidR="00D054D7">
              <w:rPr>
                <w:rFonts w:eastAsia="Times New Roman" w:cs="Calibri"/>
                <w:color w:val="000000"/>
                <w:sz w:val="20"/>
                <w:szCs w:val="20"/>
                <w:lang w:eastAsia="es-MX"/>
              </w:rPr>
              <w:t>on</w:t>
            </w:r>
            <w:proofErr w:type="spellEnd"/>
            <w:r w:rsidR="00D054D7">
              <w:rPr>
                <w:rFonts w:eastAsia="Times New Roman" w:cs="Calibri"/>
                <w:color w:val="000000"/>
                <w:sz w:val="20"/>
                <w:szCs w:val="20"/>
                <w:lang w:eastAsia="es-MX"/>
              </w:rPr>
              <w:t>.</w:t>
            </w:r>
            <w:r w:rsidRPr="001F72C2">
              <w:rPr>
                <w:rFonts w:eastAsia="Times New Roman" w:cs="Calibri"/>
                <w:color w:val="000000"/>
                <w:sz w:val="20"/>
                <w:szCs w:val="20"/>
                <w:lang w:eastAsia="es-MX"/>
              </w:rPr>
              <w:t xml:space="preserve"> y Fuente de Pago No. 1231</w:t>
            </w:r>
          </w:p>
          <w:p w14:paraId="719B85A9" w14:textId="77777777"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21.   Fideicomiso Fondo para el Cambio Climático del Estado de Tamaulipas</w:t>
            </w:r>
          </w:p>
          <w:p w14:paraId="76639349" w14:textId="144691DC"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22.   Fideicomiso del Fondo de Capitalidad</w:t>
            </w:r>
            <w:r w:rsidR="006B6F3E">
              <w:rPr>
                <w:rFonts w:eastAsia="Times New Roman" w:cs="Calibri"/>
                <w:color w:val="000000"/>
                <w:sz w:val="20"/>
                <w:szCs w:val="20"/>
                <w:lang w:eastAsia="es-MX"/>
              </w:rPr>
              <w:t xml:space="preserve"> y Proyectos Es</w:t>
            </w:r>
            <w:r w:rsidR="00DF2FA6">
              <w:rPr>
                <w:rFonts w:eastAsia="Times New Roman" w:cs="Calibri"/>
                <w:color w:val="000000"/>
                <w:sz w:val="20"/>
                <w:szCs w:val="20"/>
                <w:lang w:eastAsia="es-MX"/>
              </w:rPr>
              <w:t>tratégicos.</w:t>
            </w:r>
          </w:p>
          <w:p w14:paraId="65165120" w14:textId="6C22E01E"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23.   Fideicomiso Irrevocable de Inversión, Administración y Fuente de Pago No.754017 (RN)</w:t>
            </w:r>
          </w:p>
          <w:p w14:paraId="24333156" w14:textId="7AF5421E" w:rsidR="007745EB" w:rsidRPr="001F72C2" w:rsidRDefault="00C87FDA"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 xml:space="preserve">24. </w:t>
            </w:r>
            <w:r w:rsidR="001F72C2" w:rsidRPr="001F72C2">
              <w:rPr>
                <w:rFonts w:eastAsia="Times New Roman" w:cs="Calibri"/>
                <w:color w:val="000000"/>
                <w:sz w:val="20"/>
                <w:szCs w:val="20"/>
                <w:lang w:eastAsia="es-MX"/>
              </w:rPr>
              <w:t xml:space="preserve">  </w:t>
            </w:r>
            <w:r w:rsidRPr="001F72C2">
              <w:rPr>
                <w:rFonts w:eastAsia="Times New Roman" w:cs="Calibri"/>
                <w:color w:val="000000"/>
                <w:sz w:val="20"/>
                <w:szCs w:val="20"/>
                <w:lang w:eastAsia="es-MX"/>
              </w:rPr>
              <w:t>Fideicomiso de Administración e Inversión No. 75</w:t>
            </w:r>
            <w:r w:rsidR="001F72C2" w:rsidRPr="001F72C2">
              <w:rPr>
                <w:rFonts w:eastAsia="Times New Roman" w:cs="Calibri"/>
                <w:color w:val="000000"/>
                <w:sz w:val="20"/>
                <w:szCs w:val="20"/>
                <w:lang w:eastAsia="es-MX"/>
              </w:rPr>
              <w:t>4</w:t>
            </w:r>
            <w:r w:rsidRPr="001F72C2">
              <w:rPr>
                <w:rFonts w:eastAsia="Times New Roman" w:cs="Calibri"/>
                <w:color w:val="000000"/>
                <w:sz w:val="20"/>
                <w:szCs w:val="20"/>
                <w:lang w:eastAsia="es-MX"/>
              </w:rPr>
              <w:t>309 Ciudad Judicial.</w:t>
            </w:r>
          </w:p>
          <w:p w14:paraId="5AF87B9E" w14:textId="7256692E" w:rsidR="007745EB" w:rsidRPr="001F72C2" w:rsidRDefault="001F72C2" w:rsidP="00EC7D22">
            <w:pPr>
              <w:spacing w:after="0" w:line="240" w:lineRule="auto"/>
              <w:ind w:left="351" w:hanging="426"/>
              <w:rPr>
                <w:rFonts w:eastAsia="Times New Roman" w:cs="Calibri"/>
                <w:color w:val="000000"/>
                <w:sz w:val="20"/>
                <w:szCs w:val="20"/>
                <w:lang w:eastAsia="es-MX"/>
              </w:rPr>
            </w:pPr>
            <w:r w:rsidRPr="001F72C2">
              <w:rPr>
                <w:rFonts w:eastAsia="Times New Roman" w:cs="Calibri"/>
                <w:color w:val="000000"/>
                <w:sz w:val="20"/>
                <w:szCs w:val="20"/>
                <w:lang w:eastAsia="es-MX"/>
              </w:rPr>
              <w:t>25.   Fideicomiso de Administración Inmobiliaria e Inversión No.754401 “Puerto Seco Cd. Victoria”</w:t>
            </w:r>
          </w:p>
        </w:tc>
      </w:tr>
    </w:tbl>
    <w:p w14:paraId="17AEDEE1" w14:textId="77777777" w:rsidR="00561430" w:rsidRDefault="00561430" w:rsidP="00EC7D22">
      <w:pPr>
        <w:spacing w:after="0"/>
        <w:jc w:val="both"/>
        <w:rPr>
          <w:rFonts w:eastAsia="Times New Roman" w:cs="Calibri"/>
          <w:b/>
          <w:sz w:val="20"/>
          <w:szCs w:val="18"/>
          <w:lang w:val="es-ES" w:eastAsia="es-ES"/>
        </w:rPr>
      </w:pPr>
    </w:p>
    <w:p w14:paraId="2AA91EA1" w14:textId="77777777" w:rsidR="007745EB" w:rsidRDefault="00C87FDA" w:rsidP="00EC7D22">
      <w:pPr>
        <w:spacing w:after="0"/>
        <w:jc w:val="both"/>
        <w:rPr>
          <w:rFonts w:eastAsia="Times New Roman" w:cs="Calibri"/>
          <w:b/>
          <w:sz w:val="20"/>
          <w:szCs w:val="18"/>
          <w:lang w:val="es-ES" w:eastAsia="es-ES"/>
        </w:rPr>
      </w:pPr>
      <w:r>
        <w:rPr>
          <w:rFonts w:eastAsia="Times New Roman" w:cs="Calibri"/>
          <w:b/>
          <w:sz w:val="20"/>
          <w:szCs w:val="18"/>
          <w:lang w:val="es-ES" w:eastAsia="es-ES"/>
        </w:rPr>
        <w:t>Fideicomisos del Gobierno del Estado con Estructura</w:t>
      </w:r>
    </w:p>
    <w:p w14:paraId="3508C581" w14:textId="77777777" w:rsidR="007745EB" w:rsidRDefault="007745EB" w:rsidP="00EC7D22">
      <w:pPr>
        <w:spacing w:after="0"/>
        <w:jc w:val="both"/>
        <w:rPr>
          <w:rFonts w:eastAsia="Times New Roman" w:cs="Calibri"/>
          <w:b/>
          <w:sz w:val="14"/>
          <w:szCs w:val="18"/>
          <w:lang w:val="es-ES" w:eastAsia="es-ES"/>
        </w:rPr>
      </w:pPr>
    </w:p>
    <w:p w14:paraId="2C8DB67D" w14:textId="77777777" w:rsidR="007745EB" w:rsidRPr="004F44F0" w:rsidRDefault="00C87FDA" w:rsidP="00EC7D22">
      <w:pPr>
        <w:pStyle w:val="Prrafodelista"/>
        <w:numPr>
          <w:ilvl w:val="0"/>
          <w:numId w:val="19"/>
        </w:numPr>
        <w:spacing w:after="0" w:line="240" w:lineRule="auto"/>
        <w:ind w:left="0" w:firstLine="0"/>
        <w:jc w:val="both"/>
        <w:rPr>
          <w:rFonts w:cs="Calibri"/>
          <w:sz w:val="20"/>
          <w:szCs w:val="20"/>
        </w:rPr>
      </w:pPr>
      <w:r w:rsidRPr="004F44F0">
        <w:rPr>
          <w:rFonts w:cs="Calibri"/>
          <w:sz w:val="20"/>
          <w:szCs w:val="20"/>
        </w:rPr>
        <w:t>Fideicomiso Fondo de Garantía y Fomento a la Microindustria del Estado de Tamaulipas (</w:t>
      </w:r>
      <w:proofErr w:type="spellStart"/>
      <w:r w:rsidRPr="004F44F0">
        <w:rPr>
          <w:rFonts w:cs="Calibri"/>
          <w:sz w:val="20"/>
          <w:szCs w:val="20"/>
        </w:rPr>
        <w:t>Fomicro</w:t>
      </w:r>
      <w:proofErr w:type="spellEnd"/>
      <w:r w:rsidRPr="004F44F0">
        <w:rPr>
          <w:rFonts w:cs="Calibri"/>
          <w:sz w:val="20"/>
          <w:szCs w:val="20"/>
        </w:rPr>
        <w:t>)</w:t>
      </w:r>
    </w:p>
    <w:p w14:paraId="539E9DF8" w14:textId="77777777" w:rsidR="007745EB" w:rsidRDefault="007745EB" w:rsidP="00EC7D22">
      <w:pPr>
        <w:pStyle w:val="Prrafodelista"/>
        <w:spacing w:after="0" w:line="240" w:lineRule="auto"/>
        <w:ind w:left="0"/>
        <w:jc w:val="both"/>
        <w:rPr>
          <w:rFonts w:cs="Calibri"/>
          <w:sz w:val="18"/>
          <w:szCs w:val="18"/>
        </w:rPr>
      </w:pPr>
    </w:p>
    <w:p w14:paraId="071F14A7" w14:textId="77777777" w:rsidR="007745EB" w:rsidRDefault="00C87FDA" w:rsidP="00EC7D22">
      <w:pPr>
        <w:spacing w:after="0" w:line="240" w:lineRule="auto"/>
        <w:jc w:val="both"/>
        <w:rPr>
          <w:rFonts w:eastAsia="Times New Roman" w:cs="Calibri"/>
          <w:b/>
          <w:sz w:val="20"/>
          <w:szCs w:val="18"/>
          <w:lang w:val="es-ES" w:eastAsia="es-ES"/>
        </w:rPr>
      </w:pPr>
      <w:r>
        <w:rPr>
          <w:rFonts w:eastAsia="Times New Roman" w:cs="Calibri"/>
          <w:b/>
          <w:sz w:val="20"/>
          <w:szCs w:val="18"/>
          <w:lang w:val="es-ES" w:eastAsia="es-ES"/>
        </w:rPr>
        <w:t xml:space="preserve">Los Fideicomisos sin Estructura reportados a la fecha como </w:t>
      </w:r>
      <w:r>
        <w:rPr>
          <w:rFonts w:eastAsia="Times New Roman" w:cs="Calibri"/>
          <w:b/>
          <w:i/>
          <w:sz w:val="20"/>
          <w:szCs w:val="18"/>
          <w:lang w:val="es-ES" w:eastAsia="es-ES"/>
        </w:rPr>
        <w:t xml:space="preserve">INACTIVOS </w:t>
      </w:r>
      <w:r>
        <w:rPr>
          <w:rFonts w:eastAsia="Times New Roman" w:cs="Calibri"/>
          <w:b/>
          <w:sz w:val="20"/>
          <w:szCs w:val="18"/>
          <w:lang w:val="es-ES" w:eastAsia="es-ES"/>
        </w:rPr>
        <w:t>se enumeran a continuación:</w:t>
      </w:r>
    </w:p>
    <w:p w14:paraId="12221992" w14:textId="77777777" w:rsidR="00EC7D22" w:rsidRDefault="00EC7D22" w:rsidP="00EC7D22">
      <w:pPr>
        <w:spacing w:after="0" w:line="240" w:lineRule="auto"/>
        <w:jc w:val="both"/>
        <w:rPr>
          <w:rFonts w:eastAsia="Times New Roman" w:cs="Calibri"/>
          <w:b/>
          <w:sz w:val="20"/>
          <w:szCs w:val="18"/>
          <w:lang w:val="es-ES" w:eastAsia="es-ES"/>
        </w:rPr>
      </w:pPr>
    </w:p>
    <w:tbl>
      <w:tblPr>
        <w:tblpPr w:leftFromText="141" w:rightFromText="141" w:vertAnchor="text" w:horzAnchor="margin" w:tblpY="334"/>
        <w:tblW w:w="9356" w:type="dxa"/>
        <w:tblLayout w:type="fixed"/>
        <w:tblLook w:val="04A0" w:firstRow="1" w:lastRow="0" w:firstColumn="1" w:lastColumn="0" w:noHBand="0" w:noVBand="1"/>
      </w:tblPr>
      <w:tblGrid>
        <w:gridCol w:w="9356"/>
      </w:tblGrid>
      <w:tr w:rsidR="00EC7D22" w14:paraId="6A874844" w14:textId="77777777" w:rsidTr="00EC7D22">
        <w:trPr>
          <w:trHeight w:val="284"/>
        </w:trPr>
        <w:tc>
          <w:tcPr>
            <w:tcW w:w="9356" w:type="dxa"/>
            <w:vAlign w:val="center"/>
          </w:tcPr>
          <w:bookmarkEnd w:id="0"/>
          <w:bookmarkEnd w:id="1"/>
          <w:p w14:paraId="51815ADA" w14:textId="77777777" w:rsidR="00EC7D22" w:rsidRPr="004F44F0" w:rsidRDefault="00EC7D22" w:rsidP="00EC7D22">
            <w:pPr>
              <w:spacing w:after="0" w:line="240" w:lineRule="auto"/>
              <w:ind w:left="-105"/>
              <w:jc w:val="both"/>
              <w:rPr>
                <w:rFonts w:eastAsia="Times New Roman" w:cs="Calibri"/>
                <w:b/>
                <w:sz w:val="20"/>
                <w:szCs w:val="20"/>
                <w:lang w:val="es-ES" w:eastAsia="es-ES"/>
              </w:rPr>
            </w:pPr>
            <w:r w:rsidRPr="004F44F0">
              <w:rPr>
                <w:rFonts w:eastAsia="Times New Roman" w:cs="Calibri"/>
                <w:color w:val="000000"/>
                <w:sz w:val="20"/>
                <w:szCs w:val="20"/>
                <w:lang w:eastAsia="es-MX"/>
              </w:rPr>
              <w:t>1.    Fideicomiso Desarrollo Urbano Lucio Blanco</w:t>
            </w:r>
          </w:p>
        </w:tc>
      </w:tr>
      <w:tr w:rsidR="00EC7D22" w14:paraId="1D9A8ACC" w14:textId="77777777" w:rsidTr="00EC7D22">
        <w:trPr>
          <w:trHeight w:val="284"/>
        </w:trPr>
        <w:tc>
          <w:tcPr>
            <w:tcW w:w="9356" w:type="dxa"/>
            <w:vAlign w:val="center"/>
          </w:tcPr>
          <w:p w14:paraId="62EC4832" w14:textId="77777777" w:rsidR="00EC7D22" w:rsidRPr="004F44F0" w:rsidRDefault="00EC7D22" w:rsidP="00EC7D22">
            <w:pPr>
              <w:spacing w:after="0" w:line="240" w:lineRule="auto"/>
              <w:ind w:left="-105"/>
              <w:jc w:val="both"/>
              <w:rPr>
                <w:rFonts w:eastAsia="Times New Roman" w:cs="Calibri"/>
                <w:b/>
                <w:sz w:val="20"/>
                <w:szCs w:val="20"/>
                <w:lang w:val="es-ES" w:eastAsia="es-ES"/>
              </w:rPr>
            </w:pPr>
            <w:r w:rsidRPr="004F44F0">
              <w:rPr>
                <w:rFonts w:eastAsia="Times New Roman" w:cs="Calibri"/>
                <w:color w:val="000000"/>
                <w:sz w:val="20"/>
                <w:szCs w:val="20"/>
                <w:lang w:eastAsia="es-MX"/>
              </w:rPr>
              <w:t>2.    Fideicomiso del Centro Histórico de Matamoros (</w:t>
            </w:r>
            <w:proofErr w:type="spellStart"/>
            <w:r w:rsidRPr="004F44F0">
              <w:rPr>
                <w:rFonts w:eastAsia="Times New Roman" w:cs="Calibri"/>
                <w:color w:val="000000"/>
                <w:sz w:val="20"/>
                <w:szCs w:val="20"/>
                <w:lang w:eastAsia="es-MX"/>
              </w:rPr>
              <w:t>F</w:t>
            </w:r>
            <w:r>
              <w:rPr>
                <w:rFonts w:eastAsia="Times New Roman" w:cs="Calibri"/>
                <w:color w:val="000000"/>
                <w:sz w:val="20"/>
                <w:szCs w:val="20"/>
                <w:lang w:eastAsia="es-MX"/>
              </w:rPr>
              <w:t>icemat</w:t>
            </w:r>
            <w:proofErr w:type="spellEnd"/>
            <w:r w:rsidRPr="004F44F0">
              <w:rPr>
                <w:rFonts w:eastAsia="Times New Roman" w:cs="Calibri"/>
                <w:color w:val="000000"/>
                <w:sz w:val="20"/>
                <w:szCs w:val="20"/>
                <w:lang w:eastAsia="es-MX"/>
              </w:rPr>
              <w:t>)</w:t>
            </w:r>
          </w:p>
        </w:tc>
      </w:tr>
      <w:tr w:rsidR="00EC7D22" w14:paraId="31FE5AEA" w14:textId="77777777" w:rsidTr="00EC7D22">
        <w:trPr>
          <w:trHeight w:val="284"/>
        </w:trPr>
        <w:tc>
          <w:tcPr>
            <w:tcW w:w="9356" w:type="dxa"/>
          </w:tcPr>
          <w:p w14:paraId="4CCB6569" w14:textId="77777777" w:rsidR="00EC7D22" w:rsidRPr="004F44F0" w:rsidRDefault="00EC7D22" w:rsidP="00EC7D22">
            <w:pPr>
              <w:spacing w:after="0" w:line="240" w:lineRule="auto"/>
              <w:ind w:left="-105"/>
              <w:jc w:val="both"/>
              <w:rPr>
                <w:rFonts w:eastAsia="Times New Roman" w:cs="Calibri"/>
                <w:color w:val="000000"/>
                <w:sz w:val="20"/>
                <w:szCs w:val="20"/>
                <w:lang w:eastAsia="es-MX"/>
              </w:rPr>
            </w:pPr>
            <w:r w:rsidRPr="004F44F0">
              <w:rPr>
                <w:rFonts w:eastAsia="Times New Roman" w:cs="Calibri"/>
                <w:color w:val="000000"/>
                <w:sz w:val="20"/>
                <w:szCs w:val="20"/>
                <w:lang w:eastAsia="es-MX"/>
              </w:rPr>
              <w:t>3.    Fideicomiso del Centro Urbano Turístico de Ciudad Madero (</w:t>
            </w:r>
            <w:proofErr w:type="spellStart"/>
            <w:r w:rsidRPr="004F44F0">
              <w:rPr>
                <w:rFonts w:eastAsia="Times New Roman" w:cs="Calibri"/>
                <w:color w:val="000000"/>
                <w:sz w:val="20"/>
                <w:szCs w:val="20"/>
                <w:lang w:eastAsia="es-MX"/>
              </w:rPr>
              <w:t>F</w:t>
            </w:r>
            <w:r>
              <w:rPr>
                <w:rFonts w:eastAsia="Times New Roman" w:cs="Calibri"/>
                <w:color w:val="000000"/>
                <w:sz w:val="20"/>
                <w:szCs w:val="20"/>
                <w:lang w:eastAsia="es-MX"/>
              </w:rPr>
              <w:t>icutmad</w:t>
            </w:r>
            <w:proofErr w:type="spellEnd"/>
            <w:r w:rsidRPr="004F44F0">
              <w:rPr>
                <w:rFonts w:eastAsia="Times New Roman" w:cs="Calibri"/>
                <w:color w:val="000000"/>
                <w:sz w:val="20"/>
                <w:szCs w:val="20"/>
                <w:lang w:eastAsia="es-MX"/>
              </w:rPr>
              <w:t>)</w:t>
            </w:r>
          </w:p>
        </w:tc>
      </w:tr>
      <w:tr w:rsidR="00EC7D22" w14:paraId="48105BA6" w14:textId="77777777" w:rsidTr="00EC7D22">
        <w:trPr>
          <w:trHeight w:val="284"/>
        </w:trPr>
        <w:tc>
          <w:tcPr>
            <w:tcW w:w="9356" w:type="dxa"/>
          </w:tcPr>
          <w:p w14:paraId="05F2A0D2" w14:textId="77777777" w:rsidR="00EC7D22" w:rsidRPr="004F44F0" w:rsidRDefault="00EC7D22" w:rsidP="00EC7D22">
            <w:pPr>
              <w:spacing w:after="0" w:line="240" w:lineRule="auto"/>
              <w:ind w:left="-105"/>
              <w:jc w:val="both"/>
              <w:rPr>
                <w:rFonts w:eastAsia="Times New Roman" w:cs="Calibri"/>
                <w:color w:val="000000"/>
                <w:sz w:val="20"/>
                <w:szCs w:val="20"/>
                <w:lang w:eastAsia="es-MX"/>
              </w:rPr>
            </w:pPr>
            <w:r w:rsidRPr="004F44F0">
              <w:rPr>
                <w:rFonts w:eastAsia="Times New Roman" w:cs="Calibri"/>
                <w:color w:val="000000"/>
                <w:sz w:val="20"/>
                <w:szCs w:val="20"/>
                <w:lang w:eastAsia="es-MX"/>
              </w:rPr>
              <w:t>4.    Fideicomiso del Centro de Capacitación de Altamira (</w:t>
            </w:r>
            <w:proofErr w:type="spellStart"/>
            <w:r w:rsidRPr="004F44F0">
              <w:rPr>
                <w:rFonts w:eastAsia="Times New Roman" w:cs="Calibri"/>
                <w:color w:val="000000"/>
                <w:sz w:val="20"/>
                <w:szCs w:val="20"/>
                <w:lang w:eastAsia="es-MX"/>
              </w:rPr>
              <w:t>C</w:t>
            </w:r>
            <w:r>
              <w:rPr>
                <w:rFonts w:eastAsia="Times New Roman" w:cs="Calibri"/>
                <w:color w:val="000000"/>
                <w:sz w:val="20"/>
                <w:szCs w:val="20"/>
                <w:lang w:eastAsia="es-MX"/>
              </w:rPr>
              <w:t>ecata</w:t>
            </w:r>
            <w:proofErr w:type="spellEnd"/>
            <w:r w:rsidRPr="004F44F0">
              <w:rPr>
                <w:rFonts w:eastAsia="Times New Roman" w:cs="Calibri"/>
                <w:color w:val="000000"/>
                <w:sz w:val="20"/>
                <w:szCs w:val="20"/>
                <w:lang w:eastAsia="es-MX"/>
              </w:rPr>
              <w:t>)</w:t>
            </w:r>
          </w:p>
        </w:tc>
      </w:tr>
      <w:tr w:rsidR="00EC7D22" w14:paraId="201B6E96" w14:textId="77777777" w:rsidTr="00EC7D22">
        <w:trPr>
          <w:trHeight w:val="284"/>
        </w:trPr>
        <w:tc>
          <w:tcPr>
            <w:tcW w:w="9356" w:type="dxa"/>
          </w:tcPr>
          <w:p w14:paraId="3698D475" w14:textId="77777777" w:rsidR="00EC7D22" w:rsidRPr="004F44F0" w:rsidRDefault="00EC7D22" w:rsidP="00EC7D22">
            <w:pPr>
              <w:spacing w:after="0" w:line="240" w:lineRule="auto"/>
              <w:ind w:left="-105"/>
              <w:jc w:val="both"/>
              <w:rPr>
                <w:rFonts w:eastAsia="Times New Roman" w:cs="Calibri"/>
                <w:b/>
                <w:sz w:val="20"/>
                <w:szCs w:val="20"/>
                <w:lang w:val="es-ES" w:eastAsia="es-ES"/>
              </w:rPr>
            </w:pPr>
            <w:r w:rsidRPr="004F44F0">
              <w:rPr>
                <w:rFonts w:eastAsia="Times New Roman" w:cs="Calibri"/>
                <w:color w:val="000000"/>
                <w:sz w:val="20"/>
                <w:szCs w:val="20"/>
                <w:lang w:eastAsia="es-MX"/>
              </w:rPr>
              <w:t>5.    Fideicomiso para el Desarrollo Comercial Ignacio Zaragoza</w:t>
            </w:r>
          </w:p>
        </w:tc>
      </w:tr>
      <w:tr w:rsidR="00EC7D22" w14:paraId="43FD71A0" w14:textId="77777777" w:rsidTr="00EC7D22">
        <w:trPr>
          <w:trHeight w:val="284"/>
        </w:trPr>
        <w:tc>
          <w:tcPr>
            <w:tcW w:w="9356" w:type="dxa"/>
          </w:tcPr>
          <w:p w14:paraId="576E416A" w14:textId="77777777" w:rsidR="00EC7D22" w:rsidRDefault="00EC7D22" w:rsidP="00EC7D22">
            <w:pPr>
              <w:spacing w:after="0" w:line="240" w:lineRule="auto"/>
              <w:ind w:left="-105"/>
              <w:jc w:val="both"/>
              <w:rPr>
                <w:rFonts w:eastAsia="Times New Roman" w:cs="Calibri"/>
                <w:color w:val="000000"/>
                <w:sz w:val="20"/>
                <w:szCs w:val="20"/>
                <w:lang w:eastAsia="es-MX"/>
              </w:rPr>
            </w:pPr>
            <w:r w:rsidRPr="004F44F0">
              <w:rPr>
                <w:rFonts w:eastAsia="Times New Roman" w:cs="Calibri"/>
                <w:color w:val="000000"/>
                <w:sz w:val="20"/>
                <w:szCs w:val="20"/>
                <w:lang w:eastAsia="es-MX"/>
              </w:rPr>
              <w:t>6.    Fideicomiso del Corredor Económico Norte.</w:t>
            </w:r>
          </w:p>
          <w:p w14:paraId="3BD05FF1" w14:textId="77777777" w:rsidR="00EC7D22" w:rsidRPr="004F44F0" w:rsidRDefault="00EC7D22" w:rsidP="00EC7D22">
            <w:pPr>
              <w:spacing w:after="0" w:line="240" w:lineRule="auto"/>
              <w:ind w:left="-105"/>
              <w:jc w:val="both"/>
              <w:rPr>
                <w:rFonts w:eastAsia="Times New Roman" w:cs="Calibri"/>
                <w:color w:val="000000"/>
                <w:sz w:val="20"/>
                <w:szCs w:val="20"/>
                <w:lang w:eastAsia="es-MX"/>
              </w:rPr>
            </w:pPr>
          </w:p>
        </w:tc>
      </w:tr>
    </w:tbl>
    <w:p w14:paraId="4405C1C5" w14:textId="08430D67" w:rsidR="000C429E" w:rsidRPr="00EC7D22" w:rsidRDefault="00C87FDA" w:rsidP="00EC7D22">
      <w:pPr>
        <w:pStyle w:val="Prrafodelista"/>
        <w:numPr>
          <w:ilvl w:val="0"/>
          <w:numId w:val="26"/>
        </w:numPr>
        <w:spacing w:after="0" w:line="240" w:lineRule="auto"/>
        <w:ind w:left="0" w:firstLine="0"/>
        <w:jc w:val="both"/>
        <w:rPr>
          <w:rFonts w:eastAsia="Times New Roman" w:cs="Calibri"/>
          <w:b/>
          <w:sz w:val="20"/>
          <w:szCs w:val="18"/>
          <w:lang w:eastAsia="es-ES"/>
        </w:rPr>
      </w:pPr>
      <w:r>
        <w:rPr>
          <w:rFonts w:eastAsia="Times New Roman" w:cs="Calibri"/>
          <w:b/>
          <w:sz w:val="20"/>
          <w:szCs w:val="18"/>
          <w:lang w:eastAsia="es-ES"/>
        </w:rPr>
        <w:t>Base para la preparación de</w:t>
      </w:r>
      <w:r w:rsidR="00F26249">
        <w:rPr>
          <w:rFonts w:eastAsia="Times New Roman" w:cs="Calibri"/>
          <w:b/>
          <w:sz w:val="20"/>
          <w:szCs w:val="18"/>
          <w:lang w:eastAsia="es-ES"/>
        </w:rPr>
        <w:t xml:space="preserve"> </w:t>
      </w:r>
      <w:r>
        <w:rPr>
          <w:rFonts w:eastAsia="Times New Roman" w:cs="Calibri"/>
          <w:b/>
          <w:sz w:val="20"/>
          <w:szCs w:val="18"/>
          <w:lang w:eastAsia="es-ES"/>
        </w:rPr>
        <w:t>los estados Financieros:</w:t>
      </w:r>
    </w:p>
    <w:p w14:paraId="05CF4D73" w14:textId="6D9D1B6E" w:rsidR="007745EB" w:rsidRPr="004F44F0" w:rsidRDefault="00374A74" w:rsidP="00EC7D22">
      <w:pPr>
        <w:pStyle w:val="Texto"/>
        <w:spacing w:after="0" w:line="240" w:lineRule="auto"/>
        <w:ind w:firstLine="0"/>
        <w:rPr>
          <w:rFonts w:ascii="Calibri" w:hAnsi="Calibri" w:cs="Calibri"/>
          <w:sz w:val="20"/>
        </w:rPr>
      </w:pPr>
      <w:r>
        <w:rPr>
          <w:rFonts w:ascii="Calibri" w:hAnsi="Calibri" w:cs="Calibri"/>
        </w:rPr>
        <w:t xml:space="preserve"> </w:t>
      </w:r>
      <w:r w:rsidR="00C87FDA" w:rsidRPr="004F44F0">
        <w:rPr>
          <w:rFonts w:ascii="Calibri" w:hAnsi="Calibri" w:cs="Calibri"/>
          <w:sz w:val="20"/>
        </w:rPr>
        <w:t>Se ha observado la normatividad emitida por el CONAC, las disposiciones legales y fiscales aplicables.</w:t>
      </w:r>
    </w:p>
    <w:p w14:paraId="7CDAEADF" w14:textId="44D62FCF" w:rsidR="007745EB" w:rsidRPr="004F44F0" w:rsidRDefault="00C87FDA" w:rsidP="00EC7D22">
      <w:pPr>
        <w:pStyle w:val="INCISO"/>
        <w:spacing w:after="0" w:line="240" w:lineRule="exact"/>
        <w:ind w:left="0" w:firstLine="0"/>
        <w:rPr>
          <w:rFonts w:ascii="Calibri" w:hAnsi="Calibri" w:cs="Calibri"/>
          <w:i/>
          <w:sz w:val="20"/>
          <w:szCs w:val="20"/>
        </w:rPr>
      </w:pPr>
      <w:r w:rsidRPr="004F44F0">
        <w:rPr>
          <w:rFonts w:ascii="Calibri" w:hAnsi="Calibri" w:cs="Calibri"/>
          <w:sz w:val="20"/>
          <w:szCs w:val="20"/>
        </w:rPr>
        <w:t xml:space="preserve">Los Estados Financieros han sido preparados de conformidad con lo establecido en la Ley General de Contabilidad Gubernamental, sus </w:t>
      </w:r>
      <w:r w:rsidR="007A2D97">
        <w:rPr>
          <w:rFonts w:ascii="Calibri" w:hAnsi="Calibri" w:cs="Calibri"/>
          <w:sz w:val="20"/>
          <w:szCs w:val="20"/>
        </w:rPr>
        <w:t>P</w:t>
      </w:r>
      <w:r w:rsidRPr="004F44F0">
        <w:rPr>
          <w:rFonts w:ascii="Calibri" w:hAnsi="Calibri" w:cs="Calibri"/>
          <w:sz w:val="20"/>
          <w:szCs w:val="20"/>
        </w:rPr>
        <w:t xml:space="preserve">ostulados </w:t>
      </w:r>
      <w:r w:rsidR="007A2D97">
        <w:rPr>
          <w:rFonts w:ascii="Calibri" w:hAnsi="Calibri" w:cs="Calibri"/>
          <w:sz w:val="20"/>
          <w:szCs w:val="20"/>
        </w:rPr>
        <w:t>B</w:t>
      </w:r>
      <w:r w:rsidRPr="004F44F0">
        <w:rPr>
          <w:rFonts w:ascii="Calibri" w:hAnsi="Calibri" w:cs="Calibri"/>
          <w:sz w:val="20"/>
          <w:szCs w:val="20"/>
        </w:rPr>
        <w:t>ásicos, el Marco Conceptual de Contabilidad, y los lineamientos emitidos por el Consejo Nacional de Armonización Contable</w:t>
      </w:r>
      <w:r w:rsidRPr="004F44F0">
        <w:rPr>
          <w:rFonts w:ascii="Calibri" w:hAnsi="Calibri" w:cs="Calibri"/>
          <w:i/>
          <w:sz w:val="20"/>
          <w:szCs w:val="20"/>
        </w:rPr>
        <w:t>.</w:t>
      </w:r>
    </w:p>
    <w:p w14:paraId="757172C1" w14:textId="77777777" w:rsidR="007745EB" w:rsidRDefault="007745EB" w:rsidP="00EC7D22">
      <w:pPr>
        <w:pStyle w:val="INCISO"/>
        <w:spacing w:after="0" w:line="240" w:lineRule="exact"/>
        <w:ind w:left="0" w:firstLine="0"/>
        <w:rPr>
          <w:rFonts w:ascii="Calibri" w:hAnsi="Calibri" w:cs="Calibri"/>
        </w:rPr>
      </w:pPr>
    </w:p>
    <w:p w14:paraId="1C4C5F29" w14:textId="77777777" w:rsidR="007745EB" w:rsidRDefault="00C87FDA" w:rsidP="00EC7D22">
      <w:pPr>
        <w:spacing w:after="0" w:line="240" w:lineRule="auto"/>
        <w:jc w:val="both"/>
        <w:rPr>
          <w:rFonts w:cs="Calibri"/>
          <w:b/>
          <w:sz w:val="20"/>
          <w:szCs w:val="18"/>
        </w:rPr>
      </w:pPr>
      <w:r>
        <w:rPr>
          <w:rFonts w:cs="Calibri"/>
          <w:b/>
          <w:sz w:val="20"/>
          <w:szCs w:val="18"/>
        </w:rPr>
        <w:t>Los Estados Financieros están integrados por:</w:t>
      </w:r>
    </w:p>
    <w:p w14:paraId="38EB63EA" w14:textId="77777777" w:rsidR="007745EB" w:rsidRDefault="007745EB" w:rsidP="00EC7D22">
      <w:pPr>
        <w:spacing w:after="0" w:line="240" w:lineRule="auto"/>
        <w:jc w:val="both"/>
        <w:rPr>
          <w:rFonts w:cs="Calibri"/>
          <w:sz w:val="18"/>
          <w:szCs w:val="18"/>
        </w:rPr>
      </w:pPr>
    </w:p>
    <w:p w14:paraId="3964CE71" w14:textId="77777777" w:rsidR="007745EB" w:rsidRPr="004F44F0" w:rsidRDefault="00C87FDA" w:rsidP="00EC7D22">
      <w:pPr>
        <w:spacing w:after="0" w:line="240" w:lineRule="auto"/>
        <w:jc w:val="both"/>
        <w:rPr>
          <w:rFonts w:cs="Calibri"/>
          <w:sz w:val="20"/>
          <w:szCs w:val="20"/>
        </w:rPr>
      </w:pPr>
      <w:r w:rsidRPr="004F44F0">
        <w:rPr>
          <w:rFonts w:cs="Calibri"/>
          <w:sz w:val="20"/>
          <w:szCs w:val="20"/>
        </w:rPr>
        <w:t>Información Contable</w:t>
      </w:r>
    </w:p>
    <w:p w14:paraId="6B5094FF" w14:textId="77777777" w:rsidR="007745EB" w:rsidRPr="004F44F0" w:rsidRDefault="00C87FDA" w:rsidP="00EC7D22">
      <w:pPr>
        <w:spacing w:before="120" w:after="0" w:line="240" w:lineRule="auto"/>
        <w:jc w:val="both"/>
        <w:rPr>
          <w:rFonts w:cs="Calibri"/>
          <w:sz w:val="20"/>
          <w:szCs w:val="20"/>
        </w:rPr>
      </w:pPr>
      <w:r w:rsidRPr="004F44F0">
        <w:rPr>
          <w:rFonts w:cs="Calibri"/>
          <w:sz w:val="20"/>
          <w:szCs w:val="20"/>
        </w:rPr>
        <w:t>Información Presupuestal</w:t>
      </w:r>
    </w:p>
    <w:p w14:paraId="0D70F393" w14:textId="77777777" w:rsidR="007745EB" w:rsidRPr="004F44F0" w:rsidRDefault="00C87FDA" w:rsidP="00EC7D22">
      <w:pPr>
        <w:spacing w:before="120" w:after="0" w:line="240" w:lineRule="auto"/>
        <w:jc w:val="both"/>
        <w:rPr>
          <w:rFonts w:cs="Calibri"/>
          <w:sz w:val="20"/>
          <w:szCs w:val="20"/>
        </w:rPr>
      </w:pPr>
      <w:r w:rsidRPr="004F44F0">
        <w:rPr>
          <w:rFonts w:cs="Calibri"/>
          <w:sz w:val="20"/>
          <w:szCs w:val="20"/>
        </w:rPr>
        <w:t>Información Programática</w:t>
      </w:r>
    </w:p>
    <w:p w14:paraId="2A8D8901" w14:textId="77777777" w:rsidR="00181CEA" w:rsidRDefault="00181CEA" w:rsidP="00EC7D22">
      <w:pPr>
        <w:spacing w:before="120" w:after="0" w:line="240" w:lineRule="auto"/>
        <w:jc w:val="both"/>
        <w:rPr>
          <w:rFonts w:cs="Calibri"/>
          <w:sz w:val="20"/>
          <w:szCs w:val="20"/>
        </w:rPr>
      </w:pPr>
    </w:p>
    <w:p w14:paraId="413D0879" w14:textId="1B7D21FC" w:rsidR="007745EB" w:rsidRPr="004F44F0" w:rsidRDefault="00C87FDA" w:rsidP="00EC7D22">
      <w:pPr>
        <w:spacing w:before="120" w:after="0" w:line="240" w:lineRule="auto"/>
        <w:jc w:val="both"/>
        <w:rPr>
          <w:rFonts w:cs="Calibri"/>
          <w:sz w:val="20"/>
          <w:szCs w:val="20"/>
        </w:rPr>
      </w:pPr>
      <w:r w:rsidRPr="004F44F0">
        <w:rPr>
          <w:rFonts w:cs="Calibri"/>
          <w:sz w:val="20"/>
          <w:szCs w:val="20"/>
        </w:rPr>
        <w:t>Anexos:</w:t>
      </w:r>
    </w:p>
    <w:p w14:paraId="7A2311D3" w14:textId="77777777" w:rsidR="007A2D97" w:rsidRDefault="00C87FDA" w:rsidP="00EC7D22">
      <w:pPr>
        <w:pStyle w:val="INCISO"/>
        <w:numPr>
          <w:ilvl w:val="0"/>
          <w:numId w:val="76"/>
        </w:numPr>
        <w:spacing w:after="0" w:line="240" w:lineRule="auto"/>
        <w:ind w:left="0" w:firstLine="0"/>
        <w:rPr>
          <w:rFonts w:ascii="Calibri" w:hAnsi="Calibri" w:cs="Calibri"/>
          <w:sz w:val="20"/>
          <w:szCs w:val="20"/>
        </w:rPr>
      </w:pPr>
      <w:r w:rsidRPr="004F44F0">
        <w:rPr>
          <w:rFonts w:ascii="Calibri" w:hAnsi="Calibri" w:cs="Calibri"/>
          <w:sz w:val="20"/>
          <w:szCs w:val="20"/>
        </w:rPr>
        <w:t xml:space="preserve">Información </w:t>
      </w:r>
      <w:r w:rsidR="00D6257E">
        <w:rPr>
          <w:rFonts w:ascii="Calibri" w:hAnsi="Calibri" w:cs="Calibri"/>
          <w:sz w:val="20"/>
          <w:szCs w:val="20"/>
        </w:rPr>
        <w:t>adicional de la Ley General de Contabilidad Gubernamental</w:t>
      </w:r>
      <w:r w:rsidRPr="004F44F0">
        <w:rPr>
          <w:rFonts w:ascii="Calibri" w:hAnsi="Calibri" w:cs="Calibri"/>
          <w:sz w:val="20"/>
          <w:szCs w:val="20"/>
        </w:rPr>
        <w:t xml:space="preserve"> </w:t>
      </w:r>
    </w:p>
    <w:p w14:paraId="3C527E98" w14:textId="77777777" w:rsidR="007A2D97" w:rsidRDefault="00D6257E" w:rsidP="00EC7D22">
      <w:pPr>
        <w:pStyle w:val="INCISO"/>
        <w:numPr>
          <w:ilvl w:val="0"/>
          <w:numId w:val="76"/>
        </w:numPr>
        <w:spacing w:after="0" w:line="240" w:lineRule="auto"/>
        <w:ind w:left="0" w:firstLine="0"/>
        <w:rPr>
          <w:rFonts w:ascii="Calibri" w:hAnsi="Calibri" w:cs="Calibri"/>
          <w:sz w:val="20"/>
          <w:szCs w:val="20"/>
        </w:rPr>
      </w:pPr>
      <w:r w:rsidRPr="007A2D97">
        <w:rPr>
          <w:rFonts w:ascii="Calibri" w:hAnsi="Calibri" w:cs="Calibri"/>
          <w:sz w:val="20"/>
          <w:szCs w:val="20"/>
        </w:rPr>
        <w:t xml:space="preserve">Información en formatos </w:t>
      </w:r>
      <w:r w:rsidR="00C87FDA" w:rsidRPr="007A2D97">
        <w:rPr>
          <w:rFonts w:ascii="Calibri" w:hAnsi="Calibri" w:cs="Calibri"/>
          <w:sz w:val="20"/>
          <w:szCs w:val="20"/>
        </w:rPr>
        <w:t xml:space="preserve">de la Ley </w:t>
      </w:r>
      <w:r w:rsidR="004711A4" w:rsidRPr="007A2D97">
        <w:rPr>
          <w:rFonts w:ascii="Calibri" w:hAnsi="Calibri" w:cs="Calibri"/>
          <w:sz w:val="20"/>
          <w:szCs w:val="20"/>
        </w:rPr>
        <w:t>de Disciplina</w:t>
      </w:r>
      <w:r w:rsidR="00C87FDA" w:rsidRPr="007A2D97">
        <w:rPr>
          <w:rFonts w:ascii="Calibri" w:hAnsi="Calibri" w:cs="Calibri"/>
          <w:sz w:val="20"/>
          <w:szCs w:val="20"/>
        </w:rPr>
        <w:t xml:space="preserve"> Financiera</w:t>
      </w:r>
    </w:p>
    <w:p w14:paraId="04CCDA3B" w14:textId="77777777" w:rsidR="007A2D97" w:rsidRDefault="00D6257E" w:rsidP="00EC7D22">
      <w:pPr>
        <w:pStyle w:val="INCISO"/>
        <w:numPr>
          <w:ilvl w:val="0"/>
          <w:numId w:val="76"/>
        </w:numPr>
        <w:spacing w:after="0" w:line="240" w:lineRule="auto"/>
        <w:ind w:left="0" w:firstLine="0"/>
        <w:rPr>
          <w:rFonts w:ascii="Calibri" w:hAnsi="Calibri" w:cs="Calibri"/>
          <w:sz w:val="20"/>
          <w:szCs w:val="20"/>
        </w:rPr>
      </w:pPr>
      <w:r w:rsidRPr="007A2D97">
        <w:rPr>
          <w:rFonts w:ascii="Calibri" w:hAnsi="Calibri" w:cs="Calibri"/>
          <w:sz w:val="20"/>
          <w:szCs w:val="20"/>
        </w:rPr>
        <w:t>Estados de Origen y Aplicación de Recursos Federales</w:t>
      </w:r>
    </w:p>
    <w:p w14:paraId="647F02D0" w14:textId="77777777" w:rsidR="007A2D97" w:rsidRDefault="00C87FDA" w:rsidP="00EC7D22">
      <w:pPr>
        <w:pStyle w:val="INCISO"/>
        <w:numPr>
          <w:ilvl w:val="0"/>
          <w:numId w:val="76"/>
        </w:numPr>
        <w:spacing w:after="0" w:line="240" w:lineRule="auto"/>
        <w:ind w:left="0" w:firstLine="0"/>
        <w:rPr>
          <w:rFonts w:ascii="Calibri" w:hAnsi="Calibri" w:cs="Calibri"/>
          <w:sz w:val="20"/>
          <w:szCs w:val="20"/>
        </w:rPr>
      </w:pPr>
      <w:r w:rsidRPr="007A2D97">
        <w:rPr>
          <w:rFonts w:ascii="Calibri" w:hAnsi="Calibri" w:cs="Calibri"/>
          <w:sz w:val="20"/>
          <w:szCs w:val="20"/>
        </w:rPr>
        <w:t>Cédula Acumulativa de Ingresos</w:t>
      </w:r>
    </w:p>
    <w:p w14:paraId="03690107" w14:textId="77777777" w:rsidR="007A2D97" w:rsidRDefault="00D6257E" w:rsidP="00EC7D22">
      <w:pPr>
        <w:pStyle w:val="INCISO"/>
        <w:numPr>
          <w:ilvl w:val="0"/>
          <w:numId w:val="76"/>
        </w:numPr>
        <w:spacing w:after="0" w:line="240" w:lineRule="auto"/>
        <w:ind w:left="0" w:firstLine="0"/>
        <w:rPr>
          <w:rFonts w:ascii="Calibri" w:hAnsi="Calibri" w:cs="Calibri"/>
          <w:sz w:val="20"/>
          <w:szCs w:val="20"/>
        </w:rPr>
      </w:pPr>
      <w:r w:rsidRPr="007A2D97">
        <w:rPr>
          <w:rFonts w:ascii="Calibri" w:hAnsi="Calibri" w:cs="Calibri"/>
          <w:sz w:val="20"/>
          <w:szCs w:val="20"/>
        </w:rPr>
        <w:t>Fondo de Aportaciones a Municipios</w:t>
      </w:r>
    </w:p>
    <w:p w14:paraId="67E64ED7" w14:textId="77777777" w:rsidR="007A2D97" w:rsidRDefault="00D6257E" w:rsidP="00EC7D22">
      <w:pPr>
        <w:pStyle w:val="INCISO"/>
        <w:numPr>
          <w:ilvl w:val="0"/>
          <w:numId w:val="76"/>
        </w:numPr>
        <w:spacing w:after="0" w:line="240" w:lineRule="auto"/>
        <w:ind w:left="0" w:firstLine="0"/>
        <w:rPr>
          <w:rFonts w:ascii="Calibri" w:hAnsi="Calibri" w:cs="Calibri"/>
          <w:sz w:val="20"/>
          <w:szCs w:val="20"/>
        </w:rPr>
      </w:pPr>
      <w:r w:rsidRPr="007A2D97">
        <w:rPr>
          <w:rFonts w:ascii="Calibri" w:hAnsi="Calibri" w:cs="Calibri"/>
          <w:sz w:val="20"/>
          <w:szCs w:val="20"/>
        </w:rPr>
        <w:t>Participaciones a Municipios</w:t>
      </w:r>
    </w:p>
    <w:p w14:paraId="4D3189E9" w14:textId="3C782312" w:rsidR="007745EB" w:rsidRPr="007A2D97" w:rsidRDefault="00D6257E" w:rsidP="00EC7D22">
      <w:pPr>
        <w:pStyle w:val="INCISO"/>
        <w:numPr>
          <w:ilvl w:val="0"/>
          <w:numId w:val="76"/>
        </w:numPr>
        <w:spacing w:after="0" w:line="240" w:lineRule="auto"/>
        <w:ind w:left="0" w:firstLine="0"/>
        <w:rPr>
          <w:rFonts w:ascii="Calibri" w:hAnsi="Calibri" w:cs="Calibri"/>
          <w:sz w:val="20"/>
          <w:szCs w:val="20"/>
        </w:rPr>
      </w:pPr>
      <w:r w:rsidRPr="007A2D97">
        <w:rPr>
          <w:rFonts w:ascii="Calibri" w:hAnsi="Calibri" w:cs="Calibri"/>
          <w:sz w:val="20"/>
          <w:szCs w:val="20"/>
        </w:rPr>
        <w:t>Programas Transversales</w:t>
      </w:r>
      <w:r w:rsidR="00C87FDA" w:rsidRPr="007A2D97">
        <w:rPr>
          <w:rFonts w:ascii="Calibri" w:hAnsi="Calibri" w:cs="Calibri"/>
          <w:sz w:val="20"/>
          <w:szCs w:val="20"/>
        </w:rPr>
        <w:t xml:space="preserve"> </w:t>
      </w:r>
    </w:p>
    <w:p w14:paraId="00849ED8" w14:textId="77777777" w:rsidR="007745EB" w:rsidRPr="004F44F0" w:rsidRDefault="007745EB" w:rsidP="00EC7D22">
      <w:pPr>
        <w:pStyle w:val="INCISO"/>
        <w:spacing w:after="0" w:line="240" w:lineRule="exact"/>
        <w:ind w:left="0" w:firstLine="0"/>
        <w:rPr>
          <w:rFonts w:ascii="Calibri" w:hAnsi="Calibri" w:cs="Calibri"/>
          <w:sz w:val="20"/>
          <w:szCs w:val="20"/>
        </w:rPr>
      </w:pPr>
    </w:p>
    <w:p w14:paraId="7ACE66DC" w14:textId="0F6B5D75" w:rsidR="007745EB" w:rsidRPr="004F44F0" w:rsidRDefault="00C87FDA" w:rsidP="00EC7D22">
      <w:pPr>
        <w:pStyle w:val="INCISO"/>
        <w:numPr>
          <w:ilvl w:val="0"/>
          <w:numId w:val="77"/>
        </w:numPr>
        <w:spacing w:after="0" w:line="240" w:lineRule="exact"/>
        <w:ind w:left="0" w:firstLine="0"/>
        <w:rPr>
          <w:rFonts w:ascii="Calibri" w:hAnsi="Calibri" w:cs="Calibri"/>
          <w:sz w:val="20"/>
          <w:szCs w:val="20"/>
        </w:rPr>
      </w:pPr>
      <w:r w:rsidRPr="004F44F0">
        <w:rPr>
          <w:rFonts w:ascii="Calibri" w:hAnsi="Calibri" w:cs="Calibri"/>
          <w:sz w:val="20"/>
          <w:szCs w:val="20"/>
        </w:rPr>
        <w:t xml:space="preserve">La normatividad aplicada para el reconocimiento, valuación y revelación de los diferentes rubros de la información financiera van </w:t>
      </w:r>
      <w:r w:rsidR="004711A4" w:rsidRPr="004F44F0">
        <w:rPr>
          <w:rFonts w:ascii="Calibri" w:hAnsi="Calibri" w:cs="Calibri"/>
          <w:sz w:val="20"/>
          <w:szCs w:val="20"/>
        </w:rPr>
        <w:t>de acuerdo con</w:t>
      </w:r>
      <w:r w:rsidRPr="004F44F0">
        <w:rPr>
          <w:rFonts w:ascii="Calibri" w:hAnsi="Calibri" w:cs="Calibri"/>
          <w:sz w:val="20"/>
          <w:szCs w:val="20"/>
        </w:rPr>
        <w:t xml:space="preserve"> los documentos normativos emitidos por el </w:t>
      </w:r>
      <w:r w:rsidR="00DB7BCC" w:rsidRPr="004F44F0">
        <w:rPr>
          <w:rFonts w:ascii="Calibri" w:hAnsi="Calibri" w:cs="Calibri"/>
          <w:sz w:val="20"/>
          <w:szCs w:val="20"/>
        </w:rPr>
        <w:t>CONAC las</w:t>
      </w:r>
      <w:r w:rsidRPr="004F44F0">
        <w:rPr>
          <w:rFonts w:ascii="Calibri" w:hAnsi="Calibri" w:cs="Calibri"/>
          <w:sz w:val="20"/>
          <w:szCs w:val="20"/>
        </w:rPr>
        <w:t xml:space="preserve"> bases de medición utilizadas para la elaboración de los Estados Financieros se apegan </w:t>
      </w:r>
      <w:r w:rsidR="00DB7BCC" w:rsidRPr="004F44F0">
        <w:rPr>
          <w:rFonts w:ascii="Calibri" w:hAnsi="Calibri" w:cs="Calibri"/>
          <w:sz w:val="20"/>
          <w:szCs w:val="20"/>
        </w:rPr>
        <w:t>al costo</w:t>
      </w:r>
      <w:r w:rsidRPr="004F44F0">
        <w:rPr>
          <w:rFonts w:ascii="Calibri" w:hAnsi="Calibri" w:cs="Calibri"/>
          <w:sz w:val="20"/>
          <w:szCs w:val="20"/>
        </w:rPr>
        <w:t xml:space="preserve"> histórico y a los criterios de valuación de </w:t>
      </w:r>
      <w:r w:rsidR="002A0607" w:rsidRPr="004F44F0">
        <w:rPr>
          <w:rFonts w:ascii="Calibri" w:hAnsi="Calibri" w:cs="Calibri"/>
          <w:sz w:val="20"/>
          <w:szCs w:val="20"/>
        </w:rPr>
        <w:t>estos</w:t>
      </w:r>
      <w:r w:rsidRPr="004F44F0">
        <w:rPr>
          <w:rFonts w:ascii="Calibri" w:hAnsi="Calibri" w:cs="Calibri"/>
          <w:sz w:val="20"/>
          <w:szCs w:val="20"/>
        </w:rPr>
        <w:t>, con excepción de los Ingresos ya que estos no se obtienen en tiempo real del Sistema de Plataforma Única (Sistema Contable).</w:t>
      </w:r>
    </w:p>
    <w:p w14:paraId="5B4CEE12" w14:textId="77777777" w:rsidR="007745EB" w:rsidRPr="004F44F0" w:rsidRDefault="007745EB" w:rsidP="00EC7D22">
      <w:pPr>
        <w:pStyle w:val="INCISO"/>
        <w:spacing w:after="0" w:line="240" w:lineRule="exact"/>
        <w:ind w:left="0" w:firstLine="0"/>
        <w:rPr>
          <w:rFonts w:ascii="Calibri" w:hAnsi="Calibri" w:cs="Calibri"/>
          <w:sz w:val="20"/>
          <w:szCs w:val="20"/>
        </w:rPr>
      </w:pPr>
    </w:p>
    <w:p w14:paraId="3156205A" w14:textId="18B31B90" w:rsidR="007745EB" w:rsidRPr="004F44F0" w:rsidRDefault="00C87FDA" w:rsidP="00EC7D22">
      <w:pPr>
        <w:pStyle w:val="INCISO"/>
        <w:numPr>
          <w:ilvl w:val="0"/>
          <w:numId w:val="6"/>
        </w:numPr>
        <w:spacing w:after="0" w:line="240" w:lineRule="exact"/>
        <w:ind w:left="0" w:firstLine="0"/>
        <w:rPr>
          <w:rFonts w:ascii="Calibri" w:hAnsi="Calibri" w:cs="Calibri"/>
          <w:sz w:val="20"/>
          <w:szCs w:val="20"/>
        </w:rPr>
      </w:pPr>
      <w:r w:rsidRPr="004F44F0">
        <w:rPr>
          <w:rFonts w:ascii="Calibri" w:hAnsi="Calibri" w:cs="Calibri"/>
          <w:sz w:val="20"/>
          <w:szCs w:val="20"/>
        </w:rPr>
        <w:t>Postulados básicos. Se aplican los establecidos en la Ley General de Contabilidad Gubernamental y la Normatividad emitida al respecto por el CONAC.</w:t>
      </w:r>
    </w:p>
    <w:p w14:paraId="5023E12E" w14:textId="77777777" w:rsidR="007745EB" w:rsidRPr="004F44F0" w:rsidRDefault="007745EB" w:rsidP="00EC7D22">
      <w:pPr>
        <w:pStyle w:val="INCISO"/>
        <w:spacing w:after="0" w:line="240" w:lineRule="exact"/>
        <w:ind w:left="0" w:firstLine="0"/>
        <w:rPr>
          <w:rFonts w:ascii="Calibri" w:hAnsi="Calibri" w:cs="Calibri"/>
          <w:sz w:val="20"/>
          <w:szCs w:val="20"/>
        </w:rPr>
      </w:pPr>
    </w:p>
    <w:p w14:paraId="502BFA7F" w14:textId="77777777" w:rsidR="00181CEA" w:rsidRDefault="00C87FDA" w:rsidP="00EC7D22">
      <w:pPr>
        <w:pStyle w:val="INCISO"/>
        <w:numPr>
          <w:ilvl w:val="0"/>
          <w:numId w:val="6"/>
        </w:numPr>
        <w:spacing w:after="0" w:line="240" w:lineRule="exact"/>
        <w:ind w:left="0" w:firstLine="0"/>
        <w:rPr>
          <w:rFonts w:ascii="Calibri" w:hAnsi="Calibri" w:cs="Calibri"/>
          <w:sz w:val="20"/>
          <w:szCs w:val="20"/>
        </w:rPr>
      </w:pPr>
      <w:r w:rsidRPr="004F44F0">
        <w:rPr>
          <w:rFonts w:ascii="Calibri" w:hAnsi="Calibri" w:cs="Calibri"/>
          <w:sz w:val="20"/>
          <w:szCs w:val="20"/>
        </w:rPr>
        <w:t xml:space="preserve">Normatividad Supletoria:   </w:t>
      </w:r>
    </w:p>
    <w:p w14:paraId="0B827C4E" w14:textId="65B4479B" w:rsidR="007745EB" w:rsidRPr="004F44F0" w:rsidRDefault="00C87FDA" w:rsidP="00EC7D22">
      <w:pPr>
        <w:pStyle w:val="INCISO"/>
        <w:spacing w:after="0" w:line="240" w:lineRule="exact"/>
        <w:ind w:left="0" w:firstLine="0"/>
        <w:rPr>
          <w:rFonts w:ascii="Calibri" w:hAnsi="Calibri" w:cs="Calibri"/>
          <w:sz w:val="20"/>
          <w:szCs w:val="20"/>
        </w:rPr>
      </w:pPr>
      <w:r w:rsidRPr="004F44F0">
        <w:rPr>
          <w:rFonts w:ascii="Calibri" w:hAnsi="Calibri" w:cs="Calibri"/>
          <w:b/>
          <w:sz w:val="20"/>
          <w:szCs w:val="20"/>
        </w:rPr>
        <w:t>No Aplica</w:t>
      </w:r>
      <w:r w:rsidRPr="004F44F0">
        <w:rPr>
          <w:rFonts w:ascii="Calibri" w:hAnsi="Calibri" w:cs="Calibri"/>
          <w:sz w:val="20"/>
          <w:szCs w:val="20"/>
        </w:rPr>
        <w:t>.</w:t>
      </w:r>
    </w:p>
    <w:p w14:paraId="27E7609A" w14:textId="77777777" w:rsidR="007745EB" w:rsidRPr="004F44F0" w:rsidRDefault="007745EB" w:rsidP="00EC7D22">
      <w:pPr>
        <w:pStyle w:val="Prrafodelista"/>
        <w:spacing w:after="0"/>
        <w:ind w:left="0"/>
        <w:rPr>
          <w:rFonts w:cs="Calibri"/>
          <w:sz w:val="20"/>
          <w:szCs w:val="20"/>
        </w:rPr>
      </w:pPr>
    </w:p>
    <w:p w14:paraId="7271CA7C" w14:textId="2981ACAE" w:rsidR="007745EB" w:rsidRPr="004F44F0" w:rsidRDefault="00C87FDA" w:rsidP="00EC7D22">
      <w:pPr>
        <w:pStyle w:val="INCISO"/>
        <w:numPr>
          <w:ilvl w:val="0"/>
          <w:numId w:val="6"/>
        </w:numPr>
        <w:spacing w:after="0" w:line="240" w:lineRule="exact"/>
        <w:ind w:left="0" w:firstLine="0"/>
        <w:rPr>
          <w:rFonts w:ascii="Calibri" w:hAnsi="Calibri" w:cs="Calibri"/>
          <w:sz w:val="20"/>
          <w:szCs w:val="20"/>
        </w:rPr>
      </w:pPr>
      <w:r w:rsidRPr="004F44F0">
        <w:rPr>
          <w:rFonts w:ascii="Calibri" w:hAnsi="Calibri" w:cs="Calibri"/>
          <w:sz w:val="20"/>
          <w:szCs w:val="20"/>
        </w:rPr>
        <w:t xml:space="preserve">El Gobierno del estado tiene implementado la base del devengado </w:t>
      </w:r>
      <w:r w:rsidR="004711A4" w:rsidRPr="004F44F0">
        <w:rPr>
          <w:rFonts w:ascii="Calibri" w:hAnsi="Calibri" w:cs="Calibri"/>
          <w:sz w:val="20"/>
          <w:szCs w:val="20"/>
        </w:rPr>
        <w:t>de acuerdo con</w:t>
      </w:r>
      <w:r w:rsidRPr="004F44F0">
        <w:rPr>
          <w:rFonts w:ascii="Calibri" w:hAnsi="Calibri" w:cs="Calibri"/>
          <w:sz w:val="20"/>
          <w:szCs w:val="20"/>
        </w:rPr>
        <w:t xml:space="preserve"> la Ley de General de Contabilidad Gubernamental aplicando los acuerdos emitidos por el Consejo de Armonización Contable y los acuerdos del Consejo de Armonización Contable del Estado de Tamaulipas. </w:t>
      </w:r>
    </w:p>
    <w:p w14:paraId="1271EF63" w14:textId="77777777" w:rsidR="007745EB" w:rsidRPr="004F44F0" w:rsidRDefault="007745EB" w:rsidP="00EC7D22">
      <w:pPr>
        <w:pStyle w:val="Texto"/>
        <w:spacing w:after="0" w:line="240" w:lineRule="exact"/>
        <w:ind w:firstLine="0"/>
        <w:rPr>
          <w:rFonts w:ascii="Calibri" w:hAnsi="Calibri" w:cs="Calibri"/>
          <w:sz w:val="20"/>
        </w:rPr>
      </w:pPr>
    </w:p>
    <w:p w14:paraId="37F951A7" w14:textId="77777777" w:rsidR="007745EB" w:rsidRPr="004F44F0" w:rsidRDefault="00C87FDA" w:rsidP="00EC7D22">
      <w:pPr>
        <w:pStyle w:val="Texto"/>
        <w:numPr>
          <w:ilvl w:val="0"/>
          <w:numId w:val="26"/>
        </w:numPr>
        <w:spacing w:after="0" w:line="240" w:lineRule="exact"/>
        <w:ind w:left="0" w:firstLine="0"/>
        <w:rPr>
          <w:rFonts w:ascii="Calibri" w:hAnsi="Calibri" w:cs="Calibri"/>
          <w:b/>
          <w:sz w:val="20"/>
          <w:lang w:val="es-MX"/>
        </w:rPr>
      </w:pPr>
      <w:r w:rsidRPr="004F44F0">
        <w:rPr>
          <w:rFonts w:ascii="Calibri" w:hAnsi="Calibri" w:cs="Calibri"/>
          <w:b/>
          <w:sz w:val="20"/>
          <w:lang w:val="es-MX"/>
        </w:rPr>
        <w:t xml:space="preserve">Políticas de Contabilidad Significativas </w:t>
      </w:r>
    </w:p>
    <w:p w14:paraId="72BE3F58" w14:textId="77777777" w:rsidR="007745EB" w:rsidRPr="004F44F0" w:rsidRDefault="007745EB" w:rsidP="00EC7D22">
      <w:pPr>
        <w:pStyle w:val="INCISO"/>
        <w:spacing w:after="0" w:line="240" w:lineRule="exact"/>
        <w:ind w:left="0" w:firstLine="0"/>
        <w:rPr>
          <w:rFonts w:ascii="Calibri" w:hAnsi="Calibri" w:cs="Calibri"/>
          <w:sz w:val="20"/>
          <w:szCs w:val="20"/>
        </w:rPr>
      </w:pPr>
    </w:p>
    <w:p w14:paraId="0790FE58" w14:textId="6139426D" w:rsidR="007745EB" w:rsidRPr="004F44F0"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 xml:space="preserve">La Información Financiera del Gobierno del Estado no requirió de aplicar la metodología vigente para actualizarla, de tal forma que refleje la Inflación en la misma, toda vez que no se dieron los supuestos establecidos en la normatividad correspondiente para su </w:t>
      </w:r>
      <w:r w:rsidR="004711A4" w:rsidRPr="004F44F0">
        <w:rPr>
          <w:rFonts w:ascii="Calibri" w:hAnsi="Calibri" w:cs="Calibri"/>
          <w:sz w:val="20"/>
          <w:szCs w:val="20"/>
        </w:rPr>
        <w:t>re-expresión</w:t>
      </w:r>
      <w:r w:rsidRPr="004F44F0">
        <w:rPr>
          <w:rFonts w:ascii="Calibri" w:hAnsi="Calibri" w:cs="Calibri"/>
          <w:sz w:val="20"/>
          <w:szCs w:val="20"/>
        </w:rPr>
        <w:t xml:space="preserve"> obligatoria.</w:t>
      </w:r>
    </w:p>
    <w:p w14:paraId="607A34AF" w14:textId="77777777" w:rsidR="007745EB" w:rsidRPr="004F44F0" w:rsidRDefault="007745EB" w:rsidP="00EC7D22">
      <w:pPr>
        <w:pStyle w:val="INCISO"/>
        <w:spacing w:after="0" w:line="240" w:lineRule="exact"/>
        <w:ind w:left="0" w:firstLine="0"/>
        <w:rPr>
          <w:rFonts w:ascii="Calibri" w:hAnsi="Calibri" w:cs="Calibri"/>
          <w:sz w:val="20"/>
          <w:szCs w:val="20"/>
        </w:rPr>
      </w:pPr>
    </w:p>
    <w:p w14:paraId="4B43F8B0" w14:textId="77777777" w:rsidR="007745EB" w:rsidRPr="004F44F0"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Durante el trimestre que se informa no se realizaron operaciones en el extranjero que hubieren afectado la valuación y presentación de la Información Financiera del Ente.</w:t>
      </w:r>
    </w:p>
    <w:p w14:paraId="09A84CFC" w14:textId="77777777" w:rsidR="007745EB" w:rsidRPr="004F44F0" w:rsidRDefault="007745EB" w:rsidP="00EC7D22">
      <w:pPr>
        <w:pStyle w:val="INCISO"/>
        <w:spacing w:after="0" w:line="240" w:lineRule="exact"/>
        <w:ind w:left="0" w:firstLine="0"/>
        <w:rPr>
          <w:rFonts w:ascii="Calibri" w:hAnsi="Calibri" w:cs="Calibri"/>
          <w:sz w:val="20"/>
          <w:szCs w:val="20"/>
        </w:rPr>
      </w:pPr>
    </w:p>
    <w:p w14:paraId="21C4C9CE" w14:textId="77777777" w:rsidR="00181CEA"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 xml:space="preserve">Método de valuación de la inversión en acciones en el Sector Paraestatal.   </w:t>
      </w:r>
    </w:p>
    <w:p w14:paraId="189E193F" w14:textId="4235B746" w:rsidR="007745EB" w:rsidRPr="004F44F0" w:rsidRDefault="00C87FDA" w:rsidP="00EC7D22">
      <w:pPr>
        <w:pStyle w:val="INCISO"/>
        <w:spacing w:after="0" w:line="240" w:lineRule="exact"/>
        <w:ind w:left="0" w:firstLine="0"/>
        <w:rPr>
          <w:rFonts w:ascii="Calibri" w:hAnsi="Calibri" w:cs="Calibri"/>
          <w:sz w:val="20"/>
          <w:szCs w:val="20"/>
        </w:rPr>
      </w:pPr>
      <w:r w:rsidRPr="004F44F0">
        <w:rPr>
          <w:rFonts w:ascii="Calibri" w:hAnsi="Calibri" w:cs="Calibri"/>
          <w:b/>
          <w:sz w:val="20"/>
          <w:szCs w:val="20"/>
        </w:rPr>
        <w:t>No Aplica</w:t>
      </w:r>
    </w:p>
    <w:p w14:paraId="043B341F" w14:textId="77777777" w:rsidR="007745EB" w:rsidRPr="004F44F0" w:rsidRDefault="007745EB" w:rsidP="00EC7D22">
      <w:pPr>
        <w:pStyle w:val="INCISO"/>
        <w:spacing w:after="0" w:line="240" w:lineRule="exact"/>
        <w:ind w:left="0" w:firstLine="0"/>
        <w:rPr>
          <w:rFonts w:ascii="Calibri" w:hAnsi="Calibri" w:cs="Calibri"/>
          <w:sz w:val="20"/>
          <w:szCs w:val="20"/>
        </w:rPr>
      </w:pPr>
    </w:p>
    <w:p w14:paraId="3600D868" w14:textId="77777777" w:rsidR="00181CEA"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 xml:space="preserve">Sistema y método de valuación de inventarios.   </w:t>
      </w:r>
    </w:p>
    <w:p w14:paraId="6E4B3F82" w14:textId="157EA15B" w:rsidR="007745EB" w:rsidRPr="004F44F0" w:rsidRDefault="00C87FDA" w:rsidP="00EC7D22">
      <w:pPr>
        <w:pStyle w:val="INCISO"/>
        <w:spacing w:after="0" w:line="240" w:lineRule="exact"/>
        <w:ind w:left="0" w:firstLine="0"/>
        <w:rPr>
          <w:rFonts w:ascii="Calibri" w:hAnsi="Calibri" w:cs="Calibri"/>
          <w:sz w:val="20"/>
          <w:szCs w:val="20"/>
        </w:rPr>
      </w:pPr>
      <w:r w:rsidRPr="004F44F0">
        <w:rPr>
          <w:rFonts w:ascii="Calibri" w:hAnsi="Calibri" w:cs="Calibri"/>
          <w:b/>
          <w:sz w:val="20"/>
          <w:szCs w:val="20"/>
        </w:rPr>
        <w:t>No Aplica</w:t>
      </w:r>
    </w:p>
    <w:p w14:paraId="57D04B8C" w14:textId="12E436FB" w:rsidR="007745EB" w:rsidRDefault="007745EB" w:rsidP="00EC7D22">
      <w:pPr>
        <w:pStyle w:val="INCISO"/>
        <w:spacing w:after="0" w:line="240" w:lineRule="exact"/>
        <w:ind w:left="0" w:firstLine="0"/>
        <w:rPr>
          <w:rFonts w:ascii="Calibri" w:hAnsi="Calibri" w:cs="Calibri"/>
          <w:sz w:val="20"/>
          <w:szCs w:val="20"/>
        </w:rPr>
      </w:pPr>
    </w:p>
    <w:p w14:paraId="6CEF144C" w14:textId="77777777" w:rsidR="007745EB" w:rsidRPr="004F44F0"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 xml:space="preserve">La Reserva Actuarial es formulada y calculada por el Instituto de Previsión y Seguridad Social del Estado de Tamaulipas (IPSSET) como Ente </w:t>
      </w:r>
      <w:proofErr w:type="spellStart"/>
      <w:r w:rsidRPr="004F44F0">
        <w:rPr>
          <w:rFonts w:ascii="Calibri" w:hAnsi="Calibri" w:cs="Calibri"/>
          <w:sz w:val="20"/>
          <w:szCs w:val="20"/>
        </w:rPr>
        <w:t>pensionador</w:t>
      </w:r>
      <w:proofErr w:type="spellEnd"/>
      <w:r w:rsidRPr="004F44F0">
        <w:rPr>
          <w:rFonts w:ascii="Calibri" w:hAnsi="Calibri" w:cs="Calibri"/>
          <w:sz w:val="20"/>
          <w:szCs w:val="20"/>
        </w:rPr>
        <w:t xml:space="preserve"> de los trabajadores de Gobierno del Estado.</w:t>
      </w:r>
    </w:p>
    <w:p w14:paraId="2AEA8AAB" w14:textId="77777777" w:rsidR="007745EB" w:rsidRPr="004F44F0" w:rsidRDefault="007745EB" w:rsidP="00EC7D22">
      <w:pPr>
        <w:pStyle w:val="INCISO"/>
        <w:spacing w:after="0" w:line="240" w:lineRule="exact"/>
        <w:ind w:left="0" w:firstLine="0"/>
        <w:rPr>
          <w:rFonts w:ascii="Calibri" w:hAnsi="Calibri" w:cs="Calibri"/>
          <w:sz w:val="20"/>
          <w:szCs w:val="20"/>
        </w:rPr>
      </w:pPr>
    </w:p>
    <w:p w14:paraId="02D67AB2" w14:textId="77777777" w:rsidR="007745EB" w:rsidRPr="004F44F0"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Provisiones: objetivo de su creación, monto y plazo.</w:t>
      </w:r>
    </w:p>
    <w:p w14:paraId="792DB775" w14:textId="1A3256D3" w:rsidR="007745EB" w:rsidRPr="004F44F0" w:rsidRDefault="00C87FDA" w:rsidP="00EC7D22">
      <w:pPr>
        <w:pStyle w:val="INCISO"/>
        <w:spacing w:after="0" w:line="240" w:lineRule="exact"/>
        <w:ind w:left="0" w:firstLine="0"/>
        <w:rPr>
          <w:rFonts w:ascii="Calibri" w:hAnsi="Calibri" w:cs="Calibri"/>
          <w:sz w:val="20"/>
          <w:szCs w:val="20"/>
        </w:rPr>
      </w:pPr>
      <w:r w:rsidRPr="004F44F0">
        <w:rPr>
          <w:rFonts w:ascii="Calibri" w:hAnsi="Calibri" w:cs="Calibri"/>
          <w:sz w:val="20"/>
          <w:szCs w:val="20"/>
        </w:rPr>
        <w:t xml:space="preserve">El Gobierno del Estado no tiene creadas Provisiones al </w:t>
      </w:r>
      <w:r w:rsidR="00DF2FA6">
        <w:rPr>
          <w:rFonts w:ascii="Calibri" w:hAnsi="Calibri" w:cs="Calibri"/>
          <w:sz w:val="20"/>
          <w:szCs w:val="20"/>
        </w:rPr>
        <w:t xml:space="preserve">31 de diciembre </w:t>
      </w:r>
      <w:r w:rsidRPr="004F44F0">
        <w:rPr>
          <w:rFonts w:ascii="Calibri" w:hAnsi="Calibri" w:cs="Calibri"/>
          <w:sz w:val="20"/>
          <w:szCs w:val="20"/>
        </w:rPr>
        <w:t>de 2024.</w:t>
      </w:r>
    </w:p>
    <w:p w14:paraId="69E3F791" w14:textId="77777777" w:rsidR="007745EB" w:rsidRPr="004F44F0" w:rsidRDefault="007745EB" w:rsidP="00EC7D22">
      <w:pPr>
        <w:pStyle w:val="INCISO"/>
        <w:spacing w:after="0" w:line="240" w:lineRule="exact"/>
        <w:ind w:left="0" w:firstLine="0"/>
        <w:rPr>
          <w:rFonts w:ascii="Calibri" w:hAnsi="Calibri" w:cs="Calibri"/>
          <w:sz w:val="20"/>
          <w:szCs w:val="20"/>
        </w:rPr>
      </w:pPr>
    </w:p>
    <w:p w14:paraId="699D7461" w14:textId="77777777" w:rsidR="007745EB" w:rsidRPr="004F44F0"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Reservas: objetivo de su creación, monto y plazo.</w:t>
      </w:r>
    </w:p>
    <w:p w14:paraId="58868CFF" w14:textId="57C85C58" w:rsidR="007745EB" w:rsidRPr="004F44F0" w:rsidRDefault="00C87FDA" w:rsidP="00EC7D22">
      <w:pPr>
        <w:pStyle w:val="INCISO"/>
        <w:spacing w:after="0" w:line="240" w:lineRule="exact"/>
        <w:ind w:left="0" w:firstLine="0"/>
        <w:rPr>
          <w:rFonts w:ascii="Calibri" w:hAnsi="Calibri" w:cs="Calibri"/>
          <w:sz w:val="20"/>
          <w:szCs w:val="20"/>
        </w:rPr>
      </w:pPr>
      <w:r w:rsidRPr="004F44F0">
        <w:rPr>
          <w:rFonts w:ascii="Calibri" w:hAnsi="Calibri" w:cs="Calibri"/>
          <w:sz w:val="20"/>
          <w:szCs w:val="20"/>
        </w:rPr>
        <w:t>El Gobierno del Estado no ti</w:t>
      </w:r>
      <w:r w:rsidR="00225690">
        <w:rPr>
          <w:rFonts w:ascii="Calibri" w:hAnsi="Calibri" w:cs="Calibri"/>
          <w:sz w:val="20"/>
          <w:szCs w:val="20"/>
        </w:rPr>
        <w:t xml:space="preserve">ene creadas Reservas al </w:t>
      </w:r>
      <w:r w:rsidR="00DF2FA6">
        <w:rPr>
          <w:rFonts w:ascii="Calibri" w:hAnsi="Calibri" w:cs="Calibri"/>
          <w:sz w:val="20"/>
          <w:szCs w:val="20"/>
        </w:rPr>
        <w:t>31 de diciembre</w:t>
      </w:r>
      <w:r w:rsidRPr="004F44F0">
        <w:rPr>
          <w:rFonts w:ascii="Calibri" w:hAnsi="Calibri" w:cs="Calibri"/>
          <w:sz w:val="20"/>
          <w:szCs w:val="20"/>
        </w:rPr>
        <w:t xml:space="preserve"> 2024.</w:t>
      </w:r>
    </w:p>
    <w:p w14:paraId="3CDBF1B9" w14:textId="77777777" w:rsidR="007745EB" w:rsidRPr="004F44F0" w:rsidRDefault="007745EB" w:rsidP="00EC7D22">
      <w:pPr>
        <w:pStyle w:val="INCISO"/>
        <w:spacing w:after="0" w:line="240" w:lineRule="exact"/>
        <w:ind w:left="0" w:firstLine="0"/>
        <w:rPr>
          <w:rFonts w:ascii="Calibri" w:hAnsi="Calibri" w:cs="Calibri"/>
          <w:sz w:val="20"/>
          <w:szCs w:val="20"/>
        </w:rPr>
      </w:pPr>
    </w:p>
    <w:p w14:paraId="5CD50CF0" w14:textId="672BB579" w:rsidR="007745EB" w:rsidRPr="004F44F0"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 xml:space="preserve">Se continúa registrando los movimientos de la Contraloría del recurso del 5 al millar, dicho registro se realizó con base a la información de ingreso-gasto, realizando todas las afectaciones en nuestra contabilidad en forma directa para la obtención del resultado del ejercicio, aplicando los criterios de la Ley General de Contabilidad </w:t>
      </w:r>
      <w:r w:rsidR="004711A4" w:rsidRPr="004F44F0">
        <w:rPr>
          <w:rFonts w:ascii="Calibri" w:hAnsi="Calibri" w:cs="Calibri"/>
          <w:sz w:val="20"/>
          <w:szCs w:val="20"/>
        </w:rPr>
        <w:t>Gubernamental,</w:t>
      </w:r>
      <w:r w:rsidRPr="004F44F0">
        <w:rPr>
          <w:rFonts w:ascii="Calibri" w:hAnsi="Calibri" w:cs="Calibri"/>
          <w:sz w:val="20"/>
          <w:szCs w:val="20"/>
        </w:rPr>
        <w:t xml:space="preserve"> así como los acuerdos emitidos por el Consejo Nacional de Armonización Contable.</w:t>
      </w:r>
    </w:p>
    <w:p w14:paraId="745E3F02" w14:textId="77777777" w:rsidR="007745EB" w:rsidRPr="004F44F0" w:rsidRDefault="007745EB" w:rsidP="00EC7D22">
      <w:pPr>
        <w:pStyle w:val="INCISO"/>
        <w:spacing w:after="0" w:line="240" w:lineRule="exact"/>
        <w:ind w:left="0" w:firstLine="0"/>
        <w:rPr>
          <w:rFonts w:ascii="Calibri" w:hAnsi="Calibri" w:cs="Calibri"/>
          <w:sz w:val="20"/>
          <w:szCs w:val="20"/>
        </w:rPr>
      </w:pPr>
    </w:p>
    <w:p w14:paraId="5EA4182D" w14:textId="77777777" w:rsidR="007745EB" w:rsidRPr="004F44F0"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 xml:space="preserve">Reclasificaciones:  </w:t>
      </w:r>
    </w:p>
    <w:p w14:paraId="58405847" w14:textId="77777777" w:rsidR="007745EB" w:rsidRPr="004F44F0" w:rsidRDefault="00C87FDA" w:rsidP="00EC7D22">
      <w:pPr>
        <w:pStyle w:val="INCISO"/>
        <w:spacing w:after="0" w:line="240" w:lineRule="exact"/>
        <w:ind w:left="0" w:firstLine="0"/>
        <w:rPr>
          <w:rFonts w:ascii="Calibri" w:hAnsi="Calibri" w:cs="Calibri"/>
          <w:sz w:val="20"/>
          <w:szCs w:val="20"/>
          <w:shd w:val="clear" w:color="auto" w:fill="FFFF00"/>
        </w:rPr>
      </w:pPr>
      <w:r w:rsidRPr="004F44F0">
        <w:rPr>
          <w:rFonts w:ascii="Calibri" w:hAnsi="Calibri" w:cs="Calibri"/>
          <w:sz w:val="20"/>
          <w:szCs w:val="20"/>
        </w:rPr>
        <w:t>Las Reclasificaciones realizadas durante el Ejercicio obedecen a las necesidades de operación del Ente, y se reflejan en los Registros Contables y Presupuestarios correspondientes.</w:t>
      </w:r>
    </w:p>
    <w:p w14:paraId="37878525" w14:textId="77777777" w:rsidR="007745EB" w:rsidRPr="004F44F0" w:rsidRDefault="007745EB" w:rsidP="00EC7D22">
      <w:pPr>
        <w:pStyle w:val="INCISO"/>
        <w:spacing w:after="0" w:line="240" w:lineRule="exact"/>
        <w:ind w:left="0" w:firstLine="0"/>
        <w:rPr>
          <w:rFonts w:ascii="Calibri" w:hAnsi="Calibri" w:cs="Calibri"/>
          <w:sz w:val="20"/>
          <w:szCs w:val="20"/>
          <w:shd w:val="clear" w:color="auto" w:fill="FFFF00"/>
        </w:rPr>
      </w:pPr>
    </w:p>
    <w:p w14:paraId="650B9EC0" w14:textId="77777777" w:rsidR="007745EB" w:rsidRPr="004F44F0" w:rsidRDefault="00C87FDA" w:rsidP="00EC7D22">
      <w:pPr>
        <w:pStyle w:val="INCISO"/>
        <w:numPr>
          <w:ilvl w:val="0"/>
          <w:numId w:val="1"/>
        </w:numPr>
        <w:spacing w:after="0" w:line="240" w:lineRule="exact"/>
        <w:ind w:left="0" w:firstLine="0"/>
        <w:rPr>
          <w:rFonts w:ascii="Calibri" w:hAnsi="Calibri" w:cs="Calibri"/>
          <w:sz w:val="20"/>
          <w:szCs w:val="20"/>
        </w:rPr>
      </w:pPr>
      <w:r w:rsidRPr="004F44F0">
        <w:rPr>
          <w:rFonts w:ascii="Calibri" w:hAnsi="Calibri" w:cs="Calibri"/>
          <w:sz w:val="20"/>
          <w:szCs w:val="20"/>
        </w:rPr>
        <w:t>Depuración y Cancelación de Saldos.  A partir de la utilización de Plataforma Única en forma constante se realiza la Conciliación y Depuración de Saldos en el sistema debido a los registros erróneos, duplicados e inconclusos propios de la operación.</w:t>
      </w:r>
    </w:p>
    <w:p w14:paraId="09D62271" w14:textId="77777777" w:rsidR="007745EB" w:rsidRPr="004F44F0" w:rsidRDefault="007745EB" w:rsidP="00EC7D22">
      <w:pPr>
        <w:pStyle w:val="INCISO"/>
        <w:spacing w:after="0" w:line="240" w:lineRule="exact"/>
        <w:ind w:left="0" w:firstLine="0"/>
        <w:rPr>
          <w:rFonts w:ascii="Calibri" w:hAnsi="Calibri" w:cs="Calibri"/>
          <w:sz w:val="20"/>
          <w:szCs w:val="20"/>
        </w:rPr>
      </w:pPr>
    </w:p>
    <w:p w14:paraId="76F3F1BC" w14:textId="77777777" w:rsidR="007745EB" w:rsidRPr="004F44F0" w:rsidRDefault="00C87FDA" w:rsidP="00EC7D22">
      <w:pPr>
        <w:pStyle w:val="Texto"/>
        <w:numPr>
          <w:ilvl w:val="0"/>
          <w:numId w:val="26"/>
        </w:numPr>
        <w:spacing w:after="0" w:line="240" w:lineRule="exact"/>
        <w:ind w:left="0" w:firstLine="0"/>
        <w:rPr>
          <w:rFonts w:ascii="Calibri" w:hAnsi="Calibri" w:cs="Calibri"/>
          <w:b/>
          <w:sz w:val="20"/>
          <w:lang w:val="es-MX"/>
        </w:rPr>
      </w:pPr>
      <w:r w:rsidRPr="004F44F0">
        <w:rPr>
          <w:rFonts w:ascii="Calibri" w:hAnsi="Calibri" w:cs="Calibri"/>
          <w:b/>
          <w:sz w:val="20"/>
          <w:lang w:val="es-MX"/>
        </w:rPr>
        <w:t>Posición en Moneda Extranjera y Protección por Riesgo Cambiario</w:t>
      </w:r>
    </w:p>
    <w:p w14:paraId="078DAB57" w14:textId="77777777" w:rsidR="007745EB" w:rsidRPr="004F44F0" w:rsidRDefault="007745EB" w:rsidP="00EC7D22">
      <w:pPr>
        <w:pStyle w:val="Texto"/>
        <w:spacing w:after="0" w:line="240" w:lineRule="exact"/>
        <w:ind w:firstLine="0"/>
        <w:rPr>
          <w:rFonts w:ascii="Calibri" w:hAnsi="Calibri" w:cs="Calibri"/>
          <w:b/>
          <w:sz w:val="20"/>
          <w:lang w:val="es-MX"/>
        </w:rPr>
      </w:pPr>
    </w:p>
    <w:p w14:paraId="58BEAB55" w14:textId="77777777" w:rsidR="00181CEA" w:rsidRDefault="00C87FDA" w:rsidP="00EC7D22">
      <w:pPr>
        <w:pStyle w:val="INCISO"/>
        <w:numPr>
          <w:ilvl w:val="0"/>
          <w:numId w:val="7"/>
        </w:numPr>
        <w:spacing w:after="0" w:line="360" w:lineRule="auto"/>
        <w:ind w:left="0" w:firstLine="0"/>
        <w:rPr>
          <w:rFonts w:ascii="Calibri" w:hAnsi="Calibri" w:cs="Calibri"/>
          <w:sz w:val="20"/>
          <w:szCs w:val="20"/>
        </w:rPr>
      </w:pPr>
      <w:r w:rsidRPr="004F44F0">
        <w:rPr>
          <w:rFonts w:ascii="Calibri" w:hAnsi="Calibri" w:cs="Calibri"/>
          <w:sz w:val="20"/>
          <w:szCs w:val="20"/>
        </w:rPr>
        <w:t xml:space="preserve">Activos en moneda extranjera:  </w:t>
      </w:r>
    </w:p>
    <w:p w14:paraId="60F2EDC3" w14:textId="597AD809" w:rsidR="007745EB" w:rsidRPr="004F44F0" w:rsidRDefault="00C87FDA" w:rsidP="00EC7D22">
      <w:pPr>
        <w:pStyle w:val="INCISO"/>
        <w:spacing w:after="0" w:line="360" w:lineRule="auto"/>
        <w:ind w:left="0" w:firstLine="0"/>
        <w:rPr>
          <w:rFonts w:ascii="Calibri" w:hAnsi="Calibri" w:cs="Calibri"/>
          <w:sz w:val="20"/>
          <w:szCs w:val="20"/>
        </w:rPr>
      </w:pPr>
      <w:r w:rsidRPr="004F44F0">
        <w:rPr>
          <w:rFonts w:ascii="Calibri" w:hAnsi="Calibri" w:cs="Calibri"/>
          <w:b/>
          <w:sz w:val="20"/>
          <w:szCs w:val="20"/>
        </w:rPr>
        <w:t>No Aplica.</w:t>
      </w:r>
    </w:p>
    <w:p w14:paraId="4893CF88" w14:textId="77777777" w:rsidR="00181CEA" w:rsidRDefault="00C87FDA" w:rsidP="00EC7D22">
      <w:pPr>
        <w:pStyle w:val="INCISO"/>
        <w:numPr>
          <w:ilvl w:val="0"/>
          <w:numId w:val="7"/>
        </w:numPr>
        <w:spacing w:after="0" w:line="360" w:lineRule="auto"/>
        <w:ind w:left="0" w:firstLine="0"/>
        <w:rPr>
          <w:rFonts w:ascii="Calibri" w:hAnsi="Calibri" w:cs="Calibri"/>
          <w:sz w:val="20"/>
          <w:szCs w:val="20"/>
        </w:rPr>
      </w:pPr>
      <w:r w:rsidRPr="004F44F0">
        <w:rPr>
          <w:rFonts w:ascii="Calibri" w:hAnsi="Calibri" w:cs="Calibri"/>
          <w:sz w:val="20"/>
          <w:szCs w:val="20"/>
        </w:rPr>
        <w:t xml:space="preserve">Pasivos en moneda extranjera:  </w:t>
      </w:r>
    </w:p>
    <w:p w14:paraId="629844C7" w14:textId="25BFC275" w:rsidR="007745EB" w:rsidRPr="004F44F0" w:rsidRDefault="00C87FDA" w:rsidP="00EC7D22">
      <w:pPr>
        <w:pStyle w:val="INCISO"/>
        <w:spacing w:after="0" w:line="360" w:lineRule="auto"/>
        <w:ind w:left="0" w:firstLine="0"/>
        <w:rPr>
          <w:rFonts w:ascii="Calibri" w:hAnsi="Calibri" w:cs="Calibri"/>
          <w:sz w:val="20"/>
          <w:szCs w:val="20"/>
        </w:rPr>
      </w:pPr>
      <w:r w:rsidRPr="004F44F0">
        <w:rPr>
          <w:rFonts w:ascii="Calibri" w:hAnsi="Calibri" w:cs="Calibri"/>
          <w:b/>
          <w:sz w:val="20"/>
          <w:szCs w:val="20"/>
        </w:rPr>
        <w:t>No Aplica.</w:t>
      </w:r>
    </w:p>
    <w:p w14:paraId="7038CAA9" w14:textId="77777777" w:rsidR="00181CEA" w:rsidRDefault="00C87FDA" w:rsidP="00EC7D22">
      <w:pPr>
        <w:pStyle w:val="INCISO"/>
        <w:numPr>
          <w:ilvl w:val="0"/>
          <w:numId w:val="7"/>
        </w:numPr>
        <w:spacing w:after="0" w:line="360" w:lineRule="auto"/>
        <w:ind w:left="0" w:firstLine="0"/>
        <w:rPr>
          <w:rFonts w:ascii="Calibri" w:hAnsi="Calibri" w:cs="Calibri"/>
          <w:sz w:val="20"/>
          <w:szCs w:val="20"/>
        </w:rPr>
      </w:pPr>
      <w:r w:rsidRPr="004F44F0">
        <w:rPr>
          <w:rFonts w:ascii="Calibri" w:hAnsi="Calibri" w:cs="Calibri"/>
          <w:sz w:val="20"/>
          <w:szCs w:val="20"/>
        </w:rPr>
        <w:t xml:space="preserve">Posición en moneda extranjera:  </w:t>
      </w:r>
    </w:p>
    <w:p w14:paraId="06937890" w14:textId="698D63C1" w:rsidR="007745EB" w:rsidRPr="004F44F0" w:rsidRDefault="00C87FDA" w:rsidP="00EC7D22">
      <w:pPr>
        <w:pStyle w:val="INCISO"/>
        <w:spacing w:after="0" w:line="360" w:lineRule="auto"/>
        <w:ind w:left="0" w:firstLine="0"/>
        <w:rPr>
          <w:rFonts w:ascii="Calibri" w:hAnsi="Calibri" w:cs="Calibri"/>
          <w:sz w:val="20"/>
          <w:szCs w:val="20"/>
        </w:rPr>
      </w:pPr>
      <w:r w:rsidRPr="004F44F0">
        <w:rPr>
          <w:rFonts w:ascii="Calibri" w:hAnsi="Calibri" w:cs="Calibri"/>
          <w:b/>
          <w:sz w:val="20"/>
          <w:szCs w:val="20"/>
        </w:rPr>
        <w:t>No Aplica.</w:t>
      </w:r>
    </w:p>
    <w:p w14:paraId="6842BE84" w14:textId="77777777" w:rsidR="00181CEA" w:rsidRDefault="00C87FDA" w:rsidP="00EC7D22">
      <w:pPr>
        <w:pStyle w:val="INCISO"/>
        <w:numPr>
          <w:ilvl w:val="0"/>
          <w:numId w:val="7"/>
        </w:numPr>
        <w:spacing w:after="0" w:line="360" w:lineRule="auto"/>
        <w:ind w:left="0" w:firstLine="0"/>
        <w:rPr>
          <w:rFonts w:ascii="Calibri" w:hAnsi="Calibri" w:cs="Calibri"/>
          <w:sz w:val="20"/>
          <w:szCs w:val="20"/>
        </w:rPr>
      </w:pPr>
      <w:r w:rsidRPr="004F44F0">
        <w:rPr>
          <w:rFonts w:ascii="Calibri" w:hAnsi="Calibri" w:cs="Calibri"/>
          <w:sz w:val="20"/>
          <w:szCs w:val="20"/>
        </w:rPr>
        <w:t xml:space="preserve">Tipo de cambio:  </w:t>
      </w:r>
    </w:p>
    <w:p w14:paraId="6284DFDD" w14:textId="4DC3B6A5" w:rsidR="007745EB" w:rsidRPr="004F44F0" w:rsidRDefault="00C87FDA" w:rsidP="00EC7D22">
      <w:pPr>
        <w:pStyle w:val="INCISO"/>
        <w:spacing w:after="0" w:line="360" w:lineRule="auto"/>
        <w:ind w:left="0" w:firstLine="0"/>
        <w:rPr>
          <w:rFonts w:ascii="Calibri" w:hAnsi="Calibri" w:cs="Calibri"/>
          <w:sz w:val="20"/>
          <w:szCs w:val="20"/>
        </w:rPr>
      </w:pPr>
      <w:r w:rsidRPr="004F44F0">
        <w:rPr>
          <w:rFonts w:ascii="Calibri" w:hAnsi="Calibri" w:cs="Calibri"/>
          <w:b/>
          <w:sz w:val="20"/>
          <w:szCs w:val="20"/>
        </w:rPr>
        <w:t>No Aplica.</w:t>
      </w:r>
    </w:p>
    <w:p w14:paraId="366D1C52" w14:textId="77777777" w:rsidR="00181CEA" w:rsidRDefault="00C87FDA" w:rsidP="00EC7D22">
      <w:pPr>
        <w:pStyle w:val="INCISO"/>
        <w:numPr>
          <w:ilvl w:val="0"/>
          <w:numId w:val="7"/>
        </w:numPr>
        <w:spacing w:after="0" w:line="360" w:lineRule="auto"/>
        <w:ind w:left="0" w:firstLine="0"/>
        <w:rPr>
          <w:rFonts w:ascii="Calibri" w:hAnsi="Calibri" w:cs="Calibri"/>
          <w:sz w:val="20"/>
          <w:szCs w:val="20"/>
        </w:rPr>
      </w:pPr>
      <w:r w:rsidRPr="004F44F0">
        <w:rPr>
          <w:rFonts w:ascii="Calibri" w:hAnsi="Calibri" w:cs="Calibri"/>
          <w:sz w:val="20"/>
          <w:szCs w:val="20"/>
        </w:rPr>
        <w:t xml:space="preserve">Equivalente en moneda nacional:  </w:t>
      </w:r>
    </w:p>
    <w:p w14:paraId="1E8CF9ED" w14:textId="6393C157" w:rsidR="007745EB" w:rsidRPr="004F44F0" w:rsidRDefault="00C87FDA" w:rsidP="00EC7D22">
      <w:pPr>
        <w:pStyle w:val="INCISO"/>
        <w:spacing w:after="0" w:line="360" w:lineRule="auto"/>
        <w:ind w:left="0" w:firstLine="0"/>
        <w:rPr>
          <w:rFonts w:ascii="Calibri" w:hAnsi="Calibri" w:cs="Calibri"/>
          <w:sz w:val="20"/>
          <w:szCs w:val="20"/>
        </w:rPr>
      </w:pPr>
      <w:r w:rsidRPr="004F44F0">
        <w:rPr>
          <w:rFonts w:ascii="Calibri" w:hAnsi="Calibri" w:cs="Calibri"/>
          <w:b/>
          <w:sz w:val="20"/>
          <w:szCs w:val="20"/>
        </w:rPr>
        <w:t>No Aplica.</w:t>
      </w:r>
    </w:p>
    <w:p w14:paraId="0065BAC1" w14:textId="77777777" w:rsidR="007745EB" w:rsidRPr="004F44F0" w:rsidRDefault="00C87FDA" w:rsidP="00EC7D22">
      <w:pPr>
        <w:pStyle w:val="Texto"/>
        <w:numPr>
          <w:ilvl w:val="0"/>
          <w:numId w:val="26"/>
        </w:numPr>
        <w:spacing w:after="0" w:line="240" w:lineRule="exact"/>
        <w:ind w:left="0" w:firstLine="0"/>
        <w:rPr>
          <w:rFonts w:ascii="Calibri" w:hAnsi="Calibri" w:cs="Calibri"/>
          <w:b/>
          <w:sz w:val="20"/>
          <w:lang w:val="es-MX"/>
        </w:rPr>
      </w:pPr>
      <w:r w:rsidRPr="004F44F0">
        <w:rPr>
          <w:rFonts w:ascii="Calibri" w:hAnsi="Calibri" w:cs="Calibri"/>
          <w:b/>
          <w:sz w:val="20"/>
          <w:lang w:val="es-MX"/>
        </w:rPr>
        <w:t>Reporte Analítico del Activo</w:t>
      </w:r>
    </w:p>
    <w:p w14:paraId="59BA1FFB" w14:textId="77777777" w:rsidR="007745EB" w:rsidRPr="004F44F0" w:rsidRDefault="007745EB" w:rsidP="00EC7D22">
      <w:pPr>
        <w:pStyle w:val="Texto"/>
        <w:spacing w:after="0" w:line="240" w:lineRule="exact"/>
        <w:ind w:firstLine="0"/>
        <w:rPr>
          <w:rFonts w:ascii="Calibri" w:hAnsi="Calibri" w:cs="Calibri"/>
          <w:b/>
          <w:sz w:val="20"/>
          <w:lang w:val="es-MX"/>
        </w:rPr>
      </w:pPr>
    </w:p>
    <w:p w14:paraId="5469BDEB" w14:textId="7D62FEBB" w:rsidR="007745EB" w:rsidRDefault="00C87FDA" w:rsidP="00EC7D22">
      <w:pPr>
        <w:pStyle w:val="INCISO"/>
        <w:numPr>
          <w:ilvl w:val="0"/>
          <w:numId w:val="13"/>
        </w:numPr>
        <w:spacing w:after="0" w:line="240" w:lineRule="exact"/>
        <w:ind w:left="0" w:firstLine="0"/>
        <w:rPr>
          <w:rFonts w:ascii="Calibri" w:hAnsi="Calibri" w:cs="Calibri"/>
          <w:sz w:val="20"/>
          <w:szCs w:val="20"/>
        </w:rPr>
      </w:pPr>
      <w:r w:rsidRPr="004F44F0">
        <w:rPr>
          <w:rFonts w:ascii="Calibri" w:hAnsi="Calibri" w:cs="Calibri"/>
          <w:sz w:val="20"/>
          <w:szCs w:val="20"/>
        </w:rPr>
        <w:t>Vida útil o porcentajes de Depreciación, Deterioro o Amortización utilizados en los diferentes tipos de Activos.</w:t>
      </w:r>
    </w:p>
    <w:p w14:paraId="5847AFB2" w14:textId="75D22A5D" w:rsidR="00964D7F" w:rsidRDefault="00964D7F" w:rsidP="00EC7D22">
      <w:pPr>
        <w:pStyle w:val="INCISO"/>
        <w:spacing w:after="0" w:line="240" w:lineRule="exact"/>
        <w:ind w:left="0" w:firstLine="0"/>
        <w:rPr>
          <w:rFonts w:ascii="Calibri" w:hAnsi="Calibri" w:cs="Calibri"/>
          <w:sz w:val="20"/>
          <w:szCs w:val="20"/>
        </w:rPr>
      </w:pPr>
    </w:p>
    <w:p w14:paraId="4D409771" w14:textId="77777777" w:rsidR="00A743DD" w:rsidRDefault="00A743DD" w:rsidP="00EC7D22">
      <w:pPr>
        <w:pStyle w:val="INCISO"/>
        <w:spacing w:after="0" w:line="240" w:lineRule="exact"/>
        <w:ind w:left="0" w:firstLine="0"/>
        <w:rPr>
          <w:rFonts w:ascii="Calibri" w:hAnsi="Calibri" w:cs="Calibri"/>
          <w:sz w:val="20"/>
          <w:szCs w:val="20"/>
        </w:rPr>
      </w:pPr>
    </w:p>
    <w:p w14:paraId="6004DD75" w14:textId="77777777" w:rsidR="00A743DD" w:rsidRDefault="00A743DD" w:rsidP="00EC7D22">
      <w:pPr>
        <w:pStyle w:val="INCISO"/>
        <w:spacing w:after="0" w:line="240" w:lineRule="exact"/>
        <w:ind w:left="0" w:firstLine="0"/>
        <w:rPr>
          <w:rFonts w:ascii="Calibri" w:hAnsi="Calibri" w:cs="Calibri"/>
          <w:sz w:val="20"/>
          <w:szCs w:val="20"/>
        </w:rPr>
      </w:pPr>
    </w:p>
    <w:p w14:paraId="57286F70" w14:textId="77777777" w:rsidR="00A743DD" w:rsidRDefault="00A743DD" w:rsidP="00EC7D22">
      <w:pPr>
        <w:pStyle w:val="INCISO"/>
        <w:spacing w:after="0" w:line="240" w:lineRule="exact"/>
        <w:ind w:left="0" w:firstLine="0"/>
        <w:rPr>
          <w:rFonts w:ascii="Calibri" w:hAnsi="Calibri" w:cs="Calibri"/>
          <w:sz w:val="20"/>
          <w:szCs w:val="20"/>
        </w:rPr>
      </w:pPr>
    </w:p>
    <w:tbl>
      <w:tblPr>
        <w:tblW w:w="9464" w:type="dxa"/>
        <w:tblCellMar>
          <w:left w:w="70" w:type="dxa"/>
          <w:right w:w="70" w:type="dxa"/>
        </w:tblCellMar>
        <w:tblLook w:val="04A0" w:firstRow="1" w:lastRow="0" w:firstColumn="1" w:lastColumn="0" w:noHBand="0" w:noVBand="1"/>
      </w:tblPr>
      <w:tblGrid>
        <w:gridCol w:w="967"/>
        <w:gridCol w:w="2997"/>
        <w:gridCol w:w="1330"/>
        <w:gridCol w:w="967"/>
        <w:gridCol w:w="967"/>
        <w:gridCol w:w="967"/>
        <w:gridCol w:w="1269"/>
      </w:tblGrid>
      <w:tr w:rsidR="00964D7F" w:rsidRPr="00322837" w14:paraId="40B0D878" w14:textId="77777777" w:rsidTr="000A16E7">
        <w:trPr>
          <w:trHeight w:val="454"/>
        </w:trPr>
        <w:tc>
          <w:tcPr>
            <w:tcW w:w="967"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6D3F3A79"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lastRenderedPageBreak/>
              <w:t>CLASE</w:t>
            </w:r>
          </w:p>
        </w:tc>
        <w:tc>
          <w:tcPr>
            <w:tcW w:w="2997" w:type="dxa"/>
            <w:tcBorders>
              <w:top w:val="single" w:sz="4" w:space="0" w:color="auto"/>
              <w:left w:val="nil"/>
              <w:bottom w:val="single" w:sz="4" w:space="0" w:color="auto"/>
              <w:right w:val="single" w:sz="4" w:space="0" w:color="auto"/>
            </w:tcBorders>
            <w:shd w:val="clear" w:color="800080" w:fill="A90025"/>
            <w:vAlign w:val="center"/>
            <w:hideMark/>
          </w:tcPr>
          <w:p w14:paraId="2DB312E5"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 </w:t>
            </w:r>
          </w:p>
        </w:tc>
        <w:tc>
          <w:tcPr>
            <w:tcW w:w="1330" w:type="dxa"/>
            <w:tcBorders>
              <w:top w:val="single" w:sz="4" w:space="0" w:color="auto"/>
              <w:left w:val="nil"/>
              <w:bottom w:val="single" w:sz="4" w:space="0" w:color="auto"/>
              <w:right w:val="single" w:sz="4" w:space="0" w:color="auto"/>
            </w:tcBorders>
            <w:shd w:val="clear" w:color="800080" w:fill="A90025"/>
            <w:vAlign w:val="center"/>
            <w:hideMark/>
          </w:tcPr>
          <w:p w14:paraId="49E89410" w14:textId="5A87CD46" w:rsidR="00964D7F" w:rsidRPr="00322837" w:rsidRDefault="000A16E7"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MÉTODO</w:t>
            </w:r>
            <w:r w:rsidR="00964D7F" w:rsidRPr="00322837">
              <w:rPr>
                <w:rFonts w:eastAsia="Times New Roman" w:cs="Calibri"/>
                <w:b/>
                <w:bCs/>
                <w:color w:val="FFFFFF"/>
                <w:sz w:val="13"/>
                <w:szCs w:val="13"/>
                <w:lang w:eastAsia="es-MX"/>
              </w:rPr>
              <w:t xml:space="preserve"> DE </w:t>
            </w:r>
            <w:r w:rsidRPr="00322837">
              <w:rPr>
                <w:rFonts w:eastAsia="Times New Roman" w:cs="Calibri"/>
                <w:b/>
                <w:bCs/>
                <w:color w:val="FFFFFF"/>
                <w:sz w:val="13"/>
                <w:szCs w:val="13"/>
                <w:lang w:eastAsia="es-MX"/>
              </w:rPr>
              <w:t>DEPRECIACIÓN</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7A84FE7A"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VIDA UTIL EN AÑOS</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5B239843"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VALOR RESIDUAL (%)</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7F952B9C"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 ANUAL (%)</w:t>
            </w:r>
          </w:p>
        </w:tc>
        <w:tc>
          <w:tcPr>
            <w:tcW w:w="1269" w:type="dxa"/>
            <w:tcBorders>
              <w:top w:val="single" w:sz="4" w:space="0" w:color="auto"/>
              <w:left w:val="nil"/>
              <w:bottom w:val="single" w:sz="4" w:space="0" w:color="auto"/>
              <w:right w:val="single" w:sz="4" w:space="0" w:color="auto"/>
            </w:tcBorders>
            <w:shd w:val="clear" w:color="800080" w:fill="A90025"/>
            <w:vAlign w:val="center"/>
            <w:hideMark/>
          </w:tcPr>
          <w:p w14:paraId="18B707BF"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DEP.MENSUAL (%)</w:t>
            </w:r>
          </w:p>
        </w:tc>
      </w:tr>
      <w:tr w:rsidR="00964D7F" w:rsidRPr="003D61EF" w14:paraId="632D22F8"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B6D424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3100</w:t>
            </w:r>
          </w:p>
        </w:tc>
        <w:tc>
          <w:tcPr>
            <w:tcW w:w="2997" w:type="dxa"/>
            <w:tcBorders>
              <w:top w:val="nil"/>
              <w:left w:val="nil"/>
              <w:bottom w:val="single" w:sz="8" w:space="0" w:color="auto"/>
              <w:right w:val="single" w:sz="8" w:space="0" w:color="auto"/>
            </w:tcBorders>
            <w:shd w:val="clear" w:color="F2F2F2" w:fill="FFFFFF"/>
            <w:noWrap/>
            <w:vAlign w:val="center"/>
            <w:hideMark/>
          </w:tcPr>
          <w:p w14:paraId="09942045"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Terrenos</w:t>
            </w:r>
          </w:p>
        </w:tc>
        <w:tc>
          <w:tcPr>
            <w:tcW w:w="1330" w:type="dxa"/>
            <w:tcBorders>
              <w:top w:val="nil"/>
              <w:left w:val="nil"/>
              <w:bottom w:val="single" w:sz="8" w:space="0" w:color="auto"/>
              <w:right w:val="single" w:sz="8" w:space="0" w:color="auto"/>
            </w:tcBorders>
            <w:shd w:val="clear" w:color="F2F2F2" w:fill="FFFFFF"/>
            <w:noWrap/>
            <w:vAlign w:val="center"/>
            <w:hideMark/>
          </w:tcPr>
          <w:p w14:paraId="12A6AA5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EE0C88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07AD55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35737B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7400F11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6CADFCD7"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5A35F6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3200</w:t>
            </w:r>
          </w:p>
        </w:tc>
        <w:tc>
          <w:tcPr>
            <w:tcW w:w="2997" w:type="dxa"/>
            <w:tcBorders>
              <w:top w:val="nil"/>
              <w:left w:val="nil"/>
              <w:bottom w:val="single" w:sz="8" w:space="0" w:color="auto"/>
              <w:right w:val="single" w:sz="8" w:space="0" w:color="auto"/>
            </w:tcBorders>
            <w:shd w:val="clear" w:color="F2F2F2" w:fill="FFFFFF"/>
            <w:noWrap/>
            <w:vAlign w:val="center"/>
            <w:hideMark/>
          </w:tcPr>
          <w:p w14:paraId="7790E8E8"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Vivienda</w:t>
            </w:r>
          </w:p>
        </w:tc>
        <w:tc>
          <w:tcPr>
            <w:tcW w:w="1330" w:type="dxa"/>
            <w:tcBorders>
              <w:top w:val="nil"/>
              <w:left w:val="nil"/>
              <w:bottom w:val="single" w:sz="8" w:space="0" w:color="auto"/>
              <w:right w:val="single" w:sz="8" w:space="0" w:color="auto"/>
            </w:tcBorders>
            <w:shd w:val="clear" w:color="F2F2F2" w:fill="FFFFFF"/>
            <w:noWrap/>
            <w:vAlign w:val="center"/>
            <w:hideMark/>
          </w:tcPr>
          <w:p w14:paraId="0D44065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5B40D6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50</w:t>
            </w:r>
          </w:p>
        </w:tc>
        <w:tc>
          <w:tcPr>
            <w:tcW w:w="967" w:type="dxa"/>
            <w:tcBorders>
              <w:top w:val="nil"/>
              <w:left w:val="nil"/>
              <w:bottom w:val="single" w:sz="8" w:space="0" w:color="auto"/>
              <w:right w:val="single" w:sz="8" w:space="0" w:color="auto"/>
            </w:tcBorders>
            <w:shd w:val="clear" w:color="F2F2F2" w:fill="FFFFFF"/>
            <w:noWrap/>
            <w:vAlign w:val="center"/>
            <w:hideMark/>
          </w:tcPr>
          <w:p w14:paraId="6772DB1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C4B134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w:t>
            </w:r>
          </w:p>
        </w:tc>
        <w:tc>
          <w:tcPr>
            <w:tcW w:w="1269" w:type="dxa"/>
            <w:tcBorders>
              <w:top w:val="nil"/>
              <w:left w:val="nil"/>
              <w:bottom w:val="single" w:sz="8" w:space="0" w:color="auto"/>
              <w:right w:val="single" w:sz="8" w:space="0" w:color="auto"/>
            </w:tcBorders>
            <w:shd w:val="clear" w:color="F2F2F2" w:fill="FFFFFF"/>
            <w:noWrap/>
            <w:vAlign w:val="center"/>
            <w:hideMark/>
          </w:tcPr>
          <w:p w14:paraId="272FB7E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0.17</w:t>
            </w:r>
          </w:p>
        </w:tc>
      </w:tr>
      <w:tr w:rsidR="00964D7F" w:rsidRPr="003D61EF" w14:paraId="7E9EBAB1"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9C9B69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3310</w:t>
            </w:r>
          </w:p>
        </w:tc>
        <w:tc>
          <w:tcPr>
            <w:tcW w:w="2997" w:type="dxa"/>
            <w:tcBorders>
              <w:top w:val="nil"/>
              <w:left w:val="nil"/>
              <w:bottom w:val="single" w:sz="8" w:space="0" w:color="auto"/>
              <w:right w:val="single" w:sz="8" w:space="0" w:color="auto"/>
            </w:tcBorders>
            <w:shd w:val="clear" w:color="F2F2F2" w:fill="FFFFFF"/>
            <w:noWrap/>
            <w:vAlign w:val="center"/>
            <w:hideMark/>
          </w:tcPr>
          <w:p w14:paraId="7A6ED40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Edificios No Habitacionales (Bienes Inmuebles)</w:t>
            </w:r>
          </w:p>
        </w:tc>
        <w:tc>
          <w:tcPr>
            <w:tcW w:w="1330" w:type="dxa"/>
            <w:tcBorders>
              <w:top w:val="nil"/>
              <w:left w:val="nil"/>
              <w:bottom w:val="single" w:sz="8" w:space="0" w:color="auto"/>
              <w:right w:val="single" w:sz="8" w:space="0" w:color="auto"/>
            </w:tcBorders>
            <w:shd w:val="clear" w:color="F2F2F2" w:fill="FFFFFF"/>
            <w:noWrap/>
            <w:vAlign w:val="center"/>
            <w:hideMark/>
          </w:tcPr>
          <w:p w14:paraId="08C94FE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E0B743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30</w:t>
            </w:r>
          </w:p>
        </w:tc>
        <w:tc>
          <w:tcPr>
            <w:tcW w:w="967" w:type="dxa"/>
            <w:tcBorders>
              <w:top w:val="nil"/>
              <w:left w:val="nil"/>
              <w:bottom w:val="single" w:sz="8" w:space="0" w:color="auto"/>
              <w:right w:val="single" w:sz="8" w:space="0" w:color="auto"/>
            </w:tcBorders>
            <w:shd w:val="clear" w:color="F2F2F2" w:fill="FFFFFF"/>
            <w:noWrap/>
            <w:vAlign w:val="center"/>
            <w:hideMark/>
          </w:tcPr>
          <w:p w14:paraId="0875276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175B60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3.33</w:t>
            </w:r>
          </w:p>
        </w:tc>
        <w:tc>
          <w:tcPr>
            <w:tcW w:w="1269" w:type="dxa"/>
            <w:tcBorders>
              <w:top w:val="nil"/>
              <w:left w:val="nil"/>
              <w:bottom w:val="single" w:sz="8" w:space="0" w:color="auto"/>
              <w:right w:val="single" w:sz="8" w:space="0" w:color="auto"/>
            </w:tcBorders>
            <w:shd w:val="clear" w:color="F2F2F2" w:fill="FFFFFF"/>
            <w:noWrap/>
            <w:vAlign w:val="center"/>
            <w:hideMark/>
          </w:tcPr>
          <w:p w14:paraId="6BD5A81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0.28</w:t>
            </w:r>
          </w:p>
        </w:tc>
      </w:tr>
      <w:tr w:rsidR="00964D7F" w:rsidRPr="003D61EF" w14:paraId="709A5060"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2A6D22F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3320</w:t>
            </w:r>
          </w:p>
        </w:tc>
        <w:tc>
          <w:tcPr>
            <w:tcW w:w="2997" w:type="dxa"/>
            <w:tcBorders>
              <w:top w:val="nil"/>
              <w:left w:val="nil"/>
              <w:bottom w:val="single" w:sz="8" w:space="0" w:color="auto"/>
              <w:right w:val="single" w:sz="8" w:space="0" w:color="auto"/>
            </w:tcBorders>
            <w:shd w:val="clear" w:color="F2F2F2" w:fill="FFFFFF"/>
            <w:noWrap/>
            <w:vAlign w:val="center"/>
            <w:hideMark/>
          </w:tcPr>
          <w:p w14:paraId="37E44C8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Edificios</w:t>
            </w:r>
          </w:p>
        </w:tc>
        <w:tc>
          <w:tcPr>
            <w:tcW w:w="1330" w:type="dxa"/>
            <w:tcBorders>
              <w:top w:val="nil"/>
              <w:left w:val="nil"/>
              <w:bottom w:val="single" w:sz="8" w:space="0" w:color="auto"/>
              <w:right w:val="single" w:sz="8" w:space="0" w:color="auto"/>
            </w:tcBorders>
            <w:shd w:val="clear" w:color="F2F2F2" w:fill="FFFFFF"/>
            <w:noWrap/>
            <w:vAlign w:val="center"/>
            <w:hideMark/>
          </w:tcPr>
          <w:p w14:paraId="4C57CFB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5FC8C46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30</w:t>
            </w:r>
          </w:p>
        </w:tc>
        <w:tc>
          <w:tcPr>
            <w:tcW w:w="967" w:type="dxa"/>
            <w:tcBorders>
              <w:top w:val="nil"/>
              <w:left w:val="nil"/>
              <w:bottom w:val="single" w:sz="8" w:space="0" w:color="auto"/>
              <w:right w:val="single" w:sz="8" w:space="0" w:color="auto"/>
            </w:tcBorders>
            <w:shd w:val="clear" w:color="F2F2F2" w:fill="FFFFFF"/>
            <w:noWrap/>
            <w:vAlign w:val="center"/>
            <w:hideMark/>
          </w:tcPr>
          <w:p w14:paraId="34234EE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995CEB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3.33</w:t>
            </w:r>
          </w:p>
        </w:tc>
        <w:tc>
          <w:tcPr>
            <w:tcW w:w="1269" w:type="dxa"/>
            <w:tcBorders>
              <w:top w:val="nil"/>
              <w:left w:val="nil"/>
              <w:bottom w:val="single" w:sz="8" w:space="0" w:color="auto"/>
              <w:right w:val="single" w:sz="8" w:space="0" w:color="auto"/>
            </w:tcBorders>
            <w:shd w:val="clear" w:color="F2F2F2" w:fill="FFFFFF"/>
            <w:noWrap/>
            <w:vAlign w:val="center"/>
            <w:hideMark/>
          </w:tcPr>
          <w:p w14:paraId="1327956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0.28</w:t>
            </w:r>
          </w:p>
        </w:tc>
      </w:tr>
      <w:tr w:rsidR="00964D7F" w:rsidRPr="003D61EF" w14:paraId="139F9769"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B0A5E2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3330</w:t>
            </w:r>
          </w:p>
        </w:tc>
        <w:tc>
          <w:tcPr>
            <w:tcW w:w="2997" w:type="dxa"/>
            <w:tcBorders>
              <w:top w:val="nil"/>
              <w:left w:val="nil"/>
              <w:bottom w:val="single" w:sz="8" w:space="0" w:color="auto"/>
              <w:right w:val="single" w:sz="8" w:space="0" w:color="auto"/>
            </w:tcBorders>
            <w:shd w:val="clear" w:color="F2F2F2" w:fill="FFFFFF"/>
            <w:noWrap/>
            <w:vAlign w:val="center"/>
            <w:hideMark/>
          </w:tcPr>
          <w:p w14:paraId="07CB9C06"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Edificios No Habit</w:t>
            </w:r>
            <w:r w:rsidRPr="003D61EF">
              <w:rPr>
                <w:rFonts w:eastAsia="Times New Roman" w:cs="Calibri"/>
                <w:color w:val="000000"/>
                <w:sz w:val="13"/>
                <w:szCs w:val="13"/>
                <w:lang w:eastAsia="es-MX"/>
              </w:rPr>
              <w:t xml:space="preserve">acionales </w:t>
            </w:r>
            <w:r w:rsidRPr="00322837">
              <w:rPr>
                <w:rFonts w:eastAsia="Times New Roman" w:cs="Calibri"/>
                <w:color w:val="000000"/>
                <w:sz w:val="13"/>
                <w:szCs w:val="13"/>
                <w:lang w:eastAsia="es-MX"/>
              </w:rPr>
              <w:t>Transferibles</w:t>
            </w:r>
          </w:p>
        </w:tc>
        <w:tc>
          <w:tcPr>
            <w:tcW w:w="1330" w:type="dxa"/>
            <w:tcBorders>
              <w:top w:val="nil"/>
              <w:left w:val="nil"/>
              <w:bottom w:val="single" w:sz="8" w:space="0" w:color="auto"/>
              <w:right w:val="single" w:sz="8" w:space="0" w:color="auto"/>
            </w:tcBorders>
            <w:shd w:val="clear" w:color="F2F2F2" w:fill="FFFFFF"/>
            <w:noWrap/>
            <w:vAlign w:val="center"/>
            <w:hideMark/>
          </w:tcPr>
          <w:p w14:paraId="292D442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89C924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9A4FFF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9FC93D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39BFF17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34343373"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C80528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3410</w:t>
            </w:r>
          </w:p>
        </w:tc>
        <w:tc>
          <w:tcPr>
            <w:tcW w:w="2997" w:type="dxa"/>
            <w:tcBorders>
              <w:top w:val="nil"/>
              <w:left w:val="nil"/>
              <w:bottom w:val="single" w:sz="8" w:space="0" w:color="auto"/>
              <w:right w:val="single" w:sz="8" w:space="0" w:color="auto"/>
            </w:tcBorders>
            <w:shd w:val="clear" w:color="F2F2F2" w:fill="FFFFFF"/>
            <w:noWrap/>
            <w:vAlign w:val="center"/>
            <w:hideMark/>
          </w:tcPr>
          <w:p w14:paraId="11EC39BA"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Infraestructura De Carreteras</w:t>
            </w:r>
          </w:p>
        </w:tc>
        <w:tc>
          <w:tcPr>
            <w:tcW w:w="1330" w:type="dxa"/>
            <w:tcBorders>
              <w:top w:val="nil"/>
              <w:left w:val="nil"/>
              <w:bottom w:val="single" w:sz="8" w:space="0" w:color="auto"/>
              <w:right w:val="single" w:sz="8" w:space="0" w:color="auto"/>
            </w:tcBorders>
            <w:shd w:val="clear" w:color="F2F2F2" w:fill="FFFFFF"/>
            <w:noWrap/>
            <w:vAlign w:val="center"/>
            <w:hideMark/>
          </w:tcPr>
          <w:p w14:paraId="2E6F5F2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1A11E3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1D10609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857824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702E1DA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2A8FD608"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1A67F3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3420</w:t>
            </w:r>
          </w:p>
        </w:tc>
        <w:tc>
          <w:tcPr>
            <w:tcW w:w="2997" w:type="dxa"/>
            <w:tcBorders>
              <w:top w:val="nil"/>
              <w:left w:val="nil"/>
              <w:bottom w:val="single" w:sz="8" w:space="0" w:color="auto"/>
              <w:right w:val="single" w:sz="8" w:space="0" w:color="auto"/>
            </w:tcBorders>
            <w:shd w:val="clear" w:color="F2F2F2" w:fill="FFFFFF"/>
            <w:noWrap/>
            <w:vAlign w:val="center"/>
            <w:hideMark/>
          </w:tcPr>
          <w:p w14:paraId="7B6C5DC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Infraestructura Ferroviaria Y Multimodal</w:t>
            </w:r>
          </w:p>
        </w:tc>
        <w:tc>
          <w:tcPr>
            <w:tcW w:w="1330" w:type="dxa"/>
            <w:tcBorders>
              <w:top w:val="nil"/>
              <w:left w:val="nil"/>
              <w:bottom w:val="single" w:sz="8" w:space="0" w:color="auto"/>
              <w:right w:val="single" w:sz="8" w:space="0" w:color="auto"/>
            </w:tcBorders>
            <w:shd w:val="clear" w:color="F2F2F2" w:fill="FFFFFF"/>
            <w:noWrap/>
            <w:vAlign w:val="center"/>
            <w:hideMark/>
          </w:tcPr>
          <w:p w14:paraId="075605C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A28EB4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5ED6D4E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2B2F1D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55F4C75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49BD3397"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B12B5B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3430</w:t>
            </w:r>
          </w:p>
        </w:tc>
        <w:tc>
          <w:tcPr>
            <w:tcW w:w="2997" w:type="dxa"/>
            <w:tcBorders>
              <w:top w:val="nil"/>
              <w:left w:val="nil"/>
              <w:bottom w:val="single" w:sz="8" w:space="0" w:color="auto"/>
              <w:right w:val="single" w:sz="8" w:space="0" w:color="auto"/>
            </w:tcBorders>
            <w:shd w:val="clear" w:color="F2F2F2" w:fill="FFFFFF"/>
            <w:noWrap/>
            <w:vAlign w:val="center"/>
            <w:hideMark/>
          </w:tcPr>
          <w:p w14:paraId="47D11766"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Infraestructura Portuaria</w:t>
            </w:r>
          </w:p>
        </w:tc>
        <w:tc>
          <w:tcPr>
            <w:tcW w:w="1330" w:type="dxa"/>
            <w:tcBorders>
              <w:top w:val="nil"/>
              <w:left w:val="nil"/>
              <w:bottom w:val="single" w:sz="8" w:space="0" w:color="auto"/>
              <w:right w:val="single" w:sz="8" w:space="0" w:color="auto"/>
            </w:tcBorders>
            <w:shd w:val="clear" w:color="F2F2F2" w:fill="FFFFFF"/>
            <w:noWrap/>
            <w:vAlign w:val="center"/>
            <w:hideMark/>
          </w:tcPr>
          <w:p w14:paraId="3B7B84A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C9C403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6158B0D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284CB5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5B78F0D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49944752"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A70F18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3440</w:t>
            </w:r>
          </w:p>
        </w:tc>
        <w:tc>
          <w:tcPr>
            <w:tcW w:w="2997" w:type="dxa"/>
            <w:tcBorders>
              <w:top w:val="nil"/>
              <w:left w:val="nil"/>
              <w:bottom w:val="single" w:sz="8" w:space="0" w:color="auto"/>
              <w:right w:val="single" w:sz="8" w:space="0" w:color="auto"/>
            </w:tcBorders>
            <w:shd w:val="clear" w:color="F2F2F2" w:fill="FFFFFF"/>
            <w:noWrap/>
            <w:vAlign w:val="center"/>
            <w:hideMark/>
          </w:tcPr>
          <w:p w14:paraId="59EDF745"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Infraestructura Aeroportuaria</w:t>
            </w:r>
          </w:p>
        </w:tc>
        <w:tc>
          <w:tcPr>
            <w:tcW w:w="1330" w:type="dxa"/>
            <w:tcBorders>
              <w:top w:val="nil"/>
              <w:left w:val="nil"/>
              <w:bottom w:val="single" w:sz="8" w:space="0" w:color="auto"/>
              <w:right w:val="single" w:sz="8" w:space="0" w:color="auto"/>
            </w:tcBorders>
            <w:shd w:val="clear" w:color="F2F2F2" w:fill="FFFFFF"/>
            <w:noWrap/>
            <w:vAlign w:val="center"/>
            <w:hideMark/>
          </w:tcPr>
          <w:p w14:paraId="1933F36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790D680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125C6B1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E856B7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5F793FD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72572351"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880F18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3450</w:t>
            </w:r>
          </w:p>
        </w:tc>
        <w:tc>
          <w:tcPr>
            <w:tcW w:w="2997" w:type="dxa"/>
            <w:tcBorders>
              <w:top w:val="nil"/>
              <w:left w:val="nil"/>
              <w:bottom w:val="single" w:sz="8" w:space="0" w:color="auto"/>
              <w:right w:val="single" w:sz="8" w:space="0" w:color="auto"/>
            </w:tcBorders>
            <w:shd w:val="clear" w:color="F2F2F2" w:fill="FFFFFF"/>
            <w:noWrap/>
            <w:vAlign w:val="center"/>
            <w:hideMark/>
          </w:tcPr>
          <w:p w14:paraId="65BF831D"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Infraestructura De Telecomunicaciones</w:t>
            </w:r>
          </w:p>
        </w:tc>
        <w:tc>
          <w:tcPr>
            <w:tcW w:w="1330" w:type="dxa"/>
            <w:tcBorders>
              <w:top w:val="nil"/>
              <w:left w:val="nil"/>
              <w:bottom w:val="single" w:sz="8" w:space="0" w:color="auto"/>
              <w:right w:val="single" w:sz="8" w:space="0" w:color="auto"/>
            </w:tcBorders>
            <w:shd w:val="clear" w:color="F2F2F2" w:fill="FFFFFF"/>
            <w:noWrap/>
            <w:vAlign w:val="center"/>
            <w:hideMark/>
          </w:tcPr>
          <w:p w14:paraId="7F15E80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672E4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00BAB69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5FC2D4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0661D5E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6BE2F262"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3F2C55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3460</w:t>
            </w:r>
          </w:p>
        </w:tc>
        <w:tc>
          <w:tcPr>
            <w:tcW w:w="2997" w:type="dxa"/>
            <w:tcBorders>
              <w:top w:val="nil"/>
              <w:left w:val="nil"/>
              <w:bottom w:val="single" w:sz="8" w:space="0" w:color="auto"/>
              <w:right w:val="single" w:sz="8" w:space="0" w:color="auto"/>
            </w:tcBorders>
            <w:shd w:val="clear" w:color="F2F2F2" w:fill="FFFFFF"/>
            <w:noWrap/>
            <w:vAlign w:val="center"/>
            <w:hideMark/>
          </w:tcPr>
          <w:p w14:paraId="63885910"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r w:rsidRPr="00322837">
              <w:rPr>
                <w:rFonts w:eastAsia="Times New Roman" w:cs="Calibri"/>
                <w:color w:val="000000"/>
                <w:sz w:val="13"/>
                <w:szCs w:val="13"/>
                <w:lang w:eastAsia="es-MX"/>
              </w:rPr>
              <w:t>Infraest.Agua</w:t>
            </w:r>
            <w:proofErr w:type="spellEnd"/>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Pot</w:t>
            </w:r>
            <w:proofErr w:type="spellEnd"/>
            <w:r w:rsidRPr="00322837">
              <w:rPr>
                <w:rFonts w:eastAsia="Times New Roman" w:cs="Calibri"/>
                <w:color w:val="000000"/>
                <w:sz w:val="13"/>
                <w:szCs w:val="13"/>
                <w:lang w:eastAsia="es-MX"/>
              </w:rPr>
              <w:t xml:space="preserve">. </w:t>
            </w:r>
            <w:r w:rsidRPr="003D61EF">
              <w:rPr>
                <w:rFonts w:eastAsia="Times New Roman" w:cs="Calibri"/>
                <w:color w:val="000000"/>
                <w:sz w:val="13"/>
                <w:szCs w:val="13"/>
                <w:lang w:eastAsia="es-MX"/>
              </w:rPr>
              <w:t>Saneamiento.</w:t>
            </w:r>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Hidroagric.Ctrol.Inund</w:t>
            </w:r>
            <w:proofErr w:type="spellEnd"/>
          </w:p>
        </w:tc>
        <w:tc>
          <w:tcPr>
            <w:tcW w:w="1330" w:type="dxa"/>
            <w:tcBorders>
              <w:top w:val="nil"/>
              <w:left w:val="nil"/>
              <w:bottom w:val="single" w:sz="8" w:space="0" w:color="auto"/>
              <w:right w:val="single" w:sz="8" w:space="0" w:color="auto"/>
            </w:tcBorders>
            <w:shd w:val="clear" w:color="F2F2F2" w:fill="FFFFFF"/>
            <w:noWrap/>
            <w:vAlign w:val="center"/>
            <w:hideMark/>
          </w:tcPr>
          <w:p w14:paraId="00CDB43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E86C5E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4362B2F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C788BC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7796B67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1138A40D"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C797CE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3470</w:t>
            </w:r>
          </w:p>
        </w:tc>
        <w:tc>
          <w:tcPr>
            <w:tcW w:w="2997" w:type="dxa"/>
            <w:tcBorders>
              <w:top w:val="nil"/>
              <w:left w:val="nil"/>
              <w:bottom w:val="single" w:sz="8" w:space="0" w:color="auto"/>
              <w:right w:val="single" w:sz="8" w:space="0" w:color="auto"/>
            </w:tcBorders>
            <w:shd w:val="clear" w:color="F2F2F2" w:fill="FFFFFF"/>
            <w:noWrap/>
            <w:vAlign w:val="center"/>
            <w:hideMark/>
          </w:tcPr>
          <w:p w14:paraId="5BB8B780"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Infraestructura Eléctrica</w:t>
            </w:r>
          </w:p>
        </w:tc>
        <w:tc>
          <w:tcPr>
            <w:tcW w:w="1330" w:type="dxa"/>
            <w:tcBorders>
              <w:top w:val="nil"/>
              <w:left w:val="nil"/>
              <w:bottom w:val="single" w:sz="8" w:space="0" w:color="auto"/>
              <w:right w:val="single" w:sz="8" w:space="0" w:color="auto"/>
            </w:tcBorders>
            <w:shd w:val="clear" w:color="F2F2F2" w:fill="FFFFFF"/>
            <w:noWrap/>
            <w:vAlign w:val="center"/>
            <w:hideMark/>
          </w:tcPr>
          <w:p w14:paraId="58649BC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6B8881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104ABF8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EA2E66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6A6DCC0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3E1BD097"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4FA3E1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3480</w:t>
            </w:r>
          </w:p>
        </w:tc>
        <w:tc>
          <w:tcPr>
            <w:tcW w:w="2997" w:type="dxa"/>
            <w:tcBorders>
              <w:top w:val="nil"/>
              <w:left w:val="nil"/>
              <w:bottom w:val="single" w:sz="8" w:space="0" w:color="auto"/>
              <w:right w:val="single" w:sz="8" w:space="0" w:color="auto"/>
            </w:tcBorders>
            <w:shd w:val="clear" w:color="F2F2F2" w:fill="FFFFFF"/>
            <w:noWrap/>
            <w:vAlign w:val="center"/>
            <w:hideMark/>
          </w:tcPr>
          <w:p w14:paraId="4F2D017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Infraestructura De Producción De Hidrocarburos</w:t>
            </w:r>
          </w:p>
        </w:tc>
        <w:tc>
          <w:tcPr>
            <w:tcW w:w="1330" w:type="dxa"/>
            <w:tcBorders>
              <w:top w:val="nil"/>
              <w:left w:val="nil"/>
              <w:bottom w:val="single" w:sz="8" w:space="0" w:color="auto"/>
              <w:right w:val="single" w:sz="8" w:space="0" w:color="auto"/>
            </w:tcBorders>
            <w:shd w:val="clear" w:color="F2F2F2" w:fill="FFFFFF"/>
            <w:noWrap/>
            <w:vAlign w:val="center"/>
            <w:hideMark/>
          </w:tcPr>
          <w:p w14:paraId="0C9E683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411812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1E94168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230E15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18422F4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14517E4B"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C1E13F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3490</w:t>
            </w:r>
          </w:p>
        </w:tc>
        <w:tc>
          <w:tcPr>
            <w:tcW w:w="2997" w:type="dxa"/>
            <w:tcBorders>
              <w:top w:val="nil"/>
              <w:left w:val="nil"/>
              <w:bottom w:val="single" w:sz="8" w:space="0" w:color="auto"/>
              <w:right w:val="single" w:sz="8" w:space="0" w:color="auto"/>
            </w:tcBorders>
            <w:shd w:val="clear" w:color="F2F2F2" w:fill="FFFFFF"/>
            <w:noWrap/>
            <w:vAlign w:val="center"/>
            <w:hideMark/>
          </w:tcPr>
          <w:p w14:paraId="38F1904D"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Infraestructura De Refinación, Gas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Petroquímica</w:t>
            </w:r>
          </w:p>
        </w:tc>
        <w:tc>
          <w:tcPr>
            <w:tcW w:w="1330" w:type="dxa"/>
            <w:tcBorders>
              <w:top w:val="nil"/>
              <w:left w:val="nil"/>
              <w:bottom w:val="single" w:sz="8" w:space="0" w:color="auto"/>
              <w:right w:val="single" w:sz="8" w:space="0" w:color="auto"/>
            </w:tcBorders>
            <w:shd w:val="clear" w:color="F2F2F2" w:fill="FFFFFF"/>
            <w:noWrap/>
            <w:vAlign w:val="center"/>
            <w:hideMark/>
          </w:tcPr>
          <w:p w14:paraId="2639A71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CCB5A3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7050F9C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D8AFC3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07F9C6E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378C1E73"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566B0F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3510</w:t>
            </w:r>
          </w:p>
        </w:tc>
        <w:tc>
          <w:tcPr>
            <w:tcW w:w="2997" w:type="dxa"/>
            <w:tcBorders>
              <w:top w:val="nil"/>
              <w:left w:val="nil"/>
              <w:bottom w:val="single" w:sz="8" w:space="0" w:color="auto"/>
              <w:right w:val="single" w:sz="8" w:space="0" w:color="auto"/>
            </w:tcBorders>
            <w:shd w:val="clear" w:color="F2F2F2" w:fill="FFFFFF"/>
            <w:noWrap/>
            <w:vAlign w:val="center"/>
            <w:hideMark/>
          </w:tcPr>
          <w:p w14:paraId="1F9F52D7"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Edificación Habitacional En Proceso </w:t>
            </w:r>
            <w:proofErr w:type="spellStart"/>
            <w:r w:rsidRPr="00322837">
              <w:rPr>
                <w:rFonts w:eastAsia="Times New Roman" w:cs="Calibri"/>
                <w:color w:val="000000"/>
                <w:sz w:val="13"/>
                <w:szCs w:val="13"/>
                <w:lang w:eastAsia="es-MX"/>
              </w:rPr>
              <w:t>Dp</w:t>
            </w:r>
            <w:proofErr w:type="spellEnd"/>
          </w:p>
        </w:tc>
        <w:tc>
          <w:tcPr>
            <w:tcW w:w="1330" w:type="dxa"/>
            <w:tcBorders>
              <w:top w:val="nil"/>
              <w:left w:val="nil"/>
              <w:bottom w:val="single" w:sz="8" w:space="0" w:color="auto"/>
              <w:right w:val="single" w:sz="8" w:space="0" w:color="auto"/>
            </w:tcBorders>
            <w:shd w:val="clear" w:color="F2F2F2" w:fill="FFFFFF"/>
            <w:noWrap/>
            <w:vAlign w:val="center"/>
            <w:hideMark/>
          </w:tcPr>
          <w:p w14:paraId="3E39BF8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876359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9F3235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F9EDA7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0C30647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52BBCA22"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578F21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3520</w:t>
            </w:r>
          </w:p>
        </w:tc>
        <w:tc>
          <w:tcPr>
            <w:tcW w:w="2997" w:type="dxa"/>
            <w:tcBorders>
              <w:top w:val="nil"/>
              <w:left w:val="nil"/>
              <w:bottom w:val="single" w:sz="8" w:space="0" w:color="auto"/>
              <w:right w:val="single" w:sz="8" w:space="0" w:color="auto"/>
            </w:tcBorders>
            <w:shd w:val="clear" w:color="F2F2F2" w:fill="FFFFFF"/>
            <w:noWrap/>
            <w:vAlign w:val="center"/>
            <w:hideMark/>
          </w:tcPr>
          <w:p w14:paraId="5BEC9E7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Edificación No Habitacional En Proceso </w:t>
            </w:r>
            <w:proofErr w:type="spellStart"/>
            <w:r w:rsidRPr="00322837">
              <w:rPr>
                <w:rFonts w:eastAsia="Times New Roman" w:cs="Calibri"/>
                <w:color w:val="000000"/>
                <w:sz w:val="13"/>
                <w:szCs w:val="13"/>
                <w:lang w:eastAsia="es-MX"/>
              </w:rPr>
              <w:t>Dp</w:t>
            </w:r>
            <w:proofErr w:type="spellEnd"/>
          </w:p>
        </w:tc>
        <w:tc>
          <w:tcPr>
            <w:tcW w:w="1330" w:type="dxa"/>
            <w:tcBorders>
              <w:top w:val="nil"/>
              <w:left w:val="nil"/>
              <w:bottom w:val="single" w:sz="8" w:space="0" w:color="auto"/>
              <w:right w:val="single" w:sz="8" w:space="0" w:color="auto"/>
            </w:tcBorders>
            <w:shd w:val="clear" w:color="F2F2F2" w:fill="FFFFFF"/>
            <w:noWrap/>
            <w:vAlign w:val="center"/>
            <w:hideMark/>
          </w:tcPr>
          <w:p w14:paraId="1F8939D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E7BCBE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E4B74D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FCDBD2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22DEA71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3C7AB33"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946527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3530</w:t>
            </w:r>
          </w:p>
        </w:tc>
        <w:tc>
          <w:tcPr>
            <w:tcW w:w="2997" w:type="dxa"/>
            <w:tcBorders>
              <w:top w:val="nil"/>
              <w:left w:val="nil"/>
              <w:bottom w:val="single" w:sz="8" w:space="0" w:color="auto"/>
              <w:right w:val="single" w:sz="8" w:space="0" w:color="auto"/>
            </w:tcBorders>
            <w:shd w:val="clear" w:color="F2F2F2" w:fill="FFFFFF"/>
            <w:noWrap/>
            <w:vAlign w:val="center"/>
            <w:hideMark/>
          </w:tcPr>
          <w:p w14:paraId="69D69072"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r w:rsidRPr="00322837">
              <w:rPr>
                <w:rFonts w:eastAsia="Times New Roman" w:cs="Calibri"/>
                <w:color w:val="000000"/>
                <w:sz w:val="13"/>
                <w:szCs w:val="13"/>
                <w:lang w:eastAsia="es-MX"/>
              </w:rPr>
              <w:t>Const.Obr.Abast.Agua</w:t>
            </w:r>
            <w:proofErr w:type="spellEnd"/>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Petr.Gas,Elect.Tel.Proceso</w:t>
            </w:r>
            <w:proofErr w:type="spellEnd"/>
            <w:r w:rsidRPr="003D61EF">
              <w:rPr>
                <w:rFonts w:eastAsia="Times New Roman" w:cs="Calibri"/>
                <w:color w:val="000000"/>
                <w:sz w:val="13"/>
                <w:szCs w:val="13"/>
                <w:lang w:eastAsia="es-MX"/>
              </w:rPr>
              <w:t xml:space="preserve"> DP</w:t>
            </w:r>
          </w:p>
        </w:tc>
        <w:tc>
          <w:tcPr>
            <w:tcW w:w="1330" w:type="dxa"/>
            <w:tcBorders>
              <w:top w:val="nil"/>
              <w:left w:val="nil"/>
              <w:bottom w:val="single" w:sz="8" w:space="0" w:color="auto"/>
              <w:right w:val="single" w:sz="8" w:space="0" w:color="auto"/>
            </w:tcBorders>
            <w:shd w:val="clear" w:color="F2F2F2" w:fill="FFFFFF"/>
            <w:noWrap/>
            <w:vAlign w:val="center"/>
            <w:hideMark/>
          </w:tcPr>
          <w:p w14:paraId="677050D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ADAF3E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CCB683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269DF8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72B0CD7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4A76B6DE"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DFF69F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3540</w:t>
            </w:r>
          </w:p>
        </w:tc>
        <w:tc>
          <w:tcPr>
            <w:tcW w:w="2997" w:type="dxa"/>
            <w:tcBorders>
              <w:top w:val="nil"/>
              <w:left w:val="nil"/>
              <w:bottom w:val="single" w:sz="8" w:space="0" w:color="auto"/>
              <w:right w:val="single" w:sz="8" w:space="0" w:color="auto"/>
            </w:tcBorders>
            <w:shd w:val="clear" w:color="F2F2F2" w:fill="FFFFFF"/>
            <w:noWrap/>
            <w:vAlign w:val="center"/>
            <w:hideMark/>
          </w:tcPr>
          <w:p w14:paraId="6A910989"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r w:rsidRPr="00322837">
              <w:rPr>
                <w:rFonts w:eastAsia="Times New Roman" w:cs="Calibri"/>
                <w:color w:val="000000"/>
                <w:sz w:val="13"/>
                <w:szCs w:val="13"/>
                <w:lang w:eastAsia="es-MX"/>
              </w:rPr>
              <w:t>Div.Terr</w:t>
            </w:r>
            <w:proofErr w:type="spellEnd"/>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Construcc.Obras</w:t>
            </w:r>
            <w:proofErr w:type="spellEnd"/>
            <w:r w:rsidRPr="00322837">
              <w:rPr>
                <w:rFonts w:eastAsia="Times New Roman" w:cs="Calibri"/>
                <w:color w:val="000000"/>
                <w:sz w:val="13"/>
                <w:szCs w:val="13"/>
                <w:lang w:eastAsia="es-MX"/>
              </w:rPr>
              <w:t xml:space="preserve"> De </w:t>
            </w:r>
            <w:proofErr w:type="spellStart"/>
            <w:r w:rsidRPr="00322837">
              <w:rPr>
                <w:rFonts w:eastAsia="Times New Roman" w:cs="Calibri"/>
                <w:color w:val="000000"/>
                <w:sz w:val="13"/>
                <w:szCs w:val="13"/>
                <w:lang w:eastAsia="es-MX"/>
              </w:rPr>
              <w:t>Urbaniz.En</w:t>
            </w:r>
            <w:proofErr w:type="spellEnd"/>
            <w:r w:rsidRPr="00322837">
              <w:rPr>
                <w:rFonts w:eastAsia="Times New Roman" w:cs="Calibri"/>
                <w:color w:val="000000"/>
                <w:sz w:val="13"/>
                <w:szCs w:val="13"/>
                <w:lang w:eastAsia="es-MX"/>
              </w:rPr>
              <w:t xml:space="preserve"> Proceso D</w:t>
            </w:r>
            <w:r w:rsidRPr="003D61EF">
              <w:rPr>
                <w:rFonts w:eastAsia="Times New Roman" w:cs="Calibri"/>
                <w:color w:val="000000"/>
                <w:sz w:val="13"/>
                <w:szCs w:val="13"/>
                <w:lang w:eastAsia="es-MX"/>
              </w:rPr>
              <w:t>P</w:t>
            </w:r>
          </w:p>
        </w:tc>
        <w:tc>
          <w:tcPr>
            <w:tcW w:w="1330" w:type="dxa"/>
            <w:tcBorders>
              <w:top w:val="nil"/>
              <w:left w:val="nil"/>
              <w:bottom w:val="single" w:sz="8" w:space="0" w:color="auto"/>
              <w:right w:val="single" w:sz="8" w:space="0" w:color="auto"/>
            </w:tcBorders>
            <w:shd w:val="clear" w:color="F2F2F2" w:fill="FFFFFF"/>
            <w:noWrap/>
            <w:vAlign w:val="center"/>
            <w:hideMark/>
          </w:tcPr>
          <w:p w14:paraId="5927C0A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517D35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E137B4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C6E633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21E0DC7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3B5C81BD"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752433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3550</w:t>
            </w:r>
          </w:p>
        </w:tc>
        <w:tc>
          <w:tcPr>
            <w:tcW w:w="2997" w:type="dxa"/>
            <w:tcBorders>
              <w:top w:val="nil"/>
              <w:left w:val="nil"/>
              <w:bottom w:val="single" w:sz="8" w:space="0" w:color="auto"/>
              <w:right w:val="single" w:sz="8" w:space="0" w:color="auto"/>
            </w:tcBorders>
            <w:shd w:val="clear" w:color="F2F2F2" w:fill="FFFFFF"/>
            <w:noWrap/>
            <w:vAlign w:val="center"/>
            <w:hideMark/>
          </w:tcPr>
          <w:p w14:paraId="39EA0D72"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Construcción De Vías De Comunicación En Proceso D</w:t>
            </w:r>
            <w:r w:rsidRPr="003D61EF">
              <w:rPr>
                <w:rFonts w:eastAsia="Times New Roman" w:cs="Calibri"/>
                <w:color w:val="000000"/>
                <w:sz w:val="13"/>
                <w:szCs w:val="13"/>
                <w:lang w:eastAsia="es-MX"/>
              </w:rPr>
              <w:t>P</w:t>
            </w:r>
          </w:p>
        </w:tc>
        <w:tc>
          <w:tcPr>
            <w:tcW w:w="1330" w:type="dxa"/>
            <w:tcBorders>
              <w:top w:val="nil"/>
              <w:left w:val="nil"/>
              <w:bottom w:val="single" w:sz="8" w:space="0" w:color="auto"/>
              <w:right w:val="single" w:sz="8" w:space="0" w:color="auto"/>
            </w:tcBorders>
            <w:shd w:val="clear" w:color="F2F2F2" w:fill="FFFFFF"/>
            <w:noWrap/>
            <w:vAlign w:val="center"/>
            <w:hideMark/>
          </w:tcPr>
          <w:p w14:paraId="63128E2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9E5444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B79B2F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6D3464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423D0E5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011A760"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6EA10D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3560</w:t>
            </w:r>
          </w:p>
        </w:tc>
        <w:tc>
          <w:tcPr>
            <w:tcW w:w="2997" w:type="dxa"/>
            <w:tcBorders>
              <w:top w:val="nil"/>
              <w:left w:val="nil"/>
              <w:bottom w:val="single" w:sz="8" w:space="0" w:color="auto"/>
              <w:right w:val="single" w:sz="8" w:space="0" w:color="auto"/>
            </w:tcBorders>
            <w:shd w:val="clear" w:color="F2F2F2" w:fill="FFFFFF"/>
            <w:noWrap/>
            <w:vAlign w:val="center"/>
            <w:hideMark/>
          </w:tcPr>
          <w:p w14:paraId="3C94F880"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Otras Constr. </w:t>
            </w:r>
            <w:proofErr w:type="spellStart"/>
            <w:r w:rsidRPr="00322837">
              <w:rPr>
                <w:rFonts w:eastAsia="Times New Roman" w:cs="Calibri"/>
                <w:color w:val="000000"/>
                <w:sz w:val="13"/>
                <w:szCs w:val="13"/>
                <w:lang w:eastAsia="es-MX"/>
              </w:rPr>
              <w:t>Ingen</w:t>
            </w:r>
            <w:proofErr w:type="spellEnd"/>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Civ</w:t>
            </w:r>
            <w:proofErr w:type="spellEnd"/>
            <w:r w:rsidRPr="00322837">
              <w:rPr>
                <w:rFonts w:eastAsia="Times New Roman" w:cs="Calibri"/>
                <w:color w:val="000000"/>
                <w:sz w:val="13"/>
                <w:szCs w:val="13"/>
                <w:lang w:eastAsia="es-MX"/>
              </w:rPr>
              <w:t xml:space="preserve">. U Obra Pesada En </w:t>
            </w:r>
            <w:proofErr w:type="spellStart"/>
            <w:r w:rsidRPr="00322837">
              <w:rPr>
                <w:rFonts w:eastAsia="Times New Roman" w:cs="Calibri"/>
                <w:color w:val="000000"/>
                <w:sz w:val="13"/>
                <w:szCs w:val="13"/>
                <w:lang w:eastAsia="es-MX"/>
              </w:rPr>
              <w:t>Proc</w:t>
            </w:r>
            <w:proofErr w:type="spellEnd"/>
            <w:r w:rsidRPr="00322837">
              <w:rPr>
                <w:rFonts w:eastAsia="Times New Roman" w:cs="Calibri"/>
                <w:color w:val="000000"/>
                <w:sz w:val="13"/>
                <w:szCs w:val="13"/>
                <w:lang w:eastAsia="es-MX"/>
              </w:rPr>
              <w:t>.</w:t>
            </w:r>
            <w:r w:rsidRPr="003D61EF">
              <w:rPr>
                <w:rFonts w:eastAsia="Times New Roman" w:cs="Calibri"/>
                <w:color w:val="000000"/>
                <w:sz w:val="13"/>
                <w:szCs w:val="13"/>
                <w:lang w:eastAsia="es-MX"/>
              </w:rPr>
              <w:t xml:space="preserve"> </w:t>
            </w:r>
            <w:r w:rsidRPr="00322837">
              <w:rPr>
                <w:rFonts w:eastAsia="Times New Roman" w:cs="Calibri"/>
                <w:color w:val="000000"/>
                <w:sz w:val="13"/>
                <w:szCs w:val="13"/>
                <w:lang w:eastAsia="es-MX"/>
              </w:rPr>
              <w:t>D</w:t>
            </w:r>
            <w:r w:rsidRPr="003D61EF">
              <w:rPr>
                <w:rFonts w:eastAsia="Times New Roman" w:cs="Calibri"/>
                <w:color w:val="000000"/>
                <w:sz w:val="13"/>
                <w:szCs w:val="13"/>
                <w:lang w:eastAsia="es-MX"/>
              </w:rPr>
              <w:t>P</w:t>
            </w:r>
          </w:p>
        </w:tc>
        <w:tc>
          <w:tcPr>
            <w:tcW w:w="1330" w:type="dxa"/>
            <w:tcBorders>
              <w:top w:val="nil"/>
              <w:left w:val="nil"/>
              <w:bottom w:val="single" w:sz="8" w:space="0" w:color="auto"/>
              <w:right w:val="single" w:sz="8" w:space="0" w:color="auto"/>
            </w:tcBorders>
            <w:shd w:val="clear" w:color="F2F2F2" w:fill="FFFFFF"/>
            <w:noWrap/>
            <w:vAlign w:val="center"/>
            <w:hideMark/>
          </w:tcPr>
          <w:p w14:paraId="3A0E0BA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7E21EF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8CB025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F265D5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6DD784E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18B46838"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04EB64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3570</w:t>
            </w:r>
          </w:p>
        </w:tc>
        <w:tc>
          <w:tcPr>
            <w:tcW w:w="2997" w:type="dxa"/>
            <w:tcBorders>
              <w:top w:val="nil"/>
              <w:left w:val="nil"/>
              <w:bottom w:val="single" w:sz="8" w:space="0" w:color="auto"/>
              <w:right w:val="single" w:sz="8" w:space="0" w:color="auto"/>
            </w:tcBorders>
            <w:shd w:val="clear" w:color="F2F2F2" w:fill="FFFFFF"/>
            <w:noWrap/>
            <w:vAlign w:val="center"/>
            <w:hideMark/>
          </w:tcPr>
          <w:p w14:paraId="26B2FE83"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r w:rsidRPr="00322837">
              <w:rPr>
                <w:rFonts w:eastAsia="Times New Roman" w:cs="Calibri"/>
                <w:color w:val="000000"/>
                <w:sz w:val="13"/>
                <w:szCs w:val="13"/>
                <w:lang w:eastAsia="es-MX"/>
              </w:rPr>
              <w:t>Instalac</w:t>
            </w:r>
            <w:proofErr w:type="spellEnd"/>
            <w:r w:rsidRPr="00322837">
              <w:rPr>
                <w:rFonts w:eastAsia="Times New Roman" w:cs="Calibri"/>
                <w:color w:val="000000"/>
                <w:sz w:val="13"/>
                <w:szCs w:val="13"/>
                <w:lang w:eastAsia="es-MX"/>
              </w:rPr>
              <w:t xml:space="preserve">. </w:t>
            </w:r>
            <w:proofErr w:type="gramStart"/>
            <w:r w:rsidRPr="003D61EF">
              <w:rPr>
                <w:rFonts w:eastAsia="Times New Roman" w:cs="Calibri"/>
                <w:color w:val="000000"/>
                <w:sz w:val="13"/>
                <w:szCs w:val="13"/>
                <w:lang w:eastAsia="es-MX"/>
              </w:rPr>
              <w:t xml:space="preserve">Y </w:t>
            </w:r>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Equipam</w:t>
            </w:r>
            <w:proofErr w:type="spellEnd"/>
            <w:proofErr w:type="gramEnd"/>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Construcc.En</w:t>
            </w:r>
            <w:proofErr w:type="spellEnd"/>
            <w:r w:rsidRPr="00322837">
              <w:rPr>
                <w:rFonts w:eastAsia="Times New Roman" w:cs="Calibri"/>
                <w:color w:val="000000"/>
                <w:sz w:val="13"/>
                <w:szCs w:val="13"/>
                <w:lang w:eastAsia="es-MX"/>
              </w:rPr>
              <w:t xml:space="preserve"> Proceso D</w:t>
            </w:r>
            <w:r w:rsidRPr="003D61EF">
              <w:rPr>
                <w:rFonts w:eastAsia="Times New Roman" w:cs="Calibri"/>
                <w:color w:val="000000"/>
                <w:sz w:val="13"/>
                <w:szCs w:val="13"/>
                <w:lang w:eastAsia="es-MX"/>
              </w:rPr>
              <w:t>P</w:t>
            </w:r>
          </w:p>
        </w:tc>
        <w:tc>
          <w:tcPr>
            <w:tcW w:w="1330" w:type="dxa"/>
            <w:tcBorders>
              <w:top w:val="nil"/>
              <w:left w:val="nil"/>
              <w:bottom w:val="single" w:sz="8" w:space="0" w:color="auto"/>
              <w:right w:val="single" w:sz="8" w:space="0" w:color="auto"/>
            </w:tcBorders>
            <w:shd w:val="clear" w:color="F2F2F2" w:fill="FFFFFF"/>
            <w:noWrap/>
            <w:vAlign w:val="center"/>
            <w:hideMark/>
          </w:tcPr>
          <w:p w14:paraId="3BDAA45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DE01CD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9BE24A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E91641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2AB9105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1364921A"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C0EEFE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3590</w:t>
            </w:r>
          </w:p>
        </w:tc>
        <w:tc>
          <w:tcPr>
            <w:tcW w:w="2997" w:type="dxa"/>
            <w:tcBorders>
              <w:top w:val="nil"/>
              <w:left w:val="nil"/>
              <w:bottom w:val="single" w:sz="8" w:space="0" w:color="auto"/>
              <w:right w:val="single" w:sz="8" w:space="0" w:color="auto"/>
            </w:tcBorders>
            <w:shd w:val="clear" w:color="F2F2F2" w:fill="FFFFFF"/>
            <w:noWrap/>
            <w:vAlign w:val="center"/>
            <w:hideMark/>
          </w:tcPr>
          <w:p w14:paraId="44175128"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r w:rsidRPr="00322837">
              <w:rPr>
                <w:rFonts w:eastAsia="Times New Roman" w:cs="Calibri"/>
                <w:color w:val="000000"/>
                <w:sz w:val="13"/>
                <w:szCs w:val="13"/>
                <w:lang w:eastAsia="es-MX"/>
              </w:rPr>
              <w:t>Trab.Acabados</w:t>
            </w:r>
            <w:proofErr w:type="spellEnd"/>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Edific.Otros</w:t>
            </w:r>
            <w:proofErr w:type="spellEnd"/>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Trab.Espec</w:t>
            </w:r>
            <w:proofErr w:type="spellEnd"/>
            <w:r w:rsidRPr="00322837">
              <w:rPr>
                <w:rFonts w:eastAsia="Times New Roman" w:cs="Calibri"/>
                <w:color w:val="000000"/>
                <w:sz w:val="13"/>
                <w:szCs w:val="13"/>
                <w:lang w:eastAsia="es-MX"/>
              </w:rPr>
              <w:t>. Proceso D</w:t>
            </w:r>
            <w:r w:rsidRPr="003D61EF">
              <w:rPr>
                <w:rFonts w:eastAsia="Times New Roman" w:cs="Calibri"/>
                <w:color w:val="000000"/>
                <w:sz w:val="13"/>
                <w:szCs w:val="13"/>
                <w:lang w:eastAsia="es-MX"/>
              </w:rPr>
              <w:t>P</w:t>
            </w:r>
          </w:p>
        </w:tc>
        <w:tc>
          <w:tcPr>
            <w:tcW w:w="1330" w:type="dxa"/>
            <w:tcBorders>
              <w:top w:val="nil"/>
              <w:left w:val="nil"/>
              <w:bottom w:val="single" w:sz="8" w:space="0" w:color="auto"/>
              <w:right w:val="single" w:sz="8" w:space="0" w:color="auto"/>
            </w:tcBorders>
            <w:shd w:val="clear" w:color="F2F2F2" w:fill="FFFFFF"/>
            <w:noWrap/>
            <w:vAlign w:val="center"/>
            <w:hideMark/>
          </w:tcPr>
          <w:p w14:paraId="4D91414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881064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8DB677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41D934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3DA8E4F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78A9E29"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445B60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3610</w:t>
            </w:r>
          </w:p>
        </w:tc>
        <w:tc>
          <w:tcPr>
            <w:tcW w:w="2997" w:type="dxa"/>
            <w:tcBorders>
              <w:top w:val="nil"/>
              <w:left w:val="nil"/>
              <w:bottom w:val="single" w:sz="8" w:space="0" w:color="auto"/>
              <w:right w:val="single" w:sz="8" w:space="0" w:color="auto"/>
            </w:tcBorders>
            <w:shd w:val="clear" w:color="F2F2F2" w:fill="FFFFFF"/>
            <w:noWrap/>
            <w:vAlign w:val="center"/>
            <w:hideMark/>
          </w:tcPr>
          <w:p w14:paraId="5165086D"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Edificación Habitacional En Proceso B</w:t>
            </w:r>
            <w:r w:rsidRPr="003D61EF">
              <w:rPr>
                <w:rFonts w:eastAsia="Times New Roman" w:cs="Calibri"/>
                <w:color w:val="000000"/>
                <w:sz w:val="13"/>
                <w:szCs w:val="13"/>
                <w:lang w:eastAsia="es-MX"/>
              </w:rPr>
              <w:t>P</w:t>
            </w:r>
          </w:p>
        </w:tc>
        <w:tc>
          <w:tcPr>
            <w:tcW w:w="1330" w:type="dxa"/>
            <w:tcBorders>
              <w:top w:val="nil"/>
              <w:left w:val="nil"/>
              <w:bottom w:val="single" w:sz="8" w:space="0" w:color="auto"/>
              <w:right w:val="single" w:sz="8" w:space="0" w:color="auto"/>
            </w:tcBorders>
            <w:shd w:val="clear" w:color="F2F2F2" w:fill="FFFFFF"/>
            <w:noWrap/>
            <w:vAlign w:val="center"/>
            <w:hideMark/>
          </w:tcPr>
          <w:p w14:paraId="2C012E4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459ADE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F71CC7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BBDBEA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094718A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2308372F"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BE2414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3620</w:t>
            </w:r>
          </w:p>
        </w:tc>
        <w:tc>
          <w:tcPr>
            <w:tcW w:w="2997" w:type="dxa"/>
            <w:tcBorders>
              <w:top w:val="nil"/>
              <w:left w:val="nil"/>
              <w:bottom w:val="single" w:sz="8" w:space="0" w:color="auto"/>
              <w:right w:val="single" w:sz="8" w:space="0" w:color="auto"/>
            </w:tcBorders>
            <w:shd w:val="clear" w:color="F2F2F2" w:fill="FFFFFF"/>
            <w:noWrap/>
            <w:vAlign w:val="center"/>
            <w:hideMark/>
          </w:tcPr>
          <w:p w14:paraId="61EFAF2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Edificación No Habitacional En Proceso B</w:t>
            </w:r>
            <w:r w:rsidRPr="003D61EF">
              <w:rPr>
                <w:rFonts w:eastAsia="Times New Roman" w:cs="Calibri"/>
                <w:color w:val="000000"/>
                <w:sz w:val="13"/>
                <w:szCs w:val="13"/>
                <w:lang w:eastAsia="es-MX"/>
              </w:rPr>
              <w:t>P</w:t>
            </w:r>
          </w:p>
        </w:tc>
        <w:tc>
          <w:tcPr>
            <w:tcW w:w="1330" w:type="dxa"/>
            <w:tcBorders>
              <w:top w:val="nil"/>
              <w:left w:val="nil"/>
              <w:bottom w:val="single" w:sz="8" w:space="0" w:color="auto"/>
              <w:right w:val="single" w:sz="8" w:space="0" w:color="auto"/>
            </w:tcBorders>
            <w:shd w:val="clear" w:color="F2F2F2" w:fill="FFFFFF"/>
            <w:noWrap/>
            <w:vAlign w:val="center"/>
            <w:hideMark/>
          </w:tcPr>
          <w:p w14:paraId="431ECA4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F42C33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F48AC8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20FF88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69BD6CE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6BC38981"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D39C85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3630</w:t>
            </w:r>
          </w:p>
        </w:tc>
        <w:tc>
          <w:tcPr>
            <w:tcW w:w="2997" w:type="dxa"/>
            <w:tcBorders>
              <w:top w:val="nil"/>
              <w:left w:val="nil"/>
              <w:bottom w:val="single" w:sz="8" w:space="0" w:color="auto"/>
              <w:right w:val="single" w:sz="8" w:space="0" w:color="auto"/>
            </w:tcBorders>
            <w:shd w:val="clear" w:color="F2F2F2" w:fill="FFFFFF"/>
            <w:noWrap/>
            <w:vAlign w:val="center"/>
            <w:hideMark/>
          </w:tcPr>
          <w:p w14:paraId="7CC66E6A"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proofErr w:type="gramStart"/>
            <w:r w:rsidRPr="00322837">
              <w:rPr>
                <w:rFonts w:eastAsia="Times New Roman" w:cs="Calibri"/>
                <w:color w:val="000000"/>
                <w:sz w:val="13"/>
                <w:szCs w:val="13"/>
                <w:lang w:eastAsia="es-MX"/>
              </w:rPr>
              <w:t>Cons.Obr.Abas.Agu</w:t>
            </w:r>
            <w:proofErr w:type="gramEnd"/>
            <w:r w:rsidRPr="00322837">
              <w:rPr>
                <w:rFonts w:eastAsia="Times New Roman" w:cs="Calibri"/>
                <w:color w:val="000000"/>
                <w:sz w:val="13"/>
                <w:szCs w:val="13"/>
                <w:lang w:eastAsia="es-MX"/>
              </w:rPr>
              <w:t>.</w:t>
            </w:r>
            <w:proofErr w:type="gramStart"/>
            <w:r w:rsidRPr="00322837">
              <w:rPr>
                <w:rFonts w:eastAsia="Times New Roman" w:cs="Calibri"/>
                <w:color w:val="000000"/>
                <w:sz w:val="13"/>
                <w:szCs w:val="13"/>
                <w:lang w:eastAsia="es-MX"/>
              </w:rPr>
              <w:t>Petr.Gas,Elect.Tel</w:t>
            </w:r>
            <w:proofErr w:type="spellEnd"/>
            <w:r w:rsidRPr="00322837">
              <w:rPr>
                <w:rFonts w:eastAsia="Times New Roman" w:cs="Calibri"/>
                <w:color w:val="000000"/>
                <w:sz w:val="13"/>
                <w:szCs w:val="13"/>
                <w:lang w:eastAsia="es-MX"/>
              </w:rPr>
              <w:t>.</w:t>
            </w:r>
            <w:proofErr w:type="gramEnd"/>
            <w:r w:rsidRPr="00322837">
              <w:rPr>
                <w:rFonts w:eastAsia="Times New Roman" w:cs="Calibri"/>
                <w:color w:val="000000"/>
                <w:sz w:val="13"/>
                <w:szCs w:val="13"/>
                <w:lang w:eastAsia="es-MX"/>
              </w:rPr>
              <w:t xml:space="preserve"> En </w:t>
            </w:r>
            <w:proofErr w:type="spellStart"/>
            <w:r w:rsidRPr="00322837">
              <w:rPr>
                <w:rFonts w:eastAsia="Times New Roman" w:cs="Calibri"/>
                <w:color w:val="000000"/>
                <w:sz w:val="13"/>
                <w:szCs w:val="13"/>
                <w:lang w:eastAsia="es-MX"/>
              </w:rPr>
              <w:t>Proc.B</w:t>
            </w:r>
            <w:r w:rsidRPr="003D61EF">
              <w:rPr>
                <w:rFonts w:eastAsia="Times New Roman" w:cs="Calibri"/>
                <w:color w:val="000000"/>
                <w:sz w:val="13"/>
                <w:szCs w:val="13"/>
                <w:lang w:eastAsia="es-MX"/>
              </w:rPr>
              <w:t>P</w:t>
            </w:r>
            <w:proofErr w:type="spellEnd"/>
          </w:p>
        </w:tc>
        <w:tc>
          <w:tcPr>
            <w:tcW w:w="1330" w:type="dxa"/>
            <w:tcBorders>
              <w:top w:val="nil"/>
              <w:left w:val="nil"/>
              <w:bottom w:val="single" w:sz="8" w:space="0" w:color="auto"/>
              <w:right w:val="single" w:sz="8" w:space="0" w:color="auto"/>
            </w:tcBorders>
            <w:shd w:val="clear" w:color="F2F2F2" w:fill="FFFFFF"/>
            <w:noWrap/>
            <w:vAlign w:val="center"/>
            <w:hideMark/>
          </w:tcPr>
          <w:p w14:paraId="6386D20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634BB7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008013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E2498E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5D0A35E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69152DEB"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77F13D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3640</w:t>
            </w:r>
          </w:p>
        </w:tc>
        <w:tc>
          <w:tcPr>
            <w:tcW w:w="2997" w:type="dxa"/>
            <w:tcBorders>
              <w:top w:val="nil"/>
              <w:left w:val="nil"/>
              <w:bottom w:val="single" w:sz="8" w:space="0" w:color="auto"/>
              <w:right w:val="single" w:sz="8" w:space="0" w:color="auto"/>
            </w:tcBorders>
            <w:shd w:val="clear" w:color="F2F2F2" w:fill="FFFFFF"/>
            <w:noWrap/>
            <w:vAlign w:val="center"/>
            <w:hideMark/>
          </w:tcPr>
          <w:p w14:paraId="71293A94"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r w:rsidRPr="00322837">
              <w:rPr>
                <w:rFonts w:eastAsia="Times New Roman" w:cs="Calibri"/>
                <w:color w:val="000000"/>
                <w:sz w:val="13"/>
                <w:szCs w:val="13"/>
                <w:lang w:eastAsia="es-MX"/>
              </w:rPr>
              <w:t>Div.Terren</w:t>
            </w:r>
            <w:proofErr w:type="spellEnd"/>
            <w:r w:rsidRPr="00322837">
              <w:rPr>
                <w:rFonts w:eastAsia="Times New Roman" w:cs="Calibri"/>
                <w:color w:val="000000"/>
                <w:sz w:val="13"/>
                <w:szCs w:val="13"/>
                <w:lang w:eastAsia="es-MX"/>
              </w:rPr>
              <w:t xml:space="preserve">. Y </w:t>
            </w:r>
            <w:proofErr w:type="spellStart"/>
            <w:r w:rsidRPr="00322837">
              <w:rPr>
                <w:rFonts w:eastAsia="Times New Roman" w:cs="Calibri"/>
                <w:color w:val="000000"/>
                <w:sz w:val="13"/>
                <w:szCs w:val="13"/>
                <w:lang w:eastAsia="es-MX"/>
              </w:rPr>
              <w:t>Constr.Obras</w:t>
            </w:r>
            <w:proofErr w:type="spellEnd"/>
            <w:r w:rsidRPr="00322837">
              <w:rPr>
                <w:rFonts w:eastAsia="Times New Roman" w:cs="Calibri"/>
                <w:color w:val="000000"/>
                <w:sz w:val="13"/>
                <w:szCs w:val="13"/>
                <w:lang w:eastAsia="es-MX"/>
              </w:rPr>
              <w:t xml:space="preserve"> Urban. En Proceso </w:t>
            </w:r>
            <w:proofErr w:type="spellStart"/>
            <w:r w:rsidRPr="00322837">
              <w:rPr>
                <w:rFonts w:eastAsia="Times New Roman" w:cs="Calibri"/>
                <w:color w:val="000000"/>
                <w:sz w:val="13"/>
                <w:szCs w:val="13"/>
                <w:lang w:eastAsia="es-MX"/>
              </w:rPr>
              <w:t>Bp</w:t>
            </w:r>
            <w:proofErr w:type="spellEnd"/>
          </w:p>
        </w:tc>
        <w:tc>
          <w:tcPr>
            <w:tcW w:w="1330" w:type="dxa"/>
            <w:tcBorders>
              <w:top w:val="nil"/>
              <w:left w:val="nil"/>
              <w:bottom w:val="single" w:sz="8" w:space="0" w:color="auto"/>
              <w:right w:val="single" w:sz="8" w:space="0" w:color="auto"/>
            </w:tcBorders>
            <w:shd w:val="clear" w:color="F2F2F2" w:fill="FFFFFF"/>
            <w:noWrap/>
            <w:vAlign w:val="center"/>
            <w:hideMark/>
          </w:tcPr>
          <w:p w14:paraId="55B93C4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E4B054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F1559B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11EB54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221DB77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2859B786"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C8F85B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3650</w:t>
            </w:r>
          </w:p>
        </w:tc>
        <w:tc>
          <w:tcPr>
            <w:tcW w:w="2997" w:type="dxa"/>
            <w:tcBorders>
              <w:top w:val="nil"/>
              <w:left w:val="nil"/>
              <w:bottom w:val="single" w:sz="8" w:space="0" w:color="auto"/>
              <w:right w:val="single" w:sz="8" w:space="0" w:color="auto"/>
            </w:tcBorders>
            <w:shd w:val="clear" w:color="F2F2F2" w:fill="FFFFFF"/>
            <w:noWrap/>
            <w:vAlign w:val="center"/>
            <w:hideMark/>
          </w:tcPr>
          <w:p w14:paraId="59095BD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Construcción </w:t>
            </w:r>
            <w:r w:rsidRPr="003D61EF">
              <w:rPr>
                <w:rFonts w:eastAsia="Times New Roman" w:cs="Calibri"/>
                <w:color w:val="000000"/>
                <w:sz w:val="13"/>
                <w:szCs w:val="13"/>
                <w:lang w:eastAsia="es-MX"/>
              </w:rPr>
              <w:t>d</w:t>
            </w:r>
            <w:r w:rsidRPr="00322837">
              <w:rPr>
                <w:rFonts w:eastAsia="Times New Roman" w:cs="Calibri"/>
                <w:color w:val="000000"/>
                <w:sz w:val="13"/>
                <w:szCs w:val="13"/>
                <w:lang w:eastAsia="es-MX"/>
              </w:rPr>
              <w:t xml:space="preserve">e Vías </w:t>
            </w:r>
            <w:r w:rsidRPr="003D61EF">
              <w:rPr>
                <w:rFonts w:eastAsia="Times New Roman" w:cs="Calibri"/>
                <w:color w:val="000000"/>
                <w:sz w:val="13"/>
                <w:szCs w:val="13"/>
                <w:lang w:eastAsia="es-MX"/>
              </w:rPr>
              <w:t>d</w:t>
            </w:r>
            <w:r w:rsidRPr="00322837">
              <w:rPr>
                <w:rFonts w:eastAsia="Times New Roman" w:cs="Calibri"/>
                <w:color w:val="000000"/>
                <w:sz w:val="13"/>
                <w:szCs w:val="13"/>
                <w:lang w:eastAsia="es-MX"/>
              </w:rPr>
              <w:t>e Comunicación En Proceso B</w:t>
            </w:r>
            <w:r w:rsidRPr="003D61EF">
              <w:rPr>
                <w:rFonts w:eastAsia="Times New Roman" w:cs="Calibri"/>
                <w:color w:val="000000"/>
                <w:sz w:val="13"/>
                <w:szCs w:val="13"/>
                <w:lang w:eastAsia="es-MX"/>
              </w:rPr>
              <w:t>P</w:t>
            </w:r>
          </w:p>
        </w:tc>
        <w:tc>
          <w:tcPr>
            <w:tcW w:w="1330" w:type="dxa"/>
            <w:tcBorders>
              <w:top w:val="nil"/>
              <w:left w:val="nil"/>
              <w:bottom w:val="single" w:sz="8" w:space="0" w:color="auto"/>
              <w:right w:val="single" w:sz="8" w:space="0" w:color="auto"/>
            </w:tcBorders>
            <w:shd w:val="clear" w:color="F2F2F2" w:fill="FFFFFF"/>
            <w:noWrap/>
            <w:vAlign w:val="center"/>
            <w:hideMark/>
          </w:tcPr>
          <w:p w14:paraId="57149D3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CE058F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5C0E91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4BB2BD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7B8E979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7BBA964F"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4E2505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3660</w:t>
            </w:r>
          </w:p>
        </w:tc>
        <w:tc>
          <w:tcPr>
            <w:tcW w:w="2997" w:type="dxa"/>
            <w:tcBorders>
              <w:top w:val="nil"/>
              <w:left w:val="nil"/>
              <w:bottom w:val="single" w:sz="8" w:space="0" w:color="auto"/>
              <w:right w:val="single" w:sz="8" w:space="0" w:color="auto"/>
            </w:tcBorders>
            <w:shd w:val="clear" w:color="F2F2F2" w:fill="FFFFFF"/>
            <w:noWrap/>
            <w:vAlign w:val="center"/>
            <w:hideMark/>
          </w:tcPr>
          <w:p w14:paraId="4931107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Otras </w:t>
            </w:r>
            <w:proofErr w:type="spellStart"/>
            <w:r w:rsidRPr="00322837">
              <w:rPr>
                <w:rFonts w:eastAsia="Times New Roman" w:cs="Calibri"/>
                <w:color w:val="000000"/>
                <w:sz w:val="13"/>
                <w:szCs w:val="13"/>
                <w:lang w:eastAsia="es-MX"/>
              </w:rPr>
              <w:t>Constr.Ingen</w:t>
            </w:r>
            <w:proofErr w:type="spellEnd"/>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Civ</w:t>
            </w:r>
            <w:proofErr w:type="spellEnd"/>
            <w:r w:rsidRPr="00322837">
              <w:rPr>
                <w:rFonts w:eastAsia="Times New Roman" w:cs="Calibri"/>
                <w:color w:val="000000"/>
                <w:sz w:val="13"/>
                <w:szCs w:val="13"/>
                <w:lang w:eastAsia="es-MX"/>
              </w:rPr>
              <w:t xml:space="preserve">. U Obra Pesada Proceso </w:t>
            </w:r>
            <w:proofErr w:type="spellStart"/>
            <w:r w:rsidRPr="00322837">
              <w:rPr>
                <w:rFonts w:eastAsia="Times New Roman" w:cs="Calibri"/>
                <w:color w:val="000000"/>
                <w:sz w:val="13"/>
                <w:szCs w:val="13"/>
                <w:lang w:eastAsia="es-MX"/>
              </w:rPr>
              <w:t>Bp</w:t>
            </w:r>
            <w:proofErr w:type="spellEnd"/>
          </w:p>
        </w:tc>
        <w:tc>
          <w:tcPr>
            <w:tcW w:w="1330" w:type="dxa"/>
            <w:tcBorders>
              <w:top w:val="nil"/>
              <w:left w:val="nil"/>
              <w:bottom w:val="single" w:sz="8" w:space="0" w:color="auto"/>
              <w:right w:val="single" w:sz="8" w:space="0" w:color="auto"/>
            </w:tcBorders>
            <w:shd w:val="clear" w:color="F2F2F2" w:fill="FFFFFF"/>
            <w:noWrap/>
            <w:vAlign w:val="center"/>
            <w:hideMark/>
          </w:tcPr>
          <w:p w14:paraId="7A509C0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17EEF1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DA64B4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FA3809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6E883DD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591EA12B"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025501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3670</w:t>
            </w:r>
          </w:p>
        </w:tc>
        <w:tc>
          <w:tcPr>
            <w:tcW w:w="2997" w:type="dxa"/>
            <w:tcBorders>
              <w:top w:val="nil"/>
              <w:left w:val="nil"/>
              <w:bottom w:val="single" w:sz="8" w:space="0" w:color="auto"/>
              <w:right w:val="single" w:sz="8" w:space="0" w:color="auto"/>
            </w:tcBorders>
            <w:shd w:val="clear" w:color="F2F2F2" w:fill="FFFFFF"/>
            <w:noWrap/>
            <w:vAlign w:val="center"/>
            <w:hideMark/>
          </w:tcPr>
          <w:p w14:paraId="727EFBF0"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proofErr w:type="gramStart"/>
            <w:r w:rsidRPr="00322837">
              <w:rPr>
                <w:rFonts w:eastAsia="Times New Roman" w:cs="Calibri"/>
                <w:color w:val="000000"/>
                <w:sz w:val="13"/>
                <w:szCs w:val="13"/>
                <w:lang w:eastAsia="es-MX"/>
              </w:rPr>
              <w:t>Instalac</w:t>
            </w:r>
            <w:proofErr w:type="spellEnd"/>
            <w:r w:rsidRPr="003D61EF">
              <w:rPr>
                <w:rFonts w:eastAsia="Times New Roman" w:cs="Calibri"/>
                <w:color w:val="000000"/>
                <w:sz w:val="13"/>
                <w:szCs w:val="13"/>
                <w:lang w:eastAsia="es-MX"/>
              </w:rPr>
              <w:t xml:space="preserve">  y</w:t>
            </w:r>
            <w:proofErr w:type="gramEnd"/>
            <w:r w:rsidRPr="003D61EF">
              <w:rPr>
                <w:rFonts w:eastAsia="Times New Roman" w:cs="Calibri"/>
                <w:color w:val="000000"/>
                <w:sz w:val="13"/>
                <w:szCs w:val="13"/>
                <w:lang w:eastAsia="es-MX"/>
              </w:rPr>
              <w:t xml:space="preserve"> </w:t>
            </w:r>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Equipam</w:t>
            </w:r>
            <w:proofErr w:type="spellEnd"/>
            <w:r w:rsidRPr="00322837">
              <w:rPr>
                <w:rFonts w:eastAsia="Times New Roman" w:cs="Calibri"/>
                <w:color w:val="000000"/>
                <w:sz w:val="13"/>
                <w:szCs w:val="13"/>
                <w:lang w:eastAsia="es-MX"/>
              </w:rPr>
              <w:t xml:space="preserve">. En </w:t>
            </w:r>
            <w:proofErr w:type="spellStart"/>
            <w:r w:rsidRPr="00322837">
              <w:rPr>
                <w:rFonts w:eastAsia="Times New Roman" w:cs="Calibri"/>
                <w:color w:val="000000"/>
                <w:sz w:val="13"/>
                <w:szCs w:val="13"/>
                <w:lang w:eastAsia="es-MX"/>
              </w:rPr>
              <w:t>Construcc</w:t>
            </w:r>
            <w:proofErr w:type="spellEnd"/>
            <w:r w:rsidRPr="00322837">
              <w:rPr>
                <w:rFonts w:eastAsia="Times New Roman" w:cs="Calibri"/>
                <w:color w:val="000000"/>
                <w:sz w:val="13"/>
                <w:szCs w:val="13"/>
                <w:lang w:eastAsia="es-MX"/>
              </w:rPr>
              <w:t>. En Proceso B</w:t>
            </w:r>
            <w:r w:rsidRPr="003D61EF">
              <w:rPr>
                <w:rFonts w:eastAsia="Times New Roman" w:cs="Calibri"/>
                <w:color w:val="000000"/>
                <w:sz w:val="13"/>
                <w:szCs w:val="13"/>
                <w:lang w:eastAsia="es-MX"/>
              </w:rPr>
              <w:t>P</w:t>
            </w:r>
          </w:p>
        </w:tc>
        <w:tc>
          <w:tcPr>
            <w:tcW w:w="1330" w:type="dxa"/>
            <w:tcBorders>
              <w:top w:val="nil"/>
              <w:left w:val="nil"/>
              <w:bottom w:val="single" w:sz="8" w:space="0" w:color="auto"/>
              <w:right w:val="single" w:sz="8" w:space="0" w:color="auto"/>
            </w:tcBorders>
            <w:shd w:val="clear" w:color="F2F2F2" w:fill="FFFFFF"/>
            <w:noWrap/>
            <w:vAlign w:val="center"/>
            <w:hideMark/>
          </w:tcPr>
          <w:p w14:paraId="0C94281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AD3B92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773C89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FE423F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7E45DC3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78E534E8"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719D17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3690</w:t>
            </w:r>
          </w:p>
        </w:tc>
        <w:tc>
          <w:tcPr>
            <w:tcW w:w="2997" w:type="dxa"/>
            <w:tcBorders>
              <w:top w:val="nil"/>
              <w:left w:val="nil"/>
              <w:bottom w:val="single" w:sz="8" w:space="0" w:color="auto"/>
              <w:right w:val="single" w:sz="8" w:space="0" w:color="auto"/>
            </w:tcBorders>
            <w:shd w:val="clear" w:color="F2F2F2" w:fill="FFFFFF"/>
            <w:noWrap/>
            <w:vAlign w:val="center"/>
            <w:hideMark/>
          </w:tcPr>
          <w:p w14:paraId="04851906"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r w:rsidRPr="00322837">
              <w:rPr>
                <w:rFonts w:eastAsia="Times New Roman" w:cs="Calibri"/>
                <w:color w:val="000000"/>
                <w:sz w:val="13"/>
                <w:szCs w:val="13"/>
                <w:lang w:eastAsia="es-MX"/>
              </w:rPr>
              <w:t>Trab.Acabados</w:t>
            </w:r>
            <w:proofErr w:type="spellEnd"/>
            <w:r w:rsidRPr="00322837">
              <w:rPr>
                <w:rFonts w:eastAsia="Times New Roman" w:cs="Calibri"/>
                <w:color w:val="000000"/>
                <w:sz w:val="13"/>
                <w:szCs w:val="13"/>
                <w:lang w:eastAsia="es-MX"/>
              </w:rPr>
              <w:t xml:space="preserve"> En </w:t>
            </w:r>
            <w:proofErr w:type="spellStart"/>
            <w:r w:rsidRPr="00322837">
              <w:rPr>
                <w:rFonts w:eastAsia="Times New Roman" w:cs="Calibri"/>
                <w:color w:val="000000"/>
                <w:sz w:val="13"/>
                <w:szCs w:val="13"/>
                <w:lang w:eastAsia="es-MX"/>
              </w:rPr>
              <w:t>Edific</w:t>
            </w:r>
            <w:proofErr w:type="spellEnd"/>
            <w:r w:rsidRPr="00322837">
              <w:rPr>
                <w:rFonts w:eastAsia="Times New Roman" w:cs="Calibri"/>
                <w:color w:val="000000"/>
                <w:sz w:val="13"/>
                <w:szCs w:val="13"/>
                <w:lang w:eastAsia="es-MX"/>
              </w:rPr>
              <w:t xml:space="preserve">.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Otros </w:t>
            </w:r>
            <w:proofErr w:type="spellStart"/>
            <w:r w:rsidRPr="00322837">
              <w:rPr>
                <w:rFonts w:eastAsia="Times New Roman" w:cs="Calibri"/>
                <w:color w:val="000000"/>
                <w:sz w:val="13"/>
                <w:szCs w:val="13"/>
                <w:lang w:eastAsia="es-MX"/>
              </w:rPr>
              <w:t>Trab.Espec</w:t>
            </w:r>
            <w:proofErr w:type="spellEnd"/>
            <w:r w:rsidRPr="00322837">
              <w:rPr>
                <w:rFonts w:eastAsia="Times New Roman" w:cs="Calibri"/>
                <w:color w:val="000000"/>
                <w:sz w:val="13"/>
                <w:szCs w:val="13"/>
                <w:lang w:eastAsia="es-MX"/>
              </w:rPr>
              <w:t xml:space="preserve">. </w:t>
            </w:r>
            <w:proofErr w:type="spellStart"/>
            <w:r w:rsidRPr="00322837">
              <w:rPr>
                <w:rFonts w:eastAsia="Times New Roman" w:cs="Calibri"/>
                <w:color w:val="000000"/>
                <w:sz w:val="13"/>
                <w:szCs w:val="13"/>
                <w:lang w:eastAsia="es-MX"/>
              </w:rPr>
              <w:t>Proc</w:t>
            </w:r>
            <w:proofErr w:type="spellEnd"/>
            <w:r w:rsidRPr="00322837">
              <w:rPr>
                <w:rFonts w:eastAsia="Times New Roman" w:cs="Calibri"/>
                <w:color w:val="000000"/>
                <w:sz w:val="13"/>
                <w:szCs w:val="13"/>
                <w:lang w:eastAsia="es-MX"/>
              </w:rPr>
              <w:t>.</w:t>
            </w:r>
          </w:p>
        </w:tc>
        <w:tc>
          <w:tcPr>
            <w:tcW w:w="1330" w:type="dxa"/>
            <w:tcBorders>
              <w:top w:val="nil"/>
              <w:left w:val="nil"/>
              <w:bottom w:val="single" w:sz="8" w:space="0" w:color="auto"/>
              <w:right w:val="single" w:sz="8" w:space="0" w:color="auto"/>
            </w:tcBorders>
            <w:shd w:val="clear" w:color="F2F2F2" w:fill="FFFFFF"/>
            <w:noWrap/>
            <w:vAlign w:val="center"/>
            <w:hideMark/>
          </w:tcPr>
          <w:p w14:paraId="011DB26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B51EE3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12D655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5949AA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30FD1A4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288FA76B" w14:textId="77777777" w:rsidTr="000C429E">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C2BADC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3900</w:t>
            </w:r>
          </w:p>
        </w:tc>
        <w:tc>
          <w:tcPr>
            <w:tcW w:w="2997" w:type="dxa"/>
            <w:tcBorders>
              <w:top w:val="nil"/>
              <w:left w:val="nil"/>
              <w:bottom w:val="single" w:sz="8" w:space="0" w:color="auto"/>
              <w:right w:val="single" w:sz="8" w:space="0" w:color="auto"/>
            </w:tcBorders>
            <w:shd w:val="clear" w:color="F2F2F2" w:fill="FFFFFF"/>
            <w:noWrap/>
            <w:vAlign w:val="center"/>
            <w:hideMark/>
          </w:tcPr>
          <w:p w14:paraId="02B785B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Otro Bienes Inmuebles</w:t>
            </w:r>
          </w:p>
        </w:tc>
        <w:tc>
          <w:tcPr>
            <w:tcW w:w="1330" w:type="dxa"/>
            <w:tcBorders>
              <w:top w:val="nil"/>
              <w:left w:val="nil"/>
              <w:bottom w:val="single" w:sz="8" w:space="0" w:color="auto"/>
              <w:right w:val="single" w:sz="8" w:space="0" w:color="auto"/>
            </w:tcBorders>
            <w:shd w:val="clear" w:color="F2F2F2" w:fill="FFFFFF"/>
            <w:noWrap/>
            <w:vAlign w:val="center"/>
            <w:hideMark/>
          </w:tcPr>
          <w:p w14:paraId="5590803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393783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B77328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6DAB53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1F6609B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9BB9B13" w14:textId="77777777" w:rsidTr="000C429E">
        <w:trPr>
          <w:trHeight w:val="288"/>
        </w:trPr>
        <w:tc>
          <w:tcPr>
            <w:tcW w:w="967" w:type="dxa"/>
            <w:tcBorders>
              <w:top w:val="single" w:sz="8" w:space="0" w:color="auto"/>
              <w:left w:val="single" w:sz="8" w:space="0" w:color="auto"/>
              <w:bottom w:val="single" w:sz="4" w:space="0" w:color="auto"/>
              <w:right w:val="single" w:sz="8" w:space="0" w:color="auto"/>
            </w:tcBorders>
            <w:shd w:val="clear" w:color="F2F2F2" w:fill="FFFFFF"/>
            <w:noWrap/>
            <w:vAlign w:val="center"/>
            <w:hideMark/>
          </w:tcPr>
          <w:p w14:paraId="2A1689F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3902</w:t>
            </w:r>
          </w:p>
        </w:tc>
        <w:tc>
          <w:tcPr>
            <w:tcW w:w="2997" w:type="dxa"/>
            <w:tcBorders>
              <w:top w:val="single" w:sz="8" w:space="0" w:color="auto"/>
              <w:left w:val="nil"/>
              <w:bottom w:val="single" w:sz="4" w:space="0" w:color="auto"/>
              <w:right w:val="single" w:sz="8" w:space="0" w:color="auto"/>
            </w:tcBorders>
            <w:shd w:val="clear" w:color="F2F2F2" w:fill="FFFFFF"/>
            <w:noWrap/>
            <w:vAlign w:val="center"/>
            <w:hideMark/>
          </w:tcPr>
          <w:p w14:paraId="3DB7974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Obra-Gasto </w:t>
            </w:r>
            <w:proofErr w:type="spellStart"/>
            <w:r w:rsidRPr="00322837">
              <w:rPr>
                <w:rFonts w:eastAsia="Times New Roman" w:cs="Calibri"/>
                <w:color w:val="000000"/>
                <w:sz w:val="13"/>
                <w:szCs w:val="13"/>
                <w:lang w:eastAsia="es-MX"/>
              </w:rPr>
              <w:t>Sop</w:t>
            </w:r>
            <w:proofErr w:type="spellEnd"/>
          </w:p>
        </w:tc>
        <w:tc>
          <w:tcPr>
            <w:tcW w:w="1330" w:type="dxa"/>
            <w:tcBorders>
              <w:top w:val="single" w:sz="8" w:space="0" w:color="auto"/>
              <w:left w:val="nil"/>
              <w:bottom w:val="single" w:sz="4" w:space="0" w:color="auto"/>
              <w:right w:val="single" w:sz="8" w:space="0" w:color="auto"/>
            </w:tcBorders>
            <w:shd w:val="clear" w:color="F2F2F2" w:fill="FFFFFF"/>
            <w:noWrap/>
            <w:vAlign w:val="center"/>
            <w:hideMark/>
          </w:tcPr>
          <w:p w14:paraId="4732803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8" w:space="0" w:color="auto"/>
              <w:left w:val="nil"/>
              <w:bottom w:val="single" w:sz="4" w:space="0" w:color="auto"/>
              <w:right w:val="single" w:sz="8" w:space="0" w:color="auto"/>
            </w:tcBorders>
            <w:shd w:val="clear" w:color="F2F2F2" w:fill="FFFFFF"/>
            <w:noWrap/>
            <w:vAlign w:val="center"/>
            <w:hideMark/>
          </w:tcPr>
          <w:p w14:paraId="776E860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8" w:space="0" w:color="auto"/>
              <w:left w:val="nil"/>
              <w:bottom w:val="single" w:sz="4" w:space="0" w:color="auto"/>
              <w:right w:val="single" w:sz="8" w:space="0" w:color="auto"/>
            </w:tcBorders>
            <w:shd w:val="clear" w:color="F2F2F2" w:fill="FFFFFF"/>
            <w:noWrap/>
            <w:vAlign w:val="center"/>
            <w:hideMark/>
          </w:tcPr>
          <w:p w14:paraId="661829D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8" w:space="0" w:color="auto"/>
              <w:left w:val="nil"/>
              <w:bottom w:val="single" w:sz="4" w:space="0" w:color="auto"/>
              <w:right w:val="single" w:sz="8" w:space="0" w:color="auto"/>
            </w:tcBorders>
            <w:shd w:val="clear" w:color="F2F2F2" w:fill="FFFFFF"/>
            <w:noWrap/>
            <w:vAlign w:val="center"/>
            <w:hideMark/>
          </w:tcPr>
          <w:p w14:paraId="4809BD4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single" w:sz="8" w:space="0" w:color="auto"/>
              <w:left w:val="nil"/>
              <w:bottom w:val="single" w:sz="4" w:space="0" w:color="auto"/>
              <w:right w:val="single" w:sz="8" w:space="0" w:color="auto"/>
            </w:tcBorders>
            <w:shd w:val="clear" w:color="F2F2F2" w:fill="FFFFFF"/>
            <w:noWrap/>
            <w:vAlign w:val="center"/>
            <w:hideMark/>
          </w:tcPr>
          <w:p w14:paraId="38AE172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0C429E" w:rsidRPr="003D61EF" w14:paraId="297E609D" w14:textId="77777777" w:rsidTr="000C429E">
        <w:trPr>
          <w:trHeight w:val="288"/>
        </w:trPr>
        <w:tc>
          <w:tcPr>
            <w:tcW w:w="967" w:type="dxa"/>
            <w:tcBorders>
              <w:top w:val="single" w:sz="4" w:space="0" w:color="auto"/>
            </w:tcBorders>
            <w:shd w:val="clear" w:color="F2F2F2" w:fill="FFFFFF"/>
            <w:noWrap/>
            <w:vAlign w:val="center"/>
          </w:tcPr>
          <w:p w14:paraId="3DA51646"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2997" w:type="dxa"/>
            <w:tcBorders>
              <w:top w:val="single" w:sz="4" w:space="0" w:color="auto"/>
            </w:tcBorders>
            <w:shd w:val="clear" w:color="F2F2F2" w:fill="FFFFFF"/>
            <w:noWrap/>
            <w:vAlign w:val="center"/>
          </w:tcPr>
          <w:p w14:paraId="01545BCB" w14:textId="77777777" w:rsidR="000C429E" w:rsidRPr="00322837" w:rsidRDefault="000C429E" w:rsidP="00EC7D22">
            <w:pPr>
              <w:spacing w:after="0" w:line="240" w:lineRule="auto"/>
              <w:rPr>
                <w:rFonts w:eastAsia="Times New Roman" w:cs="Calibri"/>
                <w:color w:val="000000"/>
                <w:sz w:val="13"/>
                <w:szCs w:val="13"/>
                <w:lang w:eastAsia="es-MX"/>
              </w:rPr>
            </w:pPr>
          </w:p>
        </w:tc>
        <w:tc>
          <w:tcPr>
            <w:tcW w:w="1330" w:type="dxa"/>
            <w:tcBorders>
              <w:top w:val="single" w:sz="4" w:space="0" w:color="auto"/>
            </w:tcBorders>
            <w:shd w:val="clear" w:color="F2F2F2" w:fill="FFFFFF"/>
            <w:noWrap/>
            <w:vAlign w:val="center"/>
          </w:tcPr>
          <w:p w14:paraId="1C521E7D"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single" w:sz="4" w:space="0" w:color="auto"/>
            </w:tcBorders>
            <w:shd w:val="clear" w:color="F2F2F2" w:fill="FFFFFF"/>
            <w:noWrap/>
            <w:vAlign w:val="center"/>
          </w:tcPr>
          <w:p w14:paraId="15686D8B"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single" w:sz="4" w:space="0" w:color="auto"/>
            </w:tcBorders>
            <w:shd w:val="clear" w:color="F2F2F2" w:fill="FFFFFF"/>
            <w:noWrap/>
            <w:vAlign w:val="center"/>
          </w:tcPr>
          <w:p w14:paraId="623F1B17"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single" w:sz="4" w:space="0" w:color="auto"/>
            </w:tcBorders>
            <w:shd w:val="clear" w:color="F2F2F2" w:fill="FFFFFF"/>
            <w:noWrap/>
            <w:vAlign w:val="center"/>
          </w:tcPr>
          <w:p w14:paraId="29FF1C48"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1269" w:type="dxa"/>
            <w:tcBorders>
              <w:top w:val="single" w:sz="4" w:space="0" w:color="auto"/>
            </w:tcBorders>
            <w:shd w:val="clear" w:color="F2F2F2" w:fill="FFFFFF"/>
            <w:noWrap/>
            <w:vAlign w:val="center"/>
          </w:tcPr>
          <w:p w14:paraId="3AECCCED" w14:textId="77777777" w:rsidR="000C429E" w:rsidRPr="00322837" w:rsidRDefault="000C429E" w:rsidP="00EC7D22">
            <w:pPr>
              <w:spacing w:after="0" w:line="240" w:lineRule="auto"/>
              <w:jc w:val="center"/>
              <w:rPr>
                <w:rFonts w:eastAsia="Times New Roman" w:cs="Calibri"/>
                <w:color w:val="000000"/>
                <w:sz w:val="13"/>
                <w:szCs w:val="13"/>
                <w:lang w:eastAsia="es-MX"/>
              </w:rPr>
            </w:pPr>
          </w:p>
        </w:tc>
      </w:tr>
      <w:tr w:rsidR="000C429E" w:rsidRPr="003D61EF" w14:paraId="7FCD6BB2" w14:textId="77777777" w:rsidTr="000C429E">
        <w:trPr>
          <w:trHeight w:val="288"/>
        </w:trPr>
        <w:tc>
          <w:tcPr>
            <w:tcW w:w="967" w:type="dxa"/>
            <w:tcBorders>
              <w:top w:val="nil"/>
            </w:tcBorders>
            <w:shd w:val="clear" w:color="F2F2F2" w:fill="FFFFFF"/>
            <w:noWrap/>
            <w:vAlign w:val="center"/>
          </w:tcPr>
          <w:p w14:paraId="79E71DB2"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2997" w:type="dxa"/>
            <w:tcBorders>
              <w:top w:val="nil"/>
            </w:tcBorders>
            <w:shd w:val="clear" w:color="F2F2F2" w:fill="FFFFFF"/>
            <w:noWrap/>
            <w:vAlign w:val="center"/>
          </w:tcPr>
          <w:p w14:paraId="326B363E" w14:textId="77777777" w:rsidR="000C429E" w:rsidRPr="00322837" w:rsidRDefault="000C429E" w:rsidP="00EC7D22">
            <w:pPr>
              <w:spacing w:after="0" w:line="240" w:lineRule="auto"/>
              <w:rPr>
                <w:rFonts w:eastAsia="Times New Roman" w:cs="Calibri"/>
                <w:color w:val="000000"/>
                <w:sz w:val="13"/>
                <w:szCs w:val="13"/>
                <w:lang w:eastAsia="es-MX"/>
              </w:rPr>
            </w:pPr>
          </w:p>
        </w:tc>
        <w:tc>
          <w:tcPr>
            <w:tcW w:w="1330" w:type="dxa"/>
            <w:tcBorders>
              <w:top w:val="nil"/>
            </w:tcBorders>
            <w:shd w:val="clear" w:color="F2F2F2" w:fill="FFFFFF"/>
            <w:noWrap/>
            <w:vAlign w:val="center"/>
          </w:tcPr>
          <w:p w14:paraId="560CB6AC"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nil"/>
            </w:tcBorders>
            <w:shd w:val="clear" w:color="F2F2F2" w:fill="FFFFFF"/>
            <w:noWrap/>
            <w:vAlign w:val="center"/>
          </w:tcPr>
          <w:p w14:paraId="40C8CFA2"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nil"/>
            </w:tcBorders>
            <w:shd w:val="clear" w:color="F2F2F2" w:fill="FFFFFF"/>
            <w:noWrap/>
            <w:vAlign w:val="center"/>
          </w:tcPr>
          <w:p w14:paraId="72D249F2"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nil"/>
            </w:tcBorders>
            <w:shd w:val="clear" w:color="F2F2F2" w:fill="FFFFFF"/>
            <w:noWrap/>
            <w:vAlign w:val="center"/>
          </w:tcPr>
          <w:p w14:paraId="086BCFCA"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1269" w:type="dxa"/>
            <w:tcBorders>
              <w:top w:val="nil"/>
            </w:tcBorders>
            <w:shd w:val="clear" w:color="F2F2F2" w:fill="FFFFFF"/>
            <w:noWrap/>
            <w:vAlign w:val="center"/>
          </w:tcPr>
          <w:p w14:paraId="2B0F2A10" w14:textId="77777777" w:rsidR="000C429E" w:rsidRPr="00322837" w:rsidRDefault="000C429E" w:rsidP="00EC7D22">
            <w:pPr>
              <w:spacing w:after="0" w:line="240" w:lineRule="auto"/>
              <w:jc w:val="center"/>
              <w:rPr>
                <w:rFonts w:eastAsia="Times New Roman" w:cs="Calibri"/>
                <w:color w:val="000000"/>
                <w:sz w:val="13"/>
                <w:szCs w:val="13"/>
                <w:lang w:eastAsia="es-MX"/>
              </w:rPr>
            </w:pPr>
          </w:p>
        </w:tc>
      </w:tr>
      <w:tr w:rsidR="000C429E" w:rsidRPr="003D61EF" w14:paraId="6BA4FF99" w14:textId="77777777" w:rsidTr="000C429E">
        <w:trPr>
          <w:trHeight w:val="288"/>
        </w:trPr>
        <w:tc>
          <w:tcPr>
            <w:tcW w:w="967" w:type="dxa"/>
            <w:tcBorders>
              <w:top w:val="nil"/>
            </w:tcBorders>
            <w:shd w:val="clear" w:color="F2F2F2" w:fill="FFFFFF"/>
            <w:noWrap/>
            <w:vAlign w:val="center"/>
          </w:tcPr>
          <w:p w14:paraId="4538DD20"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2997" w:type="dxa"/>
            <w:tcBorders>
              <w:top w:val="nil"/>
            </w:tcBorders>
            <w:shd w:val="clear" w:color="F2F2F2" w:fill="FFFFFF"/>
            <w:noWrap/>
            <w:vAlign w:val="center"/>
          </w:tcPr>
          <w:p w14:paraId="3187ED7E" w14:textId="77777777" w:rsidR="000C429E" w:rsidRPr="00322837" w:rsidRDefault="000C429E" w:rsidP="00EC7D22">
            <w:pPr>
              <w:spacing w:after="0" w:line="240" w:lineRule="auto"/>
              <w:rPr>
                <w:rFonts w:eastAsia="Times New Roman" w:cs="Calibri"/>
                <w:color w:val="000000"/>
                <w:sz w:val="13"/>
                <w:szCs w:val="13"/>
                <w:lang w:eastAsia="es-MX"/>
              </w:rPr>
            </w:pPr>
          </w:p>
        </w:tc>
        <w:tc>
          <w:tcPr>
            <w:tcW w:w="1330" w:type="dxa"/>
            <w:tcBorders>
              <w:top w:val="nil"/>
            </w:tcBorders>
            <w:shd w:val="clear" w:color="F2F2F2" w:fill="FFFFFF"/>
            <w:noWrap/>
            <w:vAlign w:val="center"/>
          </w:tcPr>
          <w:p w14:paraId="46AEBE95"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nil"/>
            </w:tcBorders>
            <w:shd w:val="clear" w:color="F2F2F2" w:fill="FFFFFF"/>
            <w:noWrap/>
            <w:vAlign w:val="center"/>
          </w:tcPr>
          <w:p w14:paraId="38D242BB"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nil"/>
            </w:tcBorders>
            <w:shd w:val="clear" w:color="F2F2F2" w:fill="FFFFFF"/>
            <w:noWrap/>
            <w:vAlign w:val="center"/>
          </w:tcPr>
          <w:p w14:paraId="7556C949"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nil"/>
            </w:tcBorders>
            <w:shd w:val="clear" w:color="F2F2F2" w:fill="FFFFFF"/>
            <w:noWrap/>
            <w:vAlign w:val="center"/>
          </w:tcPr>
          <w:p w14:paraId="1D74EF0E"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1269" w:type="dxa"/>
            <w:tcBorders>
              <w:top w:val="nil"/>
            </w:tcBorders>
            <w:shd w:val="clear" w:color="F2F2F2" w:fill="FFFFFF"/>
            <w:noWrap/>
            <w:vAlign w:val="center"/>
          </w:tcPr>
          <w:p w14:paraId="2A03B78A" w14:textId="77777777" w:rsidR="000C429E" w:rsidRPr="00322837" w:rsidRDefault="000C429E" w:rsidP="00EC7D22">
            <w:pPr>
              <w:spacing w:after="0" w:line="240" w:lineRule="auto"/>
              <w:jc w:val="center"/>
              <w:rPr>
                <w:rFonts w:eastAsia="Times New Roman" w:cs="Calibri"/>
                <w:color w:val="000000"/>
                <w:sz w:val="13"/>
                <w:szCs w:val="13"/>
                <w:lang w:eastAsia="es-MX"/>
              </w:rPr>
            </w:pPr>
          </w:p>
        </w:tc>
      </w:tr>
      <w:tr w:rsidR="000C429E" w:rsidRPr="003D61EF" w14:paraId="675A17A5" w14:textId="77777777" w:rsidTr="000C429E">
        <w:trPr>
          <w:trHeight w:val="288"/>
        </w:trPr>
        <w:tc>
          <w:tcPr>
            <w:tcW w:w="967" w:type="dxa"/>
            <w:tcBorders>
              <w:top w:val="nil"/>
            </w:tcBorders>
            <w:shd w:val="clear" w:color="F2F2F2" w:fill="FFFFFF"/>
            <w:noWrap/>
            <w:vAlign w:val="center"/>
          </w:tcPr>
          <w:p w14:paraId="732EF5FF"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2997" w:type="dxa"/>
            <w:tcBorders>
              <w:top w:val="nil"/>
            </w:tcBorders>
            <w:shd w:val="clear" w:color="F2F2F2" w:fill="FFFFFF"/>
            <w:noWrap/>
            <w:vAlign w:val="center"/>
          </w:tcPr>
          <w:p w14:paraId="6BA03849" w14:textId="77777777" w:rsidR="000C429E" w:rsidRPr="00322837" w:rsidRDefault="000C429E" w:rsidP="00EC7D22">
            <w:pPr>
              <w:spacing w:after="0" w:line="240" w:lineRule="auto"/>
              <w:rPr>
                <w:rFonts w:eastAsia="Times New Roman" w:cs="Calibri"/>
                <w:color w:val="000000"/>
                <w:sz w:val="13"/>
                <w:szCs w:val="13"/>
                <w:lang w:eastAsia="es-MX"/>
              </w:rPr>
            </w:pPr>
          </w:p>
        </w:tc>
        <w:tc>
          <w:tcPr>
            <w:tcW w:w="1330" w:type="dxa"/>
            <w:tcBorders>
              <w:top w:val="nil"/>
            </w:tcBorders>
            <w:shd w:val="clear" w:color="F2F2F2" w:fill="FFFFFF"/>
            <w:noWrap/>
            <w:vAlign w:val="center"/>
          </w:tcPr>
          <w:p w14:paraId="7C9C4413"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nil"/>
            </w:tcBorders>
            <w:shd w:val="clear" w:color="F2F2F2" w:fill="FFFFFF"/>
            <w:noWrap/>
            <w:vAlign w:val="center"/>
          </w:tcPr>
          <w:p w14:paraId="11EC7AFA"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nil"/>
            </w:tcBorders>
            <w:shd w:val="clear" w:color="F2F2F2" w:fill="FFFFFF"/>
            <w:noWrap/>
            <w:vAlign w:val="center"/>
          </w:tcPr>
          <w:p w14:paraId="383675DA"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967" w:type="dxa"/>
            <w:tcBorders>
              <w:top w:val="nil"/>
            </w:tcBorders>
            <w:shd w:val="clear" w:color="F2F2F2" w:fill="FFFFFF"/>
            <w:noWrap/>
            <w:vAlign w:val="center"/>
          </w:tcPr>
          <w:p w14:paraId="1C540C68" w14:textId="77777777" w:rsidR="000C429E" w:rsidRPr="00322837" w:rsidRDefault="000C429E" w:rsidP="00EC7D22">
            <w:pPr>
              <w:spacing w:after="0" w:line="240" w:lineRule="auto"/>
              <w:jc w:val="center"/>
              <w:rPr>
                <w:rFonts w:eastAsia="Times New Roman" w:cs="Calibri"/>
                <w:color w:val="000000"/>
                <w:sz w:val="13"/>
                <w:szCs w:val="13"/>
                <w:lang w:eastAsia="es-MX"/>
              </w:rPr>
            </w:pPr>
          </w:p>
        </w:tc>
        <w:tc>
          <w:tcPr>
            <w:tcW w:w="1269" w:type="dxa"/>
            <w:tcBorders>
              <w:top w:val="nil"/>
            </w:tcBorders>
            <w:shd w:val="clear" w:color="F2F2F2" w:fill="FFFFFF"/>
            <w:noWrap/>
            <w:vAlign w:val="center"/>
          </w:tcPr>
          <w:p w14:paraId="5F6CADF2" w14:textId="77777777" w:rsidR="000C429E" w:rsidRPr="00322837" w:rsidRDefault="000C429E" w:rsidP="00EC7D22">
            <w:pPr>
              <w:spacing w:after="0" w:line="240" w:lineRule="auto"/>
              <w:jc w:val="center"/>
              <w:rPr>
                <w:rFonts w:eastAsia="Times New Roman" w:cs="Calibri"/>
                <w:color w:val="000000"/>
                <w:sz w:val="13"/>
                <w:szCs w:val="13"/>
                <w:lang w:eastAsia="es-MX"/>
              </w:rPr>
            </w:pPr>
          </w:p>
        </w:tc>
      </w:tr>
      <w:tr w:rsidR="00964D7F" w:rsidRPr="00322837" w14:paraId="523A48B2" w14:textId="77777777" w:rsidTr="000C429E">
        <w:trPr>
          <w:trHeight w:val="510"/>
        </w:trPr>
        <w:tc>
          <w:tcPr>
            <w:tcW w:w="967" w:type="dxa"/>
            <w:tcBorders>
              <w:left w:val="single" w:sz="4" w:space="0" w:color="auto"/>
              <w:bottom w:val="single" w:sz="4" w:space="0" w:color="auto"/>
              <w:right w:val="single" w:sz="4" w:space="0" w:color="auto"/>
            </w:tcBorders>
            <w:shd w:val="clear" w:color="800080" w:fill="A90025"/>
            <w:vAlign w:val="center"/>
            <w:hideMark/>
          </w:tcPr>
          <w:p w14:paraId="365447FE"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lastRenderedPageBreak/>
              <w:t>CLASE</w:t>
            </w:r>
          </w:p>
        </w:tc>
        <w:tc>
          <w:tcPr>
            <w:tcW w:w="2997" w:type="dxa"/>
            <w:tcBorders>
              <w:left w:val="nil"/>
              <w:bottom w:val="single" w:sz="4" w:space="0" w:color="auto"/>
              <w:right w:val="single" w:sz="4" w:space="0" w:color="auto"/>
            </w:tcBorders>
            <w:shd w:val="clear" w:color="800080" w:fill="A90025"/>
            <w:vAlign w:val="center"/>
            <w:hideMark/>
          </w:tcPr>
          <w:p w14:paraId="5A5AB569"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 </w:t>
            </w:r>
          </w:p>
        </w:tc>
        <w:tc>
          <w:tcPr>
            <w:tcW w:w="1330" w:type="dxa"/>
            <w:tcBorders>
              <w:left w:val="nil"/>
              <w:bottom w:val="single" w:sz="4" w:space="0" w:color="auto"/>
              <w:right w:val="single" w:sz="4" w:space="0" w:color="auto"/>
            </w:tcBorders>
            <w:shd w:val="clear" w:color="800080" w:fill="A90025"/>
            <w:vAlign w:val="center"/>
            <w:hideMark/>
          </w:tcPr>
          <w:p w14:paraId="64EE6AB0" w14:textId="2126A910" w:rsidR="00964D7F" w:rsidRPr="00322837" w:rsidRDefault="000A16E7"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MÉTODO</w:t>
            </w:r>
            <w:r w:rsidR="00964D7F" w:rsidRPr="00322837">
              <w:rPr>
                <w:rFonts w:eastAsia="Times New Roman" w:cs="Calibri"/>
                <w:b/>
                <w:bCs/>
                <w:color w:val="FFFFFF"/>
                <w:sz w:val="13"/>
                <w:szCs w:val="13"/>
                <w:lang w:eastAsia="es-MX"/>
              </w:rPr>
              <w:t xml:space="preserve"> DE </w:t>
            </w:r>
            <w:r w:rsidRPr="00322837">
              <w:rPr>
                <w:rFonts w:eastAsia="Times New Roman" w:cs="Calibri"/>
                <w:b/>
                <w:bCs/>
                <w:color w:val="FFFFFF"/>
                <w:sz w:val="13"/>
                <w:szCs w:val="13"/>
                <w:lang w:eastAsia="es-MX"/>
              </w:rPr>
              <w:t>DEPRECIACIÓN</w:t>
            </w:r>
          </w:p>
        </w:tc>
        <w:tc>
          <w:tcPr>
            <w:tcW w:w="967" w:type="dxa"/>
            <w:tcBorders>
              <w:left w:val="nil"/>
              <w:bottom w:val="single" w:sz="4" w:space="0" w:color="auto"/>
              <w:right w:val="single" w:sz="4" w:space="0" w:color="auto"/>
            </w:tcBorders>
            <w:shd w:val="clear" w:color="800080" w:fill="A90025"/>
            <w:vAlign w:val="center"/>
            <w:hideMark/>
          </w:tcPr>
          <w:p w14:paraId="297FD135"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VIDA UTIL EN AÑOS</w:t>
            </w:r>
          </w:p>
        </w:tc>
        <w:tc>
          <w:tcPr>
            <w:tcW w:w="967" w:type="dxa"/>
            <w:tcBorders>
              <w:left w:val="nil"/>
              <w:bottom w:val="single" w:sz="4" w:space="0" w:color="auto"/>
              <w:right w:val="single" w:sz="4" w:space="0" w:color="auto"/>
            </w:tcBorders>
            <w:shd w:val="clear" w:color="800080" w:fill="A90025"/>
            <w:vAlign w:val="center"/>
            <w:hideMark/>
          </w:tcPr>
          <w:p w14:paraId="2789ADFB"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VALOR RESIDUAL (%)</w:t>
            </w:r>
          </w:p>
        </w:tc>
        <w:tc>
          <w:tcPr>
            <w:tcW w:w="967" w:type="dxa"/>
            <w:tcBorders>
              <w:left w:val="nil"/>
              <w:bottom w:val="single" w:sz="4" w:space="0" w:color="auto"/>
              <w:right w:val="single" w:sz="4" w:space="0" w:color="auto"/>
            </w:tcBorders>
            <w:shd w:val="clear" w:color="800080" w:fill="A90025"/>
            <w:vAlign w:val="center"/>
            <w:hideMark/>
          </w:tcPr>
          <w:p w14:paraId="67E433D9"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 ANUAL (%)</w:t>
            </w:r>
          </w:p>
        </w:tc>
        <w:tc>
          <w:tcPr>
            <w:tcW w:w="1269" w:type="dxa"/>
            <w:tcBorders>
              <w:left w:val="nil"/>
              <w:bottom w:val="single" w:sz="4" w:space="0" w:color="auto"/>
              <w:right w:val="single" w:sz="4" w:space="0" w:color="auto"/>
            </w:tcBorders>
            <w:shd w:val="clear" w:color="800080" w:fill="A90025"/>
            <w:vAlign w:val="center"/>
            <w:hideMark/>
          </w:tcPr>
          <w:p w14:paraId="38A5F87B"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DEP.MENSUAL (%)</w:t>
            </w:r>
          </w:p>
        </w:tc>
      </w:tr>
      <w:tr w:rsidR="00964D7F" w:rsidRPr="003D61EF" w14:paraId="5BC5D645"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D38E23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3903</w:t>
            </w:r>
          </w:p>
        </w:tc>
        <w:tc>
          <w:tcPr>
            <w:tcW w:w="2997" w:type="dxa"/>
            <w:tcBorders>
              <w:top w:val="nil"/>
              <w:left w:val="nil"/>
              <w:bottom w:val="single" w:sz="8" w:space="0" w:color="auto"/>
              <w:right w:val="single" w:sz="8" w:space="0" w:color="auto"/>
            </w:tcBorders>
            <w:shd w:val="clear" w:color="F2F2F2" w:fill="FFFFFF"/>
            <w:noWrap/>
            <w:vAlign w:val="center"/>
            <w:hideMark/>
          </w:tcPr>
          <w:p w14:paraId="0A4A7E25"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Obra-Gasto </w:t>
            </w:r>
            <w:proofErr w:type="spellStart"/>
            <w:r w:rsidRPr="00322837">
              <w:rPr>
                <w:rFonts w:eastAsia="Times New Roman" w:cs="Calibri"/>
                <w:color w:val="000000"/>
                <w:sz w:val="13"/>
                <w:szCs w:val="13"/>
                <w:lang w:eastAsia="es-MX"/>
              </w:rPr>
              <w:t>Itife</w:t>
            </w:r>
            <w:proofErr w:type="spellEnd"/>
          </w:p>
        </w:tc>
        <w:tc>
          <w:tcPr>
            <w:tcW w:w="1330" w:type="dxa"/>
            <w:tcBorders>
              <w:top w:val="nil"/>
              <w:left w:val="nil"/>
              <w:bottom w:val="single" w:sz="8" w:space="0" w:color="auto"/>
              <w:right w:val="single" w:sz="8" w:space="0" w:color="auto"/>
            </w:tcBorders>
            <w:shd w:val="clear" w:color="F2F2F2" w:fill="FFFFFF"/>
            <w:noWrap/>
            <w:vAlign w:val="center"/>
            <w:hideMark/>
          </w:tcPr>
          <w:p w14:paraId="66D60D2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CC3AED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A16685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8AE627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25056A2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614FB686"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DD186B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4110</w:t>
            </w:r>
          </w:p>
        </w:tc>
        <w:tc>
          <w:tcPr>
            <w:tcW w:w="2997" w:type="dxa"/>
            <w:tcBorders>
              <w:top w:val="nil"/>
              <w:left w:val="nil"/>
              <w:bottom w:val="single" w:sz="8" w:space="0" w:color="auto"/>
              <w:right w:val="single" w:sz="8" w:space="0" w:color="auto"/>
            </w:tcBorders>
            <w:shd w:val="clear" w:color="F2F2F2" w:fill="FFFFFF"/>
            <w:noWrap/>
            <w:vAlign w:val="center"/>
            <w:hideMark/>
          </w:tcPr>
          <w:p w14:paraId="6A293360"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Muebles De Oficina </w:t>
            </w:r>
            <w:r w:rsidRPr="003D61EF">
              <w:rPr>
                <w:rFonts w:eastAsia="Times New Roman" w:cs="Calibri"/>
                <w:color w:val="000000"/>
                <w:sz w:val="13"/>
                <w:szCs w:val="13"/>
                <w:lang w:eastAsia="es-MX"/>
              </w:rPr>
              <w:t xml:space="preserve">y </w:t>
            </w:r>
            <w:r w:rsidRPr="00322837">
              <w:rPr>
                <w:rFonts w:eastAsia="Times New Roman" w:cs="Calibri"/>
                <w:color w:val="000000"/>
                <w:sz w:val="13"/>
                <w:szCs w:val="13"/>
                <w:lang w:eastAsia="es-MX"/>
              </w:rPr>
              <w:t>Estantería</w:t>
            </w:r>
          </w:p>
        </w:tc>
        <w:tc>
          <w:tcPr>
            <w:tcW w:w="1330" w:type="dxa"/>
            <w:tcBorders>
              <w:top w:val="nil"/>
              <w:left w:val="nil"/>
              <w:bottom w:val="single" w:sz="8" w:space="0" w:color="auto"/>
              <w:right w:val="single" w:sz="8" w:space="0" w:color="auto"/>
            </w:tcBorders>
            <w:shd w:val="clear" w:color="F2F2F2" w:fill="FFFFFF"/>
            <w:noWrap/>
            <w:vAlign w:val="center"/>
            <w:hideMark/>
          </w:tcPr>
          <w:p w14:paraId="49A4EC7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5710CEC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3ADA571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54B747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1AC060D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08D447F2"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A1A292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4120</w:t>
            </w:r>
          </w:p>
        </w:tc>
        <w:tc>
          <w:tcPr>
            <w:tcW w:w="2997" w:type="dxa"/>
            <w:tcBorders>
              <w:top w:val="nil"/>
              <w:left w:val="nil"/>
              <w:bottom w:val="single" w:sz="8" w:space="0" w:color="auto"/>
              <w:right w:val="single" w:sz="8" w:space="0" w:color="auto"/>
            </w:tcBorders>
            <w:shd w:val="clear" w:color="F2F2F2" w:fill="FFFFFF"/>
            <w:noWrap/>
            <w:vAlign w:val="center"/>
            <w:hideMark/>
          </w:tcPr>
          <w:p w14:paraId="68A92A95"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Muebles Excepto De Of</w:t>
            </w:r>
            <w:r w:rsidRPr="003D61EF">
              <w:rPr>
                <w:rFonts w:eastAsia="Times New Roman" w:cs="Calibri"/>
                <w:color w:val="000000"/>
                <w:sz w:val="13"/>
                <w:szCs w:val="13"/>
                <w:lang w:eastAsia="es-MX"/>
              </w:rPr>
              <w:t>ici</w:t>
            </w:r>
            <w:r w:rsidRPr="00322837">
              <w:rPr>
                <w:rFonts w:eastAsia="Times New Roman" w:cs="Calibri"/>
                <w:color w:val="000000"/>
                <w:sz w:val="13"/>
                <w:szCs w:val="13"/>
                <w:lang w:eastAsia="es-MX"/>
              </w:rPr>
              <w:t xml:space="preserve">na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w:t>
            </w:r>
            <w:r w:rsidRPr="003D61EF">
              <w:rPr>
                <w:rFonts w:eastAsia="Times New Roman" w:cs="Calibri"/>
                <w:color w:val="000000"/>
                <w:sz w:val="13"/>
                <w:szCs w:val="13"/>
                <w:lang w:eastAsia="es-MX"/>
              </w:rPr>
              <w:t>Estantería</w:t>
            </w:r>
          </w:p>
        </w:tc>
        <w:tc>
          <w:tcPr>
            <w:tcW w:w="1330" w:type="dxa"/>
            <w:tcBorders>
              <w:top w:val="nil"/>
              <w:left w:val="nil"/>
              <w:bottom w:val="single" w:sz="8" w:space="0" w:color="auto"/>
              <w:right w:val="single" w:sz="8" w:space="0" w:color="auto"/>
            </w:tcBorders>
            <w:shd w:val="clear" w:color="F2F2F2" w:fill="FFFFFF"/>
            <w:noWrap/>
            <w:vAlign w:val="center"/>
            <w:hideMark/>
          </w:tcPr>
          <w:p w14:paraId="3CD3948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BF60F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49C3693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8A90E6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389A0C3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08B16960"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2D8C2D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4130</w:t>
            </w:r>
          </w:p>
        </w:tc>
        <w:tc>
          <w:tcPr>
            <w:tcW w:w="2997" w:type="dxa"/>
            <w:tcBorders>
              <w:top w:val="nil"/>
              <w:left w:val="nil"/>
              <w:bottom w:val="single" w:sz="8" w:space="0" w:color="auto"/>
              <w:right w:val="single" w:sz="8" w:space="0" w:color="auto"/>
            </w:tcBorders>
            <w:shd w:val="clear" w:color="F2F2F2" w:fill="FFFFFF"/>
            <w:noWrap/>
            <w:vAlign w:val="center"/>
            <w:hideMark/>
          </w:tcPr>
          <w:p w14:paraId="60B7873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Equipo De Cómputo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De Tecnologías De La Inform.</w:t>
            </w:r>
          </w:p>
        </w:tc>
        <w:tc>
          <w:tcPr>
            <w:tcW w:w="1330" w:type="dxa"/>
            <w:tcBorders>
              <w:top w:val="nil"/>
              <w:left w:val="nil"/>
              <w:bottom w:val="single" w:sz="8" w:space="0" w:color="auto"/>
              <w:right w:val="single" w:sz="8" w:space="0" w:color="auto"/>
            </w:tcBorders>
            <w:shd w:val="clear" w:color="F2F2F2" w:fill="FFFFFF"/>
            <w:noWrap/>
            <w:vAlign w:val="center"/>
            <w:hideMark/>
          </w:tcPr>
          <w:p w14:paraId="7BCB7CB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487D08C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7FC64AB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52CACC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w:t>
            </w:r>
          </w:p>
        </w:tc>
        <w:tc>
          <w:tcPr>
            <w:tcW w:w="1269" w:type="dxa"/>
            <w:tcBorders>
              <w:top w:val="nil"/>
              <w:left w:val="nil"/>
              <w:bottom w:val="single" w:sz="8" w:space="0" w:color="auto"/>
              <w:right w:val="single" w:sz="8" w:space="0" w:color="auto"/>
            </w:tcBorders>
            <w:shd w:val="clear" w:color="F2F2F2" w:fill="FFFFFF"/>
            <w:noWrap/>
            <w:vAlign w:val="center"/>
            <w:hideMark/>
          </w:tcPr>
          <w:p w14:paraId="4DEC98D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1.67</w:t>
            </w:r>
          </w:p>
        </w:tc>
      </w:tr>
      <w:tr w:rsidR="00964D7F" w:rsidRPr="003D61EF" w14:paraId="39C4E609"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9242A7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4190</w:t>
            </w:r>
          </w:p>
        </w:tc>
        <w:tc>
          <w:tcPr>
            <w:tcW w:w="2997" w:type="dxa"/>
            <w:tcBorders>
              <w:top w:val="nil"/>
              <w:left w:val="nil"/>
              <w:bottom w:val="single" w:sz="8" w:space="0" w:color="auto"/>
              <w:right w:val="single" w:sz="8" w:space="0" w:color="auto"/>
            </w:tcBorders>
            <w:shd w:val="clear" w:color="F2F2F2" w:fill="FFFFFF"/>
            <w:noWrap/>
            <w:vAlign w:val="center"/>
            <w:hideMark/>
          </w:tcPr>
          <w:p w14:paraId="1B7EFA78"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Otros Mobiliarios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Equipos De Administración</w:t>
            </w:r>
          </w:p>
        </w:tc>
        <w:tc>
          <w:tcPr>
            <w:tcW w:w="1330" w:type="dxa"/>
            <w:tcBorders>
              <w:top w:val="nil"/>
              <w:left w:val="nil"/>
              <w:bottom w:val="single" w:sz="8" w:space="0" w:color="auto"/>
              <w:right w:val="single" w:sz="8" w:space="0" w:color="auto"/>
            </w:tcBorders>
            <w:shd w:val="clear" w:color="F2F2F2" w:fill="FFFFFF"/>
            <w:noWrap/>
            <w:vAlign w:val="center"/>
            <w:hideMark/>
          </w:tcPr>
          <w:p w14:paraId="715B872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5F5C36B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6FACAF3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ECB113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5F617B5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21C6FB35"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1B9BAA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4210</w:t>
            </w:r>
          </w:p>
        </w:tc>
        <w:tc>
          <w:tcPr>
            <w:tcW w:w="2997" w:type="dxa"/>
            <w:tcBorders>
              <w:top w:val="nil"/>
              <w:left w:val="nil"/>
              <w:bottom w:val="single" w:sz="8" w:space="0" w:color="auto"/>
              <w:right w:val="single" w:sz="8" w:space="0" w:color="auto"/>
            </w:tcBorders>
            <w:shd w:val="clear" w:color="F2F2F2" w:fill="FFFFFF"/>
            <w:noWrap/>
            <w:vAlign w:val="center"/>
            <w:hideMark/>
          </w:tcPr>
          <w:p w14:paraId="5D3AEBF7"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Equipo De Aparatos Audiovisuales</w:t>
            </w:r>
          </w:p>
        </w:tc>
        <w:tc>
          <w:tcPr>
            <w:tcW w:w="1330" w:type="dxa"/>
            <w:tcBorders>
              <w:top w:val="nil"/>
              <w:left w:val="nil"/>
              <w:bottom w:val="single" w:sz="8" w:space="0" w:color="auto"/>
              <w:right w:val="single" w:sz="8" w:space="0" w:color="auto"/>
            </w:tcBorders>
            <w:shd w:val="clear" w:color="F2F2F2" w:fill="FFFFFF"/>
            <w:noWrap/>
            <w:vAlign w:val="center"/>
            <w:hideMark/>
          </w:tcPr>
          <w:p w14:paraId="387B454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C1CEFB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2D24E0D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AD1D20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5E73F69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62111A30"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99FF49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4220</w:t>
            </w:r>
          </w:p>
        </w:tc>
        <w:tc>
          <w:tcPr>
            <w:tcW w:w="2997" w:type="dxa"/>
            <w:tcBorders>
              <w:top w:val="nil"/>
              <w:left w:val="nil"/>
              <w:bottom w:val="single" w:sz="8" w:space="0" w:color="auto"/>
              <w:right w:val="single" w:sz="8" w:space="0" w:color="auto"/>
            </w:tcBorders>
            <w:shd w:val="clear" w:color="F2F2F2" w:fill="FFFFFF"/>
            <w:noWrap/>
            <w:vAlign w:val="center"/>
            <w:hideMark/>
          </w:tcPr>
          <w:p w14:paraId="387865D5"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Aparatos Deportivos</w:t>
            </w:r>
          </w:p>
        </w:tc>
        <w:tc>
          <w:tcPr>
            <w:tcW w:w="1330" w:type="dxa"/>
            <w:tcBorders>
              <w:top w:val="nil"/>
              <w:left w:val="nil"/>
              <w:bottom w:val="single" w:sz="8" w:space="0" w:color="auto"/>
              <w:right w:val="single" w:sz="8" w:space="0" w:color="auto"/>
            </w:tcBorders>
            <w:shd w:val="clear" w:color="F2F2F2" w:fill="FFFFFF"/>
            <w:noWrap/>
            <w:vAlign w:val="center"/>
            <w:hideMark/>
          </w:tcPr>
          <w:p w14:paraId="7DE76FB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2B4FF4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64B1BA6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149E8E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w:t>
            </w:r>
          </w:p>
        </w:tc>
        <w:tc>
          <w:tcPr>
            <w:tcW w:w="1269" w:type="dxa"/>
            <w:tcBorders>
              <w:top w:val="nil"/>
              <w:left w:val="nil"/>
              <w:bottom w:val="single" w:sz="8" w:space="0" w:color="auto"/>
              <w:right w:val="single" w:sz="8" w:space="0" w:color="auto"/>
            </w:tcBorders>
            <w:shd w:val="clear" w:color="F2F2F2" w:fill="FFFFFF"/>
            <w:noWrap/>
            <w:vAlign w:val="center"/>
            <w:hideMark/>
          </w:tcPr>
          <w:p w14:paraId="5B79933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1.67</w:t>
            </w:r>
          </w:p>
        </w:tc>
      </w:tr>
      <w:tr w:rsidR="00964D7F" w:rsidRPr="003D61EF" w14:paraId="1DA253A9"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5269DA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4230</w:t>
            </w:r>
          </w:p>
        </w:tc>
        <w:tc>
          <w:tcPr>
            <w:tcW w:w="2997" w:type="dxa"/>
            <w:tcBorders>
              <w:top w:val="nil"/>
              <w:left w:val="nil"/>
              <w:bottom w:val="single" w:sz="8" w:space="0" w:color="auto"/>
              <w:right w:val="single" w:sz="8" w:space="0" w:color="auto"/>
            </w:tcBorders>
            <w:shd w:val="clear" w:color="F2F2F2" w:fill="FFFFFF"/>
            <w:noWrap/>
            <w:vAlign w:val="center"/>
            <w:hideMark/>
          </w:tcPr>
          <w:p w14:paraId="757AA698"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Cámaras Fotográficas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w:t>
            </w:r>
            <w:r w:rsidRPr="003D61EF">
              <w:rPr>
                <w:rFonts w:eastAsia="Times New Roman" w:cs="Calibri"/>
                <w:color w:val="000000"/>
                <w:sz w:val="13"/>
                <w:szCs w:val="13"/>
                <w:lang w:eastAsia="es-MX"/>
              </w:rPr>
              <w:t>d</w:t>
            </w:r>
            <w:r w:rsidRPr="00322837">
              <w:rPr>
                <w:rFonts w:eastAsia="Times New Roman" w:cs="Calibri"/>
                <w:color w:val="000000"/>
                <w:sz w:val="13"/>
                <w:szCs w:val="13"/>
                <w:lang w:eastAsia="es-MX"/>
              </w:rPr>
              <w:t>e Video</w:t>
            </w:r>
          </w:p>
        </w:tc>
        <w:tc>
          <w:tcPr>
            <w:tcW w:w="1330" w:type="dxa"/>
            <w:tcBorders>
              <w:top w:val="nil"/>
              <w:left w:val="nil"/>
              <w:bottom w:val="single" w:sz="8" w:space="0" w:color="auto"/>
              <w:right w:val="single" w:sz="8" w:space="0" w:color="auto"/>
            </w:tcBorders>
            <w:shd w:val="clear" w:color="F2F2F2" w:fill="FFFFFF"/>
            <w:noWrap/>
            <w:vAlign w:val="center"/>
            <w:hideMark/>
          </w:tcPr>
          <w:p w14:paraId="7D56056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8197D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34F6760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E1A451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w:t>
            </w:r>
          </w:p>
        </w:tc>
        <w:tc>
          <w:tcPr>
            <w:tcW w:w="1269" w:type="dxa"/>
            <w:tcBorders>
              <w:top w:val="nil"/>
              <w:left w:val="nil"/>
              <w:bottom w:val="single" w:sz="8" w:space="0" w:color="auto"/>
              <w:right w:val="single" w:sz="8" w:space="0" w:color="auto"/>
            </w:tcBorders>
            <w:shd w:val="clear" w:color="F2F2F2" w:fill="FFFFFF"/>
            <w:noWrap/>
            <w:vAlign w:val="center"/>
            <w:hideMark/>
          </w:tcPr>
          <w:p w14:paraId="00D8F10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1.67</w:t>
            </w:r>
          </w:p>
        </w:tc>
      </w:tr>
      <w:tr w:rsidR="00964D7F" w:rsidRPr="003D61EF" w14:paraId="3E56A98A"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77038E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4290</w:t>
            </w:r>
          </w:p>
        </w:tc>
        <w:tc>
          <w:tcPr>
            <w:tcW w:w="2997" w:type="dxa"/>
            <w:tcBorders>
              <w:top w:val="nil"/>
              <w:left w:val="nil"/>
              <w:bottom w:val="single" w:sz="8" w:space="0" w:color="auto"/>
              <w:right w:val="single" w:sz="8" w:space="0" w:color="auto"/>
            </w:tcBorders>
            <w:shd w:val="clear" w:color="F2F2F2" w:fill="FFFFFF"/>
            <w:noWrap/>
            <w:vAlign w:val="center"/>
            <w:hideMark/>
          </w:tcPr>
          <w:p w14:paraId="27432E2D"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Otro Mobiliario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 Educacional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Recreativo</w:t>
            </w:r>
          </w:p>
        </w:tc>
        <w:tc>
          <w:tcPr>
            <w:tcW w:w="1330" w:type="dxa"/>
            <w:tcBorders>
              <w:top w:val="nil"/>
              <w:left w:val="nil"/>
              <w:bottom w:val="single" w:sz="8" w:space="0" w:color="auto"/>
              <w:right w:val="single" w:sz="8" w:space="0" w:color="auto"/>
            </w:tcBorders>
            <w:shd w:val="clear" w:color="F2F2F2" w:fill="FFFFFF"/>
            <w:noWrap/>
            <w:vAlign w:val="center"/>
            <w:hideMark/>
          </w:tcPr>
          <w:p w14:paraId="574F3E2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61034C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06C5DBF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F94372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24146AE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4FDE17E0"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DB2E9C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4310</w:t>
            </w:r>
          </w:p>
        </w:tc>
        <w:tc>
          <w:tcPr>
            <w:tcW w:w="2997" w:type="dxa"/>
            <w:tcBorders>
              <w:top w:val="nil"/>
              <w:left w:val="nil"/>
              <w:bottom w:val="single" w:sz="8" w:space="0" w:color="auto"/>
              <w:right w:val="single" w:sz="8" w:space="0" w:color="auto"/>
            </w:tcBorders>
            <w:shd w:val="clear" w:color="F2F2F2" w:fill="FFFFFF"/>
            <w:noWrap/>
            <w:vAlign w:val="center"/>
            <w:hideMark/>
          </w:tcPr>
          <w:p w14:paraId="73BE43B0"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Equipo Médico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De Laboratorio</w:t>
            </w:r>
          </w:p>
        </w:tc>
        <w:tc>
          <w:tcPr>
            <w:tcW w:w="1330" w:type="dxa"/>
            <w:tcBorders>
              <w:top w:val="nil"/>
              <w:left w:val="nil"/>
              <w:bottom w:val="single" w:sz="8" w:space="0" w:color="auto"/>
              <w:right w:val="single" w:sz="8" w:space="0" w:color="auto"/>
            </w:tcBorders>
            <w:shd w:val="clear" w:color="F2F2F2" w:fill="FFFFFF"/>
            <w:noWrap/>
            <w:vAlign w:val="center"/>
            <w:hideMark/>
          </w:tcPr>
          <w:p w14:paraId="6537A81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337EBE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336187D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FA5CA5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564FD65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12353C17"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646D18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4320</w:t>
            </w:r>
          </w:p>
        </w:tc>
        <w:tc>
          <w:tcPr>
            <w:tcW w:w="2997" w:type="dxa"/>
            <w:tcBorders>
              <w:top w:val="nil"/>
              <w:left w:val="nil"/>
              <w:bottom w:val="single" w:sz="8" w:space="0" w:color="auto"/>
              <w:right w:val="single" w:sz="8" w:space="0" w:color="auto"/>
            </w:tcBorders>
            <w:shd w:val="clear" w:color="F2F2F2" w:fill="FFFFFF"/>
            <w:noWrap/>
            <w:vAlign w:val="center"/>
            <w:hideMark/>
          </w:tcPr>
          <w:p w14:paraId="35E10A20"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Instrumental Médico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De Laboratorio</w:t>
            </w:r>
          </w:p>
        </w:tc>
        <w:tc>
          <w:tcPr>
            <w:tcW w:w="1330" w:type="dxa"/>
            <w:tcBorders>
              <w:top w:val="nil"/>
              <w:left w:val="nil"/>
              <w:bottom w:val="single" w:sz="8" w:space="0" w:color="auto"/>
              <w:right w:val="single" w:sz="8" w:space="0" w:color="auto"/>
            </w:tcBorders>
            <w:shd w:val="clear" w:color="F2F2F2" w:fill="FFFFFF"/>
            <w:noWrap/>
            <w:vAlign w:val="center"/>
            <w:hideMark/>
          </w:tcPr>
          <w:p w14:paraId="154E3E8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75C2614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3D1B4B5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B2550F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w:t>
            </w:r>
          </w:p>
        </w:tc>
        <w:tc>
          <w:tcPr>
            <w:tcW w:w="1269" w:type="dxa"/>
            <w:tcBorders>
              <w:top w:val="nil"/>
              <w:left w:val="nil"/>
              <w:bottom w:val="single" w:sz="8" w:space="0" w:color="auto"/>
              <w:right w:val="single" w:sz="8" w:space="0" w:color="auto"/>
            </w:tcBorders>
            <w:shd w:val="clear" w:color="F2F2F2" w:fill="FFFFFF"/>
            <w:noWrap/>
            <w:vAlign w:val="center"/>
            <w:hideMark/>
          </w:tcPr>
          <w:p w14:paraId="419F2AA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1.67</w:t>
            </w:r>
          </w:p>
        </w:tc>
      </w:tr>
      <w:tr w:rsidR="00964D7F" w:rsidRPr="003D61EF" w14:paraId="3ED9846C"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F4F00E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4410</w:t>
            </w:r>
          </w:p>
        </w:tc>
        <w:tc>
          <w:tcPr>
            <w:tcW w:w="2997" w:type="dxa"/>
            <w:tcBorders>
              <w:top w:val="nil"/>
              <w:left w:val="nil"/>
              <w:bottom w:val="single" w:sz="8" w:space="0" w:color="auto"/>
              <w:right w:val="single" w:sz="8" w:space="0" w:color="auto"/>
            </w:tcBorders>
            <w:shd w:val="clear" w:color="F2F2F2" w:fill="FFFFFF"/>
            <w:noWrap/>
            <w:vAlign w:val="center"/>
            <w:hideMark/>
          </w:tcPr>
          <w:p w14:paraId="34E2100F"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Autos Para Uso Administrativo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De Oficina</w:t>
            </w:r>
          </w:p>
        </w:tc>
        <w:tc>
          <w:tcPr>
            <w:tcW w:w="1330" w:type="dxa"/>
            <w:tcBorders>
              <w:top w:val="nil"/>
              <w:left w:val="nil"/>
              <w:bottom w:val="single" w:sz="8" w:space="0" w:color="auto"/>
              <w:right w:val="single" w:sz="8" w:space="0" w:color="auto"/>
            </w:tcBorders>
            <w:shd w:val="clear" w:color="F2F2F2" w:fill="FFFFFF"/>
            <w:noWrap/>
            <w:vAlign w:val="center"/>
            <w:hideMark/>
          </w:tcPr>
          <w:p w14:paraId="5F8ED22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520558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8" w:space="0" w:color="auto"/>
              <w:right w:val="single" w:sz="8" w:space="0" w:color="auto"/>
            </w:tcBorders>
            <w:shd w:val="clear" w:color="F2F2F2" w:fill="FFFFFF"/>
            <w:noWrap/>
            <w:vAlign w:val="center"/>
            <w:hideMark/>
          </w:tcPr>
          <w:p w14:paraId="447D89C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1F1ACB6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8" w:space="0" w:color="auto"/>
              <w:right w:val="single" w:sz="8" w:space="0" w:color="auto"/>
            </w:tcBorders>
            <w:shd w:val="clear" w:color="F2F2F2" w:fill="FFFFFF"/>
            <w:noWrap/>
            <w:vAlign w:val="center"/>
            <w:hideMark/>
          </w:tcPr>
          <w:p w14:paraId="61F9951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D61EF" w14:paraId="6DCAE632"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9BA00B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4411</w:t>
            </w:r>
          </w:p>
        </w:tc>
        <w:tc>
          <w:tcPr>
            <w:tcW w:w="2997" w:type="dxa"/>
            <w:tcBorders>
              <w:top w:val="nil"/>
              <w:left w:val="nil"/>
              <w:bottom w:val="single" w:sz="8" w:space="0" w:color="auto"/>
              <w:right w:val="single" w:sz="8" w:space="0" w:color="auto"/>
            </w:tcBorders>
            <w:shd w:val="clear" w:color="F2F2F2" w:fill="FFFFFF"/>
            <w:noWrap/>
            <w:vAlign w:val="center"/>
            <w:hideMark/>
          </w:tcPr>
          <w:p w14:paraId="2FBB6D3D"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Grúas</w:t>
            </w:r>
          </w:p>
        </w:tc>
        <w:tc>
          <w:tcPr>
            <w:tcW w:w="1330" w:type="dxa"/>
            <w:tcBorders>
              <w:top w:val="nil"/>
              <w:left w:val="nil"/>
              <w:bottom w:val="single" w:sz="8" w:space="0" w:color="auto"/>
              <w:right w:val="single" w:sz="8" w:space="0" w:color="auto"/>
            </w:tcBorders>
            <w:shd w:val="clear" w:color="F2F2F2" w:fill="FFFFFF"/>
            <w:noWrap/>
            <w:vAlign w:val="center"/>
            <w:hideMark/>
          </w:tcPr>
          <w:p w14:paraId="445A8C6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0CA5EE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8" w:space="0" w:color="auto"/>
              <w:right w:val="single" w:sz="8" w:space="0" w:color="auto"/>
            </w:tcBorders>
            <w:shd w:val="clear" w:color="F2F2F2" w:fill="FFFFFF"/>
            <w:noWrap/>
            <w:vAlign w:val="center"/>
            <w:hideMark/>
          </w:tcPr>
          <w:p w14:paraId="4EA7C94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5E2020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8" w:space="0" w:color="auto"/>
              <w:right w:val="single" w:sz="8" w:space="0" w:color="auto"/>
            </w:tcBorders>
            <w:shd w:val="clear" w:color="F2F2F2" w:fill="FFFFFF"/>
            <w:noWrap/>
            <w:vAlign w:val="center"/>
            <w:hideMark/>
          </w:tcPr>
          <w:p w14:paraId="1A73F6A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D61EF" w14:paraId="179903EE"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BEDF17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4412</w:t>
            </w:r>
          </w:p>
        </w:tc>
        <w:tc>
          <w:tcPr>
            <w:tcW w:w="2997" w:type="dxa"/>
            <w:tcBorders>
              <w:top w:val="nil"/>
              <w:left w:val="nil"/>
              <w:bottom w:val="single" w:sz="8" w:space="0" w:color="auto"/>
              <w:right w:val="single" w:sz="8" w:space="0" w:color="auto"/>
            </w:tcBorders>
            <w:shd w:val="clear" w:color="F2F2F2" w:fill="FFFFFF"/>
            <w:noWrap/>
            <w:vAlign w:val="center"/>
            <w:hideMark/>
          </w:tcPr>
          <w:p w14:paraId="12555240"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Autobuses, Microbuses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Vans</w:t>
            </w:r>
          </w:p>
        </w:tc>
        <w:tc>
          <w:tcPr>
            <w:tcW w:w="1330" w:type="dxa"/>
            <w:tcBorders>
              <w:top w:val="nil"/>
              <w:left w:val="nil"/>
              <w:bottom w:val="single" w:sz="8" w:space="0" w:color="auto"/>
              <w:right w:val="single" w:sz="8" w:space="0" w:color="auto"/>
            </w:tcBorders>
            <w:shd w:val="clear" w:color="F2F2F2" w:fill="FFFFFF"/>
            <w:noWrap/>
            <w:vAlign w:val="center"/>
            <w:hideMark/>
          </w:tcPr>
          <w:p w14:paraId="6E4129E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54F270A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8" w:space="0" w:color="auto"/>
              <w:right w:val="single" w:sz="8" w:space="0" w:color="auto"/>
            </w:tcBorders>
            <w:shd w:val="clear" w:color="F2F2F2" w:fill="FFFFFF"/>
            <w:noWrap/>
            <w:vAlign w:val="center"/>
            <w:hideMark/>
          </w:tcPr>
          <w:p w14:paraId="73D8340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8517C7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8" w:space="0" w:color="auto"/>
              <w:right w:val="single" w:sz="8" w:space="0" w:color="auto"/>
            </w:tcBorders>
            <w:shd w:val="clear" w:color="F2F2F2" w:fill="FFFFFF"/>
            <w:noWrap/>
            <w:vAlign w:val="center"/>
            <w:hideMark/>
          </w:tcPr>
          <w:p w14:paraId="79218FD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D61EF" w14:paraId="6E3C865D"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43871A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4413</w:t>
            </w:r>
          </w:p>
        </w:tc>
        <w:tc>
          <w:tcPr>
            <w:tcW w:w="2997" w:type="dxa"/>
            <w:tcBorders>
              <w:top w:val="nil"/>
              <w:left w:val="nil"/>
              <w:bottom w:val="single" w:sz="8" w:space="0" w:color="auto"/>
              <w:right w:val="single" w:sz="8" w:space="0" w:color="auto"/>
            </w:tcBorders>
            <w:shd w:val="clear" w:color="F2F2F2" w:fill="FFFFFF"/>
            <w:noWrap/>
            <w:vAlign w:val="center"/>
            <w:hideMark/>
          </w:tcPr>
          <w:p w14:paraId="646C728C"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Camiones De Volteo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Carga</w:t>
            </w:r>
          </w:p>
        </w:tc>
        <w:tc>
          <w:tcPr>
            <w:tcW w:w="1330" w:type="dxa"/>
            <w:tcBorders>
              <w:top w:val="nil"/>
              <w:left w:val="nil"/>
              <w:bottom w:val="single" w:sz="8" w:space="0" w:color="auto"/>
              <w:right w:val="single" w:sz="8" w:space="0" w:color="auto"/>
            </w:tcBorders>
            <w:shd w:val="clear" w:color="F2F2F2" w:fill="FFFFFF"/>
            <w:noWrap/>
            <w:vAlign w:val="center"/>
            <w:hideMark/>
          </w:tcPr>
          <w:p w14:paraId="2F735A2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77553B5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8" w:space="0" w:color="auto"/>
              <w:right w:val="single" w:sz="8" w:space="0" w:color="auto"/>
            </w:tcBorders>
            <w:shd w:val="clear" w:color="F2F2F2" w:fill="FFFFFF"/>
            <w:noWrap/>
            <w:vAlign w:val="center"/>
            <w:hideMark/>
          </w:tcPr>
          <w:p w14:paraId="1BD3526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50CF76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8" w:space="0" w:color="auto"/>
              <w:right w:val="single" w:sz="8" w:space="0" w:color="auto"/>
            </w:tcBorders>
            <w:shd w:val="clear" w:color="F2F2F2" w:fill="FFFFFF"/>
            <w:noWrap/>
            <w:vAlign w:val="center"/>
            <w:hideMark/>
          </w:tcPr>
          <w:p w14:paraId="2D7B4CC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D61EF" w14:paraId="0EDA80C6"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22FBA07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4414</w:t>
            </w:r>
          </w:p>
        </w:tc>
        <w:tc>
          <w:tcPr>
            <w:tcW w:w="2997" w:type="dxa"/>
            <w:tcBorders>
              <w:top w:val="nil"/>
              <w:left w:val="nil"/>
              <w:bottom w:val="single" w:sz="8" w:space="0" w:color="auto"/>
              <w:right w:val="single" w:sz="8" w:space="0" w:color="auto"/>
            </w:tcBorders>
            <w:shd w:val="clear" w:color="F2F2F2" w:fill="FFFFFF"/>
            <w:noWrap/>
            <w:vAlign w:val="center"/>
            <w:hideMark/>
          </w:tcPr>
          <w:p w14:paraId="2A47A05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Ambulancias</w:t>
            </w:r>
          </w:p>
        </w:tc>
        <w:tc>
          <w:tcPr>
            <w:tcW w:w="1330" w:type="dxa"/>
            <w:tcBorders>
              <w:top w:val="nil"/>
              <w:left w:val="nil"/>
              <w:bottom w:val="single" w:sz="8" w:space="0" w:color="auto"/>
              <w:right w:val="single" w:sz="8" w:space="0" w:color="auto"/>
            </w:tcBorders>
            <w:shd w:val="clear" w:color="F2F2F2" w:fill="FFFFFF"/>
            <w:noWrap/>
            <w:vAlign w:val="center"/>
            <w:hideMark/>
          </w:tcPr>
          <w:p w14:paraId="18DE07E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8E2503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w:t>
            </w:r>
          </w:p>
        </w:tc>
        <w:tc>
          <w:tcPr>
            <w:tcW w:w="967" w:type="dxa"/>
            <w:tcBorders>
              <w:top w:val="nil"/>
              <w:left w:val="nil"/>
              <w:bottom w:val="single" w:sz="8" w:space="0" w:color="auto"/>
              <w:right w:val="single" w:sz="8" w:space="0" w:color="auto"/>
            </w:tcBorders>
            <w:shd w:val="clear" w:color="F2F2F2" w:fill="FFFFFF"/>
            <w:noWrap/>
            <w:vAlign w:val="center"/>
            <w:hideMark/>
          </w:tcPr>
          <w:p w14:paraId="3D2CD86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C77A42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16.67</w:t>
            </w:r>
          </w:p>
        </w:tc>
        <w:tc>
          <w:tcPr>
            <w:tcW w:w="1269" w:type="dxa"/>
            <w:tcBorders>
              <w:top w:val="nil"/>
              <w:left w:val="nil"/>
              <w:bottom w:val="single" w:sz="8" w:space="0" w:color="auto"/>
              <w:right w:val="single" w:sz="8" w:space="0" w:color="auto"/>
            </w:tcBorders>
            <w:shd w:val="clear" w:color="F2F2F2" w:fill="FFFFFF"/>
            <w:noWrap/>
            <w:vAlign w:val="center"/>
            <w:hideMark/>
          </w:tcPr>
          <w:p w14:paraId="14E0CB0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1.39</w:t>
            </w:r>
          </w:p>
        </w:tc>
      </w:tr>
      <w:tr w:rsidR="00964D7F" w:rsidRPr="003D61EF" w14:paraId="34730A02"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F8AF79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4415</w:t>
            </w:r>
          </w:p>
        </w:tc>
        <w:tc>
          <w:tcPr>
            <w:tcW w:w="2997" w:type="dxa"/>
            <w:tcBorders>
              <w:top w:val="nil"/>
              <w:left w:val="nil"/>
              <w:bottom w:val="single" w:sz="8" w:space="0" w:color="auto"/>
              <w:right w:val="single" w:sz="8" w:space="0" w:color="auto"/>
            </w:tcBorders>
            <w:shd w:val="clear" w:color="F2F2F2" w:fill="FFFFFF"/>
            <w:noWrap/>
            <w:vAlign w:val="center"/>
            <w:hideMark/>
          </w:tcPr>
          <w:p w14:paraId="4149E0A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Camiones De Basura</w:t>
            </w:r>
          </w:p>
        </w:tc>
        <w:tc>
          <w:tcPr>
            <w:tcW w:w="1330" w:type="dxa"/>
            <w:tcBorders>
              <w:top w:val="nil"/>
              <w:left w:val="nil"/>
              <w:bottom w:val="single" w:sz="8" w:space="0" w:color="auto"/>
              <w:right w:val="single" w:sz="8" w:space="0" w:color="auto"/>
            </w:tcBorders>
            <w:shd w:val="clear" w:color="F2F2F2" w:fill="FFFFFF"/>
            <w:noWrap/>
            <w:vAlign w:val="center"/>
            <w:hideMark/>
          </w:tcPr>
          <w:p w14:paraId="4A3D584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E70E9F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w:t>
            </w:r>
          </w:p>
        </w:tc>
        <w:tc>
          <w:tcPr>
            <w:tcW w:w="967" w:type="dxa"/>
            <w:tcBorders>
              <w:top w:val="nil"/>
              <w:left w:val="nil"/>
              <w:bottom w:val="single" w:sz="8" w:space="0" w:color="auto"/>
              <w:right w:val="single" w:sz="8" w:space="0" w:color="auto"/>
            </w:tcBorders>
            <w:shd w:val="clear" w:color="F2F2F2" w:fill="FFFFFF"/>
            <w:noWrap/>
            <w:vAlign w:val="center"/>
            <w:hideMark/>
          </w:tcPr>
          <w:p w14:paraId="3CCDB0A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9FFE34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16.67</w:t>
            </w:r>
          </w:p>
        </w:tc>
        <w:tc>
          <w:tcPr>
            <w:tcW w:w="1269" w:type="dxa"/>
            <w:tcBorders>
              <w:top w:val="nil"/>
              <w:left w:val="nil"/>
              <w:bottom w:val="single" w:sz="8" w:space="0" w:color="auto"/>
              <w:right w:val="single" w:sz="8" w:space="0" w:color="auto"/>
            </w:tcBorders>
            <w:shd w:val="clear" w:color="F2F2F2" w:fill="FFFFFF"/>
            <w:noWrap/>
            <w:vAlign w:val="center"/>
            <w:hideMark/>
          </w:tcPr>
          <w:p w14:paraId="28BEA2A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1.39</w:t>
            </w:r>
          </w:p>
        </w:tc>
      </w:tr>
      <w:tr w:rsidR="00964D7F" w:rsidRPr="003D61EF" w14:paraId="4FB3663E"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C53B5A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4416</w:t>
            </w:r>
          </w:p>
        </w:tc>
        <w:tc>
          <w:tcPr>
            <w:tcW w:w="2997" w:type="dxa"/>
            <w:tcBorders>
              <w:top w:val="nil"/>
              <w:left w:val="nil"/>
              <w:bottom w:val="single" w:sz="8" w:space="0" w:color="auto"/>
              <w:right w:val="single" w:sz="8" w:space="0" w:color="auto"/>
            </w:tcBorders>
            <w:shd w:val="clear" w:color="F2F2F2" w:fill="FFFFFF"/>
            <w:noWrap/>
            <w:vAlign w:val="center"/>
            <w:hideMark/>
          </w:tcPr>
          <w:p w14:paraId="726DD4EF"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Patrullas,</w:t>
            </w:r>
            <w:r w:rsidRPr="003D61EF">
              <w:rPr>
                <w:rFonts w:eastAsia="Times New Roman" w:cs="Calibri"/>
                <w:color w:val="000000"/>
                <w:sz w:val="13"/>
                <w:szCs w:val="13"/>
                <w:lang w:eastAsia="es-MX"/>
              </w:rPr>
              <w:t xml:space="preserve"> </w:t>
            </w:r>
            <w:r w:rsidRPr="00322837">
              <w:rPr>
                <w:rFonts w:eastAsia="Times New Roman" w:cs="Calibri"/>
                <w:color w:val="000000"/>
                <w:sz w:val="13"/>
                <w:szCs w:val="13"/>
                <w:lang w:eastAsia="es-MX"/>
              </w:rPr>
              <w:t xml:space="preserve">Motocicletas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Cuatrimotos</w:t>
            </w:r>
          </w:p>
        </w:tc>
        <w:tc>
          <w:tcPr>
            <w:tcW w:w="1330" w:type="dxa"/>
            <w:tcBorders>
              <w:top w:val="nil"/>
              <w:left w:val="nil"/>
              <w:bottom w:val="single" w:sz="8" w:space="0" w:color="auto"/>
              <w:right w:val="single" w:sz="8" w:space="0" w:color="auto"/>
            </w:tcBorders>
            <w:shd w:val="clear" w:color="F2F2F2" w:fill="FFFFFF"/>
            <w:noWrap/>
            <w:vAlign w:val="center"/>
            <w:hideMark/>
          </w:tcPr>
          <w:p w14:paraId="7A8ED74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54E57B6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967" w:type="dxa"/>
            <w:tcBorders>
              <w:top w:val="nil"/>
              <w:left w:val="nil"/>
              <w:bottom w:val="single" w:sz="8" w:space="0" w:color="auto"/>
              <w:right w:val="single" w:sz="8" w:space="0" w:color="auto"/>
            </w:tcBorders>
            <w:shd w:val="clear" w:color="F2F2F2" w:fill="FFFFFF"/>
            <w:noWrap/>
            <w:vAlign w:val="center"/>
            <w:hideMark/>
          </w:tcPr>
          <w:p w14:paraId="02BC430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w:t>
            </w:r>
          </w:p>
        </w:tc>
        <w:tc>
          <w:tcPr>
            <w:tcW w:w="967" w:type="dxa"/>
            <w:tcBorders>
              <w:top w:val="nil"/>
              <w:left w:val="nil"/>
              <w:bottom w:val="single" w:sz="8" w:space="0" w:color="auto"/>
              <w:right w:val="single" w:sz="8" w:space="0" w:color="auto"/>
            </w:tcBorders>
            <w:shd w:val="clear" w:color="F2F2F2" w:fill="FFFFFF"/>
            <w:noWrap/>
            <w:vAlign w:val="center"/>
            <w:hideMark/>
          </w:tcPr>
          <w:p w14:paraId="0B648C9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1269" w:type="dxa"/>
            <w:tcBorders>
              <w:top w:val="nil"/>
              <w:left w:val="nil"/>
              <w:bottom w:val="single" w:sz="8" w:space="0" w:color="auto"/>
              <w:right w:val="single" w:sz="8" w:space="0" w:color="auto"/>
            </w:tcBorders>
            <w:shd w:val="clear" w:color="F2F2F2" w:fill="FFFFFF"/>
            <w:noWrap/>
            <w:vAlign w:val="center"/>
            <w:hideMark/>
          </w:tcPr>
          <w:p w14:paraId="2B72019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2.08</w:t>
            </w:r>
          </w:p>
        </w:tc>
      </w:tr>
      <w:tr w:rsidR="00964D7F" w:rsidRPr="003D61EF" w14:paraId="573716C9"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066412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4420</w:t>
            </w:r>
          </w:p>
        </w:tc>
        <w:tc>
          <w:tcPr>
            <w:tcW w:w="2997" w:type="dxa"/>
            <w:tcBorders>
              <w:top w:val="nil"/>
              <w:left w:val="nil"/>
              <w:bottom w:val="single" w:sz="8" w:space="0" w:color="auto"/>
              <w:right w:val="single" w:sz="8" w:space="0" w:color="auto"/>
            </w:tcBorders>
            <w:shd w:val="clear" w:color="F2F2F2" w:fill="FFFFFF"/>
            <w:noWrap/>
            <w:vAlign w:val="center"/>
            <w:hideMark/>
          </w:tcPr>
          <w:p w14:paraId="5DDEA1F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Carrocerías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Remolques</w:t>
            </w:r>
          </w:p>
        </w:tc>
        <w:tc>
          <w:tcPr>
            <w:tcW w:w="1330" w:type="dxa"/>
            <w:tcBorders>
              <w:top w:val="nil"/>
              <w:left w:val="nil"/>
              <w:bottom w:val="single" w:sz="8" w:space="0" w:color="auto"/>
              <w:right w:val="single" w:sz="8" w:space="0" w:color="auto"/>
            </w:tcBorders>
            <w:shd w:val="clear" w:color="F2F2F2" w:fill="FFFFFF"/>
            <w:noWrap/>
            <w:vAlign w:val="center"/>
            <w:hideMark/>
          </w:tcPr>
          <w:p w14:paraId="40F7E23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0AEF46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15</w:t>
            </w:r>
          </w:p>
        </w:tc>
        <w:tc>
          <w:tcPr>
            <w:tcW w:w="967" w:type="dxa"/>
            <w:tcBorders>
              <w:top w:val="nil"/>
              <w:left w:val="nil"/>
              <w:bottom w:val="single" w:sz="8" w:space="0" w:color="auto"/>
              <w:right w:val="single" w:sz="8" w:space="0" w:color="auto"/>
            </w:tcBorders>
            <w:shd w:val="clear" w:color="F2F2F2" w:fill="FFFFFF"/>
            <w:noWrap/>
            <w:vAlign w:val="center"/>
            <w:hideMark/>
          </w:tcPr>
          <w:p w14:paraId="52E3271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w:t>
            </w:r>
          </w:p>
        </w:tc>
        <w:tc>
          <w:tcPr>
            <w:tcW w:w="967" w:type="dxa"/>
            <w:tcBorders>
              <w:top w:val="nil"/>
              <w:left w:val="nil"/>
              <w:bottom w:val="single" w:sz="8" w:space="0" w:color="auto"/>
              <w:right w:val="single" w:sz="8" w:space="0" w:color="auto"/>
            </w:tcBorders>
            <w:shd w:val="clear" w:color="F2F2F2" w:fill="FFFFFF"/>
            <w:noWrap/>
            <w:vAlign w:val="center"/>
            <w:hideMark/>
          </w:tcPr>
          <w:p w14:paraId="6F5FEAC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6.67</w:t>
            </w:r>
          </w:p>
        </w:tc>
        <w:tc>
          <w:tcPr>
            <w:tcW w:w="1269" w:type="dxa"/>
            <w:tcBorders>
              <w:top w:val="nil"/>
              <w:left w:val="nil"/>
              <w:bottom w:val="single" w:sz="8" w:space="0" w:color="auto"/>
              <w:right w:val="single" w:sz="8" w:space="0" w:color="auto"/>
            </w:tcBorders>
            <w:shd w:val="clear" w:color="F2F2F2" w:fill="FFFFFF"/>
            <w:noWrap/>
            <w:vAlign w:val="center"/>
            <w:hideMark/>
          </w:tcPr>
          <w:p w14:paraId="4DBFEEC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0.56</w:t>
            </w:r>
          </w:p>
        </w:tc>
      </w:tr>
      <w:tr w:rsidR="00964D7F" w:rsidRPr="003D61EF" w14:paraId="613B376E"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772117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4430</w:t>
            </w:r>
          </w:p>
        </w:tc>
        <w:tc>
          <w:tcPr>
            <w:tcW w:w="2997" w:type="dxa"/>
            <w:tcBorders>
              <w:top w:val="nil"/>
              <w:left w:val="nil"/>
              <w:bottom w:val="single" w:sz="8" w:space="0" w:color="auto"/>
              <w:right w:val="single" w:sz="8" w:space="0" w:color="auto"/>
            </w:tcBorders>
            <w:shd w:val="clear" w:color="F2F2F2" w:fill="FFFFFF"/>
            <w:noWrap/>
            <w:vAlign w:val="center"/>
            <w:hideMark/>
          </w:tcPr>
          <w:p w14:paraId="6E1499A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Equipo Aeroespacial</w:t>
            </w:r>
          </w:p>
        </w:tc>
        <w:tc>
          <w:tcPr>
            <w:tcW w:w="1330" w:type="dxa"/>
            <w:tcBorders>
              <w:top w:val="nil"/>
              <w:left w:val="nil"/>
              <w:bottom w:val="single" w:sz="8" w:space="0" w:color="auto"/>
              <w:right w:val="single" w:sz="8" w:space="0" w:color="auto"/>
            </w:tcBorders>
            <w:shd w:val="clear" w:color="F2F2F2" w:fill="FFFFFF"/>
            <w:noWrap/>
            <w:vAlign w:val="center"/>
            <w:hideMark/>
          </w:tcPr>
          <w:p w14:paraId="2758A2D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E6D05D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15</w:t>
            </w:r>
          </w:p>
        </w:tc>
        <w:tc>
          <w:tcPr>
            <w:tcW w:w="967" w:type="dxa"/>
            <w:tcBorders>
              <w:top w:val="nil"/>
              <w:left w:val="nil"/>
              <w:bottom w:val="single" w:sz="8" w:space="0" w:color="auto"/>
              <w:right w:val="single" w:sz="8" w:space="0" w:color="auto"/>
            </w:tcBorders>
            <w:shd w:val="clear" w:color="F2F2F2" w:fill="FFFFFF"/>
            <w:noWrap/>
            <w:vAlign w:val="center"/>
            <w:hideMark/>
          </w:tcPr>
          <w:p w14:paraId="07854E1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2010908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6.67</w:t>
            </w:r>
          </w:p>
        </w:tc>
        <w:tc>
          <w:tcPr>
            <w:tcW w:w="1269" w:type="dxa"/>
            <w:tcBorders>
              <w:top w:val="nil"/>
              <w:left w:val="nil"/>
              <w:bottom w:val="single" w:sz="8" w:space="0" w:color="auto"/>
              <w:right w:val="single" w:sz="8" w:space="0" w:color="auto"/>
            </w:tcBorders>
            <w:shd w:val="clear" w:color="F2F2F2" w:fill="FFFFFF"/>
            <w:noWrap/>
            <w:vAlign w:val="center"/>
            <w:hideMark/>
          </w:tcPr>
          <w:p w14:paraId="3686822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0.56</w:t>
            </w:r>
          </w:p>
        </w:tc>
      </w:tr>
      <w:tr w:rsidR="00964D7F" w:rsidRPr="003D61EF" w14:paraId="14028CEB"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7CA521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4431</w:t>
            </w:r>
          </w:p>
        </w:tc>
        <w:tc>
          <w:tcPr>
            <w:tcW w:w="2997" w:type="dxa"/>
            <w:tcBorders>
              <w:top w:val="nil"/>
              <w:left w:val="nil"/>
              <w:bottom w:val="single" w:sz="8" w:space="0" w:color="auto"/>
              <w:right w:val="single" w:sz="8" w:space="0" w:color="auto"/>
            </w:tcBorders>
            <w:shd w:val="clear" w:color="F2F2F2" w:fill="FFFFFF"/>
            <w:noWrap/>
            <w:vAlign w:val="center"/>
            <w:hideMark/>
          </w:tcPr>
          <w:p w14:paraId="67BB77F2"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Vehículo Aeroespacial No Tripulado</w:t>
            </w:r>
          </w:p>
        </w:tc>
        <w:tc>
          <w:tcPr>
            <w:tcW w:w="1330" w:type="dxa"/>
            <w:tcBorders>
              <w:top w:val="nil"/>
              <w:left w:val="nil"/>
              <w:bottom w:val="single" w:sz="8" w:space="0" w:color="auto"/>
              <w:right w:val="single" w:sz="8" w:space="0" w:color="auto"/>
            </w:tcBorders>
            <w:shd w:val="clear" w:color="F2F2F2" w:fill="FFFFFF"/>
            <w:noWrap/>
            <w:vAlign w:val="center"/>
            <w:hideMark/>
          </w:tcPr>
          <w:p w14:paraId="1DF55EF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9494B0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3BD10E5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E1FC03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w:t>
            </w:r>
          </w:p>
        </w:tc>
        <w:tc>
          <w:tcPr>
            <w:tcW w:w="1269" w:type="dxa"/>
            <w:tcBorders>
              <w:top w:val="nil"/>
              <w:left w:val="nil"/>
              <w:bottom w:val="single" w:sz="8" w:space="0" w:color="auto"/>
              <w:right w:val="single" w:sz="8" w:space="0" w:color="auto"/>
            </w:tcBorders>
            <w:shd w:val="clear" w:color="F2F2F2" w:fill="FFFFFF"/>
            <w:noWrap/>
            <w:vAlign w:val="center"/>
            <w:hideMark/>
          </w:tcPr>
          <w:p w14:paraId="031D3EE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1.67</w:t>
            </w:r>
          </w:p>
        </w:tc>
      </w:tr>
      <w:tr w:rsidR="00964D7F" w:rsidRPr="003D61EF" w14:paraId="07DC9F53"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0E4CFE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4440</w:t>
            </w:r>
          </w:p>
        </w:tc>
        <w:tc>
          <w:tcPr>
            <w:tcW w:w="2997" w:type="dxa"/>
            <w:tcBorders>
              <w:top w:val="nil"/>
              <w:left w:val="nil"/>
              <w:bottom w:val="single" w:sz="8" w:space="0" w:color="auto"/>
              <w:right w:val="single" w:sz="8" w:space="0" w:color="auto"/>
            </w:tcBorders>
            <w:shd w:val="clear" w:color="F2F2F2" w:fill="FFFFFF"/>
            <w:noWrap/>
            <w:vAlign w:val="center"/>
            <w:hideMark/>
          </w:tcPr>
          <w:p w14:paraId="25092BDC"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Equipo Ferroviario</w:t>
            </w:r>
          </w:p>
        </w:tc>
        <w:tc>
          <w:tcPr>
            <w:tcW w:w="1330" w:type="dxa"/>
            <w:tcBorders>
              <w:top w:val="nil"/>
              <w:left w:val="nil"/>
              <w:bottom w:val="single" w:sz="8" w:space="0" w:color="auto"/>
              <w:right w:val="single" w:sz="8" w:space="0" w:color="auto"/>
            </w:tcBorders>
            <w:shd w:val="clear" w:color="F2F2F2" w:fill="FFFFFF"/>
            <w:noWrap/>
            <w:vAlign w:val="center"/>
            <w:hideMark/>
          </w:tcPr>
          <w:p w14:paraId="6BE4675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45C8AC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5D45EEC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EE54DD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1DE8D26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7E61AD62"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5D8E7D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4450</w:t>
            </w:r>
          </w:p>
        </w:tc>
        <w:tc>
          <w:tcPr>
            <w:tcW w:w="2997" w:type="dxa"/>
            <w:tcBorders>
              <w:top w:val="nil"/>
              <w:left w:val="nil"/>
              <w:bottom w:val="single" w:sz="8" w:space="0" w:color="auto"/>
              <w:right w:val="single" w:sz="8" w:space="0" w:color="auto"/>
            </w:tcBorders>
            <w:shd w:val="clear" w:color="F2F2F2" w:fill="FFFFFF"/>
            <w:noWrap/>
            <w:vAlign w:val="center"/>
            <w:hideMark/>
          </w:tcPr>
          <w:p w14:paraId="5D427E17"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Embarcaciones</w:t>
            </w:r>
          </w:p>
        </w:tc>
        <w:tc>
          <w:tcPr>
            <w:tcW w:w="1330" w:type="dxa"/>
            <w:tcBorders>
              <w:top w:val="nil"/>
              <w:left w:val="nil"/>
              <w:bottom w:val="single" w:sz="8" w:space="0" w:color="auto"/>
              <w:right w:val="single" w:sz="8" w:space="0" w:color="auto"/>
            </w:tcBorders>
            <w:shd w:val="clear" w:color="F2F2F2" w:fill="FFFFFF"/>
            <w:noWrap/>
            <w:vAlign w:val="center"/>
            <w:hideMark/>
          </w:tcPr>
          <w:p w14:paraId="5AEC1C8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F0F87F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15</w:t>
            </w:r>
          </w:p>
        </w:tc>
        <w:tc>
          <w:tcPr>
            <w:tcW w:w="967" w:type="dxa"/>
            <w:tcBorders>
              <w:top w:val="nil"/>
              <w:left w:val="nil"/>
              <w:bottom w:val="single" w:sz="8" w:space="0" w:color="auto"/>
              <w:right w:val="single" w:sz="8" w:space="0" w:color="auto"/>
            </w:tcBorders>
            <w:shd w:val="clear" w:color="F2F2F2" w:fill="FFFFFF"/>
            <w:noWrap/>
            <w:vAlign w:val="center"/>
            <w:hideMark/>
          </w:tcPr>
          <w:p w14:paraId="01E0D50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2959E28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6.67</w:t>
            </w:r>
          </w:p>
        </w:tc>
        <w:tc>
          <w:tcPr>
            <w:tcW w:w="1269" w:type="dxa"/>
            <w:tcBorders>
              <w:top w:val="nil"/>
              <w:left w:val="nil"/>
              <w:bottom w:val="single" w:sz="8" w:space="0" w:color="auto"/>
              <w:right w:val="single" w:sz="8" w:space="0" w:color="auto"/>
            </w:tcBorders>
            <w:shd w:val="clear" w:color="F2F2F2" w:fill="FFFFFF"/>
            <w:noWrap/>
            <w:vAlign w:val="center"/>
            <w:hideMark/>
          </w:tcPr>
          <w:p w14:paraId="7855607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0.56</w:t>
            </w:r>
          </w:p>
        </w:tc>
      </w:tr>
      <w:tr w:rsidR="00964D7F" w:rsidRPr="003D61EF" w14:paraId="2C665380"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4457CD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4490</w:t>
            </w:r>
          </w:p>
        </w:tc>
        <w:tc>
          <w:tcPr>
            <w:tcW w:w="2997" w:type="dxa"/>
            <w:tcBorders>
              <w:top w:val="nil"/>
              <w:left w:val="nil"/>
              <w:bottom w:val="single" w:sz="8" w:space="0" w:color="auto"/>
              <w:right w:val="single" w:sz="8" w:space="0" w:color="auto"/>
            </w:tcBorders>
            <w:shd w:val="clear" w:color="F2F2F2" w:fill="FFFFFF"/>
            <w:noWrap/>
            <w:vAlign w:val="center"/>
            <w:hideMark/>
          </w:tcPr>
          <w:p w14:paraId="78D22D46"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Otros Equipos De Transporte</w:t>
            </w:r>
          </w:p>
        </w:tc>
        <w:tc>
          <w:tcPr>
            <w:tcW w:w="1330" w:type="dxa"/>
            <w:tcBorders>
              <w:top w:val="nil"/>
              <w:left w:val="nil"/>
              <w:bottom w:val="single" w:sz="8" w:space="0" w:color="auto"/>
              <w:right w:val="single" w:sz="8" w:space="0" w:color="auto"/>
            </w:tcBorders>
            <w:shd w:val="clear" w:color="F2F2F2" w:fill="FFFFFF"/>
            <w:noWrap/>
            <w:vAlign w:val="center"/>
            <w:hideMark/>
          </w:tcPr>
          <w:p w14:paraId="321FBDF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6C8213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8" w:space="0" w:color="auto"/>
              <w:right w:val="single" w:sz="8" w:space="0" w:color="auto"/>
            </w:tcBorders>
            <w:shd w:val="clear" w:color="F2F2F2" w:fill="FFFFFF"/>
            <w:noWrap/>
            <w:vAlign w:val="center"/>
            <w:hideMark/>
          </w:tcPr>
          <w:p w14:paraId="46AF55C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F7ABDD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8" w:space="0" w:color="auto"/>
              <w:right w:val="single" w:sz="8" w:space="0" w:color="auto"/>
            </w:tcBorders>
            <w:shd w:val="clear" w:color="F2F2F2" w:fill="FFFFFF"/>
            <w:noWrap/>
            <w:vAlign w:val="center"/>
            <w:hideMark/>
          </w:tcPr>
          <w:p w14:paraId="32D18EF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D61EF" w14:paraId="231B1E93"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C9E310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4500</w:t>
            </w:r>
          </w:p>
        </w:tc>
        <w:tc>
          <w:tcPr>
            <w:tcW w:w="2997" w:type="dxa"/>
            <w:tcBorders>
              <w:top w:val="nil"/>
              <w:left w:val="nil"/>
              <w:bottom w:val="single" w:sz="8" w:space="0" w:color="auto"/>
              <w:right w:val="single" w:sz="8" w:space="0" w:color="auto"/>
            </w:tcBorders>
            <w:shd w:val="clear" w:color="F2F2F2" w:fill="FFFFFF"/>
            <w:noWrap/>
            <w:vAlign w:val="center"/>
            <w:hideMark/>
          </w:tcPr>
          <w:p w14:paraId="0BCD0B4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Equipo De Seguridad Publica</w:t>
            </w:r>
          </w:p>
        </w:tc>
        <w:tc>
          <w:tcPr>
            <w:tcW w:w="1330" w:type="dxa"/>
            <w:tcBorders>
              <w:top w:val="nil"/>
              <w:left w:val="nil"/>
              <w:bottom w:val="single" w:sz="8" w:space="0" w:color="auto"/>
              <w:right w:val="single" w:sz="8" w:space="0" w:color="auto"/>
            </w:tcBorders>
            <w:shd w:val="clear" w:color="F2F2F2" w:fill="FFFFFF"/>
            <w:noWrap/>
            <w:vAlign w:val="center"/>
            <w:hideMark/>
          </w:tcPr>
          <w:p w14:paraId="543776B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ED334D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967" w:type="dxa"/>
            <w:tcBorders>
              <w:top w:val="nil"/>
              <w:left w:val="nil"/>
              <w:bottom w:val="single" w:sz="8" w:space="0" w:color="auto"/>
              <w:right w:val="single" w:sz="8" w:space="0" w:color="auto"/>
            </w:tcBorders>
            <w:shd w:val="clear" w:color="F2F2F2" w:fill="FFFFFF"/>
            <w:noWrap/>
            <w:vAlign w:val="center"/>
            <w:hideMark/>
          </w:tcPr>
          <w:p w14:paraId="379EB91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F2FFFA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1269" w:type="dxa"/>
            <w:tcBorders>
              <w:top w:val="nil"/>
              <w:left w:val="nil"/>
              <w:bottom w:val="single" w:sz="8" w:space="0" w:color="auto"/>
              <w:right w:val="single" w:sz="8" w:space="0" w:color="auto"/>
            </w:tcBorders>
            <w:shd w:val="clear" w:color="F2F2F2" w:fill="FFFFFF"/>
            <w:noWrap/>
            <w:vAlign w:val="center"/>
            <w:hideMark/>
          </w:tcPr>
          <w:p w14:paraId="4F70528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2.08</w:t>
            </w:r>
          </w:p>
        </w:tc>
      </w:tr>
      <w:tr w:rsidR="00964D7F" w:rsidRPr="003D61EF" w14:paraId="6D04A0DC"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270A7D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4610</w:t>
            </w:r>
          </w:p>
        </w:tc>
        <w:tc>
          <w:tcPr>
            <w:tcW w:w="2997" w:type="dxa"/>
            <w:tcBorders>
              <w:top w:val="nil"/>
              <w:left w:val="nil"/>
              <w:bottom w:val="single" w:sz="8" w:space="0" w:color="auto"/>
              <w:right w:val="single" w:sz="8" w:space="0" w:color="auto"/>
            </w:tcBorders>
            <w:shd w:val="clear" w:color="F2F2F2" w:fill="FFFFFF"/>
            <w:noWrap/>
            <w:vAlign w:val="center"/>
            <w:hideMark/>
          </w:tcPr>
          <w:p w14:paraId="16E3FD6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Maquinaria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 Agropecuario</w:t>
            </w:r>
          </w:p>
        </w:tc>
        <w:tc>
          <w:tcPr>
            <w:tcW w:w="1330" w:type="dxa"/>
            <w:tcBorders>
              <w:top w:val="nil"/>
              <w:left w:val="nil"/>
              <w:bottom w:val="single" w:sz="8" w:space="0" w:color="auto"/>
              <w:right w:val="single" w:sz="8" w:space="0" w:color="auto"/>
            </w:tcBorders>
            <w:shd w:val="clear" w:color="F2F2F2" w:fill="FFFFFF"/>
            <w:noWrap/>
            <w:vAlign w:val="center"/>
            <w:hideMark/>
          </w:tcPr>
          <w:p w14:paraId="437C725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83C4AD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5C106AB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CDA6F9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62F85C9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269CEF41"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59C04D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4620</w:t>
            </w:r>
          </w:p>
        </w:tc>
        <w:tc>
          <w:tcPr>
            <w:tcW w:w="2997" w:type="dxa"/>
            <w:tcBorders>
              <w:top w:val="nil"/>
              <w:left w:val="nil"/>
              <w:bottom w:val="single" w:sz="8" w:space="0" w:color="auto"/>
              <w:right w:val="single" w:sz="8" w:space="0" w:color="auto"/>
            </w:tcBorders>
            <w:shd w:val="clear" w:color="F2F2F2" w:fill="FFFFFF"/>
            <w:noWrap/>
            <w:vAlign w:val="center"/>
            <w:hideMark/>
          </w:tcPr>
          <w:p w14:paraId="2D7396AF"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Maquinaria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 Industrial</w:t>
            </w:r>
          </w:p>
        </w:tc>
        <w:tc>
          <w:tcPr>
            <w:tcW w:w="1330" w:type="dxa"/>
            <w:tcBorders>
              <w:top w:val="nil"/>
              <w:left w:val="nil"/>
              <w:bottom w:val="single" w:sz="8" w:space="0" w:color="auto"/>
              <w:right w:val="single" w:sz="8" w:space="0" w:color="auto"/>
            </w:tcBorders>
            <w:shd w:val="clear" w:color="F2F2F2" w:fill="FFFFFF"/>
            <w:noWrap/>
            <w:vAlign w:val="center"/>
            <w:hideMark/>
          </w:tcPr>
          <w:p w14:paraId="46688FD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46303E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55994B6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4EE4E6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7543017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28BD6980"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D93582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4630</w:t>
            </w:r>
          </w:p>
        </w:tc>
        <w:tc>
          <w:tcPr>
            <w:tcW w:w="2997" w:type="dxa"/>
            <w:tcBorders>
              <w:top w:val="nil"/>
              <w:left w:val="nil"/>
              <w:bottom w:val="single" w:sz="8" w:space="0" w:color="auto"/>
              <w:right w:val="single" w:sz="8" w:space="0" w:color="auto"/>
            </w:tcBorders>
            <w:shd w:val="clear" w:color="F2F2F2" w:fill="FFFFFF"/>
            <w:noWrap/>
            <w:vAlign w:val="center"/>
            <w:hideMark/>
          </w:tcPr>
          <w:p w14:paraId="48AA555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Maquinaria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 De Construcción</w:t>
            </w:r>
          </w:p>
        </w:tc>
        <w:tc>
          <w:tcPr>
            <w:tcW w:w="1330" w:type="dxa"/>
            <w:tcBorders>
              <w:top w:val="nil"/>
              <w:left w:val="nil"/>
              <w:bottom w:val="single" w:sz="8" w:space="0" w:color="auto"/>
              <w:right w:val="single" w:sz="8" w:space="0" w:color="auto"/>
            </w:tcBorders>
            <w:shd w:val="clear" w:color="F2F2F2" w:fill="FFFFFF"/>
            <w:noWrap/>
            <w:vAlign w:val="center"/>
            <w:hideMark/>
          </w:tcPr>
          <w:p w14:paraId="4999D8C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E1E3E2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7</w:t>
            </w:r>
          </w:p>
        </w:tc>
        <w:tc>
          <w:tcPr>
            <w:tcW w:w="967" w:type="dxa"/>
            <w:tcBorders>
              <w:top w:val="nil"/>
              <w:left w:val="nil"/>
              <w:bottom w:val="single" w:sz="8" w:space="0" w:color="auto"/>
              <w:right w:val="single" w:sz="8" w:space="0" w:color="auto"/>
            </w:tcBorders>
            <w:shd w:val="clear" w:color="F2F2F2" w:fill="FFFFFF"/>
            <w:noWrap/>
            <w:vAlign w:val="center"/>
            <w:hideMark/>
          </w:tcPr>
          <w:p w14:paraId="5942712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4FB8DA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14.29</w:t>
            </w:r>
          </w:p>
        </w:tc>
        <w:tc>
          <w:tcPr>
            <w:tcW w:w="1269" w:type="dxa"/>
            <w:tcBorders>
              <w:top w:val="nil"/>
              <w:left w:val="nil"/>
              <w:bottom w:val="single" w:sz="8" w:space="0" w:color="auto"/>
              <w:right w:val="single" w:sz="8" w:space="0" w:color="auto"/>
            </w:tcBorders>
            <w:shd w:val="clear" w:color="F2F2F2" w:fill="FFFFFF"/>
            <w:noWrap/>
            <w:vAlign w:val="center"/>
            <w:hideMark/>
          </w:tcPr>
          <w:p w14:paraId="217536A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1.19</w:t>
            </w:r>
          </w:p>
        </w:tc>
      </w:tr>
      <w:tr w:rsidR="00964D7F" w:rsidRPr="003D61EF" w14:paraId="2C35699C"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585110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4640</w:t>
            </w:r>
          </w:p>
        </w:tc>
        <w:tc>
          <w:tcPr>
            <w:tcW w:w="2997" w:type="dxa"/>
            <w:tcBorders>
              <w:top w:val="nil"/>
              <w:left w:val="nil"/>
              <w:bottom w:val="single" w:sz="8" w:space="0" w:color="auto"/>
              <w:right w:val="single" w:sz="8" w:space="0" w:color="auto"/>
            </w:tcBorders>
            <w:shd w:val="clear" w:color="F2F2F2" w:fill="FFFFFF"/>
            <w:noWrap/>
            <w:vAlign w:val="center"/>
            <w:hideMark/>
          </w:tcPr>
          <w:p w14:paraId="5CEAA52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Equipo De Aire Acondicionado</w:t>
            </w:r>
          </w:p>
        </w:tc>
        <w:tc>
          <w:tcPr>
            <w:tcW w:w="1330" w:type="dxa"/>
            <w:tcBorders>
              <w:top w:val="nil"/>
              <w:left w:val="nil"/>
              <w:bottom w:val="single" w:sz="8" w:space="0" w:color="auto"/>
              <w:right w:val="single" w:sz="8" w:space="0" w:color="auto"/>
            </w:tcBorders>
            <w:shd w:val="clear" w:color="F2F2F2" w:fill="FFFFFF"/>
            <w:noWrap/>
            <w:vAlign w:val="center"/>
            <w:hideMark/>
          </w:tcPr>
          <w:p w14:paraId="30CF068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139A9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6C2E523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81607E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103A6B5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66C84EF7"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821609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4650</w:t>
            </w:r>
          </w:p>
        </w:tc>
        <w:tc>
          <w:tcPr>
            <w:tcW w:w="2997" w:type="dxa"/>
            <w:tcBorders>
              <w:top w:val="nil"/>
              <w:left w:val="nil"/>
              <w:bottom w:val="single" w:sz="8" w:space="0" w:color="auto"/>
              <w:right w:val="single" w:sz="8" w:space="0" w:color="auto"/>
            </w:tcBorders>
            <w:shd w:val="clear" w:color="F2F2F2" w:fill="FFFFFF"/>
            <w:noWrap/>
            <w:vAlign w:val="center"/>
            <w:hideMark/>
          </w:tcPr>
          <w:p w14:paraId="5382347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Equipo De Comunicaciones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Telecomunicaciones</w:t>
            </w:r>
          </w:p>
        </w:tc>
        <w:tc>
          <w:tcPr>
            <w:tcW w:w="1330" w:type="dxa"/>
            <w:tcBorders>
              <w:top w:val="nil"/>
              <w:left w:val="nil"/>
              <w:bottom w:val="single" w:sz="8" w:space="0" w:color="auto"/>
              <w:right w:val="single" w:sz="8" w:space="0" w:color="auto"/>
            </w:tcBorders>
            <w:shd w:val="clear" w:color="F2F2F2" w:fill="FFFFFF"/>
            <w:noWrap/>
            <w:vAlign w:val="center"/>
            <w:hideMark/>
          </w:tcPr>
          <w:p w14:paraId="45230C3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C97D3F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w:t>
            </w:r>
          </w:p>
        </w:tc>
        <w:tc>
          <w:tcPr>
            <w:tcW w:w="967" w:type="dxa"/>
            <w:tcBorders>
              <w:top w:val="nil"/>
              <w:left w:val="nil"/>
              <w:bottom w:val="single" w:sz="8" w:space="0" w:color="auto"/>
              <w:right w:val="single" w:sz="8" w:space="0" w:color="auto"/>
            </w:tcBorders>
            <w:shd w:val="clear" w:color="F2F2F2" w:fill="FFFFFF"/>
            <w:noWrap/>
            <w:vAlign w:val="center"/>
            <w:hideMark/>
          </w:tcPr>
          <w:p w14:paraId="17ACC4D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A073E0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8.33</w:t>
            </w:r>
          </w:p>
        </w:tc>
        <w:tc>
          <w:tcPr>
            <w:tcW w:w="1269" w:type="dxa"/>
            <w:tcBorders>
              <w:top w:val="nil"/>
              <w:left w:val="nil"/>
              <w:bottom w:val="single" w:sz="8" w:space="0" w:color="auto"/>
              <w:right w:val="single" w:sz="8" w:space="0" w:color="auto"/>
            </w:tcBorders>
            <w:shd w:val="clear" w:color="F2F2F2" w:fill="FFFFFF"/>
            <w:noWrap/>
            <w:vAlign w:val="center"/>
            <w:hideMark/>
          </w:tcPr>
          <w:p w14:paraId="62E42E1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0.69</w:t>
            </w:r>
          </w:p>
        </w:tc>
      </w:tr>
      <w:tr w:rsidR="00964D7F" w:rsidRPr="003D61EF" w14:paraId="59AE2976"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2D8A3F2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4660</w:t>
            </w:r>
          </w:p>
        </w:tc>
        <w:tc>
          <w:tcPr>
            <w:tcW w:w="2997" w:type="dxa"/>
            <w:tcBorders>
              <w:top w:val="nil"/>
              <w:left w:val="nil"/>
              <w:bottom w:val="single" w:sz="8" w:space="0" w:color="auto"/>
              <w:right w:val="single" w:sz="8" w:space="0" w:color="auto"/>
            </w:tcBorders>
            <w:shd w:val="clear" w:color="F2F2F2" w:fill="FFFFFF"/>
            <w:noWrap/>
            <w:vAlign w:val="center"/>
            <w:hideMark/>
          </w:tcPr>
          <w:p w14:paraId="2BA6C5AB" w14:textId="77777777" w:rsidR="00964D7F" w:rsidRPr="00322837" w:rsidRDefault="00964D7F" w:rsidP="00EC7D22">
            <w:pPr>
              <w:spacing w:after="0" w:line="240" w:lineRule="auto"/>
              <w:rPr>
                <w:rFonts w:eastAsia="Times New Roman" w:cs="Calibri"/>
                <w:color w:val="000000"/>
                <w:sz w:val="13"/>
                <w:szCs w:val="13"/>
                <w:lang w:eastAsia="es-MX"/>
              </w:rPr>
            </w:pPr>
            <w:proofErr w:type="spellStart"/>
            <w:r w:rsidRPr="00322837">
              <w:rPr>
                <w:rFonts w:eastAsia="Times New Roman" w:cs="Calibri"/>
                <w:color w:val="000000"/>
                <w:sz w:val="13"/>
                <w:szCs w:val="13"/>
                <w:lang w:eastAsia="es-MX"/>
              </w:rPr>
              <w:t>Eq</w:t>
            </w:r>
            <w:proofErr w:type="spellEnd"/>
            <w:r w:rsidRPr="00322837">
              <w:rPr>
                <w:rFonts w:eastAsia="Times New Roman" w:cs="Calibri"/>
                <w:color w:val="000000"/>
                <w:sz w:val="13"/>
                <w:szCs w:val="13"/>
                <w:lang w:eastAsia="es-MX"/>
              </w:rPr>
              <w:t>.</w:t>
            </w:r>
            <w:r w:rsidRPr="003D61EF">
              <w:rPr>
                <w:rFonts w:eastAsia="Times New Roman" w:cs="Calibri"/>
                <w:color w:val="000000"/>
                <w:sz w:val="13"/>
                <w:szCs w:val="13"/>
                <w:lang w:eastAsia="es-MX"/>
              </w:rPr>
              <w:t xml:space="preserve"> d</w:t>
            </w:r>
            <w:r w:rsidRPr="00322837">
              <w:rPr>
                <w:rFonts w:eastAsia="Times New Roman" w:cs="Calibri"/>
                <w:color w:val="000000"/>
                <w:sz w:val="13"/>
                <w:szCs w:val="13"/>
                <w:lang w:eastAsia="es-MX"/>
              </w:rPr>
              <w:t>e Generación Eléctrica, Aparatos</w:t>
            </w:r>
            <w:r w:rsidRPr="003D61EF">
              <w:rPr>
                <w:rFonts w:eastAsia="Times New Roman" w:cs="Calibri"/>
                <w:color w:val="000000"/>
                <w:sz w:val="13"/>
                <w:szCs w:val="13"/>
                <w:lang w:eastAsia="es-MX"/>
              </w:rPr>
              <w:t xml:space="preserve"> y </w:t>
            </w:r>
            <w:r w:rsidRPr="00322837">
              <w:rPr>
                <w:rFonts w:eastAsia="Times New Roman" w:cs="Calibri"/>
                <w:color w:val="000000"/>
                <w:sz w:val="13"/>
                <w:szCs w:val="13"/>
                <w:lang w:eastAsia="es-MX"/>
              </w:rPr>
              <w:t>Accesorios</w:t>
            </w:r>
          </w:p>
        </w:tc>
        <w:tc>
          <w:tcPr>
            <w:tcW w:w="1330" w:type="dxa"/>
            <w:tcBorders>
              <w:top w:val="nil"/>
              <w:left w:val="nil"/>
              <w:bottom w:val="single" w:sz="8" w:space="0" w:color="auto"/>
              <w:right w:val="single" w:sz="8" w:space="0" w:color="auto"/>
            </w:tcBorders>
            <w:shd w:val="clear" w:color="F2F2F2" w:fill="FFFFFF"/>
            <w:noWrap/>
            <w:vAlign w:val="center"/>
            <w:hideMark/>
          </w:tcPr>
          <w:p w14:paraId="37F9F18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AB4DCE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578A8D1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9536DA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10A3097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179AF083"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97985E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4670</w:t>
            </w:r>
          </w:p>
        </w:tc>
        <w:tc>
          <w:tcPr>
            <w:tcW w:w="2997" w:type="dxa"/>
            <w:tcBorders>
              <w:top w:val="nil"/>
              <w:left w:val="nil"/>
              <w:bottom w:val="single" w:sz="8" w:space="0" w:color="auto"/>
              <w:right w:val="single" w:sz="8" w:space="0" w:color="auto"/>
            </w:tcBorders>
            <w:shd w:val="clear" w:color="F2F2F2" w:fill="FFFFFF"/>
            <w:noWrap/>
            <w:vAlign w:val="center"/>
            <w:hideMark/>
          </w:tcPr>
          <w:p w14:paraId="161300A8"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Herramientas Y Máquinas-Herramienta</w:t>
            </w:r>
          </w:p>
        </w:tc>
        <w:tc>
          <w:tcPr>
            <w:tcW w:w="1330" w:type="dxa"/>
            <w:tcBorders>
              <w:top w:val="nil"/>
              <w:left w:val="nil"/>
              <w:bottom w:val="single" w:sz="8" w:space="0" w:color="auto"/>
              <w:right w:val="single" w:sz="8" w:space="0" w:color="auto"/>
            </w:tcBorders>
            <w:shd w:val="clear" w:color="F2F2F2" w:fill="FFFFFF"/>
            <w:noWrap/>
            <w:vAlign w:val="center"/>
            <w:hideMark/>
          </w:tcPr>
          <w:p w14:paraId="720CEBA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74B9F9A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15</w:t>
            </w:r>
          </w:p>
        </w:tc>
        <w:tc>
          <w:tcPr>
            <w:tcW w:w="967" w:type="dxa"/>
            <w:tcBorders>
              <w:top w:val="nil"/>
              <w:left w:val="nil"/>
              <w:bottom w:val="single" w:sz="8" w:space="0" w:color="auto"/>
              <w:right w:val="single" w:sz="8" w:space="0" w:color="auto"/>
            </w:tcBorders>
            <w:shd w:val="clear" w:color="F2F2F2" w:fill="FFFFFF"/>
            <w:noWrap/>
            <w:vAlign w:val="center"/>
            <w:hideMark/>
          </w:tcPr>
          <w:p w14:paraId="1DAA6EB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E66BC4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6.67</w:t>
            </w:r>
          </w:p>
        </w:tc>
        <w:tc>
          <w:tcPr>
            <w:tcW w:w="1269" w:type="dxa"/>
            <w:tcBorders>
              <w:top w:val="nil"/>
              <w:left w:val="nil"/>
              <w:bottom w:val="single" w:sz="8" w:space="0" w:color="auto"/>
              <w:right w:val="single" w:sz="8" w:space="0" w:color="auto"/>
            </w:tcBorders>
            <w:shd w:val="clear" w:color="F2F2F2" w:fill="FFFFFF"/>
            <w:noWrap/>
            <w:vAlign w:val="center"/>
            <w:hideMark/>
          </w:tcPr>
          <w:p w14:paraId="36528A9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0.56</w:t>
            </w:r>
          </w:p>
        </w:tc>
      </w:tr>
      <w:tr w:rsidR="00964D7F" w:rsidRPr="003D61EF" w14:paraId="6919B4F5"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2E09938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4690</w:t>
            </w:r>
          </w:p>
        </w:tc>
        <w:tc>
          <w:tcPr>
            <w:tcW w:w="2997" w:type="dxa"/>
            <w:tcBorders>
              <w:top w:val="nil"/>
              <w:left w:val="nil"/>
              <w:bottom w:val="single" w:sz="8" w:space="0" w:color="auto"/>
              <w:right w:val="single" w:sz="8" w:space="0" w:color="auto"/>
            </w:tcBorders>
            <w:shd w:val="clear" w:color="F2F2F2" w:fill="FFFFFF"/>
            <w:noWrap/>
            <w:vAlign w:val="center"/>
            <w:hideMark/>
          </w:tcPr>
          <w:p w14:paraId="406D75E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Equipo De Medición</w:t>
            </w:r>
          </w:p>
        </w:tc>
        <w:tc>
          <w:tcPr>
            <w:tcW w:w="1330" w:type="dxa"/>
            <w:tcBorders>
              <w:top w:val="nil"/>
              <w:left w:val="nil"/>
              <w:bottom w:val="single" w:sz="8" w:space="0" w:color="auto"/>
              <w:right w:val="single" w:sz="8" w:space="0" w:color="auto"/>
            </w:tcBorders>
            <w:shd w:val="clear" w:color="F2F2F2" w:fill="FFFFFF"/>
            <w:noWrap/>
            <w:vAlign w:val="center"/>
            <w:hideMark/>
          </w:tcPr>
          <w:p w14:paraId="4250691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1DD941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7</w:t>
            </w:r>
          </w:p>
        </w:tc>
        <w:tc>
          <w:tcPr>
            <w:tcW w:w="967" w:type="dxa"/>
            <w:tcBorders>
              <w:top w:val="nil"/>
              <w:left w:val="nil"/>
              <w:bottom w:val="single" w:sz="8" w:space="0" w:color="auto"/>
              <w:right w:val="single" w:sz="8" w:space="0" w:color="auto"/>
            </w:tcBorders>
            <w:shd w:val="clear" w:color="F2F2F2" w:fill="FFFFFF"/>
            <w:noWrap/>
            <w:vAlign w:val="center"/>
            <w:hideMark/>
          </w:tcPr>
          <w:p w14:paraId="4C8626C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18B12A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14.29</w:t>
            </w:r>
          </w:p>
        </w:tc>
        <w:tc>
          <w:tcPr>
            <w:tcW w:w="1269" w:type="dxa"/>
            <w:tcBorders>
              <w:top w:val="nil"/>
              <w:left w:val="nil"/>
              <w:bottom w:val="single" w:sz="8" w:space="0" w:color="auto"/>
              <w:right w:val="single" w:sz="8" w:space="0" w:color="auto"/>
            </w:tcBorders>
            <w:shd w:val="clear" w:color="F2F2F2" w:fill="FFFFFF"/>
            <w:noWrap/>
            <w:vAlign w:val="center"/>
            <w:hideMark/>
          </w:tcPr>
          <w:p w14:paraId="5F58B4B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1.19</w:t>
            </w:r>
          </w:p>
        </w:tc>
      </w:tr>
      <w:tr w:rsidR="00964D7F" w:rsidRPr="003D61EF" w14:paraId="5A39D97D" w14:textId="77777777" w:rsidTr="000A16E7">
        <w:trPr>
          <w:trHeight w:val="300"/>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1A400B1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469</w:t>
            </w:r>
            <w:r>
              <w:rPr>
                <w:rFonts w:eastAsia="Times New Roman" w:cs="Calibri"/>
                <w:color w:val="000000"/>
                <w:sz w:val="13"/>
                <w:szCs w:val="13"/>
                <w:lang w:eastAsia="es-MX"/>
              </w:rPr>
              <w:t>3</w:t>
            </w:r>
          </w:p>
        </w:tc>
        <w:tc>
          <w:tcPr>
            <w:tcW w:w="2997" w:type="dxa"/>
            <w:tcBorders>
              <w:top w:val="nil"/>
              <w:left w:val="nil"/>
              <w:bottom w:val="single" w:sz="8" w:space="0" w:color="auto"/>
              <w:right w:val="single" w:sz="8" w:space="0" w:color="auto"/>
            </w:tcBorders>
            <w:shd w:val="clear" w:color="F2F2F2" w:fill="FFFFFF"/>
            <w:noWrap/>
            <w:vAlign w:val="center"/>
            <w:hideMark/>
          </w:tcPr>
          <w:p w14:paraId="25F68DBC" w14:textId="77777777" w:rsidR="00964D7F" w:rsidRPr="00322837" w:rsidRDefault="00964D7F" w:rsidP="00EC7D22">
            <w:pPr>
              <w:spacing w:after="0" w:line="240" w:lineRule="auto"/>
              <w:rPr>
                <w:rFonts w:eastAsia="Times New Roman" w:cs="Calibri"/>
                <w:color w:val="000000"/>
                <w:sz w:val="13"/>
                <w:szCs w:val="13"/>
                <w:lang w:eastAsia="es-MX"/>
              </w:rPr>
            </w:pPr>
            <w:r>
              <w:rPr>
                <w:rFonts w:eastAsia="Times New Roman" w:cs="Calibri"/>
                <w:color w:val="000000"/>
                <w:sz w:val="13"/>
                <w:szCs w:val="13"/>
                <w:lang w:eastAsia="es-MX"/>
              </w:rPr>
              <w:t>Estaciones Meteorológicas</w:t>
            </w:r>
          </w:p>
        </w:tc>
        <w:tc>
          <w:tcPr>
            <w:tcW w:w="1330" w:type="dxa"/>
            <w:tcBorders>
              <w:top w:val="nil"/>
              <w:left w:val="nil"/>
              <w:bottom w:val="single" w:sz="8" w:space="0" w:color="auto"/>
              <w:right w:val="single" w:sz="8" w:space="0" w:color="auto"/>
            </w:tcBorders>
            <w:shd w:val="clear" w:color="F2F2F2" w:fill="FFFFFF"/>
            <w:noWrap/>
            <w:vAlign w:val="center"/>
            <w:hideMark/>
          </w:tcPr>
          <w:p w14:paraId="7EA81BF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246D00B" w14:textId="77777777" w:rsidR="00964D7F" w:rsidRPr="00322837" w:rsidRDefault="00964D7F" w:rsidP="00EC7D22">
            <w:pPr>
              <w:spacing w:after="0" w:line="240" w:lineRule="auto"/>
              <w:jc w:val="center"/>
              <w:rPr>
                <w:rFonts w:eastAsia="Times New Roman" w:cs="Calibri"/>
                <w:color w:val="000000"/>
                <w:sz w:val="13"/>
                <w:szCs w:val="13"/>
                <w:lang w:eastAsia="es-MX"/>
              </w:rPr>
            </w:pPr>
            <w:r>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41A7F7B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3D6C00E" w14:textId="77777777" w:rsidR="00964D7F" w:rsidRPr="00322837" w:rsidRDefault="00964D7F" w:rsidP="00EC7D22">
            <w:pPr>
              <w:spacing w:after="0" w:line="240" w:lineRule="auto"/>
              <w:jc w:val="center"/>
              <w:rPr>
                <w:rFonts w:eastAsia="Times New Roman" w:cs="Calibri"/>
                <w:color w:val="000000"/>
                <w:sz w:val="13"/>
                <w:szCs w:val="13"/>
                <w:lang w:eastAsia="es-MX"/>
              </w:rPr>
            </w:pPr>
            <w:r>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4092C91B" w14:textId="77777777" w:rsidR="00964D7F" w:rsidRPr="00322837" w:rsidRDefault="00964D7F" w:rsidP="00EC7D22">
            <w:pPr>
              <w:spacing w:after="0" w:line="240" w:lineRule="auto"/>
              <w:jc w:val="center"/>
              <w:rPr>
                <w:rFonts w:eastAsia="Times New Roman" w:cs="Calibri"/>
                <w:color w:val="000000"/>
                <w:sz w:val="13"/>
                <w:szCs w:val="13"/>
                <w:lang w:eastAsia="es-MX"/>
              </w:rPr>
            </w:pPr>
            <w:r>
              <w:rPr>
                <w:rFonts w:eastAsia="Times New Roman" w:cs="Calibri"/>
                <w:color w:val="000000"/>
                <w:sz w:val="13"/>
                <w:szCs w:val="13"/>
                <w:lang w:eastAsia="es-MX"/>
              </w:rPr>
              <w:t>0.83</w:t>
            </w:r>
          </w:p>
        </w:tc>
      </w:tr>
      <w:tr w:rsidR="00964D7F" w:rsidRPr="003D61EF" w14:paraId="6D0FD71E"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859719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4710</w:t>
            </w:r>
          </w:p>
        </w:tc>
        <w:tc>
          <w:tcPr>
            <w:tcW w:w="2997" w:type="dxa"/>
            <w:tcBorders>
              <w:top w:val="nil"/>
              <w:left w:val="nil"/>
              <w:bottom w:val="single" w:sz="8" w:space="0" w:color="auto"/>
              <w:right w:val="single" w:sz="8" w:space="0" w:color="auto"/>
            </w:tcBorders>
            <w:shd w:val="clear" w:color="F2F2F2" w:fill="FFFFFF"/>
            <w:noWrap/>
            <w:vAlign w:val="center"/>
            <w:hideMark/>
          </w:tcPr>
          <w:p w14:paraId="1A679E40"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Bienes Artísticos, Culturales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Científicos</w:t>
            </w:r>
          </w:p>
        </w:tc>
        <w:tc>
          <w:tcPr>
            <w:tcW w:w="1330" w:type="dxa"/>
            <w:tcBorders>
              <w:top w:val="nil"/>
              <w:left w:val="nil"/>
              <w:bottom w:val="single" w:sz="8" w:space="0" w:color="auto"/>
              <w:right w:val="single" w:sz="8" w:space="0" w:color="auto"/>
            </w:tcBorders>
            <w:shd w:val="clear" w:color="F2F2F2" w:fill="FFFFFF"/>
            <w:noWrap/>
            <w:vAlign w:val="center"/>
            <w:hideMark/>
          </w:tcPr>
          <w:p w14:paraId="142EC26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0E502B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CA63F1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0CFEF1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6413F7A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6628A0EE"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3BC8ED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4720</w:t>
            </w:r>
          </w:p>
        </w:tc>
        <w:tc>
          <w:tcPr>
            <w:tcW w:w="2997" w:type="dxa"/>
            <w:tcBorders>
              <w:top w:val="nil"/>
              <w:left w:val="nil"/>
              <w:bottom w:val="single" w:sz="8" w:space="0" w:color="auto"/>
              <w:right w:val="single" w:sz="8" w:space="0" w:color="auto"/>
            </w:tcBorders>
            <w:shd w:val="clear" w:color="F2F2F2" w:fill="FFFFFF"/>
            <w:noWrap/>
            <w:vAlign w:val="center"/>
            <w:hideMark/>
          </w:tcPr>
          <w:p w14:paraId="43C17C97"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Objetos </w:t>
            </w:r>
            <w:r w:rsidRPr="003D61EF">
              <w:rPr>
                <w:rFonts w:eastAsia="Times New Roman" w:cs="Calibri"/>
                <w:color w:val="000000"/>
                <w:sz w:val="13"/>
                <w:szCs w:val="13"/>
                <w:lang w:eastAsia="es-MX"/>
              </w:rPr>
              <w:t>d</w:t>
            </w:r>
            <w:r w:rsidRPr="00322837">
              <w:rPr>
                <w:rFonts w:eastAsia="Times New Roman" w:cs="Calibri"/>
                <w:color w:val="000000"/>
                <w:sz w:val="13"/>
                <w:szCs w:val="13"/>
                <w:lang w:eastAsia="es-MX"/>
              </w:rPr>
              <w:t>e Valor</w:t>
            </w:r>
          </w:p>
        </w:tc>
        <w:tc>
          <w:tcPr>
            <w:tcW w:w="1330" w:type="dxa"/>
            <w:tcBorders>
              <w:top w:val="nil"/>
              <w:left w:val="nil"/>
              <w:bottom w:val="single" w:sz="8" w:space="0" w:color="auto"/>
              <w:right w:val="single" w:sz="8" w:space="0" w:color="auto"/>
            </w:tcBorders>
            <w:shd w:val="clear" w:color="F2F2F2" w:fill="FFFFFF"/>
            <w:noWrap/>
            <w:vAlign w:val="center"/>
            <w:hideMark/>
          </w:tcPr>
          <w:p w14:paraId="70D5918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C3DF99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09CB2D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6863A5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36794A6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22837" w14:paraId="179C8433" w14:textId="77777777" w:rsidTr="000A16E7">
        <w:trPr>
          <w:trHeight w:val="510"/>
        </w:trPr>
        <w:tc>
          <w:tcPr>
            <w:tcW w:w="967"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1B3CC457"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lastRenderedPageBreak/>
              <w:t>CLASE</w:t>
            </w:r>
          </w:p>
        </w:tc>
        <w:tc>
          <w:tcPr>
            <w:tcW w:w="2997" w:type="dxa"/>
            <w:tcBorders>
              <w:top w:val="single" w:sz="4" w:space="0" w:color="auto"/>
              <w:left w:val="nil"/>
              <w:bottom w:val="single" w:sz="4" w:space="0" w:color="auto"/>
              <w:right w:val="single" w:sz="4" w:space="0" w:color="auto"/>
            </w:tcBorders>
            <w:shd w:val="clear" w:color="800080" w:fill="A90025"/>
            <w:vAlign w:val="center"/>
            <w:hideMark/>
          </w:tcPr>
          <w:p w14:paraId="0545010B"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 </w:t>
            </w:r>
          </w:p>
        </w:tc>
        <w:tc>
          <w:tcPr>
            <w:tcW w:w="1330" w:type="dxa"/>
            <w:tcBorders>
              <w:top w:val="single" w:sz="4" w:space="0" w:color="auto"/>
              <w:left w:val="nil"/>
              <w:bottom w:val="single" w:sz="4" w:space="0" w:color="auto"/>
              <w:right w:val="single" w:sz="4" w:space="0" w:color="auto"/>
            </w:tcBorders>
            <w:shd w:val="clear" w:color="800080" w:fill="A90025"/>
            <w:vAlign w:val="center"/>
            <w:hideMark/>
          </w:tcPr>
          <w:p w14:paraId="4345C8C1" w14:textId="2F6A92CC" w:rsidR="00964D7F" w:rsidRPr="00322837" w:rsidRDefault="000A16E7"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MÉTODO</w:t>
            </w:r>
            <w:r w:rsidR="00964D7F" w:rsidRPr="00322837">
              <w:rPr>
                <w:rFonts w:eastAsia="Times New Roman" w:cs="Calibri"/>
                <w:b/>
                <w:bCs/>
                <w:color w:val="FFFFFF"/>
                <w:sz w:val="13"/>
                <w:szCs w:val="13"/>
                <w:lang w:eastAsia="es-MX"/>
              </w:rPr>
              <w:t xml:space="preserve"> DE </w:t>
            </w:r>
            <w:r w:rsidRPr="00322837">
              <w:rPr>
                <w:rFonts w:eastAsia="Times New Roman" w:cs="Calibri"/>
                <w:b/>
                <w:bCs/>
                <w:color w:val="FFFFFF"/>
                <w:sz w:val="13"/>
                <w:szCs w:val="13"/>
                <w:lang w:eastAsia="es-MX"/>
              </w:rPr>
              <w:t>DEPRECIACIÓN</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67337212"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VIDA UTIL EN AÑOS</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3BAC1433"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VALOR RESIDUAL (%)</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538FC570"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 ANUAL (%)</w:t>
            </w:r>
          </w:p>
        </w:tc>
        <w:tc>
          <w:tcPr>
            <w:tcW w:w="1269" w:type="dxa"/>
            <w:tcBorders>
              <w:top w:val="single" w:sz="4" w:space="0" w:color="auto"/>
              <w:left w:val="nil"/>
              <w:bottom w:val="single" w:sz="4" w:space="0" w:color="auto"/>
              <w:right w:val="single" w:sz="4" w:space="0" w:color="auto"/>
            </w:tcBorders>
            <w:shd w:val="clear" w:color="800080" w:fill="A90025"/>
            <w:vAlign w:val="center"/>
            <w:hideMark/>
          </w:tcPr>
          <w:p w14:paraId="4D963C84"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DEP.MENSUAL (%)</w:t>
            </w:r>
          </w:p>
        </w:tc>
      </w:tr>
      <w:tr w:rsidR="00964D7F" w:rsidRPr="003D61EF" w14:paraId="2A1F93F6"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FB2B98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4810</w:t>
            </w:r>
          </w:p>
        </w:tc>
        <w:tc>
          <w:tcPr>
            <w:tcW w:w="2997" w:type="dxa"/>
            <w:tcBorders>
              <w:top w:val="nil"/>
              <w:left w:val="nil"/>
              <w:bottom w:val="single" w:sz="8" w:space="0" w:color="auto"/>
              <w:right w:val="single" w:sz="8" w:space="0" w:color="auto"/>
            </w:tcBorders>
            <w:shd w:val="clear" w:color="F2F2F2" w:fill="FFFFFF"/>
            <w:noWrap/>
            <w:vAlign w:val="center"/>
            <w:hideMark/>
          </w:tcPr>
          <w:p w14:paraId="46836B0C"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Bovinos</w:t>
            </w:r>
          </w:p>
        </w:tc>
        <w:tc>
          <w:tcPr>
            <w:tcW w:w="1330" w:type="dxa"/>
            <w:tcBorders>
              <w:top w:val="nil"/>
              <w:left w:val="nil"/>
              <w:bottom w:val="single" w:sz="8" w:space="0" w:color="auto"/>
              <w:right w:val="single" w:sz="8" w:space="0" w:color="auto"/>
            </w:tcBorders>
            <w:shd w:val="clear" w:color="F2F2F2" w:fill="FFFFFF"/>
            <w:noWrap/>
            <w:vAlign w:val="center"/>
            <w:hideMark/>
          </w:tcPr>
          <w:p w14:paraId="3AAE756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1DA427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D3581F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8C892D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51B50F7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61811EB8" w14:textId="77777777" w:rsidTr="00AA4AEA">
        <w:trPr>
          <w:trHeight w:val="288"/>
        </w:trPr>
        <w:tc>
          <w:tcPr>
            <w:tcW w:w="967" w:type="dxa"/>
            <w:tcBorders>
              <w:top w:val="nil"/>
              <w:left w:val="single" w:sz="8" w:space="0" w:color="auto"/>
              <w:bottom w:val="single" w:sz="4" w:space="0" w:color="auto"/>
              <w:right w:val="single" w:sz="8" w:space="0" w:color="auto"/>
            </w:tcBorders>
            <w:shd w:val="clear" w:color="F2F2F2" w:fill="FFFFFF"/>
            <w:noWrap/>
            <w:vAlign w:val="center"/>
            <w:hideMark/>
          </w:tcPr>
          <w:p w14:paraId="187C19A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4820</w:t>
            </w:r>
          </w:p>
        </w:tc>
        <w:tc>
          <w:tcPr>
            <w:tcW w:w="2997" w:type="dxa"/>
            <w:tcBorders>
              <w:top w:val="nil"/>
              <w:left w:val="nil"/>
              <w:bottom w:val="single" w:sz="4" w:space="0" w:color="auto"/>
              <w:right w:val="single" w:sz="8" w:space="0" w:color="auto"/>
            </w:tcBorders>
            <w:shd w:val="clear" w:color="F2F2F2" w:fill="FFFFFF"/>
            <w:noWrap/>
            <w:vAlign w:val="center"/>
            <w:hideMark/>
          </w:tcPr>
          <w:p w14:paraId="6BF050D0"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Porcinos</w:t>
            </w:r>
          </w:p>
        </w:tc>
        <w:tc>
          <w:tcPr>
            <w:tcW w:w="1330" w:type="dxa"/>
            <w:tcBorders>
              <w:top w:val="nil"/>
              <w:left w:val="nil"/>
              <w:bottom w:val="single" w:sz="4" w:space="0" w:color="auto"/>
              <w:right w:val="single" w:sz="8" w:space="0" w:color="auto"/>
            </w:tcBorders>
            <w:shd w:val="clear" w:color="F2F2F2" w:fill="FFFFFF"/>
            <w:noWrap/>
            <w:vAlign w:val="center"/>
            <w:hideMark/>
          </w:tcPr>
          <w:p w14:paraId="7D592A2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4" w:space="0" w:color="auto"/>
              <w:right w:val="single" w:sz="8" w:space="0" w:color="auto"/>
            </w:tcBorders>
            <w:shd w:val="clear" w:color="F2F2F2" w:fill="FFFFFF"/>
            <w:noWrap/>
            <w:vAlign w:val="center"/>
            <w:hideMark/>
          </w:tcPr>
          <w:p w14:paraId="60B31E4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4" w:space="0" w:color="auto"/>
              <w:right w:val="single" w:sz="8" w:space="0" w:color="auto"/>
            </w:tcBorders>
            <w:shd w:val="clear" w:color="F2F2F2" w:fill="FFFFFF"/>
            <w:noWrap/>
            <w:vAlign w:val="center"/>
            <w:hideMark/>
          </w:tcPr>
          <w:p w14:paraId="529CF98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4" w:space="0" w:color="auto"/>
              <w:right w:val="single" w:sz="8" w:space="0" w:color="auto"/>
            </w:tcBorders>
            <w:shd w:val="clear" w:color="F2F2F2" w:fill="FFFFFF"/>
            <w:noWrap/>
            <w:vAlign w:val="center"/>
            <w:hideMark/>
          </w:tcPr>
          <w:p w14:paraId="6B1DC6A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4" w:space="0" w:color="auto"/>
              <w:right w:val="single" w:sz="8" w:space="0" w:color="auto"/>
            </w:tcBorders>
            <w:shd w:val="clear" w:color="F2F2F2" w:fill="FFFFFF"/>
            <w:noWrap/>
            <w:vAlign w:val="center"/>
            <w:hideMark/>
          </w:tcPr>
          <w:p w14:paraId="705AABE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A151ACF" w14:textId="77777777" w:rsidTr="00AA4AEA">
        <w:trPr>
          <w:trHeight w:val="288"/>
        </w:trPr>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CA8557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4830</w:t>
            </w:r>
          </w:p>
        </w:tc>
        <w:tc>
          <w:tcPr>
            <w:tcW w:w="299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50E380EF"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Aves</w:t>
            </w:r>
          </w:p>
        </w:tc>
        <w:tc>
          <w:tcPr>
            <w:tcW w:w="1330"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42D62E5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DBC671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FCBD2F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396A3AD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3B60C29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2CF25C28" w14:textId="77777777" w:rsidTr="00AA4AEA">
        <w:trPr>
          <w:trHeight w:val="288"/>
        </w:trPr>
        <w:tc>
          <w:tcPr>
            <w:tcW w:w="967" w:type="dxa"/>
            <w:tcBorders>
              <w:top w:val="single" w:sz="4" w:space="0" w:color="auto"/>
              <w:left w:val="single" w:sz="8" w:space="0" w:color="auto"/>
              <w:bottom w:val="single" w:sz="8" w:space="0" w:color="auto"/>
              <w:right w:val="single" w:sz="4" w:space="0" w:color="auto"/>
            </w:tcBorders>
            <w:shd w:val="clear" w:color="F2F2F2" w:fill="FFFFFF"/>
            <w:noWrap/>
            <w:vAlign w:val="center"/>
            <w:hideMark/>
          </w:tcPr>
          <w:p w14:paraId="66B21A6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4840</w:t>
            </w:r>
          </w:p>
        </w:tc>
        <w:tc>
          <w:tcPr>
            <w:tcW w:w="299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59AC3C95"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Ovinos Y Caprinos</w:t>
            </w:r>
          </w:p>
        </w:tc>
        <w:tc>
          <w:tcPr>
            <w:tcW w:w="1330"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3F9D056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05E63CF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6CBE31D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578BCC7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92FE1B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198641E" w14:textId="77777777" w:rsidTr="00AA4AEA">
        <w:trPr>
          <w:trHeight w:val="288"/>
        </w:trPr>
        <w:tc>
          <w:tcPr>
            <w:tcW w:w="967" w:type="dxa"/>
            <w:tcBorders>
              <w:top w:val="nil"/>
              <w:left w:val="single" w:sz="8" w:space="0" w:color="auto"/>
              <w:bottom w:val="single" w:sz="8" w:space="0" w:color="auto"/>
              <w:right w:val="single" w:sz="4" w:space="0" w:color="auto"/>
            </w:tcBorders>
            <w:shd w:val="clear" w:color="F2F2F2" w:fill="FFFFFF"/>
            <w:noWrap/>
            <w:vAlign w:val="center"/>
            <w:hideMark/>
          </w:tcPr>
          <w:p w14:paraId="68C632F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4850</w:t>
            </w:r>
          </w:p>
        </w:tc>
        <w:tc>
          <w:tcPr>
            <w:tcW w:w="299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169EE03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Peces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Acuicultura</w:t>
            </w:r>
          </w:p>
        </w:tc>
        <w:tc>
          <w:tcPr>
            <w:tcW w:w="1330"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680B67D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189B1A6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11512BA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720462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D49C1B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71F60446" w14:textId="77777777" w:rsidTr="00AA4AEA">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E458AF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4860</w:t>
            </w:r>
          </w:p>
        </w:tc>
        <w:tc>
          <w:tcPr>
            <w:tcW w:w="2997" w:type="dxa"/>
            <w:tcBorders>
              <w:top w:val="single" w:sz="4" w:space="0" w:color="auto"/>
              <w:left w:val="nil"/>
              <w:bottom w:val="single" w:sz="8" w:space="0" w:color="auto"/>
              <w:right w:val="single" w:sz="8" w:space="0" w:color="auto"/>
            </w:tcBorders>
            <w:shd w:val="clear" w:color="F2F2F2" w:fill="FFFFFF"/>
            <w:noWrap/>
            <w:vAlign w:val="center"/>
            <w:hideMark/>
          </w:tcPr>
          <w:p w14:paraId="5CF03AA8"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Equinos</w:t>
            </w:r>
          </w:p>
        </w:tc>
        <w:tc>
          <w:tcPr>
            <w:tcW w:w="1330" w:type="dxa"/>
            <w:tcBorders>
              <w:top w:val="single" w:sz="4" w:space="0" w:color="auto"/>
              <w:left w:val="nil"/>
              <w:bottom w:val="single" w:sz="8" w:space="0" w:color="auto"/>
              <w:right w:val="single" w:sz="8" w:space="0" w:color="auto"/>
            </w:tcBorders>
            <w:shd w:val="clear" w:color="F2F2F2" w:fill="FFFFFF"/>
            <w:noWrap/>
            <w:vAlign w:val="center"/>
            <w:hideMark/>
          </w:tcPr>
          <w:p w14:paraId="0707350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nil"/>
              <w:bottom w:val="single" w:sz="8" w:space="0" w:color="auto"/>
              <w:right w:val="single" w:sz="8" w:space="0" w:color="auto"/>
            </w:tcBorders>
            <w:shd w:val="clear" w:color="F2F2F2" w:fill="FFFFFF"/>
            <w:noWrap/>
            <w:vAlign w:val="center"/>
            <w:hideMark/>
          </w:tcPr>
          <w:p w14:paraId="3A8AC40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nil"/>
              <w:bottom w:val="single" w:sz="8" w:space="0" w:color="auto"/>
              <w:right w:val="single" w:sz="8" w:space="0" w:color="auto"/>
            </w:tcBorders>
            <w:shd w:val="clear" w:color="F2F2F2" w:fill="FFFFFF"/>
            <w:noWrap/>
            <w:vAlign w:val="center"/>
            <w:hideMark/>
          </w:tcPr>
          <w:p w14:paraId="78903DD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nil"/>
              <w:bottom w:val="single" w:sz="8" w:space="0" w:color="auto"/>
              <w:right w:val="single" w:sz="8" w:space="0" w:color="auto"/>
            </w:tcBorders>
            <w:shd w:val="clear" w:color="F2F2F2" w:fill="FFFFFF"/>
            <w:noWrap/>
            <w:vAlign w:val="center"/>
            <w:hideMark/>
          </w:tcPr>
          <w:p w14:paraId="50A1BC3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single" w:sz="4" w:space="0" w:color="auto"/>
              <w:left w:val="nil"/>
              <w:bottom w:val="single" w:sz="8" w:space="0" w:color="auto"/>
              <w:right w:val="single" w:sz="8" w:space="0" w:color="auto"/>
            </w:tcBorders>
            <w:shd w:val="clear" w:color="F2F2F2" w:fill="FFFFFF"/>
            <w:noWrap/>
            <w:vAlign w:val="center"/>
            <w:hideMark/>
          </w:tcPr>
          <w:p w14:paraId="67BDA87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177BADD9"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60EE01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4870</w:t>
            </w:r>
          </w:p>
        </w:tc>
        <w:tc>
          <w:tcPr>
            <w:tcW w:w="2997" w:type="dxa"/>
            <w:tcBorders>
              <w:top w:val="nil"/>
              <w:left w:val="nil"/>
              <w:bottom w:val="single" w:sz="8" w:space="0" w:color="auto"/>
              <w:right w:val="single" w:sz="8" w:space="0" w:color="auto"/>
            </w:tcBorders>
            <w:shd w:val="clear" w:color="F2F2F2" w:fill="FFFFFF"/>
            <w:noWrap/>
            <w:vAlign w:val="center"/>
            <w:hideMark/>
          </w:tcPr>
          <w:p w14:paraId="03B803DD"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Especies Menores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w:t>
            </w:r>
            <w:r w:rsidRPr="003D61EF">
              <w:rPr>
                <w:rFonts w:eastAsia="Times New Roman" w:cs="Calibri"/>
                <w:color w:val="000000"/>
                <w:sz w:val="13"/>
                <w:szCs w:val="13"/>
                <w:lang w:eastAsia="es-MX"/>
              </w:rPr>
              <w:t>d</w:t>
            </w:r>
            <w:r w:rsidRPr="00322837">
              <w:rPr>
                <w:rFonts w:eastAsia="Times New Roman" w:cs="Calibri"/>
                <w:color w:val="000000"/>
                <w:sz w:val="13"/>
                <w:szCs w:val="13"/>
                <w:lang w:eastAsia="es-MX"/>
              </w:rPr>
              <w:t>e Zoológico</w:t>
            </w:r>
          </w:p>
        </w:tc>
        <w:tc>
          <w:tcPr>
            <w:tcW w:w="1330" w:type="dxa"/>
            <w:tcBorders>
              <w:top w:val="nil"/>
              <w:left w:val="nil"/>
              <w:bottom w:val="single" w:sz="8" w:space="0" w:color="auto"/>
              <w:right w:val="single" w:sz="8" w:space="0" w:color="auto"/>
            </w:tcBorders>
            <w:shd w:val="clear" w:color="F2F2F2" w:fill="FFFFFF"/>
            <w:noWrap/>
            <w:vAlign w:val="center"/>
            <w:hideMark/>
          </w:tcPr>
          <w:p w14:paraId="4578F48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C499E3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F4735D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9E84F3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5034DFD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447967F7"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EC90B8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4880</w:t>
            </w:r>
          </w:p>
        </w:tc>
        <w:tc>
          <w:tcPr>
            <w:tcW w:w="2997" w:type="dxa"/>
            <w:tcBorders>
              <w:top w:val="nil"/>
              <w:left w:val="nil"/>
              <w:bottom w:val="single" w:sz="8" w:space="0" w:color="auto"/>
              <w:right w:val="single" w:sz="8" w:space="0" w:color="auto"/>
            </w:tcBorders>
            <w:shd w:val="clear" w:color="F2F2F2" w:fill="FFFFFF"/>
            <w:noWrap/>
            <w:vAlign w:val="center"/>
            <w:hideMark/>
          </w:tcPr>
          <w:p w14:paraId="01CC7F55" w14:textId="77777777" w:rsidR="00964D7F" w:rsidRPr="00322837" w:rsidRDefault="00964D7F" w:rsidP="00EC7D22">
            <w:pPr>
              <w:spacing w:after="0" w:line="240" w:lineRule="auto"/>
              <w:rPr>
                <w:rFonts w:eastAsia="Times New Roman" w:cs="Calibri"/>
                <w:color w:val="000000"/>
                <w:sz w:val="13"/>
                <w:szCs w:val="13"/>
                <w:lang w:eastAsia="es-MX"/>
              </w:rPr>
            </w:pPr>
            <w:r w:rsidRPr="003D61EF">
              <w:rPr>
                <w:rFonts w:eastAsia="Times New Roman" w:cs="Calibri"/>
                <w:color w:val="000000"/>
                <w:sz w:val="13"/>
                <w:szCs w:val="13"/>
                <w:lang w:eastAsia="es-MX"/>
              </w:rPr>
              <w:t>Árboles</w:t>
            </w:r>
            <w:r w:rsidRPr="00322837">
              <w:rPr>
                <w:rFonts w:eastAsia="Times New Roman" w:cs="Calibri"/>
                <w:color w:val="000000"/>
                <w:sz w:val="13"/>
                <w:szCs w:val="13"/>
                <w:lang w:eastAsia="es-MX"/>
              </w:rPr>
              <w:t xml:space="preserve">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Plantas</w:t>
            </w:r>
          </w:p>
        </w:tc>
        <w:tc>
          <w:tcPr>
            <w:tcW w:w="1330" w:type="dxa"/>
            <w:tcBorders>
              <w:top w:val="nil"/>
              <w:left w:val="nil"/>
              <w:bottom w:val="single" w:sz="8" w:space="0" w:color="auto"/>
              <w:right w:val="single" w:sz="8" w:space="0" w:color="auto"/>
            </w:tcBorders>
            <w:shd w:val="clear" w:color="F2F2F2" w:fill="FFFFFF"/>
            <w:noWrap/>
            <w:vAlign w:val="center"/>
            <w:hideMark/>
          </w:tcPr>
          <w:p w14:paraId="1D3D9D6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FCC0A6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1B7F2A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8E5A7D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1D64F0D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5B7C178A"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096371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4890</w:t>
            </w:r>
          </w:p>
        </w:tc>
        <w:tc>
          <w:tcPr>
            <w:tcW w:w="2997" w:type="dxa"/>
            <w:tcBorders>
              <w:top w:val="nil"/>
              <w:left w:val="nil"/>
              <w:bottom w:val="single" w:sz="8" w:space="0" w:color="auto"/>
              <w:right w:val="single" w:sz="8" w:space="0" w:color="auto"/>
            </w:tcBorders>
            <w:shd w:val="clear" w:color="F2F2F2" w:fill="FFFFFF"/>
            <w:noWrap/>
            <w:vAlign w:val="center"/>
            <w:hideMark/>
          </w:tcPr>
          <w:p w14:paraId="1DCD18D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Otros Activos Biológicos Flora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Fauna</w:t>
            </w:r>
          </w:p>
        </w:tc>
        <w:tc>
          <w:tcPr>
            <w:tcW w:w="1330" w:type="dxa"/>
            <w:tcBorders>
              <w:top w:val="nil"/>
              <w:left w:val="nil"/>
              <w:bottom w:val="single" w:sz="8" w:space="0" w:color="auto"/>
              <w:right w:val="single" w:sz="8" w:space="0" w:color="auto"/>
            </w:tcBorders>
            <w:shd w:val="clear" w:color="F2F2F2" w:fill="FFFFFF"/>
            <w:noWrap/>
            <w:vAlign w:val="center"/>
            <w:hideMark/>
          </w:tcPr>
          <w:p w14:paraId="603EF0F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9AFC2B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6CD831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52B651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4CD3269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16ECA4C7"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29FFB2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5100</w:t>
            </w:r>
          </w:p>
        </w:tc>
        <w:tc>
          <w:tcPr>
            <w:tcW w:w="2997" w:type="dxa"/>
            <w:tcBorders>
              <w:top w:val="nil"/>
              <w:left w:val="nil"/>
              <w:bottom w:val="single" w:sz="8" w:space="0" w:color="auto"/>
              <w:right w:val="single" w:sz="8" w:space="0" w:color="auto"/>
            </w:tcBorders>
            <w:shd w:val="clear" w:color="F2F2F2" w:fill="FFFFFF"/>
            <w:noWrap/>
            <w:vAlign w:val="center"/>
            <w:hideMark/>
          </w:tcPr>
          <w:p w14:paraId="0E73B25C"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Software</w:t>
            </w:r>
          </w:p>
        </w:tc>
        <w:tc>
          <w:tcPr>
            <w:tcW w:w="1330" w:type="dxa"/>
            <w:tcBorders>
              <w:top w:val="nil"/>
              <w:left w:val="nil"/>
              <w:bottom w:val="single" w:sz="8" w:space="0" w:color="auto"/>
              <w:right w:val="single" w:sz="8" w:space="0" w:color="auto"/>
            </w:tcBorders>
            <w:shd w:val="clear" w:color="F2F2F2" w:fill="FFFFFF"/>
            <w:noWrap/>
            <w:vAlign w:val="center"/>
            <w:hideMark/>
          </w:tcPr>
          <w:p w14:paraId="078E321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752363F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w:t>
            </w:r>
          </w:p>
        </w:tc>
        <w:tc>
          <w:tcPr>
            <w:tcW w:w="967" w:type="dxa"/>
            <w:tcBorders>
              <w:top w:val="nil"/>
              <w:left w:val="nil"/>
              <w:bottom w:val="single" w:sz="8" w:space="0" w:color="auto"/>
              <w:right w:val="single" w:sz="8" w:space="0" w:color="auto"/>
            </w:tcBorders>
            <w:shd w:val="clear" w:color="F2F2F2" w:fill="FFFFFF"/>
            <w:noWrap/>
            <w:vAlign w:val="center"/>
            <w:hideMark/>
          </w:tcPr>
          <w:p w14:paraId="69BE872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D545C7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100</w:t>
            </w:r>
          </w:p>
        </w:tc>
        <w:tc>
          <w:tcPr>
            <w:tcW w:w="1269" w:type="dxa"/>
            <w:tcBorders>
              <w:top w:val="nil"/>
              <w:left w:val="nil"/>
              <w:bottom w:val="single" w:sz="8" w:space="0" w:color="auto"/>
              <w:right w:val="single" w:sz="8" w:space="0" w:color="auto"/>
            </w:tcBorders>
            <w:shd w:val="clear" w:color="F2F2F2" w:fill="FFFFFF"/>
            <w:noWrap/>
            <w:vAlign w:val="center"/>
            <w:hideMark/>
          </w:tcPr>
          <w:p w14:paraId="386BB43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8.33</w:t>
            </w:r>
          </w:p>
        </w:tc>
      </w:tr>
      <w:tr w:rsidR="00964D7F" w:rsidRPr="003D61EF" w14:paraId="126893BB"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F7A2C2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5210</w:t>
            </w:r>
          </w:p>
        </w:tc>
        <w:tc>
          <w:tcPr>
            <w:tcW w:w="2997" w:type="dxa"/>
            <w:tcBorders>
              <w:top w:val="nil"/>
              <w:left w:val="nil"/>
              <w:bottom w:val="single" w:sz="8" w:space="0" w:color="auto"/>
              <w:right w:val="single" w:sz="8" w:space="0" w:color="auto"/>
            </w:tcBorders>
            <w:shd w:val="clear" w:color="F2F2F2" w:fill="FFFFFF"/>
            <w:noWrap/>
            <w:vAlign w:val="center"/>
            <w:hideMark/>
          </w:tcPr>
          <w:p w14:paraId="5CFBAC8D"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Patentes</w:t>
            </w:r>
          </w:p>
        </w:tc>
        <w:tc>
          <w:tcPr>
            <w:tcW w:w="1330" w:type="dxa"/>
            <w:tcBorders>
              <w:top w:val="nil"/>
              <w:left w:val="nil"/>
              <w:bottom w:val="single" w:sz="8" w:space="0" w:color="auto"/>
              <w:right w:val="single" w:sz="8" w:space="0" w:color="auto"/>
            </w:tcBorders>
            <w:shd w:val="clear" w:color="F2F2F2" w:fill="FFFFFF"/>
            <w:noWrap/>
            <w:vAlign w:val="center"/>
            <w:hideMark/>
          </w:tcPr>
          <w:p w14:paraId="3E1790C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919662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E6FB8E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F16847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0DE4825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52A698B6"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0F81DC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5220</w:t>
            </w:r>
          </w:p>
        </w:tc>
        <w:tc>
          <w:tcPr>
            <w:tcW w:w="2997" w:type="dxa"/>
            <w:tcBorders>
              <w:top w:val="nil"/>
              <w:left w:val="nil"/>
              <w:bottom w:val="single" w:sz="8" w:space="0" w:color="auto"/>
              <w:right w:val="single" w:sz="8" w:space="0" w:color="auto"/>
            </w:tcBorders>
            <w:shd w:val="clear" w:color="F2F2F2" w:fill="FFFFFF"/>
            <w:noWrap/>
            <w:vAlign w:val="center"/>
            <w:hideMark/>
          </w:tcPr>
          <w:p w14:paraId="599B9257"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Marcas</w:t>
            </w:r>
          </w:p>
        </w:tc>
        <w:tc>
          <w:tcPr>
            <w:tcW w:w="1330" w:type="dxa"/>
            <w:tcBorders>
              <w:top w:val="nil"/>
              <w:left w:val="nil"/>
              <w:bottom w:val="single" w:sz="8" w:space="0" w:color="auto"/>
              <w:right w:val="single" w:sz="8" w:space="0" w:color="auto"/>
            </w:tcBorders>
            <w:shd w:val="clear" w:color="F2F2F2" w:fill="FFFFFF"/>
            <w:noWrap/>
            <w:vAlign w:val="center"/>
            <w:hideMark/>
          </w:tcPr>
          <w:p w14:paraId="404A0A2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7373EE8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193918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541EC7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5D1A3D1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4400250A"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C3D538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5230</w:t>
            </w:r>
          </w:p>
        </w:tc>
        <w:tc>
          <w:tcPr>
            <w:tcW w:w="2997" w:type="dxa"/>
            <w:tcBorders>
              <w:top w:val="nil"/>
              <w:left w:val="nil"/>
              <w:bottom w:val="single" w:sz="8" w:space="0" w:color="auto"/>
              <w:right w:val="single" w:sz="8" w:space="0" w:color="auto"/>
            </w:tcBorders>
            <w:shd w:val="clear" w:color="F2F2F2" w:fill="FFFFFF"/>
            <w:noWrap/>
            <w:vAlign w:val="center"/>
            <w:hideMark/>
          </w:tcPr>
          <w:p w14:paraId="37BA8B4F"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Derechos</w:t>
            </w:r>
          </w:p>
        </w:tc>
        <w:tc>
          <w:tcPr>
            <w:tcW w:w="1330" w:type="dxa"/>
            <w:tcBorders>
              <w:top w:val="nil"/>
              <w:left w:val="nil"/>
              <w:bottom w:val="single" w:sz="8" w:space="0" w:color="auto"/>
              <w:right w:val="single" w:sz="8" w:space="0" w:color="auto"/>
            </w:tcBorders>
            <w:shd w:val="clear" w:color="F2F2F2" w:fill="FFFFFF"/>
            <w:noWrap/>
            <w:vAlign w:val="center"/>
            <w:hideMark/>
          </w:tcPr>
          <w:p w14:paraId="0A7F15B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486FDF6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6DB0DF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CB2E35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15C8661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1723DBE7"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499D76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5310</w:t>
            </w:r>
          </w:p>
        </w:tc>
        <w:tc>
          <w:tcPr>
            <w:tcW w:w="2997" w:type="dxa"/>
            <w:tcBorders>
              <w:top w:val="nil"/>
              <w:left w:val="nil"/>
              <w:bottom w:val="single" w:sz="8" w:space="0" w:color="auto"/>
              <w:right w:val="single" w:sz="8" w:space="0" w:color="auto"/>
            </w:tcBorders>
            <w:shd w:val="clear" w:color="F2F2F2" w:fill="FFFFFF"/>
            <w:noWrap/>
            <w:vAlign w:val="center"/>
            <w:hideMark/>
          </w:tcPr>
          <w:p w14:paraId="2CEA9F42"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Concesiones</w:t>
            </w:r>
          </w:p>
        </w:tc>
        <w:tc>
          <w:tcPr>
            <w:tcW w:w="1330" w:type="dxa"/>
            <w:tcBorders>
              <w:top w:val="nil"/>
              <w:left w:val="nil"/>
              <w:bottom w:val="single" w:sz="8" w:space="0" w:color="auto"/>
              <w:right w:val="single" w:sz="8" w:space="0" w:color="auto"/>
            </w:tcBorders>
            <w:shd w:val="clear" w:color="F2F2F2" w:fill="FFFFFF"/>
            <w:noWrap/>
            <w:vAlign w:val="center"/>
            <w:hideMark/>
          </w:tcPr>
          <w:p w14:paraId="3FEC69F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BA9EB0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0AAD55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4C679D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2D3CF8D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F863F78"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5B7E77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5320</w:t>
            </w:r>
          </w:p>
        </w:tc>
        <w:tc>
          <w:tcPr>
            <w:tcW w:w="2997" w:type="dxa"/>
            <w:tcBorders>
              <w:top w:val="nil"/>
              <w:left w:val="nil"/>
              <w:bottom w:val="single" w:sz="8" w:space="0" w:color="auto"/>
              <w:right w:val="single" w:sz="8" w:space="0" w:color="auto"/>
            </w:tcBorders>
            <w:shd w:val="clear" w:color="F2F2F2" w:fill="FFFFFF"/>
            <w:noWrap/>
            <w:vAlign w:val="center"/>
            <w:hideMark/>
          </w:tcPr>
          <w:p w14:paraId="0B368836"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Franquicias</w:t>
            </w:r>
          </w:p>
        </w:tc>
        <w:tc>
          <w:tcPr>
            <w:tcW w:w="1330" w:type="dxa"/>
            <w:tcBorders>
              <w:top w:val="nil"/>
              <w:left w:val="nil"/>
              <w:bottom w:val="single" w:sz="8" w:space="0" w:color="auto"/>
              <w:right w:val="single" w:sz="8" w:space="0" w:color="auto"/>
            </w:tcBorders>
            <w:shd w:val="clear" w:color="F2F2F2" w:fill="FFFFFF"/>
            <w:noWrap/>
            <w:vAlign w:val="center"/>
            <w:hideMark/>
          </w:tcPr>
          <w:p w14:paraId="46142EE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F57F8A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CEA38D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0936FB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333190A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3A73D262"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2C3D887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5410</w:t>
            </w:r>
          </w:p>
        </w:tc>
        <w:tc>
          <w:tcPr>
            <w:tcW w:w="2997" w:type="dxa"/>
            <w:tcBorders>
              <w:top w:val="nil"/>
              <w:left w:val="nil"/>
              <w:bottom w:val="single" w:sz="8" w:space="0" w:color="auto"/>
              <w:right w:val="single" w:sz="8" w:space="0" w:color="auto"/>
            </w:tcBorders>
            <w:shd w:val="clear" w:color="F2F2F2" w:fill="FFFFFF"/>
            <w:noWrap/>
            <w:vAlign w:val="center"/>
            <w:hideMark/>
          </w:tcPr>
          <w:p w14:paraId="4FA82ED4"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Licencias Informáticas E Intelectuales</w:t>
            </w:r>
          </w:p>
        </w:tc>
        <w:tc>
          <w:tcPr>
            <w:tcW w:w="1330" w:type="dxa"/>
            <w:tcBorders>
              <w:top w:val="nil"/>
              <w:left w:val="nil"/>
              <w:bottom w:val="single" w:sz="8" w:space="0" w:color="auto"/>
              <w:right w:val="single" w:sz="8" w:space="0" w:color="auto"/>
            </w:tcBorders>
            <w:shd w:val="clear" w:color="F2F2F2" w:fill="FFFFFF"/>
            <w:noWrap/>
            <w:vAlign w:val="center"/>
            <w:hideMark/>
          </w:tcPr>
          <w:p w14:paraId="0219600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286E3F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w:t>
            </w:r>
          </w:p>
        </w:tc>
        <w:tc>
          <w:tcPr>
            <w:tcW w:w="967" w:type="dxa"/>
            <w:tcBorders>
              <w:top w:val="nil"/>
              <w:left w:val="nil"/>
              <w:bottom w:val="single" w:sz="8" w:space="0" w:color="auto"/>
              <w:right w:val="single" w:sz="8" w:space="0" w:color="auto"/>
            </w:tcBorders>
            <w:shd w:val="clear" w:color="F2F2F2" w:fill="FFFFFF"/>
            <w:noWrap/>
            <w:vAlign w:val="center"/>
            <w:hideMark/>
          </w:tcPr>
          <w:p w14:paraId="2BE3226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3AC1E2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100</w:t>
            </w:r>
          </w:p>
        </w:tc>
        <w:tc>
          <w:tcPr>
            <w:tcW w:w="1269" w:type="dxa"/>
            <w:tcBorders>
              <w:top w:val="nil"/>
              <w:left w:val="nil"/>
              <w:bottom w:val="single" w:sz="8" w:space="0" w:color="auto"/>
              <w:right w:val="single" w:sz="8" w:space="0" w:color="auto"/>
            </w:tcBorders>
            <w:shd w:val="clear" w:color="F2F2F2" w:fill="FFFFFF"/>
            <w:noWrap/>
            <w:vAlign w:val="center"/>
            <w:hideMark/>
          </w:tcPr>
          <w:p w14:paraId="3D0D188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8.33</w:t>
            </w:r>
          </w:p>
        </w:tc>
      </w:tr>
      <w:tr w:rsidR="00964D7F" w:rsidRPr="003D61EF" w14:paraId="4825F8DA"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85AC86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5420</w:t>
            </w:r>
          </w:p>
        </w:tc>
        <w:tc>
          <w:tcPr>
            <w:tcW w:w="2997" w:type="dxa"/>
            <w:tcBorders>
              <w:top w:val="nil"/>
              <w:left w:val="nil"/>
              <w:bottom w:val="single" w:sz="8" w:space="0" w:color="auto"/>
              <w:right w:val="single" w:sz="8" w:space="0" w:color="auto"/>
            </w:tcBorders>
            <w:shd w:val="clear" w:color="F2F2F2" w:fill="FFFFFF"/>
            <w:noWrap/>
            <w:vAlign w:val="center"/>
            <w:hideMark/>
          </w:tcPr>
          <w:p w14:paraId="1DC7DABC"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Licencias Industriales, Comerciales Y Otras</w:t>
            </w:r>
          </w:p>
        </w:tc>
        <w:tc>
          <w:tcPr>
            <w:tcW w:w="1330" w:type="dxa"/>
            <w:tcBorders>
              <w:top w:val="nil"/>
              <w:left w:val="nil"/>
              <w:bottom w:val="single" w:sz="8" w:space="0" w:color="auto"/>
              <w:right w:val="single" w:sz="8" w:space="0" w:color="auto"/>
            </w:tcBorders>
            <w:shd w:val="clear" w:color="F2F2F2" w:fill="FFFFFF"/>
            <w:noWrap/>
            <w:vAlign w:val="center"/>
            <w:hideMark/>
          </w:tcPr>
          <w:p w14:paraId="171F2FA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274970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DD1B9B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1CE456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014827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51F21F6E"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3C88C1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5900</w:t>
            </w:r>
          </w:p>
        </w:tc>
        <w:tc>
          <w:tcPr>
            <w:tcW w:w="2997" w:type="dxa"/>
            <w:tcBorders>
              <w:top w:val="nil"/>
              <w:left w:val="nil"/>
              <w:bottom w:val="single" w:sz="8" w:space="0" w:color="auto"/>
              <w:right w:val="single" w:sz="8" w:space="0" w:color="auto"/>
            </w:tcBorders>
            <w:shd w:val="clear" w:color="F2F2F2" w:fill="FFFFFF"/>
            <w:noWrap/>
            <w:vAlign w:val="center"/>
            <w:hideMark/>
          </w:tcPr>
          <w:p w14:paraId="6FB39CA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Otros Activos Intangibles</w:t>
            </w:r>
          </w:p>
        </w:tc>
        <w:tc>
          <w:tcPr>
            <w:tcW w:w="1330" w:type="dxa"/>
            <w:tcBorders>
              <w:top w:val="nil"/>
              <w:left w:val="nil"/>
              <w:bottom w:val="single" w:sz="8" w:space="0" w:color="auto"/>
              <w:right w:val="single" w:sz="8" w:space="0" w:color="auto"/>
            </w:tcBorders>
            <w:shd w:val="clear" w:color="F2F2F2" w:fill="FFFFFF"/>
            <w:noWrap/>
            <w:vAlign w:val="center"/>
            <w:hideMark/>
          </w:tcPr>
          <w:p w14:paraId="588CCEF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CEBB02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8D2396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3F2530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62682F7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2D3D79D7"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0AC9D1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93100</w:t>
            </w:r>
          </w:p>
        </w:tc>
        <w:tc>
          <w:tcPr>
            <w:tcW w:w="2997" w:type="dxa"/>
            <w:tcBorders>
              <w:top w:val="nil"/>
              <w:left w:val="nil"/>
              <w:bottom w:val="single" w:sz="8" w:space="0" w:color="auto"/>
              <w:right w:val="single" w:sz="8" w:space="0" w:color="auto"/>
            </w:tcBorders>
            <w:shd w:val="clear" w:color="F2F2F2" w:fill="FFFFFF"/>
            <w:noWrap/>
            <w:vAlign w:val="center"/>
            <w:hideMark/>
          </w:tcPr>
          <w:p w14:paraId="09129AC7"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Terrenos</w:t>
            </w:r>
          </w:p>
        </w:tc>
        <w:tc>
          <w:tcPr>
            <w:tcW w:w="1330" w:type="dxa"/>
            <w:tcBorders>
              <w:top w:val="nil"/>
              <w:left w:val="nil"/>
              <w:bottom w:val="single" w:sz="8" w:space="0" w:color="auto"/>
              <w:right w:val="single" w:sz="8" w:space="0" w:color="auto"/>
            </w:tcBorders>
            <w:shd w:val="clear" w:color="F2F2F2" w:fill="FFFFFF"/>
            <w:noWrap/>
            <w:vAlign w:val="center"/>
            <w:hideMark/>
          </w:tcPr>
          <w:p w14:paraId="29C8729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9E13B2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0A77D1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476DC7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6EF44D1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B2BEE7D" w14:textId="77777777" w:rsidTr="000A16E7">
        <w:trPr>
          <w:trHeight w:val="288"/>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2A77FFE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93200</w:t>
            </w:r>
          </w:p>
        </w:tc>
        <w:tc>
          <w:tcPr>
            <w:tcW w:w="2997" w:type="dxa"/>
            <w:tcBorders>
              <w:top w:val="nil"/>
              <w:left w:val="nil"/>
              <w:bottom w:val="single" w:sz="8" w:space="0" w:color="auto"/>
              <w:right w:val="single" w:sz="8" w:space="0" w:color="auto"/>
            </w:tcBorders>
            <w:shd w:val="clear" w:color="F2F2F2" w:fill="FFFFFF"/>
            <w:noWrap/>
            <w:vAlign w:val="center"/>
            <w:hideMark/>
          </w:tcPr>
          <w:p w14:paraId="58A10FB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Vivienda</w:t>
            </w:r>
          </w:p>
        </w:tc>
        <w:tc>
          <w:tcPr>
            <w:tcW w:w="1330" w:type="dxa"/>
            <w:tcBorders>
              <w:top w:val="nil"/>
              <w:left w:val="nil"/>
              <w:bottom w:val="single" w:sz="8" w:space="0" w:color="auto"/>
              <w:right w:val="single" w:sz="8" w:space="0" w:color="auto"/>
            </w:tcBorders>
            <w:shd w:val="clear" w:color="F2F2F2" w:fill="FFFFFF"/>
            <w:noWrap/>
            <w:vAlign w:val="center"/>
            <w:hideMark/>
          </w:tcPr>
          <w:p w14:paraId="35E5C92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4B62FB4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50</w:t>
            </w:r>
          </w:p>
        </w:tc>
        <w:tc>
          <w:tcPr>
            <w:tcW w:w="967" w:type="dxa"/>
            <w:tcBorders>
              <w:top w:val="nil"/>
              <w:left w:val="nil"/>
              <w:bottom w:val="single" w:sz="8" w:space="0" w:color="auto"/>
              <w:right w:val="single" w:sz="8" w:space="0" w:color="auto"/>
            </w:tcBorders>
            <w:shd w:val="clear" w:color="F2F2F2" w:fill="FFFFFF"/>
            <w:noWrap/>
            <w:vAlign w:val="center"/>
            <w:hideMark/>
          </w:tcPr>
          <w:p w14:paraId="2F4E439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88389D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w:t>
            </w:r>
          </w:p>
        </w:tc>
        <w:tc>
          <w:tcPr>
            <w:tcW w:w="1269" w:type="dxa"/>
            <w:tcBorders>
              <w:top w:val="nil"/>
              <w:left w:val="nil"/>
              <w:bottom w:val="single" w:sz="8" w:space="0" w:color="auto"/>
              <w:right w:val="single" w:sz="8" w:space="0" w:color="auto"/>
            </w:tcBorders>
            <w:shd w:val="clear" w:color="F2F2F2" w:fill="FFFFFF"/>
            <w:noWrap/>
            <w:vAlign w:val="center"/>
            <w:hideMark/>
          </w:tcPr>
          <w:p w14:paraId="194BC75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0.17</w:t>
            </w:r>
          </w:p>
        </w:tc>
      </w:tr>
      <w:tr w:rsidR="00964D7F" w:rsidRPr="003D61EF" w14:paraId="47AE765C"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2F68F1A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93310</w:t>
            </w:r>
          </w:p>
        </w:tc>
        <w:tc>
          <w:tcPr>
            <w:tcW w:w="2997" w:type="dxa"/>
            <w:tcBorders>
              <w:top w:val="nil"/>
              <w:left w:val="nil"/>
              <w:bottom w:val="single" w:sz="8" w:space="0" w:color="auto"/>
              <w:right w:val="single" w:sz="8" w:space="0" w:color="auto"/>
            </w:tcBorders>
            <w:shd w:val="clear" w:color="F2F2F2" w:fill="FFFFFF"/>
            <w:noWrap/>
            <w:vAlign w:val="center"/>
            <w:hideMark/>
          </w:tcPr>
          <w:p w14:paraId="680A5426"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Edificios No Habitacionales (Bienes Inmu</w:t>
            </w:r>
            <w:r w:rsidRPr="003D61EF">
              <w:rPr>
                <w:rFonts w:eastAsia="Times New Roman" w:cs="Calibri"/>
                <w:color w:val="000000"/>
                <w:sz w:val="13"/>
                <w:szCs w:val="13"/>
                <w:lang w:eastAsia="es-MX"/>
              </w:rPr>
              <w:t>ebles)</w:t>
            </w:r>
          </w:p>
        </w:tc>
        <w:tc>
          <w:tcPr>
            <w:tcW w:w="1330" w:type="dxa"/>
            <w:tcBorders>
              <w:top w:val="nil"/>
              <w:left w:val="nil"/>
              <w:bottom w:val="single" w:sz="8" w:space="0" w:color="auto"/>
              <w:right w:val="single" w:sz="8" w:space="0" w:color="auto"/>
            </w:tcBorders>
            <w:shd w:val="clear" w:color="F2F2F2" w:fill="FFFFFF"/>
            <w:noWrap/>
            <w:vAlign w:val="center"/>
            <w:hideMark/>
          </w:tcPr>
          <w:p w14:paraId="6F4B2B8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1D14E8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30</w:t>
            </w:r>
          </w:p>
        </w:tc>
        <w:tc>
          <w:tcPr>
            <w:tcW w:w="967" w:type="dxa"/>
            <w:tcBorders>
              <w:top w:val="nil"/>
              <w:left w:val="nil"/>
              <w:bottom w:val="single" w:sz="8" w:space="0" w:color="auto"/>
              <w:right w:val="single" w:sz="8" w:space="0" w:color="auto"/>
            </w:tcBorders>
            <w:shd w:val="clear" w:color="F2F2F2" w:fill="FFFFFF"/>
            <w:noWrap/>
            <w:vAlign w:val="center"/>
            <w:hideMark/>
          </w:tcPr>
          <w:p w14:paraId="45BD85E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2C6BCF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3.33</w:t>
            </w:r>
          </w:p>
        </w:tc>
        <w:tc>
          <w:tcPr>
            <w:tcW w:w="1269" w:type="dxa"/>
            <w:tcBorders>
              <w:top w:val="nil"/>
              <w:left w:val="nil"/>
              <w:bottom w:val="single" w:sz="8" w:space="0" w:color="auto"/>
              <w:right w:val="single" w:sz="8" w:space="0" w:color="auto"/>
            </w:tcBorders>
            <w:shd w:val="clear" w:color="F2F2F2" w:fill="FFFFFF"/>
            <w:noWrap/>
            <w:vAlign w:val="center"/>
            <w:hideMark/>
          </w:tcPr>
          <w:p w14:paraId="6D4D407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0.28</w:t>
            </w:r>
          </w:p>
        </w:tc>
      </w:tr>
      <w:tr w:rsidR="00964D7F" w:rsidRPr="003D61EF" w14:paraId="05B49C56"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AFF878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93320</w:t>
            </w:r>
          </w:p>
        </w:tc>
        <w:tc>
          <w:tcPr>
            <w:tcW w:w="2997" w:type="dxa"/>
            <w:tcBorders>
              <w:top w:val="nil"/>
              <w:left w:val="nil"/>
              <w:bottom w:val="single" w:sz="8" w:space="0" w:color="auto"/>
              <w:right w:val="single" w:sz="8" w:space="0" w:color="auto"/>
            </w:tcBorders>
            <w:shd w:val="clear" w:color="F2F2F2" w:fill="FFFFFF"/>
            <w:noWrap/>
            <w:vAlign w:val="center"/>
            <w:hideMark/>
          </w:tcPr>
          <w:p w14:paraId="08002E27"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Edificios</w:t>
            </w:r>
          </w:p>
        </w:tc>
        <w:tc>
          <w:tcPr>
            <w:tcW w:w="1330" w:type="dxa"/>
            <w:tcBorders>
              <w:top w:val="nil"/>
              <w:left w:val="nil"/>
              <w:bottom w:val="single" w:sz="8" w:space="0" w:color="auto"/>
              <w:right w:val="single" w:sz="8" w:space="0" w:color="auto"/>
            </w:tcBorders>
            <w:shd w:val="clear" w:color="F2F2F2" w:fill="FFFFFF"/>
            <w:noWrap/>
            <w:vAlign w:val="center"/>
            <w:hideMark/>
          </w:tcPr>
          <w:p w14:paraId="09F7404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D6A6AF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30</w:t>
            </w:r>
          </w:p>
        </w:tc>
        <w:tc>
          <w:tcPr>
            <w:tcW w:w="967" w:type="dxa"/>
            <w:tcBorders>
              <w:top w:val="nil"/>
              <w:left w:val="nil"/>
              <w:bottom w:val="single" w:sz="8" w:space="0" w:color="auto"/>
              <w:right w:val="single" w:sz="8" w:space="0" w:color="auto"/>
            </w:tcBorders>
            <w:shd w:val="clear" w:color="F2F2F2" w:fill="FFFFFF"/>
            <w:noWrap/>
            <w:vAlign w:val="center"/>
            <w:hideMark/>
          </w:tcPr>
          <w:p w14:paraId="2695766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EEBC83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3.33</w:t>
            </w:r>
          </w:p>
        </w:tc>
        <w:tc>
          <w:tcPr>
            <w:tcW w:w="1269" w:type="dxa"/>
            <w:tcBorders>
              <w:top w:val="nil"/>
              <w:left w:val="nil"/>
              <w:bottom w:val="single" w:sz="8" w:space="0" w:color="auto"/>
              <w:right w:val="single" w:sz="8" w:space="0" w:color="auto"/>
            </w:tcBorders>
            <w:shd w:val="clear" w:color="F2F2F2" w:fill="FFFFFF"/>
            <w:noWrap/>
            <w:vAlign w:val="center"/>
            <w:hideMark/>
          </w:tcPr>
          <w:p w14:paraId="466E04A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0.28</w:t>
            </w:r>
          </w:p>
        </w:tc>
      </w:tr>
      <w:tr w:rsidR="00964D7F" w:rsidRPr="003D61EF" w14:paraId="06A54966"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CDE4EC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93900</w:t>
            </w:r>
          </w:p>
        </w:tc>
        <w:tc>
          <w:tcPr>
            <w:tcW w:w="2997" w:type="dxa"/>
            <w:tcBorders>
              <w:top w:val="nil"/>
              <w:left w:val="nil"/>
              <w:bottom w:val="single" w:sz="8" w:space="0" w:color="auto"/>
              <w:right w:val="single" w:sz="8" w:space="0" w:color="auto"/>
            </w:tcBorders>
            <w:shd w:val="clear" w:color="F2F2F2" w:fill="FFFFFF"/>
            <w:noWrap/>
            <w:vAlign w:val="center"/>
            <w:hideMark/>
          </w:tcPr>
          <w:p w14:paraId="778129B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Otro Bienes Inmuebles</w:t>
            </w:r>
          </w:p>
        </w:tc>
        <w:tc>
          <w:tcPr>
            <w:tcW w:w="1330" w:type="dxa"/>
            <w:tcBorders>
              <w:top w:val="nil"/>
              <w:left w:val="nil"/>
              <w:bottom w:val="single" w:sz="8" w:space="0" w:color="auto"/>
              <w:right w:val="single" w:sz="8" w:space="0" w:color="auto"/>
            </w:tcBorders>
            <w:shd w:val="clear" w:color="F2F2F2" w:fill="FFFFFF"/>
            <w:noWrap/>
            <w:vAlign w:val="center"/>
            <w:hideMark/>
          </w:tcPr>
          <w:p w14:paraId="31295FD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B4D99C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0B118B1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B11A76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2F4F0C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092CBB32"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DFD82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94110</w:t>
            </w:r>
          </w:p>
        </w:tc>
        <w:tc>
          <w:tcPr>
            <w:tcW w:w="2997" w:type="dxa"/>
            <w:tcBorders>
              <w:top w:val="nil"/>
              <w:left w:val="nil"/>
              <w:bottom w:val="single" w:sz="8" w:space="0" w:color="auto"/>
              <w:right w:val="single" w:sz="8" w:space="0" w:color="auto"/>
            </w:tcBorders>
            <w:shd w:val="clear" w:color="F2F2F2" w:fill="FFFFFF"/>
            <w:noWrap/>
            <w:vAlign w:val="center"/>
            <w:hideMark/>
          </w:tcPr>
          <w:p w14:paraId="518A2E2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Muebles De Oficina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Estantería</w:t>
            </w:r>
          </w:p>
        </w:tc>
        <w:tc>
          <w:tcPr>
            <w:tcW w:w="1330" w:type="dxa"/>
            <w:tcBorders>
              <w:top w:val="nil"/>
              <w:left w:val="nil"/>
              <w:bottom w:val="single" w:sz="8" w:space="0" w:color="auto"/>
              <w:right w:val="single" w:sz="8" w:space="0" w:color="auto"/>
            </w:tcBorders>
            <w:shd w:val="clear" w:color="F2F2F2" w:fill="FFFFFF"/>
            <w:noWrap/>
            <w:vAlign w:val="center"/>
            <w:hideMark/>
          </w:tcPr>
          <w:p w14:paraId="3D18DD0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7DE3B64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23D5654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C9AAB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64B8309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6921728B"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416125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94120</w:t>
            </w:r>
          </w:p>
        </w:tc>
        <w:tc>
          <w:tcPr>
            <w:tcW w:w="2997" w:type="dxa"/>
            <w:tcBorders>
              <w:top w:val="nil"/>
              <w:left w:val="nil"/>
              <w:bottom w:val="single" w:sz="8" w:space="0" w:color="auto"/>
              <w:right w:val="single" w:sz="8" w:space="0" w:color="auto"/>
            </w:tcBorders>
            <w:shd w:val="clear" w:color="F2F2F2" w:fill="FFFFFF"/>
            <w:noWrap/>
            <w:vAlign w:val="center"/>
            <w:hideMark/>
          </w:tcPr>
          <w:p w14:paraId="2DC9FDF4"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Muebles Excepto De Of</w:t>
            </w:r>
            <w:r w:rsidRPr="003D61EF">
              <w:rPr>
                <w:rFonts w:eastAsia="Times New Roman" w:cs="Calibri"/>
                <w:color w:val="000000"/>
                <w:sz w:val="13"/>
                <w:szCs w:val="13"/>
                <w:lang w:eastAsia="es-MX"/>
              </w:rPr>
              <w:t>ici</w:t>
            </w:r>
            <w:r w:rsidRPr="00322837">
              <w:rPr>
                <w:rFonts w:eastAsia="Times New Roman" w:cs="Calibri"/>
                <w:color w:val="000000"/>
                <w:sz w:val="13"/>
                <w:szCs w:val="13"/>
                <w:lang w:eastAsia="es-MX"/>
              </w:rPr>
              <w:t xml:space="preserve">na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Estantería</w:t>
            </w:r>
          </w:p>
        </w:tc>
        <w:tc>
          <w:tcPr>
            <w:tcW w:w="1330" w:type="dxa"/>
            <w:tcBorders>
              <w:top w:val="nil"/>
              <w:left w:val="nil"/>
              <w:bottom w:val="single" w:sz="8" w:space="0" w:color="auto"/>
              <w:right w:val="single" w:sz="8" w:space="0" w:color="auto"/>
            </w:tcBorders>
            <w:shd w:val="clear" w:color="F2F2F2" w:fill="FFFFFF"/>
            <w:noWrap/>
            <w:vAlign w:val="center"/>
            <w:hideMark/>
          </w:tcPr>
          <w:p w14:paraId="3920408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558281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4206411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4FCB1B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6D3A1AC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3814E198"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334384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94130</w:t>
            </w:r>
          </w:p>
        </w:tc>
        <w:tc>
          <w:tcPr>
            <w:tcW w:w="2997" w:type="dxa"/>
            <w:tcBorders>
              <w:top w:val="nil"/>
              <w:left w:val="nil"/>
              <w:bottom w:val="single" w:sz="8" w:space="0" w:color="auto"/>
              <w:right w:val="single" w:sz="8" w:space="0" w:color="auto"/>
            </w:tcBorders>
            <w:shd w:val="clear" w:color="F2F2F2" w:fill="FFFFFF"/>
            <w:noWrap/>
            <w:vAlign w:val="center"/>
            <w:hideMark/>
          </w:tcPr>
          <w:p w14:paraId="455EF5D2"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Equipo Cómputo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Tecnologías De La Infor</w:t>
            </w:r>
            <w:r w:rsidRPr="003D61EF">
              <w:rPr>
                <w:rFonts w:eastAsia="Times New Roman" w:cs="Calibri"/>
                <w:color w:val="000000"/>
                <w:sz w:val="13"/>
                <w:szCs w:val="13"/>
                <w:lang w:eastAsia="es-MX"/>
              </w:rPr>
              <w:t>mación</w:t>
            </w:r>
          </w:p>
        </w:tc>
        <w:tc>
          <w:tcPr>
            <w:tcW w:w="1330" w:type="dxa"/>
            <w:tcBorders>
              <w:top w:val="nil"/>
              <w:left w:val="nil"/>
              <w:bottom w:val="single" w:sz="8" w:space="0" w:color="auto"/>
              <w:right w:val="single" w:sz="8" w:space="0" w:color="auto"/>
            </w:tcBorders>
            <w:shd w:val="clear" w:color="F2F2F2" w:fill="FFFFFF"/>
            <w:noWrap/>
            <w:vAlign w:val="center"/>
            <w:hideMark/>
          </w:tcPr>
          <w:p w14:paraId="67095BD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D145B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410D2A1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114FAD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w:t>
            </w:r>
          </w:p>
        </w:tc>
        <w:tc>
          <w:tcPr>
            <w:tcW w:w="1269" w:type="dxa"/>
            <w:tcBorders>
              <w:top w:val="nil"/>
              <w:left w:val="nil"/>
              <w:bottom w:val="single" w:sz="8" w:space="0" w:color="auto"/>
              <w:right w:val="single" w:sz="8" w:space="0" w:color="auto"/>
            </w:tcBorders>
            <w:shd w:val="clear" w:color="F2F2F2" w:fill="FFFFFF"/>
            <w:noWrap/>
            <w:vAlign w:val="center"/>
            <w:hideMark/>
          </w:tcPr>
          <w:p w14:paraId="0CE7EA5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1.67</w:t>
            </w:r>
          </w:p>
        </w:tc>
      </w:tr>
      <w:tr w:rsidR="00964D7F" w:rsidRPr="003D61EF" w14:paraId="3594161F"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41F589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94190</w:t>
            </w:r>
          </w:p>
        </w:tc>
        <w:tc>
          <w:tcPr>
            <w:tcW w:w="2997" w:type="dxa"/>
            <w:tcBorders>
              <w:top w:val="nil"/>
              <w:left w:val="nil"/>
              <w:bottom w:val="single" w:sz="8" w:space="0" w:color="auto"/>
              <w:right w:val="single" w:sz="8" w:space="0" w:color="auto"/>
            </w:tcBorders>
            <w:shd w:val="clear" w:color="F2F2F2" w:fill="FFFFFF"/>
            <w:noWrap/>
            <w:vAlign w:val="center"/>
            <w:hideMark/>
          </w:tcPr>
          <w:p w14:paraId="1196609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Otros Mobiliarios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Equipos De Administr</w:t>
            </w:r>
            <w:r w:rsidRPr="003D61EF">
              <w:rPr>
                <w:rFonts w:eastAsia="Times New Roman" w:cs="Calibri"/>
                <w:color w:val="000000"/>
                <w:sz w:val="13"/>
                <w:szCs w:val="13"/>
                <w:lang w:eastAsia="es-MX"/>
              </w:rPr>
              <w:t>ación</w:t>
            </w:r>
          </w:p>
        </w:tc>
        <w:tc>
          <w:tcPr>
            <w:tcW w:w="1330" w:type="dxa"/>
            <w:tcBorders>
              <w:top w:val="nil"/>
              <w:left w:val="nil"/>
              <w:bottom w:val="single" w:sz="8" w:space="0" w:color="auto"/>
              <w:right w:val="single" w:sz="8" w:space="0" w:color="auto"/>
            </w:tcBorders>
            <w:shd w:val="clear" w:color="F2F2F2" w:fill="FFFFFF"/>
            <w:noWrap/>
            <w:vAlign w:val="center"/>
            <w:hideMark/>
          </w:tcPr>
          <w:p w14:paraId="510347A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5DFEB1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7A4AB80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F81F8B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582F9C8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1B2D6F33"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D21768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94210</w:t>
            </w:r>
          </w:p>
        </w:tc>
        <w:tc>
          <w:tcPr>
            <w:tcW w:w="2997" w:type="dxa"/>
            <w:tcBorders>
              <w:top w:val="nil"/>
              <w:left w:val="nil"/>
              <w:bottom w:val="single" w:sz="8" w:space="0" w:color="auto"/>
              <w:right w:val="single" w:sz="8" w:space="0" w:color="auto"/>
            </w:tcBorders>
            <w:shd w:val="clear" w:color="F2F2F2" w:fill="FFFFFF"/>
            <w:noWrap/>
            <w:vAlign w:val="center"/>
            <w:hideMark/>
          </w:tcPr>
          <w:p w14:paraId="57CC2B7F"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Equipo De Aparatos Audiovisuales</w:t>
            </w:r>
          </w:p>
        </w:tc>
        <w:tc>
          <w:tcPr>
            <w:tcW w:w="1330" w:type="dxa"/>
            <w:tcBorders>
              <w:top w:val="nil"/>
              <w:left w:val="nil"/>
              <w:bottom w:val="single" w:sz="8" w:space="0" w:color="auto"/>
              <w:right w:val="single" w:sz="8" w:space="0" w:color="auto"/>
            </w:tcBorders>
            <w:shd w:val="clear" w:color="F2F2F2" w:fill="FFFFFF"/>
            <w:noWrap/>
            <w:vAlign w:val="center"/>
            <w:hideMark/>
          </w:tcPr>
          <w:p w14:paraId="4EAD91E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73C36B4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2AF6DE7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BC0DE6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1120321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55A88B7D"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90FB3C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94220</w:t>
            </w:r>
          </w:p>
        </w:tc>
        <w:tc>
          <w:tcPr>
            <w:tcW w:w="2997" w:type="dxa"/>
            <w:tcBorders>
              <w:top w:val="nil"/>
              <w:left w:val="nil"/>
              <w:bottom w:val="single" w:sz="8" w:space="0" w:color="auto"/>
              <w:right w:val="single" w:sz="8" w:space="0" w:color="auto"/>
            </w:tcBorders>
            <w:shd w:val="clear" w:color="F2F2F2" w:fill="FFFFFF"/>
            <w:noWrap/>
            <w:vAlign w:val="center"/>
            <w:hideMark/>
          </w:tcPr>
          <w:p w14:paraId="2A7067E8"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Aparatos Deportivos</w:t>
            </w:r>
          </w:p>
        </w:tc>
        <w:tc>
          <w:tcPr>
            <w:tcW w:w="1330" w:type="dxa"/>
            <w:tcBorders>
              <w:top w:val="nil"/>
              <w:left w:val="nil"/>
              <w:bottom w:val="single" w:sz="8" w:space="0" w:color="auto"/>
              <w:right w:val="single" w:sz="8" w:space="0" w:color="auto"/>
            </w:tcBorders>
            <w:shd w:val="clear" w:color="F2F2F2" w:fill="FFFFFF"/>
            <w:noWrap/>
            <w:vAlign w:val="center"/>
            <w:hideMark/>
          </w:tcPr>
          <w:p w14:paraId="354EF2D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0C8025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040EBFB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4DC94F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w:t>
            </w:r>
          </w:p>
        </w:tc>
        <w:tc>
          <w:tcPr>
            <w:tcW w:w="1269" w:type="dxa"/>
            <w:tcBorders>
              <w:top w:val="nil"/>
              <w:left w:val="nil"/>
              <w:bottom w:val="single" w:sz="8" w:space="0" w:color="auto"/>
              <w:right w:val="single" w:sz="8" w:space="0" w:color="auto"/>
            </w:tcBorders>
            <w:shd w:val="clear" w:color="F2F2F2" w:fill="FFFFFF"/>
            <w:noWrap/>
            <w:vAlign w:val="center"/>
            <w:hideMark/>
          </w:tcPr>
          <w:p w14:paraId="5D4C5D6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1.67</w:t>
            </w:r>
          </w:p>
        </w:tc>
      </w:tr>
      <w:tr w:rsidR="00964D7F" w:rsidRPr="003D61EF" w14:paraId="6E3C54D1"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DFC2E6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94230</w:t>
            </w:r>
          </w:p>
        </w:tc>
        <w:tc>
          <w:tcPr>
            <w:tcW w:w="2997" w:type="dxa"/>
            <w:tcBorders>
              <w:top w:val="nil"/>
              <w:left w:val="nil"/>
              <w:bottom w:val="single" w:sz="8" w:space="0" w:color="auto"/>
              <w:right w:val="single" w:sz="8" w:space="0" w:color="auto"/>
            </w:tcBorders>
            <w:shd w:val="clear" w:color="F2F2F2" w:fill="FFFFFF"/>
            <w:noWrap/>
            <w:vAlign w:val="center"/>
            <w:hideMark/>
          </w:tcPr>
          <w:p w14:paraId="0E8CDFCA"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Cámaras Fotográficas Y De Video</w:t>
            </w:r>
          </w:p>
        </w:tc>
        <w:tc>
          <w:tcPr>
            <w:tcW w:w="1330" w:type="dxa"/>
            <w:tcBorders>
              <w:top w:val="nil"/>
              <w:left w:val="nil"/>
              <w:bottom w:val="single" w:sz="8" w:space="0" w:color="auto"/>
              <w:right w:val="single" w:sz="8" w:space="0" w:color="auto"/>
            </w:tcBorders>
            <w:shd w:val="clear" w:color="F2F2F2" w:fill="FFFFFF"/>
            <w:noWrap/>
            <w:vAlign w:val="center"/>
            <w:hideMark/>
          </w:tcPr>
          <w:p w14:paraId="4D720EF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BB4F79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588C32B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582EA9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w:t>
            </w:r>
          </w:p>
        </w:tc>
        <w:tc>
          <w:tcPr>
            <w:tcW w:w="1269" w:type="dxa"/>
            <w:tcBorders>
              <w:top w:val="nil"/>
              <w:left w:val="nil"/>
              <w:bottom w:val="single" w:sz="8" w:space="0" w:color="auto"/>
              <w:right w:val="single" w:sz="8" w:space="0" w:color="auto"/>
            </w:tcBorders>
            <w:shd w:val="clear" w:color="F2F2F2" w:fill="FFFFFF"/>
            <w:noWrap/>
            <w:vAlign w:val="center"/>
            <w:hideMark/>
          </w:tcPr>
          <w:p w14:paraId="5A6EF86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1.67</w:t>
            </w:r>
          </w:p>
        </w:tc>
      </w:tr>
      <w:tr w:rsidR="00964D7F" w:rsidRPr="003D61EF" w14:paraId="35C89C7E"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B8EC81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94290</w:t>
            </w:r>
          </w:p>
        </w:tc>
        <w:tc>
          <w:tcPr>
            <w:tcW w:w="2997" w:type="dxa"/>
            <w:tcBorders>
              <w:top w:val="nil"/>
              <w:left w:val="nil"/>
              <w:bottom w:val="single" w:sz="8" w:space="0" w:color="auto"/>
              <w:right w:val="single" w:sz="8" w:space="0" w:color="auto"/>
            </w:tcBorders>
            <w:shd w:val="clear" w:color="F2F2F2" w:fill="FFFFFF"/>
            <w:noWrap/>
            <w:vAlign w:val="center"/>
            <w:hideMark/>
          </w:tcPr>
          <w:p w14:paraId="4F9FF9D8"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Otro Mobiliario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 Educacional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R</w:t>
            </w:r>
            <w:r w:rsidRPr="003D61EF">
              <w:rPr>
                <w:rFonts w:eastAsia="Times New Roman" w:cs="Calibri"/>
                <w:color w:val="000000"/>
                <w:sz w:val="13"/>
                <w:szCs w:val="13"/>
                <w:lang w:eastAsia="es-MX"/>
              </w:rPr>
              <w:t>ecreativo</w:t>
            </w:r>
          </w:p>
        </w:tc>
        <w:tc>
          <w:tcPr>
            <w:tcW w:w="1330" w:type="dxa"/>
            <w:tcBorders>
              <w:top w:val="nil"/>
              <w:left w:val="nil"/>
              <w:bottom w:val="single" w:sz="8" w:space="0" w:color="auto"/>
              <w:right w:val="single" w:sz="8" w:space="0" w:color="auto"/>
            </w:tcBorders>
            <w:shd w:val="clear" w:color="F2F2F2" w:fill="FFFFFF"/>
            <w:noWrap/>
            <w:vAlign w:val="center"/>
            <w:hideMark/>
          </w:tcPr>
          <w:p w14:paraId="4740B03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7B59C5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2D3B14A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E938E0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0DBD649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1EE1C8BC"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C286AF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94310</w:t>
            </w:r>
          </w:p>
        </w:tc>
        <w:tc>
          <w:tcPr>
            <w:tcW w:w="2997" w:type="dxa"/>
            <w:tcBorders>
              <w:top w:val="nil"/>
              <w:left w:val="nil"/>
              <w:bottom w:val="single" w:sz="8" w:space="0" w:color="auto"/>
              <w:right w:val="single" w:sz="8" w:space="0" w:color="auto"/>
            </w:tcBorders>
            <w:shd w:val="clear" w:color="F2F2F2" w:fill="FFFFFF"/>
            <w:noWrap/>
            <w:vAlign w:val="center"/>
            <w:hideMark/>
          </w:tcPr>
          <w:p w14:paraId="659D1DE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Equipo Médico Y De Laboratorio</w:t>
            </w:r>
          </w:p>
        </w:tc>
        <w:tc>
          <w:tcPr>
            <w:tcW w:w="1330" w:type="dxa"/>
            <w:tcBorders>
              <w:top w:val="nil"/>
              <w:left w:val="nil"/>
              <w:bottom w:val="single" w:sz="8" w:space="0" w:color="auto"/>
              <w:right w:val="single" w:sz="8" w:space="0" w:color="auto"/>
            </w:tcBorders>
            <w:shd w:val="clear" w:color="F2F2F2" w:fill="FFFFFF"/>
            <w:noWrap/>
            <w:vAlign w:val="center"/>
            <w:hideMark/>
          </w:tcPr>
          <w:p w14:paraId="57906D4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5ABDE2A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41AD565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1D7405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29CC54E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3BE87D1D"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6DE8B3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94320</w:t>
            </w:r>
          </w:p>
        </w:tc>
        <w:tc>
          <w:tcPr>
            <w:tcW w:w="2997" w:type="dxa"/>
            <w:tcBorders>
              <w:top w:val="nil"/>
              <w:left w:val="nil"/>
              <w:bottom w:val="single" w:sz="8" w:space="0" w:color="auto"/>
              <w:right w:val="single" w:sz="8" w:space="0" w:color="auto"/>
            </w:tcBorders>
            <w:shd w:val="clear" w:color="F2F2F2" w:fill="FFFFFF"/>
            <w:noWrap/>
            <w:vAlign w:val="center"/>
            <w:hideMark/>
          </w:tcPr>
          <w:p w14:paraId="328FC2A7"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Instrumental Médico Y De Laboratorio</w:t>
            </w:r>
          </w:p>
        </w:tc>
        <w:tc>
          <w:tcPr>
            <w:tcW w:w="1330" w:type="dxa"/>
            <w:tcBorders>
              <w:top w:val="nil"/>
              <w:left w:val="nil"/>
              <w:bottom w:val="single" w:sz="8" w:space="0" w:color="auto"/>
              <w:right w:val="single" w:sz="8" w:space="0" w:color="auto"/>
            </w:tcBorders>
            <w:shd w:val="clear" w:color="F2F2F2" w:fill="FFFFFF"/>
            <w:noWrap/>
            <w:vAlign w:val="center"/>
            <w:hideMark/>
          </w:tcPr>
          <w:p w14:paraId="502B5C4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A80FBC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5</w:t>
            </w:r>
          </w:p>
        </w:tc>
        <w:tc>
          <w:tcPr>
            <w:tcW w:w="967" w:type="dxa"/>
            <w:tcBorders>
              <w:top w:val="nil"/>
              <w:left w:val="nil"/>
              <w:bottom w:val="single" w:sz="8" w:space="0" w:color="auto"/>
              <w:right w:val="single" w:sz="8" w:space="0" w:color="auto"/>
            </w:tcBorders>
            <w:shd w:val="clear" w:color="F2F2F2" w:fill="FFFFFF"/>
            <w:noWrap/>
            <w:vAlign w:val="center"/>
            <w:hideMark/>
          </w:tcPr>
          <w:p w14:paraId="3148845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609150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w:t>
            </w:r>
          </w:p>
        </w:tc>
        <w:tc>
          <w:tcPr>
            <w:tcW w:w="1269" w:type="dxa"/>
            <w:tcBorders>
              <w:top w:val="nil"/>
              <w:left w:val="nil"/>
              <w:bottom w:val="single" w:sz="8" w:space="0" w:color="auto"/>
              <w:right w:val="single" w:sz="8" w:space="0" w:color="auto"/>
            </w:tcBorders>
            <w:shd w:val="clear" w:color="F2F2F2" w:fill="FFFFFF"/>
            <w:noWrap/>
            <w:vAlign w:val="center"/>
            <w:hideMark/>
          </w:tcPr>
          <w:p w14:paraId="6577B1A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1.67</w:t>
            </w:r>
          </w:p>
        </w:tc>
      </w:tr>
      <w:tr w:rsidR="00964D7F" w:rsidRPr="003D61EF" w14:paraId="044BCB4F"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11482A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94410</w:t>
            </w:r>
          </w:p>
        </w:tc>
        <w:tc>
          <w:tcPr>
            <w:tcW w:w="2997" w:type="dxa"/>
            <w:tcBorders>
              <w:top w:val="nil"/>
              <w:left w:val="nil"/>
              <w:bottom w:val="single" w:sz="8" w:space="0" w:color="auto"/>
              <w:right w:val="single" w:sz="8" w:space="0" w:color="auto"/>
            </w:tcBorders>
            <w:shd w:val="clear" w:color="F2F2F2" w:fill="FFFFFF"/>
            <w:noWrap/>
            <w:vAlign w:val="center"/>
            <w:hideMark/>
          </w:tcPr>
          <w:p w14:paraId="6AE4EE3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Autos Para Uso Administrativo </w:t>
            </w:r>
            <w:r w:rsidRPr="003D61EF">
              <w:rPr>
                <w:rFonts w:eastAsia="Times New Roman" w:cs="Calibri"/>
                <w:color w:val="000000"/>
                <w:sz w:val="13"/>
                <w:szCs w:val="13"/>
                <w:lang w:eastAsia="es-MX"/>
              </w:rPr>
              <w:t xml:space="preserve">y de </w:t>
            </w:r>
            <w:r w:rsidRPr="00322837">
              <w:rPr>
                <w:rFonts w:eastAsia="Times New Roman" w:cs="Calibri"/>
                <w:color w:val="000000"/>
                <w:sz w:val="13"/>
                <w:szCs w:val="13"/>
                <w:lang w:eastAsia="es-MX"/>
              </w:rPr>
              <w:t>Ofici</w:t>
            </w:r>
            <w:r w:rsidRPr="003D61EF">
              <w:rPr>
                <w:rFonts w:eastAsia="Times New Roman" w:cs="Calibri"/>
                <w:color w:val="000000"/>
                <w:sz w:val="13"/>
                <w:szCs w:val="13"/>
                <w:lang w:eastAsia="es-MX"/>
              </w:rPr>
              <w:t>na</w:t>
            </w:r>
          </w:p>
        </w:tc>
        <w:tc>
          <w:tcPr>
            <w:tcW w:w="1330" w:type="dxa"/>
            <w:tcBorders>
              <w:top w:val="nil"/>
              <w:left w:val="nil"/>
              <w:bottom w:val="single" w:sz="8" w:space="0" w:color="auto"/>
              <w:right w:val="single" w:sz="8" w:space="0" w:color="auto"/>
            </w:tcBorders>
            <w:shd w:val="clear" w:color="F2F2F2" w:fill="FFFFFF"/>
            <w:noWrap/>
            <w:vAlign w:val="center"/>
            <w:hideMark/>
          </w:tcPr>
          <w:p w14:paraId="6B93EB5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4B7E1A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8" w:space="0" w:color="auto"/>
              <w:right w:val="single" w:sz="8" w:space="0" w:color="auto"/>
            </w:tcBorders>
            <w:shd w:val="clear" w:color="F2F2F2" w:fill="FFFFFF"/>
            <w:noWrap/>
            <w:vAlign w:val="center"/>
            <w:hideMark/>
          </w:tcPr>
          <w:p w14:paraId="3D58084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541578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8" w:space="0" w:color="auto"/>
              <w:right w:val="single" w:sz="8" w:space="0" w:color="auto"/>
            </w:tcBorders>
            <w:shd w:val="clear" w:color="F2F2F2" w:fill="FFFFFF"/>
            <w:noWrap/>
            <w:vAlign w:val="center"/>
            <w:hideMark/>
          </w:tcPr>
          <w:p w14:paraId="66C73BB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D61EF" w14:paraId="33D322D0"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AC33CA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94411</w:t>
            </w:r>
          </w:p>
        </w:tc>
        <w:tc>
          <w:tcPr>
            <w:tcW w:w="2997" w:type="dxa"/>
            <w:tcBorders>
              <w:top w:val="nil"/>
              <w:left w:val="nil"/>
              <w:bottom w:val="single" w:sz="8" w:space="0" w:color="auto"/>
              <w:right w:val="single" w:sz="8" w:space="0" w:color="auto"/>
            </w:tcBorders>
            <w:shd w:val="clear" w:color="F2F2F2" w:fill="FFFFFF"/>
            <w:noWrap/>
            <w:vAlign w:val="center"/>
            <w:hideMark/>
          </w:tcPr>
          <w:p w14:paraId="5EFB0A9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 Grúas</w:t>
            </w:r>
          </w:p>
        </w:tc>
        <w:tc>
          <w:tcPr>
            <w:tcW w:w="1330" w:type="dxa"/>
            <w:tcBorders>
              <w:top w:val="nil"/>
              <w:left w:val="nil"/>
              <w:bottom w:val="single" w:sz="8" w:space="0" w:color="auto"/>
              <w:right w:val="single" w:sz="8" w:space="0" w:color="auto"/>
            </w:tcBorders>
            <w:shd w:val="clear" w:color="F2F2F2" w:fill="FFFFFF"/>
            <w:noWrap/>
            <w:vAlign w:val="center"/>
            <w:hideMark/>
          </w:tcPr>
          <w:p w14:paraId="5FD3267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42777F9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8" w:space="0" w:color="auto"/>
              <w:right w:val="single" w:sz="8" w:space="0" w:color="auto"/>
            </w:tcBorders>
            <w:shd w:val="clear" w:color="F2F2F2" w:fill="FFFFFF"/>
            <w:noWrap/>
            <w:vAlign w:val="center"/>
            <w:hideMark/>
          </w:tcPr>
          <w:p w14:paraId="7D67A8C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CC41A4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8" w:space="0" w:color="auto"/>
              <w:right w:val="single" w:sz="8" w:space="0" w:color="auto"/>
            </w:tcBorders>
            <w:shd w:val="clear" w:color="F2F2F2" w:fill="FFFFFF"/>
            <w:noWrap/>
            <w:vAlign w:val="center"/>
            <w:hideMark/>
          </w:tcPr>
          <w:p w14:paraId="5A3163E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22837" w14:paraId="1E169231" w14:textId="77777777" w:rsidTr="000A16E7">
        <w:trPr>
          <w:trHeight w:val="510"/>
        </w:trPr>
        <w:tc>
          <w:tcPr>
            <w:tcW w:w="967"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0AD91928"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lastRenderedPageBreak/>
              <w:t>CLASE</w:t>
            </w:r>
          </w:p>
        </w:tc>
        <w:tc>
          <w:tcPr>
            <w:tcW w:w="2997" w:type="dxa"/>
            <w:tcBorders>
              <w:top w:val="single" w:sz="4" w:space="0" w:color="auto"/>
              <w:left w:val="nil"/>
              <w:bottom w:val="single" w:sz="4" w:space="0" w:color="auto"/>
              <w:right w:val="single" w:sz="4" w:space="0" w:color="auto"/>
            </w:tcBorders>
            <w:shd w:val="clear" w:color="800080" w:fill="A90025"/>
            <w:vAlign w:val="center"/>
            <w:hideMark/>
          </w:tcPr>
          <w:p w14:paraId="45A6C476"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 </w:t>
            </w:r>
          </w:p>
        </w:tc>
        <w:tc>
          <w:tcPr>
            <w:tcW w:w="1330" w:type="dxa"/>
            <w:tcBorders>
              <w:top w:val="single" w:sz="4" w:space="0" w:color="auto"/>
              <w:left w:val="nil"/>
              <w:bottom w:val="single" w:sz="4" w:space="0" w:color="auto"/>
              <w:right w:val="single" w:sz="4" w:space="0" w:color="auto"/>
            </w:tcBorders>
            <w:shd w:val="clear" w:color="800080" w:fill="A90025"/>
            <w:vAlign w:val="center"/>
            <w:hideMark/>
          </w:tcPr>
          <w:p w14:paraId="29CBADCC" w14:textId="617F2FD6" w:rsidR="00964D7F" w:rsidRPr="00322837" w:rsidRDefault="000A16E7"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MÉTODO</w:t>
            </w:r>
            <w:r w:rsidR="00964D7F" w:rsidRPr="00322837">
              <w:rPr>
                <w:rFonts w:eastAsia="Times New Roman" w:cs="Calibri"/>
                <w:b/>
                <w:bCs/>
                <w:color w:val="FFFFFF"/>
                <w:sz w:val="13"/>
                <w:szCs w:val="13"/>
                <w:lang w:eastAsia="es-MX"/>
              </w:rPr>
              <w:t xml:space="preserve"> DE </w:t>
            </w:r>
            <w:r w:rsidRPr="00322837">
              <w:rPr>
                <w:rFonts w:eastAsia="Times New Roman" w:cs="Calibri"/>
                <w:b/>
                <w:bCs/>
                <w:color w:val="FFFFFF"/>
                <w:sz w:val="13"/>
                <w:szCs w:val="13"/>
                <w:lang w:eastAsia="es-MX"/>
              </w:rPr>
              <w:t>DEPRECIACIÓN</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05D7372A"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VIDA UTIL EN AÑOS</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2C6C07BF"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VALOR RESIDUAL (%)</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4771FAC9"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 ANUAL (%)</w:t>
            </w:r>
          </w:p>
        </w:tc>
        <w:tc>
          <w:tcPr>
            <w:tcW w:w="1269" w:type="dxa"/>
            <w:tcBorders>
              <w:top w:val="single" w:sz="4" w:space="0" w:color="auto"/>
              <w:left w:val="nil"/>
              <w:bottom w:val="single" w:sz="4" w:space="0" w:color="auto"/>
              <w:right w:val="single" w:sz="4" w:space="0" w:color="auto"/>
            </w:tcBorders>
            <w:shd w:val="clear" w:color="800080" w:fill="A90025"/>
            <w:vAlign w:val="center"/>
            <w:hideMark/>
          </w:tcPr>
          <w:p w14:paraId="7AAEC709"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DEP.MENSUAL (%)</w:t>
            </w:r>
          </w:p>
        </w:tc>
      </w:tr>
      <w:tr w:rsidR="00964D7F" w:rsidRPr="003D61EF" w14:paraId="48EA16FC"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5EB436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94412</w:t>
            </w:r>
          </w:p>
        </w:tc>
        <w:tc>
          <w:tcPr>
            <w:tcW w:w="2997" w:type="dxa"/>
            <w:tcBorders>
              <w:top w:val="nil"/>
              <w:left w:val="nil"/>
              <w:bottom w:val="single" w:sz="8" w:space="0" w:color="auto"/>
              <w:right w:val="single" w:sz="8" w:space="0" w:color="auto"/>
            </w:tcBorders>
            <w:shd w:val="clear" w:color="F2F2F2" w:fill="FFFFFF"/>
            <w:noWrap/>
            <w:vAlign w:val="center"/>
            <w:hideMark/>
          </w:tcPr>
          <w:p w14:paraId="6D84B475"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Autobuses, Microbuses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Vans</w:t>
            </w:r>
          </w:p>
        </w:tc>
        <w:tc>
          <w:tcPr>
            <w:tcW w:w="1330" w:type="dxa"/>
            <w:tcBorders>
              <w:top w:val="nil"/>
              <w:left w:val="nil"/>
              <w:bottom w:val="single" w:sz="8" w:space="0" w:color="auto"/>
              <w:right w:val="single" w:sz="8" w:space="0" w:color="auto"/>
            </w:tcBorders>
            <w:shd w:val="clear" w:color="F2F2F2" w:fill="FFFFFF"/>
            <w:noWrap/>
            <w:vAlign w:val="center"/>
            <w:hideMark/>
          </w:tcPr>
          <w:p w14:paraId="170BCCA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AB664D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8" w:space="0" w:color="auto"/>
              <w:right w:val="single" w:sz="8" w:space="0" w:color="auto"/>
            </w:tcBorders>
            <w:shd w:val="clear" w:color="F2F2F2" w:fill="FFFFFF"/>
            <w:noWrap/>
            <w:vAlign w:val="center"/>
            <w:hideMark/>
          </w:tcPr>
          <w:p w14:paraId="0247DE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A35963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8" w:space="0" w:color="auto"/>
              <w:right w:val="single" w:sz="8" w:space="0" w:color="auto"/>
            </w:tcBorders>
            <w:shd w:val="clear" w:color="F2F2F2" w:fill="FFFFFF"/>
            <w:noWrap/>
            <w:vAlign w:val="center"/>
            <w:hideMark/>
          </w:tcPr>
          <w:p w14:paraId="14D19FB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D61EF" w14:paraId="1C9F2A9F" w14:textId="77777777" w:rsidTr="00AA4AEA">
        <w:trPr>
          <w:trHeight w:val="300"/>
        </w:trPr>
        <w:tc>
          <w:tcPr>
            <w:tcW w:w="967" w:type="dxa"/>
            <w:tcBorders>
              <w:top w:val="nil"/>
              <w:left w:val="single" w:sz="8" w:space="0" w:color="auto"/>
              <w:bottom w:val="single" w:sz="4" w:space="0" w:color="auto"/>
              <w:right w:val="single" w:sz="8" w:space="0" w:color="auto"/>
            </w:tcBorders>
            <w:shd w:val="clear" w:color="F2F2F2" w:fill="FFFFFF"/>
            <w:noWrap/>
            <w:vAlign w:val="center"/>
            <w:hideMark/>
          </w:tcPr>
          <w:p w14:paraId="5780AF0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94413</w:t>
            </w:r>
          </w:p>
        </w:tc>
        <w:tc>
          <w:tcPr>
            <w:tcW w:w="2997" w:type="dxa"/>
            <w:tcBorders>
              <w:top w:val="nil"/>
              <w:left w:val="nil"/>
              <w:bottom w:val="single" w:sz="4" w:space="0" w:color="auto"/>
              <w:right w:val="single" w:sz="8" w:space="0" w:color="auto"/>
            </w:tcBorders>
            <w:shd w:val="clear" w:color="F2F2F2" w:fill="FFFFFF"/>
            <w:noWrap/>
            <w:vAlign w:val="center"/>
            <w:hideMark/>
          </w:tcPr>
          <w:p w14:paraId="7EC714C0"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Camiones De Volteo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Carga</w:t>
            </w:r>
          </w:p>
        </w:tc>
        <w:tc>
          <w:tcPr>
            <w:tcW w:w="1330" w:type="dxa"/>
            <w:tcBorders>
              <w:top w:val="nil"/>
              <w:left w:val="nil"/>
              <w:bottom w:val="single" w:sz="4" w:space="0" w:color="auto"/>
              <w:right w:val="single" w:sz="8" w:space="0" w:color="auto"/>
            </w:tcBorders>
            <w:shd w:val="clear" w:color="F2F2F2" w:fill="FFFFFF"/>
            <w:noWrap/>
            <w:vAlign w:val="center"/>
            <w:hideMark/>
          </w:tcPr>
          <w:p w14:paraId="367403F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4" w:space="0" w:color="auto"/>
              <w:right w:val="single" w:sz="8" w:space="0" w:color="auto"/>
            </w:tcBorders>
            <w:shd w:val="clear" w:color="F2F2F2" w:fill="FFFFFF"/>
            <w:noWrap/>
            <w:vAlign w:val="center"/>
            <w:hideMark/>
          </w:tcPr>
          <w:p w14:paraId="1BC8B1B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4" w:space="0" w:color="auto"/>
              <w:right w:val="single" w:sz="8" w:space="0" w:color="auto"/>
            </w:tcBorders>
            <w:shd w:val="clear" w:color="F2F2F2" w:fill="FFFFFF"/>
            <w:noWrap/>
            <w:vAlign w:val="center"/>
            <w:hideMark/>
          </w:tcPr>
          <w:p w14:paraId="7D574A1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4" w:space="0" w:color="auto"/>
              <w:right w:val="single" w:sz="8" w:space="0" w:color="auto"/>
            </w:tcBorders>
            <w:shd w:val="clear" w:color="F2F2F2" w:fill="FFFFFF"/>
            <w:noWrap/>
            <w:vAlign w:val="center"/>
            <w:hideMark/>
          </w:tcPr>
          <w:p w14:paraId="18C1670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4" w:space="0" w:color="auto"/>
              <w:right w:val="single" w:sz="8" w:space="0" w:color="auto"/>
            </w:tcBorders>
            <w:shd w:val="clear" w:color="F2F2F2" w:fill="FFFFFF"/>
            <w:noWrap/>
            <w:vAlign w:val="center"/>
            <w:hideMark/>
          </w:tcPr>
          <w:p w14:paraId="4E9A9DA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D61EF" w14:paraId="228B5D7F" w14:textId="77777777" w:rsidTr="00AA4AEA">
        <w:trPr>
          <w:trHeight w:val="300"/>
        </w:trPr>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132E18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94414</w:t>
            </w:r>
          </w:p>
        </w:tc>
        <w:tc>
          <w:tcPr>
            <w:tcW w:w="299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380250E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Ambulancias</w:t>
            </w:r>
          </w:p>
        </w:tc>
        <w:tc>
          <w:tcPr>
            <w:tcW w:w="1330"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4BE79B5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0F3F537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0B72B80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4B0BBC2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16.67</w:t>
            </w:r>
          </w:p>
        </w:tc>
        <w:tc>
          <w:tcPr>
            <w:tcW w:w="1269"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1C3E714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1.39</w:t>
            </w:r>
          </w:p>
        </w:tc>
      </w:tr>
      <w:tr w:rsidR="00964D7F" w:rsidRPr="003D61EF" w14:paraId="0A2F94B3" w14:textId="77777777" w:rsidTr="00AA4AEA">
        <w:trPr>
          <w:trHeight w:val="300"/>
        </w:trPr>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0BD91B1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94415</w:t>
            </w:r>
          </w:p>
        </w:tc>
        <w:tc>
          <w:tcPr>
            <w:tcW w:w="299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2F1999A"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Camiones De Basura</w:t>
            </w:r>
          </w:p>
        </w:tc>
        <w:tc>
          <w:tcPr>
            <w:tcW w:w="1330"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99E64A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3C889EA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603C59A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0647E00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16.67</w:t>
            </w:r>
          </w:p>
        </w:tc>
        <w:tc>
          <w:tcPr>
            <w:tcW w:w="1269"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0E69C17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1.39</w:t>
            </w:r>
          </w:p>
        </w:tc>
      </w:tr>
      <w:tr w:rsidR="00964D7F" w:rsidRPr="003D61EF" w14:paraId="765FEF25" w14:textId="77777777" w:rsidTr="00AA4AEA">
        <w:trPr>
          <w:trHeight w:val="300"/>
        </w:trPr>
        <w:tc>
          <w:tcPr>
            <w:tcW w:w="967" w:type="dxa"/>
            <w:tcBorders>
              <w:top w:val="single" w:sz="4" w:space="0" w:color="auto"/>
              <w:left w:val="single" w:sz="8" w:space="0" w:color="auto"/>
              <w:bottom w:val="single" w:sz="8" w:space="0" w:color="auto"/>
              <w:right w:val="single" w:sz="8" w:space="0" w:color="auto"/>
            </w:tcBorders>
            <w:shd w:val="clear" w:color="F2F2F2" w:fill="FFFFFF"/>
            <w:noWrap/>
            <w:vAlign w:val="center"/>
            <w:hideMark/>
          </w:tcPr>
          <w:p w14:paraId="5E685FC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94416</w:t>
            </w:r>
          </w:p>
        </w:tc>
        <w:tc>
          <w:tcPr>
            <w:tcW w:w="2997" w:type="dxa"/>
            <w:tcBorders>
              <w:top w:val="single" w:sz="4" w:space="0" w:color="auto"/>
              <w:left w:val="nil"/>
              <w:bottom w:val="single" w:sz="8" w:space="0" w:color="auto"/>
              <w:right w:val="single" w:sz="8" w:space="0" w:color="auto"/>
            </w:tcBorders>
            <w:shd w:val="clear" w:color="F2F2F2" w:fill="FFFFFF"/>
            <w:noWrap/>
            <w:vAlign w:val="center"/>
            <w:hideMark/>
          </w:tcPr>
          <w:p w14:paraId="652F63C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Patrullas,</w:t>
            </w:r>
            <w:r w:rsidRPr="003D61EF">
              <w:rPr>
                <w:rFonts w:eastAsia="Times New Roman" w:cs="Calibri"/>
                <w:color w:val="000000"/>
                <w:sz w:val="13"/>
                <w:szCs w:val="13"/>
                <w:lang w:eastAsia="es-MX"/>
              </w:rPr>
              <w:t xml:space="preserve"> </w:t>
            </w:r>
            <w:r w:rsidRPr="00322837">
              <w:rPr>
                <w:rFonts w:eastAsia="Times New Roman" w:cs="Calibri"/>
                <w:color w:val="000000"/>
                <w:sz w:val="13"/>
                <w:szCs w:val="13"/>
                <w:lang w:eastAsia="es-MX"/>
              </w:rPr>
              <w:t xml:space="preserve">Motocicletas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Cuatrimotos</w:t>
            </w:r>
          </w:p>
        </w:tc>
        <w:tc>
          <w:tcPr>
            <w:tcW w:w="1330" w:type="dxa"/>
            <w:tcBorders>
              <w:top w:val="single" w:sz="4" w:space="0" w:color="auto"/>
              <w:left w:val="nil"/>
              <w:bottom w:val="single" w:sz="8" w:space="0" w:color="auto"/>
              <w:right w:val="single" w:sz="8" w:space="0" w:color="auto"/>
            </w:tcBorders>
            <w:shd w:val="clear" w:color="F2F2F2" w:fill="FFFFFF"/>
            <w:noWrap/>
            <w:vAlign w:val="center"/>
            <w:hideMark/>
          </w:tcPr>
          <w:p w14:paraId="6614C21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single" w:sz="4" w:space="0" w:color="auto"/>
              <w:left w:val="nil"/>
              <w:bottom w:val="single" w:sz="8" w:space="0" w:color="auto"/>
              <w:right w:val="single" w:sz="8" w:space="0" w:color="auto"/>
            </w:tcBorders>
            <w:shd w:val="clear" w:color="F2F2F2" w:fill="FFFFFF"/>
            <w:noWrap/>
            <w:vAlign w:val="center"/>
            <w:hideMark/>
          </w:tcPr>
          <w:p w14:paraId="456771B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967" w:type="dxa"/>
            <w:tcBorders>
              <w:top w:val="single" w:sz="4" w:space="0" w:color="auto"/>
              <w:left w:val="nil"/>
              <w:bottom w:val="single" w:sz="8" w:space="0" w:color="auto"/>
              <w:right w:val="single" w:sz="8" w:space="0" w:color="auto"/>
            </w:tcBorders>
            <w:shd w:val="clear" w:color="F2F2F2" w:fill="FFFFFF"/>
            <w:noWrap/>
            <w:vAlign w:val="center"/>
            <w:hideMark/>
          </w:tcPr>
          <w:p w14:paraId="2C81F5C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3</w:t>
            </w:r>
          </w:p>
        </w:tc>
        <w:tc>
          <w:tcPr>
            <w:tcW w:w="967" w:type="dxa"/>
            <w:tcBorders>
              <w:top w:val="single" w:sz="4" w:space="0" w:color="auto"/>
              <w:left w:val="nil"/>
              <w:bottom w:val="single" w:sz="8" w:space="0" w:color="auto"/>
              <w:right w:val="single" w:sz="8" w:space="0" w:color="auto"/>
            </w:tcBorders>
            <w:shd w:val="clear" w:color="F2F2F2" w:fill="FFFFFF"/>
            <w:noWrap/>
            <w:vAlign w:val="center"/>
            <w:hideMark/>
          </w:tcPr>
          <w:p w14:paraId="10BFE3D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1269" w:type="dxa"/>
            <w:tcBorders>
              <w:top w:val="single" w:sz="4" w:space="0" w:color="auto"/>
              <w:left w:val="nil"/>
              <w:bottom w:val="single" w:sz="8" w:space="0" w:color="auto"/>
              <w:right w:val="single" w:sz="8" w:space="0" w:color="auto"/>
            </w:tcBorders>
            <w:shd w:val="clear" w:color="F2F2F2" w:fill="FFFFFF"/>
            <w:noWrap/>
            <w:vAlign w:val="center"/>
            <w:hideMark/>
          </w:tcPr>
          <w:p w14:paraId="2C954AB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2.08</w:t>
            </w:r>
          </w:p>
        </w:tc>
      </w:tr>
      <w:tr w:rsidR="00964D7F" w:rsidRPr="003D61EF" w14:paraId="533F2868"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966662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94420</w:t>
            </w:r>
          </w:p>
        </w:tc>
        <w:tc>
          <w:tcPr>
            <w:tcW w:w="2997" w:type="dxa"/>
            <w:tcBorders>
              <w:top w:val="nil"/>
              <w:left w:val="nil"/>
              <w:bottom w:val="single" w:sz="8" w:space="0" w:color="auto"/>
              <w:right w:val="single" w:sz="8" w:space="0" w:color="auto"/>
            </w:tcBorders>
            <w:shd w:val="clear" w:color="F2F2F2" w:fill="FFFFFF"/>
            <w:noWrap/>
            <w:vAlign w:val="center"/>
            <w:hideMark/>
          </w:tcPr>
          <w:p w14:paraId="486924C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Carrocerías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Remolques</w:t>
            </w:r>
          </w:p>
        </w:tc>
        <w:tc>
          <w:tcPr>
            <w:tcW w:w="1330" w:type="dxa"/>
            <w:tcBorders>
              <w:top w:val="nil"/>
              <w:left w:val="nil"/>
              <w:bottom w:val="single" w:sz="8" w:space="0" w:color="auto"/>
              <w:right w:val="single" w:sz="8" w:space="0" w:color="auto"/>
            </w:tcBorders>
            <w:shd w:val="clear" w:color="F2F2F2" w:fill="FFFFFF"/>
            <w:noWrap/>
            <w:vAlign w:val="center"/>
            <w:hideMark/>
          </w:tcPr>
          <w:p w14:paraId="04B3EA5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532BAF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15</w:t>
            </w:r>
          </w:p>
        </w:tc>
        <w:tc>
          <w:tcPr>
            <w:tcW w:w="967" w:type="dxa"/>
            <w:tcBorders>
              <w:top w:val="nil"/>
              <w:left w:val="nil"/>
              <w:bottom w:val="single" w:sz="8" w:space="0" w:color="auto"/>
              <w:right w:val="single" w:sz="8" w:space="0" w:color="auto"/>
            </w:tcBorders>
            <w:shd w:val="clear" w:color="F2F2F2" w:fill="FFFFFF"/>
            <w:noWrap/>
            <w:vAlign w:val="center"/>
            <w:hideMark/>
          </w:tcPr>
          <w:p w14:paraId="063C678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65BB9C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6.67</w:t>
            </w:r>
          </w:p>
        </w:tc>
        <w:tc>
          <w:tcPr>
            <w:tcW w:w="1269" w:type="dxa"/>
            <w:tcBorders>
              <w:top w:val="nil"/>
              <w:left w:val="nil"/>
              <w:bottom w:val="single" w:sz="8" w:space="0" w:color="auto"/>
              <w:right w:val="single" w:sz="8" w:space="0" w:color="auto"/>
            </w:tcBorders>
            <w:shd w:val="clear" w:color="F2F2F2" w:fill="FFFFFF"/>
            <w:noWrap/>
            <w:vAlign w:val="center"/>
            <w:hideMark/>
          </w:tcPr>
          <w:p w14:paraId="17F2A8B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0.56</w:t>
            </w:r>
          </w:p>
        </w:tc>
      </w:tr>
      <w:tr w:rsidR="00964D7F" w:rsidRPr="003D61EF" w14:paraId="2C6FEF65"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8FDF2E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94430</w:t>
            </w:r>
          </w:p>
        </w:tc>
        <w:tc>
          <w:tcPr>
            <w:tcW w:w="2997" w:type="dxa"/>
            <w:tcBorders>
              <w:top w:val="nil"/>
              <w:left w:val="nil"/>
              <w:bottom w:val="single" w:sz="8" w:space="0" w:color="auto"/>
              <w:right w:val="single" w:sz="8" w:space="0" w:color="auto"/>
            </w:tcBorders>
            <w:shd w:val="clear" w:color="F2F2F2" w:fill="FFFFFF"/>
            <w:noWrap/>
            <w:vAlign w:val="center"/>
            <w:hideMark/>
          </w:tcPr>
          <w:p w14:paraId="015C4896"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Equipo Aeroespacial</w:t>
            </w:r>
          </w:p>
        </w:tc>
        <w:tc>
          <w:tcPr>
            <w:tcW w:w="1330" w:type="dxa"/>
            <w:tcBorders>
              <w:top w:val="nil"/>
              <w:left w:val="nil"/>
              <w:bottom w:val="single" w:sz="8" w:space="0" w:color="auto"/>
              <w:right w:val="single" w:sz="8" w:space="0" w:color="auto"/>
            </w:tcBorders>
            <w:shd w:val="clear" w:color="F2F2F2" w:fill="FFFFFF"/>
            <w:noWrap/>
            <w:vAlign w:val="center"/>
            <w:hideMark/>
          </w:tcPr>
          <w:p w14:paraId="4C594C9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8DC8CE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15</w:t>
            </w:r>
          </w:p>
        </w:tc>
        <w:tc>
          <w:tcPr>
            <w:tcW w:w="967" w:type="dxa"/>
            <w:tcBorders>
              <w:top w:val="nil"/>
              <w:left w:val="nil"/>
              <w:bottom w:val="single" w:sz="8" w:space="0" w:color="auto"/>
              <w:right w:val="single" w:sz="8" w:space="0" w:color="auto"/>
            </w:tcBorders>
            <w:shd w:val="clear" w:color="F2F2F2" w:fill="FFFFFF"/>
            <w:noWrap/>
            <w:vAlign w:val="center"/>
            <w:hideMark/>
          </w:tcPr>
          <w:p w14:paraId="60177BB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FF24C4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6.67</w:t>
            </w:r>
          </w:p>
        </w:tc>
        <w:tc>
          <w:tcPr>
            <w:tcW w:w="1269" w:type="dxa"/>
            <w:tcBorders>
              <w:top w:val="nil"/>
              <w:left w:val="nil"/>
              <w:bottom w:val="single" w:sz="8" w:space="0" w:color="auto"/>
              <w:right w:val="single" w:sz="8" w:space="0" w:color="auto"/>
            </w:tcBorders>
            <w:shd w:val="clear" w:color="F2F2F2" w:fill="FFFFFF"/>
            <w:noWrap/>
            <w:vAlign w:val="center"/>
            <w:hideMark/>
          </w:tcPr>
          <w:p w14:paraId="0D66665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0.56</w:t>
            </w:r>
          </w:p>
        </w:tc>
      </w:tr>
      <w:tr w:rsidR="00964D7F" w:rsidRPr="003D61EF" w14:paraId="2CF5A911"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D3FB17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94440</w:t>
            </w:r>
          </w:p>
        </w:tc>
        <w:tc>
          <w:tcPr>
            <w:tcW w:w="2997" w:type="dxa"/>
            <w:tcBorders>
              <w:top w:val="nil"/>
              <w:left w:val="nil"/>
              <w:bottom w:val="single" w:sz="8" w:space="0" w:color="auto"/>
              <w:right w:val="single" w:sz="8" w:space="0" w:color="auto"/>
            </w:tcBorders>
            <w:shd w:val="clear" w:color="F2F2F2" w:fill="FFFFFF"/>
            <w:noWrap/>
            <w:vAlign w:val="center"/>
            <w:hideMark/>
          </w:tcPr>
          <w:p w14:paraId="6F88B9EF"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Equipo Ferroviario</w:t>
            </w:r>
          </w:p>
        </w:tc>
        <w:tc>
          <w:tcPr>
            <w:tcW w:w="1330" w:type="dxa"/>
            <w:tcBorders>
              <w:top w:val="nil"/>
              <w:left w:val="nil"/>
              <w:bottom w:val="single" w:sz="8" w:space="0" w:color="auto"/>
              <w:right w:val="single" w:sz="8" w:space="0" w:color="auto"/>
            </w:tcBorders>
            <w:shd w:val="clear" w:color="F2F2F2" w:fill="FFFFFF"/>
            <w:noWrap/>
            <w:vAlign w:val="center"/>
            <w:hideMark/>
          </w:tcPr>
          <w:p w14:paraId="6B52087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451CE7F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00FB19D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C1B084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741A387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2B0D1A3E"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763B7A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94450</w:t>
            </w:r>
          </w:p>
        </w:tc>
        <w:tc>
          <w:tcPr>
            <w:tcW w:w="2997" w:type="dxa"/>
            <w:tcBorders>
              <w:top w:val="nil"/>
              <w:left w:val="nil"/>
              <w:bottom w:val="single" w:sz="8" w:space="0" w:color="auto"/>
              <w:right w:val="single" w:sz="8" w:space="0" w:color="auto"/>
            </w:tcBorders>
            <w:shd w:val="clear" w:color="F2F2F2" w:fill="FFFFFF"/>
            <w:noWrap/>
            <w:vAlign w:val="center"/>
            <w:hideMark/>
          </w:tcPr>
          <w:p w14:paraId="778A8B7D"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Embarcaciones</w:t>
            </w:r>
          </w:p>
        </w:tc>
        <w:tc>
          <w:tcPr>
            <w:tcW w:w="1330" w:type="dxa"/>
            <w:tcBorders>
              <w:top w:val="nil"/>
              <w:left w:val="nil"/>
              <w:bottom w:val="single" w:sz="8" w:space="0" w:color="auto"/>
              <w:right w:val="single" w:sz="8" w:space="0" w:color="auto"/>
            </w:tcBorders>
            <w:shd w:val="clear" w:color="F2F2F2" w:fill="FFFFFF"/>
            <w:noWrap/>
            <w:vAlign w:val="center"/>
            <w:hideMark/>
          </w:tcPr>
          <w:p w14:paraId="19162F3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031E7E7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15</w:t>
            </w:r>
          </w:p>
        </w:tc>
        <w:tc>
          <w:tcPr>
            <w:tcW w:w="967" w:type="dxa"/>
            <w:tcBorders>
              <w:top w:val="nil"/>
              <w:left w:val="nil"/>
              <w:bottom w:val="single" w:sz="8" w:space="0" w:color="auto"/>
              <w:right w:val="single" w:sz="8" w:space="0" w:color="auto"/>
            </w:tcBorders>
            <w:shd w:val="clear" w:color="F2F2F2" w:fill="FFFFFF"/>
            <w:noWrap/>
            <w:vAlign w:val="center"/>
            <w:hideMark/>
          </w:tcPr>
          <w:p w14:paraId="43E57BA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5C4D3B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6.67</w:t>
            </w:r>
          </w:p>
        </w:tc>
        <w:tc>
          <w:tcPr>
            <w:tcW w:w="1269" w:type="dxa"/>
            <w:tcBorders>
              <w:top w:val="nil"/>
              <w:left w:val="nil"/>
              <w:bottom w:val="single" w:sz="8" w:space="0" w:color="auto"/>
              <w:right w:val="single" w:sz="8" w:space="0" w:color="auto"/>
            </w:tcBorders>
            <w:shd w:val="clear" w:color="F2F2F2" w:fill="FFFFFF"/>
            <w:noWrap/>
            <w:vAlign w:val="center"/>
            <w:hideMark/>
          </w:tcPr>
          <w:p w14:paraId="7AFBDAF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0.56</w:t>
            </w:r>
          </w:p>
        </w:tc>
      </w:tr>
      <w:tr w:rsidR="00964D7F" w:rsidRPr="003D61EF" w14:paraId="0F23D391"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0B4799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94490</w:t>
            </w:r>
          </w:p>
        </w:tc>
        <w:tc>
          <w:tcPr>
            <w:tcW w:w="2997" w:type="dxa"/>
            <w:tcBorders>
              <w:top w:val="nil"/>
              <w:left w:val="nil"/>
              <w:bottom w:val="single" w:sz="8" w:space="0" w:color="auto"/>
              <w:right w:val="single" w:sz="8" w:space="0" w:color="auto"/>
            </w:tcBorders>
            <w:shd w:val="clear" w:color="F2F2F2" w:fill="FFFFFF"/>
            <w:noWrap/>
            <w:vAlign w:val="center"/>
            <w:hideMark/>
          </w:tcPr>
          <w:p w14:paraId="16A9711F"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Otros Equipos De Transporte</w:t>
            </w:r>
          </w:p>
        </w:tc>
        <w:tc>
          <w:tcPr>
            <w:tcW w:w="1330" w:type="dxa"/>
            <w:tcBorders>
              <w:top w:val="nil"/>
              <w:left w:val="nil"/>
              <w:bottom w:val="single" w:sz="8" w:space="0" w:color="auto"/>
              <w:right w:val="single" w:sz="8" w:space="0" w:color="auto"/>
            </w:tcBorders>
            <w:shd w:val="clear" w:color="F2F2F2" w:fill="FFFFFF"/>
            <w:noWrap/>
            <w:vAlign w:val="center"/>
            <w:hideMark/>
          </w:tcPr>
          <w:p w14:paraId="7D656EE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75B858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w:t>
            </w:r>
          </w:p>
        </w:tc>
        <w:tc>
          <w:tcPr>
            <w:tcW w:w="967" w:type="dxa"/>
            <w:tcBorders>
              <w:top w:val="nil"/>
              <w:left w:val="nil"/>
              <w:bottom w:val="single" w:sz="8" w:space="0" w:color="auto"/>
              <w:right w:val="single" w:sz="8" w:space="0" w:color="auto"/>
            </w:tcBorders>
            <w:shd w:val="clear" w:color="F2F2F2" w:fill="FFFFFF"/>
            <w:noWrap/>
            <w:vAlign w:val="center"/>
            <w:hideMark/>
          </w:tcPr>
          <w:p w14:paraId="4D1F6DE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9C9190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12.5</w:t>
            </w:r>
          </w:p>
        </w:tc>
        <w:tc>
          <w:tcPr>
            <w:tcW w:w="1269" w:type="dxa"/>
            <w:tcBorders>
              <w:top w:val="nil"/>
              <w:left w:val="nil"/>
              <w:bottom w:val="single" w:sz="8" w:space="0" w:color="auto"/>
              <w:right w:val="single" w:sz="8" w:space="0" w:color="auto"/>
            </w:tcBorders>
            <w:shd w:val="clear" w:color="F2F2F2" w:fill="FFFFFF"/>
            <w:noWrap/>
            <w:vAlign w:val="center"/>
            <w:hideMark/>
          </w:tcPr>
          <w:p w14:paraId="42D20C0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1.04</w:t>
            </w:r>
          </w:p>
        </w:tc>
      </w:tr>
      <w:tr w:rsidR="00964D7F" w:rsidRPr="003D61EF" w14:paraId="3C4C84C6"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C781A8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94500</w:t>
            </w:r>
          </w:p>
        </w:tc>
        <w:tc>
          <w:tcPr>
            <w:tcW w:w="2997" w:type="dxa"/>
            <w:tcBorders>
              <w:top w:val="nil"/>
              <w:left w:val="nil"/>
              <w:bottom w:val="single" w:sz="8" w:space="0" w:color="auto"/>
              <w:right w:val="single" w:sz="8" w:space="0" w:color="auto"/>
            </w:tcBorders>
            <w:shd w:val="clear" w:color="F2F2F2" w:fill="FFFFFF"/>
            <w:noWrap/>
            <w:vAlign w:val="center"/>
            <w:hideMark/>
          </w:tcPr>
          <w:p w14:paraId="569F4187"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Equipo De Seguridad Publica</w:t>
            </w:r>
          </w:p>
        </w:tc>
        <w:tc>
          <w:tcPr>
            <w:tcW w:w="1330" w:type="dxa"/>
            <w:tcBorders>
              <w:top w:val="nil"/>
              <w:left w:val="nil"/>
              <w:bottom w:val="single" w:sz="8" w:space="0" w:color="auto"/>
              <w:right w:val="single" w:sz="8" w:space="0" w:color="auto"/>
            </w:tcBorders>
            <w:shd w:val="clear" w:color="F2F2F2" w:fill="FFFFFF"/>
            <w:noWrap/>
            <w:vAlign w:val="center"/>
            <w:hideMark/>
          </w:tcPr>
          <w:p w14:paraId="36A1BBC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75AD6BB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967" w:type="dxa"/>
            <w:tcBorders>
              <w:top w:val="nil"/>
              <w:left w:val="nil"/>
              <w:bottom w:val="single" w:sz="8" w:space="0" w:color="auto"/>
              <w:right w:val="single" w:sz="8" w:space="0" w:color="auto"/>
            </w:tcBorders>
            <w:shd w:val="clear" w:color="F2F2F2" w:fill="FFFFFF"/>
            <w:noWrap/>
            <w:vAlign w:val="center"/>
            <w:hideMark/>
          </w:tcPr>
          <w:p w14:paraId="1909AAE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2ED9FD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1269" w:type="dxa"/>
            <w:tcBorders>
              <w:top w:val="nil"/>
              <w:left w:val="nil"/>
              <w:bottom w:val="single" w:sz="8" w:space="0" w:color="auto"/>
              <w:right w:val="single" w:sz="8" w:space="0" w:color="auto"/>
            </w:tcBorders>
            <w:shd w:val="clear" w:color="F2F2F2" w:fill="FFFFFF"/>
            <w:noWrap/>
            <w:vAlign w:val="center"/>
            <w:hideMark/>
          </w:tcPr>
          <w:p w14:paraId="111A62C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2.08</w:t>
            </w:r>
          </w:p>
        </w:tc>
      </w:tr>
      <w:tr w:rsidR="00964D7F" w:rsidRPr="003D61EF" w14:paraId="4462DEBD"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E8E6BE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94610</w:t>
            </w:r>
          </w:p>
        </w:tc>
        <w:tc>
          <w:tcPr>
            <w:tcW w:w="2997" w:type="dxa"/>
            <w:tcBorders>
              <w:top w:val="nil"/>
              <w:left w:val="nil"/>
              <w:bottom w:val="single" w:sz="8" w:space="0" w:color="auto"/>
              <w:right w:val="single" w:sz="8" w:space="0" w:color="auto"/>
            </w:tcBorders>
            <w:shd w:val="clear" w:color="F2F2F2" w:fill="FFFFFF"/>
            <w:noWrap/>
            <w:vAlign w:val="center"/>
            <w:hideMark/>
          </w:tcPr>
          <w:p w14:paraId="18CE842B"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Maquinaria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 Agropecuario</w:t>
            </w:r>
          </w:p>
        </w:tc>
        <w:tc>
          <w:tcPr>
            <w:tcW w:w="1330" w:type="dxa"/>
            <w:tcBorders>
              <w:top w:val="nil"/>
              <w:left w:val="nil"/>
              <w:bottom w:val="single" w:sz="8" w:space="0" w:color="auto"/>
              <w:right w:val="single" w:sz="8" w:space="0" w:color="auto"/>
            </w:tcBorders>
            <w:shd w:val="clear" w:color="F2F2F2" w:fill="FFFFFF"/>
            <w:noWrap/>
            <w:vAlign w:val="center"/>
            <w:hideMark/>
          </w:tcPr>
          <w:p w14:paraId="45B113C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5508EF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6E88584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FAF02B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78071FF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100C580F"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2007CA8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94620</w:t>
            </w:r>
          </w:p>
        </w:tc>
        <w:tc>
          <w:tcPr>
            <w:tcW w:w="2997" w:type="dxa"/>
            <w:tcBorders>
              <w:top w:val="nil"/>
              <w:left w:val="nil"/>
              <w:bottom w:val="single" w:sz="8" w:space="0" w:color="auto"/>
              <w:right w:val="single" w:sz="8" w:space="0" w:color="auto"/>
            </w:tcBorders>
            <w:shd w:val="clear" w:color="F2F2F2" w:fill="FFFFFF"/>
            <w:noWrap/>
            <w:vAlign w:val="center"/>
            <w:hideMark/>
          </w:tcPr>
          <w:p w14:paraId="65F297E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Maquinaria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 Industrial</w:t>
            </w:r>
          </w:p>
        </w:tc>
        <w:tc>
          <w:tcPr>
            <w:tcW w:w="1330" w:type="dxa"/>
            <w:tcBorders>
              <w:top w:val="nil"/>
              <w:left w:val="nil"/>
              <w:bottom w:val="single" w:sz="8" w:space="0" w:color="auto"/>
              <w:right w:val="single" w:sz="8" w:space="0" w:color="auto"/>
            </w:tcBorders>
            <w:shd w:val="clear" w:color="F2F2F2" w:fill="FFFFFF"/>
            <w:noWrap/>
            <w:vAlign w:val="center"/>
            <w:hideMark/>
          </w:tcPr>
          <w:p w14:paraId="26B97AF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34AF229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3DCF7C1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BD8216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0D87066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1027C5DC"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49B005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94630</w:t>
            </w:r>
          </w:p>
        </w:tc>
        <w:tc>
          <w:tcPr>
            <w:tcW w:w="2997" w:type="dxa"/>
            <w:tcBorders>
              <w:top w:val="nil"/>
              <w:left w:val="nil"/>
              <w:bottom w:val="single" w:sz="8" w:space="0" w:color="auto"/>
              <w:right w:val="single" w:sz="8" w:space="0" w:color="auto"/>
            </w:tcBorders>
            <w:shd w:val="clear" w:color="F2F2F2" w:fill="FFFFFF"/>
            <w:noWrap/>
            <w:vAlign w:val="center"/>
            <w:hideMark/>
          </w:tcPr>
          <w:p w14:paraId="096972C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Maquinaria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Equipo De Construcción</w:t>
            </w:r>
          </w:p>
        </w:tc>
        <w:tc>
          <w:tcPr>
            <w:tcW w:w="1330" w:type="dxa"/>
            <w:tcBorders>
              <w:top w:val="nil"/>
              <w:left w:val="nil"/>
              <w:bottom w:val="single" w:sz="8" w:space="0" w:color="auto"/>
              <w:right w:val="single" w:sz="8" w:space="0" w:color="auto"/>
            </w:tcBorders>
            <w:shd w:val="clear" w:color="F2F2F2" w:fill="FFFFFF"/>
            <w:noWrap/>
            <w:vAlign w:val="center"/>
            <w:hideMark/>
          </w:tcPr>
          <w:p w14:paraId="2D6546B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2155943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7</w:t>
            </w:r>
          </w:p>
        </w:tc>
        <w:tc>
          <w:tcPr>
            <w:tcW w:w="967" w:type="dxa"/>
            <w:tcBorders>
              <w:top w:val="nil"/>
              <w:left w:val="nil"/>
              <w:bottom w:val="single" w:sz="8" w:space="0" w:color="auto"/>
              <w:right w:val="single" w:sz="8" w:space="0" w:color="auto"/>
            </w:tcBorders>
            <w:shd w:val="clear" w:color="F2F2F2" w:fill="FFFFFF"/>
            <w:noWrap/>
            <w:vAlign w:val="center"/>
            <w:hideMark/>
          </w:tcPr>
          <w:p w14:paraId="6B2410B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1A23D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14.29</w:t>
            </w:r>
          </w:p>
        </w:tc>
        <w:tc>
          <w:tcPr>
            <w:tcW w:w="1269" w:type="dxa"/>
            <w:tcBorders>
              <w:top w:val="nil"/>
              <w:left w:val="nil"/>
              <w:bottom w:val="single" w:sz="8" w:space="0" w:color="auto"/>
              <w:right w:val="single" w:sz="8" w:space="0" w:color="auto"/>
            </w:tcBorders>
            <w:shd w:val="clear" w:color="F2F2F2" w:fill="FFFFFF"/>
            <w:noWrap/>
            <w:vAlign w:val="center"/>
            <w:hideMark/>
          </w:tcPr>
          <w:p w14:paraId="2824359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1.19</w:t>
            </w:r>
          </w:p>
        </w:tc>
      </w:tr>
      <w:tr w:rsidR="00964D7F" w:rsidRPr="003D61EF" w14:paraId="064BD0B3"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0DE35A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94640</w:t>
            </w:r>
          </w:p>
        </w:tc>
        <w:tc>
          <w:tcPr>
            <w:tcW w:w="2997" w:type="dxa"/>
            <w:tcBorders>
              <w:top w:val="nil"/>
              <w:left w:val="nil"/>
              <w:bottom w:val="single" w:sz="8" w:space="0" w:color="auto"/>
              <w:right w:val="single" w:sz="8" w:space="0" w:color="auto"/>
            </w:tcBorders>
            <w:shd w:val="clear" w:color="F2F2F2" w:fill="FFFFFF"/>
            <w:noWrap/>
            <w:vAlign w:val="center"/>
            <w:hideMark/>
          </w:tcPr>
          <w:p w14:paraId="47BD325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Equipo De Aire Acondicionado</w:t>
            </w:r>
          </w:p>
        </w:tc>
        <w:tc>
          <w:tcPr>
            <w:tcW w:w="1330" w:type="dxa"/>
            <w:tcBorders>
              <w:top w:val="nil"/>
              <w:left w:val="nil"/>
              <w:bottom w:val="single" w:sz="8" w:space="0" w:color="auto"/>
              <w:right w:val="single" w:sz="8" w:space="0" w:color="auto"/>
            </w:tcBorders>
            <w:shd w:val="clear" w:color="F2F2F2" w:fill="FFFFFF"/>
            <w:noWrap/>
            <w:vAlign w:val="center"/>
            <w:hideMark/>
          </w:tcPr>
          <w:p w14:paraId="40420CC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40F1E75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967" w:type="dxa"/>
            <w:tcBorders>
              <w:top w:val="nil"/>
              <w:left w:val="nil"/>
              <w:bottom w:val="single" w:sz="8" w:space="0" w:color="auto"/>
              <w:right w:val="single" w:sz="8" w:space="0" w:color="auto"/>
            </w:tcBorders>
            <w:shd w:val="clear" w:color="F2F2F2" w:fill="FFFFFF"/>
            <w:noWrap/>
            <w:vAlign w:val="center"/>
            <w:hideMark/>
          </w:tcPr>
          <w:p w14:paraId="1B44F0C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ED541D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w:t>
            </w:r>
          </w:p>
        </w:tc>
        <w:tc>
          <w:tcPr>
            <w:tcW w:w="1269" w:type="dxa"/>
            <w:tcBorders>
              <w:top w:val="nil"/>
              <w:left w:val="nil"/>
              <w:bottom w:val="single" w:sz="8" w:space="0" w:color="auto"/>
              <w:right w:val="single" w:sz="8" w:space="0" w:color="auto"/>
            </w:tcBorders>
            <w:shd w:val="clear" w:color="F2F2F2" w:fill="FFFFFF"/>
            <w:noWrap/>
            <w:vAlign w:val="center"/>
            <w:hideMark/>
          </w:tcPr>
          <w:p w14:paraId="164C404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0.83</w:t>
            </w:r>
          </w:p>
        </w:tc>
      </w:tr>
      <w:tr w:rsidR="00964D7F" w:rsidRPr="003D61EF" w14:paraId="6122D281"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259206C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94650</w:t>
            </w:r>
          </w:p>
        </w:tc>
        <w:tc>
          <w:tcPr>
            <w:tcW w:w="2997" w:type="dxa"/>
            <w:tcBorders>
              <w:top w:val="nil"/>
              <w:left w:val="nil"/>
              <w:bottom w:val="single" w:sz="8" w:space="0" w:color="auto"/>
              <w:right w:val="single" w:sz="8" w:space="0" w:color="auto"/>
            </w:tcBorders>
            <w:shd w:val="clear" w:color="F2F2F2" w:fill="FFFFFF"/>
            <w:noWrap/>
            <w:vAlign w:val="center"/>
            <w:hideMark/>
          </w:tcPr>
          <w:p w14:paraId="6E1A7FB1"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Equipo De Comunicaciones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Telecomunic</w:t>
            </w:r>
            <w:r w:rsidRPr="003D61EF">
              <w:rPr>
                <w:rFonts w:eastAsia="Times New Roman" w:cs="Calibri"/>
                <w:color w:val="000000"/>
                <w:sz w:val="13"/>
                <w:szCs w:val="13"/>
                <w:lang w:eastAsia="es-MX"/>
              </w:rPr>
              <w:t>aciones</w:t>
            </w:r>
          </w:p>
        </w:tc>
        <w:tc>
          <w:tcPr>
            <w:tcW w:w="1330" w:type="dxa"/>
            <w:tcBorders>
              <w:top w:val="nil"/>
              <w:left w:val="nil"/>
              <w:bottom w:val="single" w:sz="8" w:space="0" w:color="auto"/>
              <w:right w:val="single" w:sz="8" w:space="0" w:color="auto"/>
            </w:tcBorders>
            <w:shd w:val="clear" w:color="F2F2F2" w:fill="FFFFFF"/>
            <w:noWrap/>
            <w:vAlign w:val="center"/>
            <w:hideMark/>
          </w:tcPr>
          <w:p w14:paraId="09A1982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755A99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12</w:t>
            </w:r>
          </w:p>
        </w:tc>
        <w:tc>
          <w:tcPr>
            <w:tcW w:w="967" w:type="dxa"/>
            <w:tcBorders>
              <w:top w:val="nil"/>
              <w:left w:val="nil"/>
              <w:bottom w:val="single" w:sz="8" w:space="0" w:color="auto"/>
              <w:right w:val="single" w:sz="8" w:space="0" w:color="auto"/>
            </w:tcBorders>
            <w:shd w:val="clear" w:color="F2F2F2" w:fill="FFFFFF"/>
            <w:noWrap/>
            <w:vAlign w:val="center"/>
            <w:hideMark/>
          </w:tcPr>
          <w:p w14:paraId="4C58C96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5330DF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8.33</w:t>
            </w:r>
          </w:p>
        </w:tc>
        <w:tc>
          <w:tcPr>
            <w:tcW w:w="1269" w:type="dxa"/>
            <w:tcBorders>
              <w:top w:val="nil"/>
              <w:left w:val="nil"/>
              <w:bottom w:val="single" w:sz="8" w:space="0" w:color="auto"/>
              <w:right w:val="single" w:sz="8" w:space="0" w:color="auto"/>
            </w:tcBorders>
            <w:shd w:val="clear" w:color="F2F2F2" w:fill="FFFFFF"/>
            <w:noWrap/>
            <w:vAlign w:val="center"/>
            <w:hideMark/>
          </w:tcPr>
          <w:p w14:paraId="12ABBA9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0.69</w:t>
            </w:r>
          </w:p>
        </w:tc>
      </w:tr>
      <w:tr w:rsidR="00964D7F" w:rsidRPr="003D61EF" w14:paraId="750EBAA2"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FF284E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94660</w:t>
            </w:r>
          </w:p>
        </w:tc>
        <w:tc>
          <w:tcPr>
            <w:tcW w:w="2997" w:type="dxa"/>
            <w:tcBorders>
              <w:top w:val="nil"/>
              <w:left w:val="nil"/>
              <w:bottom w:val="single" w:sz="8" w:space="0" w:color="auto"/>
              <w:right w:val="single" w:sz="8" w:space="0" w:color="auto"/>
            </w:tcBorders>
            <w:shd w:val="clear" w:color="F2F2F2" w:fill="FFFFFF"/>
            <w:noWrap/>
            <w:vAlign w:val="center"/>
            <w:hideMark/>
          </w:tcPr>
          <w:p w14:paraId="65E1EDFB"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w:t>
            </w:r>
            <w:proofErr w:type="spellStart"/>
            <w:r w:rsidRPr="00322837">
              <w:rPr>
                <w:rFonts w:eastAsia="Times New Roman" w:cs="Calibri"/>
                <w:color w:val="000000"/>
                <w:sz w:val="13"/>
                <w:szCs w:val="13"/>
                <w:lang w:eastAsia="es-MX"/>
              </w:rPr>
              <w:t>Eq</w:t>
            </w:r>
            <w:proofErr w:type="spellEnd"/>
            <w:r w:rsidRPr="00322837">
              <w:rPr>
                <w:rFonts w:eastAsia="Times New Roman" w:cs="Calibri"/>
                <w:color w:val="000000"/>
                <w:sz w:val="13"/>
                <w:szCs w:val="13"/>
                <w:lang w:eastAsia="es-MX"/>
              </w:rPr>
              <w:t>.</w:t>
            </w:r>
            <w:r w:rsidRPr="003D61EF">
              <w:rPr>
                <w:rFonts w:eastAsia="Times New Roman" w:cs="Calibri"/>
                <w:color w:val="000000"/>
                <w:sz w:val="13"/>
                <w:szCs w:val="13"/>
                <w:lang w:eastAsia="es-MX"/>
              </w:rPr>
              <w:t xml:space="preserve"> d</w:t>
            </w:r>
            <w:r w:rsidRPr="00322837">
              <w:rPr>
                <w:rFonts w:eastAsia="Times New Roman" w:cs="Calibri"/>
                <w:color w:val="000000"/>
                <w:sz w:val="13"/>
                <w:szCs w:val="13"/>
                <w:lang w:eastAsia="es-MX"/>
              </w:rPr>
              <w:t xml:space="preserve">e </w:t>
            </w:r>
            <w:r w:rsidRPr="003D61EF">
              <w:rPr>
                <w:rFonts w:eastAsia="Times New Roman" w:cs="Calibri"/>
                <w:color w:val="000000"/>
                <w:sz w:val="13"/>
                <w:szCs w:val="13"/>
                <w:lang w:eastAsia="es-MX"/>
              </w:rPr>
              <w:t>Generación</w:t>
            </w:r>
            <w:r w:rsidRPr="00322837">
              <w:rPr>
                <w:rFonts w:eastAsia="Times New Roman" w:cs="Calibri"/>
                <w:color w:val="000000"/>
                <w:sz w:val="13"/>
                <w:szCs w:val="13"/>
                <w:lang w:eastAsia="es-MX"/>
              </w:rPr>
              <w:t xml:space="preserve"> Eléctrica, Aparatos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A</w:t>
            </w:r>
          </w:p>
        </w:tc>
        <w:tc>
          <w:tcPr>
            <w:tcW w:w="1330" w:type="dxa"/>
            <w:tcBorders>
              <w:top w:val="nil"/>
              <w:left w:val="nil"/>
              <w:bottom w:val="single" w:sz="8" w:space="0" w:color="auto"/>
              <w:right w:val="single" w:sz="8" w:space="0" w:color="auto"/>
            </w:tcBorders>
            <w:shd w:val="clear" w:color="F2F2F2" w:fill="FFFFFF"/>
            <w:noWrap/>
            <w:vAlign w:val="center"/>
            <w:hideMark/>
          </w:tcPr>
          <w:p w14:paraId="2773A26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A29482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25</w:t>
            </w:r>
          </w:p>
        </w:tc>
        <w:tc>
          <w:tcPr>
            <w:tcW w:w="967" w:type="dxa"/>
            <w:tcBorders>
              <w:top w:val="nil"/>
              <w:left w:val="nil"/>
              <w:bottom w:val="single" w:sz="8" w:space="0" w:color="auto"/>
              <w:right w:val="single" w:sz="8" w:space="0" w:color="auto"/>
            </w:tcBorders>
            <w:shd w:val="clear" w:color="F2F2F2" w:fill="FFFFFF"/>
            <w:noWrap/>
            <w:vAlign w:val="center"/>
            <w:hideMark/>
          </w:tcPr>
          <w:p w14:paraId="3CC266C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8EE7D6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4</w:t>
            </w:r>
          </w:p>
        </w:tc>
        <w:tc>
          <w:tcPr>
            <w:tcW w:w="1269" w:type="dxa"/>
            <w:tcBorders>
              <w:top w:val="nil"/>
              <w:left w:val="nil"/>
              <w:bottom w:val="single" w:sz="8" w:space="0" w:color="auto"/>
              <w:right w:val="single" w:sz="8" w:space="0" w:color="auto"/>
            </w:tcBorders>
            <w:shd w:val="clear" w:color="F2F2F2" w:fill="FFFFFF"/>
            <w:noWrap/>
            <w:vAlign w:val="center"/>
            <w:hideMark/>
          </w:tcPr>
          <w:p w14:paraId="404D6B0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0.33</w:t>
            </w:r>
          </w:p>
        </w:tc>
      </w:tr>
      <w:tr w:rsidR="00964D7F" w:rsidRPr="003D61EF" w14:paraId="02E0771A"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11ADEA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94670</w:t>
            </w:r>
          </w:p>
        </w:tc>
        <w:tc>
          <w:tcPr>
            <w:tcW w:w="2997" w:type="dxa"/>
            <w:tcBorders>
              <w:top w:val="nil"/>
              <w:left w:val="nil"/>
              <w:bottom w:val="single" w:sz="8" w:space="0" w:color="auto"/>
              <w:right w:val="single" w:sz="8" w:space="0" w:color="auto"/>
            </w:tcBorders>
            <w:shd w:val="clear" w:color="F2F2F2" w:fill="FFFFFF"/>
            <w:noWrap/>
            <w:vAlign w:val="center"/>
            <w:hideMark/>
          </w:tcPr>
          <w:p w14:paraId="0EDD5636"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Herramientas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Máquinas-Herramienta</w:t>
            </w:r>
          </w:p>
        </w:tc>
        <w:tc>
          <w:tcPr>
            <w:tcW w:w="1330" w:type="dxa"/>
            <w:tcBorders>
              <w:top w:val="nil"/>
              <w:left w:val="nil"/>
              <w:bottom w:val="single" w:sz="8" w:space="0" w:color="auto"/>
              <w:right w:val="single" w:sz="8" w:space="0" w:color="auto"/>
            </w:tcBorders>
            <w:shd w:val="clear" w:color="F2F2F2" w:fill="FFFFFF"/>
            <w:noWrap/>
            <w:vAlign w:val="center"/>
            <w:hideMark/>
          </w:tcPr>
          <w:p w14:paraId="5C41146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47B8BBD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15</w:t>
            </w:r>
          </w:p>
        </w:tc>
        <w:tc>
          <w:tcPr>
            <w:tcW w:w="967" w:type="dxa"/>
            <w:tcBorders>
              <w:top w:val="nil"/>
              <w:left w:val="nil"/>
              <w:bottom w:val="single" w:sz="8" w:space="0" w:color="auto"/>
              <w:right w:val="single" w:sz="8" w:space="0" w:color="auto"/>
            </w:tcBorders>
            <w:shd w:val="clear" w:color="F2F2F2" w:fill="FFFFFF"/>
            <w:noWrap/>
            <w:vAlign w:val="center"/>
            <w:hideMark/>
          </w:tcPr>
          <w:p w14:paraId="150BDE3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35877B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6.67</w:t>
            </w:r>
          </w:p>
        </w:tc>
        <w:tc>
          <w:tcPr>
            <w:tcW w:w="1269" w:type="dxa"/>
            <w:tcBorders>
              <w:top w:val="nil"/>
              <w:left w:val="nil"/>
              <w:bottom w:val="single" w:sz="8" w:space="0" w:color="auto"/>
              <w:right w:val="single" w:sz="8" w:space="0" w:color="auto"/>
            </w:tcBorders>
            <w:shd w:val="clear" w:color="F2F2F2" w:fill="FFFFFF"/>
            <w:noWrap/>
            <w:vAlign w:val="center"/>
            <w:hideMark/>
          </w:tcPr>
          <w:p w14:paraId="73F46C0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0.56</w:t>
            </w:r>
          </w:p>
        </w:tc>
      </w:tr>
      <w:tr w:rsidR="00964D7F" w:rsidRPr="003D61EF" w14:paraId="5D423A54"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845C2F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94690</w:t>
            </w:r>
          </w:p>
        </w:tc>
        <w:tc>
          <w:tcPr>
            <w:tcW w:w="2997" w:type="dxa"/>
            <w:tcBorders>
              <w:top w:val="nil"/>
              <w:left w:val="nil"/>
              <w:bottom w:val="single" w:sz="8" w:space="0" w:color="auto"/>
              <w:right w:val="single" w:sz="8" w:space="0" w:color="auto"/>
            </w:tcBorders>
            <w:shd w:val="clear" w:color="F2F2F2" w:fill="FFFFFF"/>
            <w:noWrap/>
            <w:vAlign w:val="center"/>
            <w:hideMark/>
          </w:tcPr>
          <w:p w14:paraId="275633A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Equipo De Medición</w:t>
            </w:r>
          </w:p>
        </w:tc>
        <w:tc>
          <w:tcPr>
            <w:tcW w:w="1330" w:type="dxa"/>
            <w:tcBorders>
              <w:top w:val="nil"/>
              <w:left w:val="nil"/>
              <w:bottom w:val="single" w:sz="8" w:space="0" w:color="auto"/>
              <w:right w:val="single" w:sz="8" w:space="0" w:color="auto"/>
            </w:tcBorders>
            <w:shd w:val="clear" w:color="F2F2F2" w:fill="FFFFFF"/>
            <w:noWrap/>
            <w:vAlign w:val="center"/>
            <w:hideMark/>
          </w:tcPr>
          <w:p w14:paraId="3107C8F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2B5498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7</w:t>
            </w:r>
          </w:p>
        </w:tc>
        <w:tc>
          <w:tcPr>
            <w:tcW w:w="967" w:type="dxa"/>
            <w:tcBorders>
              <w:top w:val="nil"/>
              <w:left w:val="nil"/>
              <w:bottom w:val="single" w:sz="8" w:space="0" w:color="auto"/>
              <w:right w:val="single" w:sz="8" w:space="0" w:color="auto"/>
            </w:tcBorders>
            <w:shd w:val="clear" w:color="F2F2F2" w:fill="FFFFFF"/>
            <w:noWrap/>
            <w:vAlign w:val="center"/>
            <w:hideMark/>
          </w:tcPr>
          <w:p w14:paraId="4FD38B4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193E41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14.29</w:t>
            </w:r>
          </w:p>
        </w:tc>
        <w:tc>
          <w:tcPr>
            <w:tcW w:w="1269" w:type="dxa"/>
            <w:tcBorders>
              <w:top w:val="nil"/>
              <w:left w:val="nil"/>
              <w:bottom w:val="single" w:sz="8" w:space="0" w:color="auto"/>
              <w:right w:val="single" w:sz="8" w:space="0" w:color="auto"/>
            </w:tcBorders>
            <w:shd w:val="clear" w:color="F2F2F2" w:fill="FFFFFF"/>
            <w:noWrap/>
            <w:vAlign w:val="center"/>
            <w:hideMark/>
          </w:tcPr>
          <w:p w14:paraId="21A1F50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1.19</w:t>
            </w:r>
          </w:p>
        </w:tc>
      </w:tr>
      <w:tr w:rsidR="00964D7F" w:rsidRPr="003D61EF" w14:paraId="57F03B07"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0C4889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94710</w:t>
            </w:r>
          </w:p>
        </w:tc>
        <w:tc>
          <w:tcPr>
            <w:tcW w:w="2997" w:type="dxa"/>
            <w:tcBorders>
              <w:top w:val="nil"/>
              <w:left w:val="nil"/>
              <w:bottom w:val="single" w:sz="8" w:space="0" w:color="auto"/>
              <w:right w:val="single" w:sz="8" w:space="0" w:color="auto"/>
            </w:tcBorders>
            <w:shd w:val="clear" w:color="F2F2F2" w:fill="FFFFFF"/>
            <w:noWrap/>
            <w:vAlign w:val="center"/>
            <w:hideMark/>
          </w:tcPr>
          <w:p w14:paraId="1EB9B3F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Bienes Artísticos, Culturales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Científica</w:t>
            </w:r>
          </w:p>
        </w:tc>
        <w:tc>
          <w:tcPr>
            <w:tcW w:w="1330" w:type="dxa"/>
            <w:tcBorders>
              <w:top w:val="nil"/>
              <w:left w:val="nil"/>
              <w:bottom w:val="single" w:sz="8" w:space="0" w:color="auto"/>
              <w:right w:val="single" w:sz="8" w:space="0" w:color="auto"/>
            </w:tcBorders>
            <w:shd w:val="clear" w:color="F2F2F2" w:fill="FFFFFF"/>
            <w:noWrap/>
            <w:vAlign w:val="center"/>
            <w:hideMark/>
          </w:tcPr>
          <w:p w14:paraId="553A0F2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F633D4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D31BF6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888B59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3FAC817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54A4B8D3"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615523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94720</w:t>
            </w:r>
          </w:p>
        </w:tc>
        <w:tc>
          <w:tcPr>
            <w:tcW w:w="2997" w:type="dxa"/>
            <w:tcBorders>
              <w:top w:val="nil"/>
              <w:left w:val="nil"/>
              <w:bottom w:val="single" w:sz="8" w:space="0" w:color="auto"/>
              <w:right w:val="single" w:sz="8" w:space="0" w:color="auto"/>
            </w:tcBorders>
            <w:shd w:val="clear" w:color="F2F2F2" w:fill="FFFFFF"/>
            <w:noWrap/>
            <w:vAlign w:val="center"/>
            <w:hideMark/>
          </w:tcPr>
          <w:p w14:paraId="6B00A7B4" w14:textId="77777777" w:rsidR="00964D7F" w:rsidRPr="00322837" w:rsidRDefault="00964D7F" w:rsidP="00EC7D22">
            <w:pPr>
              <w:spacing w:after="0" w:line="240" w:lineRule="auto"/>
              <w:rPr>
                <w:rFonts w:eastAsia="Times New Roman" w:cs="Calibri"/>
                <w:color w:val="000000"/>
                <w:sz w:val="13"/>
                <w:szCs w:val="13"/>
                <w:lang w:eastAsia="es-MX"/>
              </w:rPr>
            </w:pPr>
            <w:r w:rsidRPr="003D61EF">
              <w:rPr>
                <w:rFonts w:eastAsia="Times New Roman" w:cs="Calibri"/>
                <w:color w:val="000000"/>
                <w:sz w:val="13"/>
                <w:szCs w:val="13"/>
                <w:lang w:eastAsia="es-MX"/>
              </w:rPr>
              <w:t>Comodatos Objetos</w:t>
            </w:r>
            <w:r w:rsidRPr="00322837">
              <w:rPr>
                <w:rFonts w:eastAsia="Times New Roman" w:cs="Calibri"/>
                <w:color w:val="000000"/>
                <w:sz w:val="13"/>
                <w:szCs w:val="13"/>
                <w:lang w:eastAsia="es-MX"/>
              </w:rPr>
              <w:t xml:space="preserve"> De Valor</w:t>
            </w:r>
          </w:p>
        </w:tc>
        <w:tc>
          <w:tcPr>
            <w:tcW w:w="1330" w:type="dxa"/>
            <w:tcBorders>
              <w:top w:val="nil"/>
              <w:left w:val="nil"/>
              <w:bottom w:val="single" w:sz="8" w:space="0" w:color="auto"/>
              <w:right w:val="single" w:sz="8" w:space="0" w:color="auto"/>
            </w:tcBorders>
            <w:shd w:val="clear" w:color="F2F2F2" w:fill="FFFFFF"/>
            <w:noWrap/>
            <w:vAlign w:val="center"/>
            <w:hideMark/>
          </w:tcPr>
          <w:p w14:paraId="132E916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C8D4E1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3F8FC1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1EB68B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0F1C884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665F1325"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E5356D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94810</w:t>
            </w:r>
          </w:p>
        </w:tc>
        <w:tc>
          <w:tcPr>
            <w:tcW w:w="2997" w:type="dxa"/>
            <w:tcBorders>
              <w:top w:val="nil"/>
              <w:left w:val="nil"/>
              <w:bottom w:val="single" w:sz="8" w:space="0" w:color="auto"/>
              <w:right w:val="single" w:sz="8" w:space="0" w:color="auto"/>
            </w:tcBorders>
            <w:shd w:val="clear" w:color="F2F2F2" w:fill="FFFFFF"/>
            <w:noWrap/>
            <w:vAlign w:val="center"/>
            <w:hideMark/>
          </w:tcPr>
          <w:p w14:paraId="6E38187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Bovinos</w:t>
            </w:r>
          </w:p>
        </w:tc>
        <w:tc>
          <w:tcPr>
            <w:tcW w:w="1330" w:type="dxa"/>
            <w:tcBorders>
              <w:top w:val="nil"/>
              <w:left w:val="nil"/>
              <w:bottom w:val="single" w:sz="8" w:space="0" w:color="auto"/>
              <w:right w:val="single" w:sz="8" w:space="0" w:color="auto"/>
            </w:tcBorders>
            <w:shd w:val="clear" w:color="F2F2F2" w:fill="FFFFFF"/>
            <w:noWrap/>
            <w:vAlign w:val="center"/>
            <w:hideMark/>
          </w:tcPr>
          <w:p w14:paraId="790EEE8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CE0DF7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9E8F9B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9C1EC5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0F951BF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2D5C34D8"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86E5DA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94820</w:t>
            </w:r>
          </w:p>
        </w:tc>
        <w:tc>
          <w:tcPr>
            <w:tcW w:w="2997" w:type="dxa"/>
            <w:tcBorders>
              <w:top w:val="nil"/>
              <w:left w:val="nil"/>
              <w:bottom w:val="single" w:sz="8" w:space="0" w:color="auto"/>
              <w:right w:val="single" w:sz="8" w:space="0" w:color="auto"/>
            </w:tcBorders>
            <w:shd w:val="clear" w:color="F2F2F2" w:fill="FFFFFF"/>
            <w:noWrap/>
            <w:vAlign w:val="center"/>
            <w:hideMark/>
          </w:tcPr>
          <w:p w14:paraId="6D0C19D2"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Porcinos</w:t>
            </w:r>
          </w:p>
        </w:tc>
        <w:tc>
          <w:tcPr>
            <w:tcW w:w="1330" w:type="dxa"/>
            <w:tcBorders>
              <w:top w:val="nil"/>
              <w:left w:val="nil"/>
              <w:bottom w:val="single" w:sz="8" w:space="0" w:color="auto"/>
              <w:right w:val="single" w:sz="8" w:space="0" w:color="auto"/>
            </w:tcBorders>
            <w:shd w:val="clear" w:color="F2F2F2" w:fill="FFFFFF"/>
            <w:noWrap/>
            <w:vAlign w:val="center"/>
            <w:hideMark/>
          </w:tcPr>
          <w:p w14:paraId="0447900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86DA81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1D79AF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7607FD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0C156F5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2AF26564"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56401B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94830</w:t>
            </w:r>
          </w:p>
        </w:tc>
        <w:tc>
          <w:tcPr>
            <w:tcW w:w="2997" w:type="dxa"/>
            <w:tcBorders>
              <w:top w:val="nil"/>
              <w:left w:val="nil"/>
              <w:bottom w:val="single" w:sz="8" w:space="0" w:color="auto"/>
              <w:right w:val="single" w:sz="8" w:space="0" w:color="auto"/>
            </w:tcBorders>
            <w:shd w:val="clear" w:color="F2F2F2" w:fill="FFFFFF"/>
            <w:noWrap/>
            <w:vAlign w:val="center"/>
            <w:hideMark/>
          </w:tcPr>
          <w:p w14:paraId="28A2624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 Aves</w:t>
            </w:r>
          </w:p>
        </w:tc>
        <w:tc>
          <w:tcPr>
            <w:tcW w:w="1330" w:type="dxa"/>
            <w:tcBorders>
              <w:top w:val="nil"/>
              <w:left w:val="nil"/>
              <w:bottom w:val="single" w:sz="8" w:space="0" w:color="auto"/>
              <w:right w:val="single" w:sz="8" w:space="0" w:color="auto"/>
            </w:tcBorders>
            <w:shd w:val="clear" w:color="F2F2F2" w:fill="FFFFFF"/>
            <w:noWrap/>
            <w:vAlign w:val="center"/>
            <w:hideMark/>
          </w:tcPr>
          <w:p w14:paraId="78A142B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D89492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76C88C4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6BA463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3324EF0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5F63C7B1"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028674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94840</w:t>
            </w:r>
          </w:p>
        </w:tc>
        <w:tc>
          <w:tcPr>
            <w:tcW w:w="2997" w:type="dxa"/>
            <w:tcBorders>
              <w:top w:val="nil"/>
              <w:left w:val="nil"/>
              <w:bottom w:val="single" w:sz="8" w:space="0" w:color="auto"/>
              <w:right w:val="single" w:sz="8" w:space="0" w:color="auto"/>
            </w:tcBorders>
            <w:shd w:val="clear" w:color="F2F2F2" w:fill="FFFFFF"/>
            <w:noWrap/>
            <w:vAlign w:val="center"/>
            <w:hideMark/>
          </w:tcPr>
          <w:p w14:paraId="190DC56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Ovinos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Caprinos</w:t>
            </w:r>
          </w:p>
        </w:tc>
        <w:tc>
          <w:tcPr>
            <w:tcW w:w="1330" w:type="dxa"/>
            <w:tcBorders>
              <w:top w:val="nil"/>
              <w:left w:val="nil"/>
              <w:bottom w:val="single" w:sz="8" w:space="0" w:color="auto"/>
              <w:right w:val="single" w:sz="8" w:space="0" w:color="auto"/>
            </w:tcBorders>
            <w:shd w:val="clear" w:color="F2F2F2" w:fill="FFFFFF"/>
            <w:noWrap/>
            <w:vAlign w:val="center"/>
            <w:hideMark/>
          </w:tcPr>
          <w:p w14:paraId="405A373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005010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B06929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63355A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7A6A69A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B88B5D3"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1F0A8B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94850</w:t>
            </w:r>
          </w:p>
        </w:tc>
        <w:tc>
          <w:tcPr>
            <w:tcW w:w="2997" w:type="dxa"/>
            <w:tcBorders>
              <w:top w:val="nil"/>
              <w:left w:val="nil"/>
              <w:bottom w:val="single" w:sz="8" w:space="0" w:color="auto"/>
              <w:right w:val="single" w:sz="8" w:space="0" w:color="auto"/>
            </w:tcBorders>
            <w:shd w:val="clear" w:color="F2F2F2" w:fill="FFFFFF"/>
            <w:noWrap/>
            <w:vAlign w:val="center"/>
            <w:hideMark/>
          </w:tcPr>
          <w:p w14:paraId="588659E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Peces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Acuicultura</w:t>
            </w:r>
          </w:p>
        </w:tc>
        <w:tc>
          <w:tcPr>
            <w:tcW w:w="1330" w:type="dxa"/>
            <w:tcBorders>
              <w:top w:val="nil"/>
              <w:left w:val="nil"/>
              <w:bottom w:val="single" w:sz="8" w:space="0" w:color="auto"/>
              <w:right w:val="single" w:sz="8" w:space="0" w:color="auto"/>
            </w:tcBorders>
            <w:shd w:val="clear" w:color="F2F2F2" w:fill="FFFFFF"/>
            <w:noWrap/>
            <w:vAlign w:val="center"/>
            <w:hideMark/>
          </w:tcPr>
          <w:p w14:paraId="353343A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AB6ACD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D10974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088785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2E7CF9D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54B97CE1"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16B40C8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94860</w:t>
            </w:r>
          </w:p>
        </w:tc>
        <w:tc>
          <w:tcPr>
            <w:tcW w:w="2997" w:type="dxa"/>
            <w:tcBorders>
              <w:top w:val="nil"/>
              <w:left w:val="nil"/>
              <w:bottom w:val="single" w:sz="8" w:space="0" w:color="auto"/>
              <w:right w:val="single" w:sz="8" w:space="0" w:color="auto"/>
            </w:tcBorders>
            <w:shd w:val="clear" w:color="F2F2F2" w:fill="FFFFFF"/>
            <w:noWrap/>
            <w:vAlign w:val="center"/>
            <w:hideMark/>
          </w:tcPr>
          <w:p w14:paraId="1451B60B"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Equinos</w:t>
            </w:r>
          </w:p>
        </w:tc>
        <w:tc>
          <w:tcPr>
            <w:tcW w:w="1330" w:type="dxa"/>
            <w:tcBorders>
              <w:top w:val="nil"/>
              <w:left w:val="nil"/>
              <w:bottom w:val="single" w:sz="8" w:space="0" w:color="auto"/>
              <w:right w:val="single" w:sz="8" w:space="0" w:color="auto"/>
            </w:tcBorders>
            <w:shd w:val="clear" w:color="F2F2F2" w:fill="FFFFFF"/>
            <w:noWrap/>
            <w:vAlign w:val="center"/>
            <w:hideMark/>
          </w:tcPr>
          <w:p w14:paraId="1DC1886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49AD16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2602B2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E64E6C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1FF6A8E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3E9DF3BF"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6AF8A5F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94870</w:t>
            </w:r>
          </w:p>
        </w:tc>
        <w:tc>
          <w:tcPr>
            <w:tcW w:w="2997" w:type="dxa"/>
            <w:tcBorders>
              <w:top w:val="nil"/>
              <w:left w:val="nil"/>
              <w:bottom w:val="single" w:sz="8" w:space="0" w:color="auto"/>
              <w:right w:val="single" w:sz="8" w:space="0" w:color="auto"/>
            </w:tcBorders>
            <w:shd w:val="clear" w:color="F2F2F2" w:fill="FFFFFF"/>
            <w:noWrap/>
            <w:vAlign w:val="center"/>
            <w:hideMark/>
          </w:tcPr>
          <w:p w14:paraId="6003F9F4"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Especies Menores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De Zoológico</w:t>
            </w:r>
          </w:p>
        </w:tc>
        <w:tc>
          <w:tcPr>
            <w:tcW w:w="1330" w:type="dxa"/>
            <w:tcBorders>
              <w:top w:val="nil"/>
              <w:left w:val="nil"/>
              <w:bottom w:val="single" w:sz="8" w:space="0" w:color="auto"/>
              <w:right w:val="single" w:sz="8" w:space="0" w:color="auto"/>
            </w:tcBorders>
            <w:shd w:val="clear" w:color="F2F2F2" w:fill="FFFFFF"/>
            <w:noWrap/>
            <w:vAlign w:val="center"/>
            <w:hideMark/>
          </w:tcPr>
          <w:p w14:paraId="1398DDF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A88C5F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C1E8DA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B2C6CF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525C6BB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434126C"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C9CC82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94880</w:t>
            </w:r>
          </w:p>
        </w:tc>
        <w:tc>
          <w:tcPr>
            <w:tcW w:w="2997" w:type="dxa"/>
            <w:tcBorders>
              <w:top w:val="nil"/>
              <w:left w:val="nil"/>
              <w:bottom w:val="single" w:sz="8" w:space="0" w:color="auto"/>
              <w:right w:val="single" w:sz="8" w:space="0" w:color="auto"/>
            </w:tcBorders>
            <w:shd w:val="clear" w:color="F2F2F2" w:fill="FFFFFF"/>
            <w:noWrap/>
            <w:vAlign w:val="center"/>
            <w:hideMark/>
          </w:tcPr>
          <w:p w14:paraId="35B7F50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w:t>
            </w:r>
            <w:r w:rsidRPr="003D61EF">
              <w:rPr>
                <w:rFonts w:eastAsia="Times New Roman" w:cs="Calibri"/>
                <w:color w:val="000000"/>
                <w:sz w:val="13"/>
                <w:szCs w:val="13"/>
                <w:lang w:eastAsia="es-MX"/>
              </w:rPr>
              <w:t>Árboles</w:t>
            </w:r>
            <w:r w:rsidRPr="00322837">
              <w:rPr>
                <w:rFonts w:eastAsia="Times New Roman" w:cs="Calibri"/>
                <w:color w:val="000000"/>
                <w:sz w:val="13"/>
                <w:szCs w:val="13"/>
                <w:lang w:eastAsia="es-MX"/>
              </w:rPr>
              <w:t xml:space="preserve"> </w:t>
            </w:r>
            <w:r w:rsidRPr="003D61EF">
              <w:rPr>
                <w:rFonts w:eastAsia="Times New Roman" w:cs="Calibri"/>
                <w:color w:val="000000"/>
                <w:sz w:val="13"/>
                <w:szCs w:val="13"/>
                <w:lang w:eastAsia="es-MX"/>
              </w:rPr>
              <w:t xml:space="preserve">y </w:t>
            </w:r>
            <w:r w:rsidRPr="00322837">
              <w:rPr>
                <w:rFonts w:eastAsia="Times New Roman" w:cs="Calibri"/>
                <w:color w:val="000000"/>
                <w:sz w:val="13"/>
                <w:szCs w:val="13"/>
                <w:lang w:eastAsia="es-MX"/>
              </w:rPr>
              <w:t>Plantas</w:t>
            </w:r>
          </w:p>
        </w:tc>
        <w:tc>
          <w:tcPr>
            <w:tcW w:w="1330" w:type="dxa"/>
            <w:tcBorders>
              <w:top w:val="nil"/>
              <w:left w:val="nil"/>
              <w:bottom w:val="single" w:sz="8" w:space="0" w:color="auto"/>
              <w:right w:val="single" w:sz="8" w:space="0" w:color="auto"/>
            </w:tcBorders>
            <w:shd w:val="clear" w:color="F2F2F2" w:fill="FFFFFF"/>
            <w:noWrap/>
            <w:vAlign w:val="center"/>
            <w:hideMark/>
          </w:tcPr>
          <w:p w14:paraId="6D4024D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0D1823A"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07DC15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36DF68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6C97521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316DC4CC"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CB36E3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94890</w:t>
            </w:r>
          </w:p>
        </w:tc>
        <w:tc>
          <w:tcPr>
            <w:tcW w:w="2997" w:type="dxa"/>
            <w:tcBorders>
              <w:top w:val="nil"/>
              <w:left w:val="nil"/>
              <w:bottom w:val="single" w:sz="8" w:space="0" w:color="auto"/>
              <w:right w:val="single" w:sz="8" w:space="0" w:color="auto"/>
            </w:tcBorders>
            <w:shd w:val="clear" w:color="F2F2F2" w:fill="FFFFFF"/>
            <w:noWrap/>
            <w:vAlign w:val="center"/>
            <w:hideMark/>
          </w:tcPr>
          <w:p w14:paraId="6A97D13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Otros Activos Biológicos Flora </w:t>
            </w:r>
            <w:r w:rsidRPr="003D61EF">
              <w:rPr>
                <w:rFonts w:eastAsia="Times New Roman" w:cs="Calibri"/>
                <w:color w:val="000000"/>
                <w:sz w:val="13"/>
                <w:szCs w:val="13"/>
                <w:lang w:eastAsia="es-MX"/>
              </w:rPr>
              <w:t>y</w:t>
            </w:r>
            <w:r w:rsidRPr="00322837">
              <w:rPr>
                <w:rFonts w:eastAsia="Times New Roman" w:cs="Calibri"/>
                <w:color w:val="000000"/>
                <w:sz w:val="13"/>
                <w:szCs w:val="13"/>
                <w:lang w:eastAsia="es-MX"/>
              </w:rPr>
              <w:t xml:space="preserve"> Fauna</w:t>
            </w:r>
          </w:p>
        </w:tc>
        <w:tc>
          <w:tcPr>
            <w:tcW w:w="1330" w:type="dxa"/>
            <w:tcBorders>
              <w:top w:val="nil"/>
              <w:left w:val="nil"/>
              <w:bottom w:val="single" w:sz="8" w:space="0" w:color="auto"/>
              <w:right w:val="single" w:sz="8" w:space="0" w:color="auto"/>
            </w:tcBorders>
            <w:shd w:val="clear" w:color="F2F2F2" w:fill="FFFFFF"/>
            <w:noWrap/>
            <w:vAlign w:val="center"/>
            <w:hideMark/>
          </w:tcPr>
          <w:p w14:paraId="5D418B9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694CF3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05DE1CA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4FE7BA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21D9891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24E17C63"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B23A6D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95100</w:t>
            </w:r>
          </w:p>
        </w:tc>
        <w:tc>
          <w:tcPr>
            <w:tcW w:w="2997" w:type="dxa"/>
            <w:tcBorders>
              <w:top w:val="nil"/>
              <w:left w:val="nil"/>
              <w:bottom w:val="single" w:sz="8" w:space="0" w:color="auto"/>
              <w:right w:val="single" w:sz="8" w:space="0" w:color="auto"/>
            </w:tcBorders>
            <w:shd w:val="clear" w:color="F2F2F2" w:fill="FFFFFF"/>
            <w:noWrap/>
            <w:vAlign w:val="center"/>
            <w:hideMark/>
          </w:tcPr>
          <w:p w14:paraId="01C4730E"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Software</w:t>
            </w:r>
          </w:p>
        </w:tc>
        <w:tc>
          <w:tcPr>
            <w:tcW w:w="1330" w:type="dxa"/>
            <w:tcBorders>
              <w:top w:val="nil"/>
              <w:left w:val="nil"/>
              <w:bottom w:val="single" w:sz="8" w:space="0" w:color="auto"/>
              <w:right w:val="single" w:sz="8" w:space="0" w:color="auto"/>
            </w:tcBorders>
            <w:shd w:val="clear" w:color="F2F2F2" w:fill="FFFFFF"/>
            <w:noWrap/>
            <w:vAlign w:val="center"/>
            <w:hideMark/>
          </w:tcPr>
          <w:p w14:paraId="687E979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5B8B060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w:t>
            </w:r>
          </w:p>
        </w:tc>
        <w:tc>
          <w:tcPr>
            <w:tcW w:w="967" w:type="dxa"/>
            <w:tcBorders>
              <w:top w:val="nil"/>
              <w:left w:val="nil"/>
              <w:bottom w:val="single" w:sz="8" w:space="0" w:color="auto"/>
              <w:right w:val="single" w:sz="8" w:space="0" w:color="auto"/>
            </w:tcBorders>
            <w:shd w:val="clear" w:color="F2F2F2" w:fill="FFFFFF"/>
            <w:noWrap/>
            <w:vAlign w:val="center"/>
            <w:hideMark/>
          </w:tcPr>
          <w:p w14:paraId="7F72260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92A00A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100</w:t>
            </w:r>
          </w:p>
        </w:tc>
        <w:tc>
          <w:tcPr>
            <w:tcW w:w="1269" w:type="dxa"/>
            <w:tcBorders>
              <w:top w:val="nil"/>
              <w:left w:val="nil"/>
              <w:bottom w:val="single" w:sz="8" w:space="0" w:color="auto"/>
              <w:right w:val="single" w:sz="8" w:space="0" w:color="auto"/>
            </w:tcBorders>
            <w:shd w:val="clear" w:color="F2F2F2" w:fill="FFFFFF"/>
            <w:noWrap/>
            <w:vAlign w:val="center"/>
            <w:hideMark/>
          </w:tcPr>
          <w:p w14:paraId="3B6821B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8.33</w:t>
            </w:r>
          </w:p>
        </w:tc>
      </w:tr>
      <w:tr w:rsidR="00964D7F" w:rsidRPr="003D61EF" w14:paraId="4DECB725"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796DA9D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95210</w:t>
            </w:r>
          </w:p>
        </w:tc>
        <w:tc>
          <w:tcPr>
            <w:tcW w:w="2997" w:type="dxa"/>
            <w:tcBorders>
              <w:top w:val="nil"/>
              <w:left w:val="nil"/>
              <w:bottom w:val="single" w:sz="8" w:space="0" w:color="auto"/>
              <w:right w:val="single" w:sz="8" w:space="0" w:color="auto"/>
            </w:tcBorders>
            <w:shd w:val="clear" w:color="F2F2F2" w:fill="FFFFFF"/>
            <w:noWrap/>
            <w:vAlign w:val="center"/>
            <w:hideMark/>
          </w:tcPr>
          <w:p w14:paraId="7F18BE8B"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Patentes</w:t>
            </w:r>
          </w:p>
        </w:tc>
        <w:tc>
          <w:tcPr>
            <w:tcW w:w="1330" w:type="dxa"/>
            <w:tcBorders>
              <w:top w:val="nil"/>
              <w:left w:val="nil"/>
              <w:bottom w:val="single" w:sz="8" w:space="0" w:color="auto"/>
              <w:right w:val="single" w:sz="8" w:space="0" w:color="auto"/>
            </w:tcBorders>
            <w:shd w:val="clear" w:color="F2F2F2" w:fill="FFFFFF"/>
            <w:noWrap/>
            <w:vAlign w:val="center"/>
            <w:hideMark/>
          </w:tcPr>
          <w:p w14:paraId="7352D20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4B4F65C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40004F0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6E54B5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0588032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5B8CF79E"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0D3ADC1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95220</w:t>
            </w:r>
          </w:p>
        </w:tc>
        <w:tc>
          <w:tcPr>
            <w:tcW w:w="2997" w:type="dxa"/>
            <w:tcBorders>
              <w:top w:val="nil"/>
              <w:left w:val="nil"/>
              <w:bottom w:val="single" w:sz="8" w:space="0" w:color="auto"/>
              <w:right w:val="single" w:sz="8" w:space="0" w:color="auto"/>
            </w:tcBorders>
            <w:shd w:val="clear" w:color="F2F2F2" w:fill="FFFFFF"/>
            <w:noWrap/>
            <w:vAlign w:val="center"/>
            <w:hideMark/>
          </w:tcPr>
          <w:p w14:paraId="261A0312"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Marcas</w:t>
            </w:r>
          </w:p>
        </w:tc>
        <w:tc>
          <w:tcPr>
            <w:tcW w:w="1330" w:type="dxa"/>
            <w:tcBorders>
              <w:top w:val="nil"/>
              <w:left w:val="nil"/>
              <w:bottom w:val="single" w:sz="8" w:space="0" w:color="auto"/>
              <w:right w:val="single" w:sz="8" w:space="0" w:color="auto"/>
            </w:tcBorders>
            <w:shd w:val="clear" w:color="F2F2F2" w:fill="FFFFFF"/>
            <w:noWrap/>
            <w:vAlign w:val="center"/>
            <w:hideMark/>
          </w:tcPr>
          <w:p w14:paraId="4EF4A38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1A3251A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77344D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C23D4E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45AB66A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47521E3A" w14:textId="77777777" w:rsidTr="000A16E7">
        <w:trPr>
          <w:trHeight w:val="300"/>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4A044D0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95230</w:t>
            </w:r>
          </w:p>
        </w:tc>
        <w:tc>
          <w:tcPr>
            <w:tcW w:w="2997" w:type="dxa"/>
            <w:tcBorders>
              <w:top w:val="nil"/>
              <w:left w:val="nil"/>
              <w:bottom w:val="single" w:sz="8" w:space="0" w:color="auto"/>
              <w:right w:val="single" w:sz="8" w:space="0" w:color="auto"/>
            </w:tcBorders>
            <w:shd w:val="clear" w:color="F2F2F2" w:fill="FFFFFF"/>
            <w:noWrap/>
            <w:vAlign w:val="center"/>
            <w:hideMark/>
          </w:tcPr>
          <w:p w14:paraId="220BDD36"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Derechos</w:t>
            </w:r>
          </w:p>
        </w:tc>
        <w:tc>
          <w:tcPr>
            <w:tcW w:w="1330" w:type="dxa"/>
            <w:tcBorders>
              <w:top w:val="nil"/>
              <w:left w:val="nil"/>
              <w:bottom w:val="single" w:sz="8" w:space="0" w:color="auto"/>
              <w:right w:val="single" w:sz="8" w:space="0" w:color="auto"/>
            </w:tcBorders>
            <w:shd w:val="clear" w:color="F2F2F2" w:fill="FFFFFF"/>
            <w:noWrap/>
            <w:vAlign w:val="center"/>
            <w:hideMark/>
          </w:tcPr>
          <w:p w14:paraId="3C32280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6B364BF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1D0E12A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FEDB61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1D6F065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22837" w14:paraId="767241D4" w14:textId="77777777" w:rsidTr="000A16E7">
        <w:trPr>
          <w:trHeight w:val="482"/>
        </w:trPr>
        <w:tc>
          <w:tcPr>
            <w:tcW w:w="967"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16961D5D"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lastRenderedPageBreak/>
              <w:t>CLASE</w:t>
            </w:r>
          </w:p>
        </w:tc>
        <w:tc>
          <w:tcPr>
            <w:tcW w:w="2997" w:type="dxa"/>
            <w:tcBorders>
              <w:top w:val="single" w:sz="4" w:space="0" w:color="auto"/>
              <w:left w:val="nil"/>
              <w:bottom w:val="single" w:sz="4" w:space="0" w:color="auto"/>
              <w:right w:val="single" w:sz="4" w:space="0" w:color="auto"/>
            </w:tcBorders>
            <w:shd w:val="clear" w:color="800080" w:fill="A90025"/>
            <w:vAlign w:val="center"/>
            <w:hideMark/>
          </w:tcPr>
          <w:p w14:paraId="17F127EB"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 </w:t>
            </w:r>
          </w:p>
        </w:tc>
        <w:tc>
          <w:tcPr>
            <w:tcW w:w="1330" w:type="dxa"/>
            <w:tcBorders>
              <w:top w:val="single" w:sz="4" w:space="0" w:color="auto"/>
              <w:left w:val="nil"/>
              <w:bottom w:val="single" w:sz="4" w:space="0" w:color="auto"/>
              <w:right w:val="single" w:sz="4" w:space="0" w:color="auto"/>
            </w:tcBorders>
            <w:shd w:val="clear" w:color="800080" w:fill="A90025"/>
            <w:vAlign w:val="center"/>
            <w:hideMark/>
          </w:tcPr>
          <w:p w14:paraId="19951F84" w14:textId="4EDA890D" w:rsidR="00964D7F" w:rsidRPr="00322837" w:rsidRDefault="000A16E7"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MÉTODO</w:t>
            </w:r>
            <w:r w:rsidR="00964D7F" w:rsidRPr="00322837">
              <w:rPr>
                <w:rFonts w:eastAsia="Times New Roman" w:cs="Calibri"/>
                <w:b/>
                <w:bCs/>
                <w:color w:val="FFFFFF"/>
                <w:sz w:val="13"/>
                <w:szCs w:val="13"/>
                <w:lang w:eastAsia="es-MX"/>
              </w:rPr>
              <w:t xml:space="preserve"> DE </w:t>
            </w:r>
            <w:r w:rsidRPr="00322837">
              <w:rPr>
                <w:rFonts w:eastAsia="Times New Roman" w:cs="Calibri"/>
                <w:b/>
                <w:bCs/>
                <w:color w:val="FFFFFF"/>
                <w:sz w:val="13"/>
                <w:szCs w:val="13"/>
                <w:lang w:eastAsia="es-MX"/>
              </w:rPr>
              <w:t>DEPRECIACIÓN</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08E6C6D3"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VIDA UTIL EN AÑOS</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18664527"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VALOR RESIDUAL (%)</w:t>
            </w:r>
          </w:p>
        </w:tc>
        <w:tc>
          <w:tcPr>
            <w:tcW w:w="967" w:type="dxa"/>
            <w:tcBorders>
              <w:top w:val="single" w:sz="4" w:space="0" w:color="auto"/>
              <w:left w:val="nil"/>
              <w:bottom w:val="single" w:sz="4" w:space="0" w:color="auto"/>
              <w:right w:val="single" w:sz="4" w:space="0" w:color="auto"/>
            </w:tcBorders>
            <w:shd w:val="clear" w:color="800080" w:fill="A90025"/>
            <w:vAlign w:val="center"/>
            <w:hideMark/>
          </w:tcPr>
          <w:p w14:paraId="26779AFF"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 ANUAL (%)</w:t>
            </w:r>
          </w:p>
        </w:tc>
        <w:tc>
          <w:tcPr>
            <w:tcW w:w="1269" w:type="dxa"/>
            <w:tcBorders>
              <w:top w:val="single" w:sz="4" w:space="0" w:color="auto"/>
              <w:left w:val="nil"/>
              <w:bottom w:val="single" w:sz="4" w:space="0" w:color="auto"/>
              <w:right w:val="single" w:sz="4" w:space="0" w:color="auto"/>
            </w:tcBorders>
            <w:shd w:val="clear" w:color="800080" w:fill="A90025"/>
            <w:vAlign w:val="center"/>
            <w:hideMark/>
          </w:tcPr>
          <w:p w14:paraId="5581FA75" w14:textId="77777777" w:rsidR="00964D7F" w:rsidRPr="00322837" w:rsidRDefault="00964D7F" w:rsidP="00EC7D22">
            <w:pPr>
              <w:spacing w:after="0" w:line="240" w:lineRule="auto"/>
              <w:jc w:val="center"/>
              <w:rPr>
                <w:rFonts w:eastAsia="Times New Roman" w:cs="Calibri"/>
                <w:b/>
                <w:bCs/>
                <w:color w:val="FFFFFF"/>
                <w:sz w:val="13"/>
                <w:szCs w:val="13"/>
                <w:lang w:eastAsia="es-MX"/>
              </w:rPr>
            </w:pPr>
            <w:r w:rsidRPr="00322837">
              <w:rPr>
                <w:rFonts w:eastAsia="Times New Roman" w:cs="Calibri"/>
                <w:b/>
                <w:bCs/>
                <w:color w:val="FFFFFF"/>
                <w:sz w:val="13"/>
                <w:szCs w:val="13"/>
                <w:lang w:eastAsia="es-MX"/>
              </w:rPr>
              <w:t>DEP.MENSUAL (%)</w:t>
            </w:r>
          </w:p>
        </w:tc>
      </w:tr>
      <w:tr w:rsidR="00964D7F" w:rsidRPr="003D61EF" w14:paraId="54B9295E" w14:textId="77777777" w:rsidTr="000A16E7">
        <w:trPr>
          <w:trHeight w:val="255"/>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345E77E1"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95310</w:t>
            </w:r>
          </w:p>
        </w:tc>
        <w:tc>
          <w:tcPr>
            <w:tcW w:w="2997" w:type="dxa"/>
            <w:tcBorders>
              <w:top w:val="nil"/>
              <w:left w:val="nil"/>
              <w:bottom w:val="single" w:sz="8" w:space="0" w:color="auto"/>
              <w:right w:val="single" w:sz="8" w:space="0" w:color="auto"/>
            </w:tcBorders>
            <w:shd w:val="clear" w:color="F2F2F2" w:fill="FFFFFF"/>
            <w:noWrap/>
            <w:vAlign w:val="center"/>
            <w:hideMark/>
          </w:tcPr>
          <w:p w14:paraId="2729C04A"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Concesiones</w:t>
            </w:r>
          </w:p>
        </w:tc>
        <w:tc>
          <w:tcPr>
            <w:tcW w:w="1330" w:type="dxa"/>
            <w:tcBorders>
              <w:top w:val="nil"/>
              <w:left w:val="nil"/>
              <w:bottom w:val="single" w:sz="8" w:space="0" w:color="auto"/>
              <w:right w:val="single" w:sz="8" w:space="0" w:color="auto"/>
            </w:tcBorders>
            <w:shd w:val="clear" w:color="F2F2F2" w:fill="FFFFFF"/>
            <w:noWrap/>
            <w:vAlign w:val="center"/>
            <w:hideMark/>
          </w:tcPr>
          <w:p w14:paraId="07C2B0A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52FF9B0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32EA793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6839E702"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10602D5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65F954DA" w14:textId="77777777" w:rsidTr="000A16E7">
        <w:trPr>
          <w:trHeight w:val="255"/>
        </w:trPr>
        <w:tc>
          <w:tcPr>
            <w:tcW w:w="967" w:type="dxa"/>
            <w:tcBorders>
              <w:top w:val="nil"/>
              <w:left w:val="single" w:sz="8" w:space="0" w:color="auto"/>
              <w:bottom w:val="single" w:sz="8" w:space="0" w:color="auto"/>
              <w:right w:val="single" w:sz="8" w:space="0" w:color="auto"/>
            </w:tcBorders>
            <w:shd w:val="clear" w:color="F2F2F2" w:fill="FFFFFF"/>
            <w:noWrap/>
            <w:vAlign w:val="center"/>
            <w:hideMark/>
          </w:tcPr>
          <w:p w14:paraId="5E74DA2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95320</w:t>
            </w:r>
          </w:p>
        </w:tc>
        <w:tc>
          <w:tcPr>
            <w:tcW w:w="2997" w:type="dxa"/>
            <w:tcBorders>
              <w:top w:val="nil"/>
              <w:left w:val="nil"/>
              <w:bottom w:val="single" w:sz="8" w:space="0" w:color="auto"/>
              <w:right w:val="single" w:sz="8" w:space="0" w:color="auto"/>
            </w:tcBorders>
            <w:shd w:val="clear" w:color="F2F2F2" w:fill="FFFFFF"/>
            <w:noWrap/>
            <w:vAlign w:val="center"/>
            <w:hideMark/>
          </w:tcPr>
          <w:p w14:paraId="43E216A9"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Franquicias</w:t>
            </w:r>
          </w:p>
        </w:tc>
        <w:tc>
          <w:tcPr>
            <w:tcW w:w="1330" w:type="dxa"/>
            <w:tcBorders>
              <w:top w:val="nil"/>
              <w:left w:val="nil"/>
              <w:bottom w:val="single" w:sz="8" w:space="0" w:color="auto"/>
              <w:right w:val="single" w:sz="8" w:space="0" w:color="auto"/>
            </w:tcBorders>
            <w:shd w:val="clear" w:color="F2F2F2" w:fill="FFFFFF"/>
            <w:noWrap/>
            <w:vAlign w:val="center"/>
            <w:hideMark/>
          </w:tcPr>
          <w:p w14:paraId="538C1AF9"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8" w:space="0" w:color="auto"/>
              <w:right w:val="single" w:sz="8" w:space="0" w:color="auto"/>
            </w:tcBorders>
            <w:shd w:val="clear" w:color="F2F2F2" w:fill="FFFFFF"/>
            <w:noWrap/>
            <w:vAlign w:val="center"/>
            <w:hideMark/>
          </w:tcPr>
          <w:p w14:paraId="40F3AA88"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5EE208B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8" w:space="0" w:color="auto"/>
              <w:right w:val="single" w:sz="8" w:space="0" w:color="auto"/>
            </w:tcBorders>
            <w:shd w:val="clear" w:color="F2F2F2" w:fill="FFFFFF"/>
            <w:noWrap/>
            <w:vAlign w:val="center"/>
            <w:hideMark/>
          </w:tcPr>
          <w:p w14:paraId="2074F7C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nil"/>
              <w:left w:val="nil"/>
              <w:bottom w:val="single" w:sz="8" w:space="0" w:color="auto"/>
              <w:right w:val="single" w:sz="8" w:space="0" w:color="auto"/>
            </w:tcBorders>
            <w:shd w:val="clear" w:color="F2F2F2" w:fill="FFFFFF"/>
            <w:noWrap/>
            <w:vAlign w:val="center"/>
            <w:hideMark/>
          </w:tcPr>
          <w:p w14:paraId="42522F9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0C561B14" w14:textId="77777777" w:rsidTr="00AA4AEA">
        <w:trPr>
          <w:trHeight w:val="255"/>
        </w:trPr>
        <w:tc>
          <w:tcPr>
            <w:tcW w:w="967" w:type="dxa"/>
            <w:tcBorders>
              <w:top w:val="nil"/>
              <w:left w:val="single" w:sz="8" w:space="0" w:color="auto"/>
              <w:bottom w:val="single" w:sz="4" w:space="0" w:color="auto"/>
              <w:right w:val="single" w:sz="8" w:space="0" w:color="auto"/>
            </w:tcBorders>
            <w:shd w:val="clear" w:color="F2F2F2" w:fill="FFFFFF"/>
            <w:noWrap/>
            <w:vAlign w:val="center"/>
            <w:hideMark/>
          </w:tcPr>
          <w:p w14:paraId="29391F9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95410</w:t>
            </w:r>
          </w:p>
        </w:tc>
        <w:tc>
          <w:tcPr>
            <w:tcW w:w="2997" w:type="dxa"/>
            <w:tcBorders>
              <w:top w:val="nil"/>
              <w:left w:val="nil"/>
              <w:bottom w:val="single" w:sz="4" w:space="0" w:color="auto"/>
              <w:right w:val="single" w:sz="8" w:space="0" w:color="auto"/>
            </w:tcBorders>
            <w:shd w:val="clear" w:color="F2F2F2" w:fill="FFFFFF"/>
            <w:noWrap/>
            <w:vAlign w:val="center"/>
            <w:hideMark/>
          </w:tcPr>
          <w:p w14:paraId="0F7DA904"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Licencias Informáticas </w:t>
            </w:r>
            <w:r w:rsidRPr="003D61EF">
              <w:rPr>
                <w:rFonts w:eastAsia="Times New Roman" w:cs="Calibri"/>
                <w:color w:val="000000"/>
                <w:sz w:val="13"/>
                <w:szCs w:val="13"/>
                <w:lang w:eastAsia="es-MX"/>
              </w:rPr>
              <w:t>e</w:t>
            </w:r>
            <w:r w:rsidRPr="00322837">
              <w:rPr>
                <w:rFonts w:eastAsia="Times New Roman" w:cs="Calibri"/>
                <w:color w:val="000000"/>
                <w:sz w:val="13"/>
                <w:szCs w:val="13"/>
                <w:lang w:eastAsia="es-MX"/>
              </w:rPr>
              <w:t xml:space="preserve"> Intelectuales</w:t>
            </w:r>
          </w:p>
        </w:tc>
        <w:tc>
          <w:tcPr>
            <w:tcW w:w="1330" w:type="dxa"/>
            <w:tcBorders>
              <w:top w:val="nil"/>
              <w:left w:val="nil"/>
              <w:bottom w:val="single" w:sz="4" w:space="0" w:color="auto"/>
              <w:right w:val="single" w:sz="8" w:space="0" w:color="auto"/>
            </w:tcBorders>
            <w:shd w:val="clear" w:color="F2F2F2" w:fill="FFFFFF"/>
            <w:noWrap/>
            <w:vAlign w:val="center"/>
            <w:hideMark/>
          </w:tcPr>
          <w:p w14:paraId="62C9CB07"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nil"/>
              <w:left w:val="nil"/>
              <w:bottom w:val="single" w:sz="4" w:space="0" w:color="auto"/>
              <w:right w:val="single" w:sz="8" w:space="0" w:color="auto"/>
            </w:tcBorders>
            <w:shd w:val="clear" w:color="F2F2F2" w:fill="FFFFFF"/>
            <w:noWrap/>
            <w:vAlign w:val="center"/>
            <w:hideMark/>
          </w:tcPr>
          <w:p w14:paraId="727EBDC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w:t>
            </w:r>
          </w:p>
        </w:tc>
        <w:tc>
          <w:tcPr>
            <w:tcW w:w="967" w:type="dxa"/>
            <w:tcBorders>
              <w:top w:val="nil"/>
              <w:left w:val="nil"/>
              <w:bottom w:val="single" w:sz="4" w:space="0" w:color="auto"/>
              <w:right w:val="single" w:sz="8" w:space="0" w:color="auto"/>
            </w:tcBorders>
            <w:shd w:val="clear" w:color="F2F2F2" w:fill="FFFFFF"/>
            <w:noWrap/>
            <w:vAlign w:val="center"/>
            <w:hideMark/>
          </w:tcPr>
          <w:p w14:paraId="0344881E"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nil"/>
              <w:left w:val="nil"/>
              <w:bottom w:val="single" w:sz="4" w:space="0" w:color="auto"/>
              <w:right w:val="single" w:sz="8" w:space="0" w:color="auto"/>
            </w:tcBorders>
            <w:shd w:val="clear" w:color="F2F2F2" w:fill="FFFFFF"/>
            <w:noWrap/>
            <w:vAlign w:val="center"/>
            <w:hideMark/>
          </w:tcPr>
          <w:p w14:paraId="7726992C"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100</w:t>
            </w:r>
          </w:p>
        </w:tc>
        <w:tc>
          <w:tcPr>
            <w:tcW w:w="1269" w:type="dxa"/>
            <w:tcBorders>
              <w:top w:val="nil"/>
              <w:left w:val="nil"/>
              <w:bottom w:val="single" w:sz="4" w:space="0" w:color="auto"/>
              <w:right w:val="single" w:sz="8" w:space="0" w:color="auto"/>
            </w:tcBorders>
            <w:shd w:val="clear" w:color="F2F2F2" w:fill="FFFFFF"/>
            <w:noWrap/>
            <w:vAlign w:val="center"/>
            <w:hideMark/>
          </w:tcPr>
          <w:p w14:paraId="1ECF289F"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8.33</w:t>
            </w:r>
          </w:p>
        </w:tc>
      </w:tr>
      <w:tr w:rsidR="00964D7F" w:rsidRPr="003D61EF" w14:paraId="0590A5D9" w14:textId="77777777" w:rsidTr="00AA4AEA">
        <w:trPr>
          <w:trHeight w:val="255"/>
        </w:trPr>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5E599466"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95420</w:t>
            </w:r>
          </w:p>
        </w:tc>
        <w:tc>
          <w:tcPr>
            <w:tcW w:w="299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D9EE77F"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 xml:space="preserve">Comodatos Licencias Industriales, Comerciales </w:t>
            </w:r>
            <w:r w:rsidRPr="003D61EF">
              <w:rPr>
                <w:rFonts w:eastAsia="Times New Roman" w:cs="Calibri"/>
                <w:color w:val="000000"/>
                <w:sz w:val="13"/>
                <w:szCs w:val="13"/>
                <w:lang w:eastAsia="es-MX"/>
              </w:rPr>
              <w:t xml:space="preserve"> y </w:t>
            </w:r>
            <w:r w:rsidRPr="00322837">
              <w:rPr>
                <w:rFonts w:eastAsia="Times New Roman" w:cs="Calibri"/>
                <w:color w:val="000000"/>
                <w:sz w:val="13"/>
                <w:szCs w:val="13"/>
                <w:lang w:eastAsia="es-MX"/>
              </w:rPr>
              <w:t>Ot</w:t>
            </w:r>
            <w:r w:rsidRPr="003D61EF">
              <w:rPr>
                <w:rFonts w:eastAsia="Times New Roman" w:cs="Calibri"/>
                <w:color w:val="000000"/>
                <w:sz w:val="13"/>
                <w:szCs w:val="13"/>
                <w:lang w:eastAsia="es-MX"/>
              </w:rPr>
              <w:t>ras</w:t>
            </w:r>
          </w:p>
        </w:tc>
        <w:tc>
          <w:tcPr>
            <w:tcW w:w="1330"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4423AFD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81D36C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03CC27B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4A1BAD9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2DFFA4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r w:rsidR="00964D7F" w:rsidRPr="003D61EF" w14:paraId="1443D955" w14:textId="77777777" w:rsidTr="00AA4AEA">
        <w:trPr>
          <w:trHeight w:val="255"/>
        </w:trPr>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19373094"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95900</w:t>
            </w:r>
          </w:p>
        </w:tc>
        <w:tc>
          <w:tcPr>
            <w:tcW w:w="299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754F60D3" w14:textId="77777777" w:rsidR="00964D7F" w:rsidRPr="00322837" w:rsidRDefault="00964D7F" w:rsidP="00EC7D22">
            <w:pPr>
              <w:spacing w:after="0" w:line="240" w:lineRule="auto"/>
              <w:rPr>
                <w:rFonts w:eastAsia="Times New Roman" w:cs="Calibri"/>
                <w:color w:val="000000"/>
                <w:sz w:val="13"/>
                <w:szCs w:val="13"/>
                <w:lang w:eastAsia="es-MX"/>
              </w:rPr>
            </w:pPr>
            <w:r w:rsidRPr="00322837">
              <w:rPr>
                <w:rFonts w:eastAsia="Times New Roman" w:cs="Calibri"/>
                <w:color w:val="000000"/>
                <w:sz w:val="13"/>
                <w:szCs w:val="13"/>
                <w:lang w:eastAsia="es-MX"/>
              </w:rPr>
              <w:t>Comodatos Otros Activos Intangibles</w:t>
            </w:r>
          </w:p>
        </w:tc>
        <w:tc>
          <w:tcPr>
            <w:tcW w:w="1330"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01426E4D"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LINR</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6C8E25F5"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4532BBB"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967"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5C17063"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c>
          <w:tcPr>
            <w:tcW w:w="1269"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09015C70" w14:textId="77777777" w:rsidR="00964D7F" w:rsidRPr="00322837" w:rsidRDefault="00964D7F" w:rsidP="00EC7D22">
            <w:pPr>
              <w:spacing w:after="0" w:line="240" w:lineRule="auto"/>
              <w:jc w:val="center"/>
              <w:rPr>
                <w:rFonts w:eastAsia="Times New Roman" w:cs="Calibri"/>
                <w:color w:val="000000"/>
                <w:sz w:val="13"/>
                <w:szCs w:val="13"/>
                <w:lang w:eastAsia="es-MX"/>
              </w:rPr>
            </w:pPr>
            <w:r w:rsidRPr="00322837">
              <w:rPr>
                <w:rFonts w:eastAsia="Times New Roman" w:cs="Calibri"/>
                <w:color w:val="000000"/>
                <w:sz w:val="13"/>
                <w:szCs w:val="13"/>
                <w:lang w:eastAsia="es-MX"/>
              </w:rPr>
              <w:t>0</w:t>
            </w:r>
          </w:p>
        </w:tc>
      </w:tr>
    </w:tbl>
    <w:p w14:paraId="1AB019A3" w14:textId="73B84BED" w:rsidR="00964D7F" w:rsidRPr="000A16E7" w:rsidRDefault="00964D7F" w:rsidP="00EC7D22">
      <w:pPr>
        <w:pStyle w:val="INCISO"/>
        <w:spacing w:after="0" w:line="240" w:lineRule="exact"/>
        <w:ind w:left="0" w:firstLine="0"/>
        <w:rPr>
          <w:rFonts w:ascii="Calibri" w:hAnsi="Calibri" w:cs="Calibri"/>
          <w:sz w:val="16"/>
          <w:szCs w:val="20"/>
        </w:rPr>
      </w:pPr>
    </w:p>
    <w:p w14:paraId="2D0BA429" w14:textId="77777777" w:rsidR="00744F9F" w:rsidRDefault="00C87FDA" w:rsidP="00EC7D22">
      <w:pPr>
        <w:pStyle w:val="INCISO"/>
        <w:numPr>
          <w:ilvl w:val="0"/>
          <w:numId w:val="13"/>
        </w:numPr>
        <w:spacing w:after="0" w:line="240" w:lineRule="auto"/>
        <w:ind w:left="0" w:firstLine="0"/>
        <w:rPr>
          <w:rFonts w:ascii="Calibri" w:hAnsi="Calibri" w:cs="Calibri"/>
          <w:sz w:val="20"/>
          <w:szCs w:val="20"/>
        </w:rPr>
      </w:pPr>
      <w:r w:rsidRPr="004F44F0">
        <w:rPr>
          <w:rFonts w:ascii="Calibri" w:hAnsi="Calibri" w:cs="Calibri"/>
          <w:sz w:val="20"/>
          <w:szCs w:val="20"/>
        </w:rPr>
        <w:t xml:space="preserve">Cambios en el porcentaje de Depreciación o Valor Residual de los Activos.  </w:t>
      </w:r>
    </w:p>
    <w:p w14:paraId="06D4F3B7" w14:textId="5C2C5D7E" w:rsidR="007745EB" w:rsidRPr="004F44F0" w:rsidRDefault="00C87FDA" w:rsidP="00EC7D22">
      <w:pPr>
        <w:pStyle w:val="INCISO"/>
        <w:spacing w:after="0" w:line="240" w:lineRule="auto"/>
        <w:ind w:left="0" w:firstLine="0"/>
        <w:rPr>
          <w:rFonts w:ascii="Calibri" w:hAnsi="Calibri" w:cs="Calibri"/>
          <w:sz w:val="20"/>
          <w:szCs w:val="20"/>
        </w:rPr>
      </w:pPr>
      <w:r w:rsidRPr="004F44F0">
        <w:rPr>
          <w:rFonts w:ascii="Calibri" w:hAnsi="Calibri" w:cs="Calibri"/>
          <w:b/>
          <w:sz w:val="20"/>
          <w:szCs w:val="20"/>
        </w:rPr>
        <w:t>No Aplica.</w:t>
      </w:r>
    </w:p>
    <w:p w14:paraId="3296714C" w14:textId="77777777" w:rsidR="007745EB" w:rsidRPr="004F44F0" w:rsidRDefault="007745EB" w:rsidP="00EC7D22">
      <w:pPr>
        <w:pStyle w:val="INCISO"/>
        <w:spacing w:after="0" w:line="240" w:lineRule="auto"/>
        <w:ind w:left="0" w:firstLine="0"/>
        <w:rPr>
          <w:rFonts w:ascii="Calibri" w:hAnsi="Calibri" w:cs="Calibri"/>
          <w:sz w:val="20"/>
          <w:szCs w:val="20"/>
        </w:rPr>
      </w:pPr>
    </w:p>
    <w:p w14:paraId="55EB1326" w14:textId="77777777" w:rsidR="00036395" w:rsidRPr="00036395" w:rsidRDefault="00C87FDA" w:rsidP="00EC7D22">
      <w:pPr>
        <w:pStyle w:val="INCISO"/>
        <w:numPr>
          <w:ilvl w:val="0"/>
          <w:numId w:val="13"/>
        </w:numPr>
        <w:spacing w:after="0" w:line="240" w:lineRule="auto"/>
        <w:ind w:left="0" w:firstLine="0"/>
        <w:jc w:val="left"/>
        <w:rPr>
          <w:rFonts w:ascii="Calibri" w:hAnsi="Calibri" w:cs="Calibri"/>
          <w:b/>
          <w:sz w:val="20"/>
          <w:szCs w:val="20"/>
        </w:rPr>
      </w:pPr>
      <w:r w:rsidRPr="004F44F0">
        <w:rPr>
          <w:rFonts w:ascii="Calibri" w:hAnsi="Calibri" w:cs="Calibri"/>
          <w:sz w:val="20"/>
          <w:szCs w:val="20"/>
        </w:rPr>
        <w:t xml:space="preserve">Importe de los gastos capitalizados en el ejercicio, tanto Financieros como de Investigación y Desarrollo.  </w:t>
      </w:r>
    </w:p>
    <w:p w14:paraId="508544D4" w14:textId="6599BCC1" w:rsidR="007745EB" w:rsidRPr="004F44F0" w:rsidRDefault="00C87FDA" w:rsidP="00EC7D22">
      <w:pPr>
        <w:pStyle w:val="INCISO"/>
        <w:spacing w:after="0" w:line="240" w:lineRule="auto"/>
        <w:ind w:left="0" w:firstLine="0"/>
        <w:jc w:val="left"/>
        <w:rPr>
          <w:rFonts w:ascii="Calibri" w:hAnsi="Calibri" w:cs="Calibri"/>
          <w:b/>
          <w:sz w:val="20"/>
          <w:szCs w:val="20"/>
        </w:rPr>
      </w:pPr>
      <w:r w:rsidRPr="004F44F0">
        <w:rPr>
          <w:rFonts w:ascii="Calibri" w:hAnsi="Calibri" w:cs="Calibri"/>
          <w:b/>
          <w:sz w:val="20"/>
          <w:szCs w:val="20"/>
        </w:rPr>
        <w:t>No Aplica.</w:t>
      </w:r>
    </w:p>
    <w:p w14:paraId="23AE5927" w14:textId="77777777" w:rsidR="007745EB" w:rsidRPr="000C3676" w:rsidRDefault="007745EB" w:rsidP="00EC7D22">
      <w:pPr>
        <w:pStyle w:val="INCISO"/>
        <w:spacing w:after="0" w:line="240" w:lineRule="auto"/>
        <w:ind w:left="0" w:firstLine="0"/>
        <w:jc w:val="left"/>
        <w:rPr>
          <w:rFonts w:ascii="Calibri" w:hAnsi="Calibri" w:cs="Calibri"/>
          <w:szCs w:val="20"/>
        </w:rPr>
      </w:pPr>
    </w:p>
    <w:p w14:paraId="10B6B91E" w14:textId="77777777" w:rsidR="00744F9F" w:rsidRDefault="00C87FDA" w:rsidP="00EC7D22">
      <w:pPr>
        <w:pStyle w:val="INCISO"/>
        <w:numPr>
          <w:ilvl w:val="0"/>
          <w:numId w:val="13"/>
        </w:numPr>
        <w:spacing w:after="0" w:line="240" w:lineRule="auto"/>
        <w:ind w:left="0" w:firstLine="0"/>
        <w:rPr>
          <w:rFonts w:ascii="Calibri" w:hAnsi="Calibri" w:cs="Calibri"/>
          <w:sz w:val="20"/>
          <w:szCs w:val="20"/>
        </w:rPr>
      </w:pPr>
      <w:r w:rsidRPr="004F44F0">
        <w:rPr>
          <w:rFonts w:ascii="Calibri" w:hAnsi="Calibri" w:cs="Calibri"/>
          <w:sz w:val="20"/>
          <w:szCs w:val="20"/>
        </w:rPr>
        <w:t xml:space="preserve">Riesgos por tipo de cambio o tipo de interés de las Inversiones Financieras.  </w:t>
      </w:r>
    </w:p>
    <w:p w14:paraId="729EE25D" w14:textId="32A57643" w:rsidR="007745EB" w:rsidRPr="004F44F0" w:rsidRDefault="00C87FDA" w:rsidP="00EC7D22">
      <w:pPr>
        <w:pStyle w:val="INCISO"/>
        <w:spacing w:after="0" w:line="240" w:lineRule="auto"/>
        <w:ind w:left="0" w:firstLine="0"/>
        <w:rPr>
          <w:rFonts w:ascii="Calibri" w:hAnsi="Calibri" w:cs="Calibri"/>
          <w:sz w:val="20"/>
          <w:szCs w:val="20"/>
        </w:rPr>
      </w:pPr>
      <w:r w:rsidRPr="004F44F0">
        <w:rPr>
          <w:rFonts w:ascii="Calibri" w:hAnsi="Calibri" w:cs="Calibri"/>
          <w:b/>
          <w:sz w:val="20"/>
          <w:szCs w:val="20"/>
        </w:rPr>
        <w:t>No Aplica.</w:t>
      </w:r>
    </w:p>
    <w:p w14:paraId="545F08A3" w14:textId="77777777" w:rsidR="007745EB" w:rsidRPr="000C3676" w:rsidRDefault="007745EB" w:rsidP="00EC7D22">
      <w:pPr>
        <w:pStyle w:val="INCISO"/>
        <w:spacing w:after="0" w:line="240" w:lineRule="auto"/>
        <w:ind w:left="0" w:firstLine="0"/>
        <w:rPr>
          <w:rFonts w:ascii="Calibri" w:hAnsi="Calibri" w:cs="Calibri"/>
          <w:szCs w:val="20"/>
        </w:rPr>
      </w:pPr>
    </w:p>
    <w:p w14:paraId="09B8EC39" w14:textId="77777777" w:rsidR="00744F9F" w:rsidRDefault="00C87FDA" w:rsidP="00EC7D22">
      <w:pPr>
        <w:pStyle w:val="INCISO"/>
        <w:numPr>
          <w:ilvl w:val="0"/>
          <w:numId w:val="13"/>
        </w:numPr>
        <w:spacing w:after="0" w:line="240" w:lineRule="auto"/>
        <w:ind w:left="0" w:firstLine="0"/>
        <w:rPr>
          <w:rFonts w:ascii="Calibri" w:hAnsi="Calibri" w:cs="Calibri"/>
          <w:sz w:val="20"/>
          <w:szCs w:val="20"/>
        </w:rPr>
      </w:pPr>
      <w:r w:rsidRPr="004F44F0">
        <w:rPr>
          <w:rFonts w:ascii="Calibri" w:hAnsi="Calibri" w:cs="Calibri"/>
          <w:sz w:val="20"/>
          <w:szCs w:val="20"/>
        </w:rPr>
        <w:t xml:space="preserve">Valor activado en el ejercicio de los Bienes construidos por la entidad.  </w:t>
      </w:r>
    </w:p>
    <w:p w14:paraId="5CDB42FC" w14:textId="4CE86008" w:rsidR="007745EB" w:rsidRPr="004F44F0" w:rsidRDefault="00C87FDA" w:rsidP="00EC7D22">
      <w:pPr>
        <w:pStyle w:val="INCISO"/>
        <w:spacing w:after="0" w:line="240" w:lineRule="auto"/>
        <w:ind w:left="0" w:firstLine="0"/>
        <w:rPr>
          <w:rFonts w:ascii="Calibri" w:hAnsi="Calibri" w:cs="Calibri"/>
          <w:sz w:val="20"/>
          <w:szCs w:val="20"/>
        </w:rPr>
      </w:pPr>
      <w:r w:rsidRPr="004F44F0">
        <w:rPr>
          <w:rFonts w:ascii="Calibri" w:hAnsi="Calibri" w:cs="Calibri"/>
          <w:b/>
          <w:sz w:val="20"/>
          <w:szCs w:val="20"/>
        </w:rPr>
        <w:t>No Aplica.</w:t>
      </w:r>
    </w:p>
    <w:p w14:paraId="62A59B5B" w14:textId="77777777" w:rsidR="007745EB" w:rsidRPr="000C3676" w:rsidRDefault="007745EB" w:rsidP="00EC7D22">
      <w:pPr>
        <w:pStyle w:val="INCISO"/>
        <w:spacing w:after="0" w:line="240" w:lineRule="auto"/>
        <w:ind w:left="0" w:firstLine="0"/>
        <w:rPr>
          <w:rFonts w:ascii="Calibri" w:hAnsi="Calibri" w:cs="Calibri"/>
          <w:szCs w:val="20"/>
        </w:rPr>
      </w:pPr>
    </w:p>
    <w:p w14:paraId="58638C9A" w14:textId="6334172A" w:rsidR="00744F9F" w:rsidRDefault="00C87FDA" w:rsidP="00EC7D22">
      <w:pPr>
        <w:pStyle w:val="INCISO"/>
        <w:numPr>
          <w:ilvl w:val="0"/>
          <w:numId w:val="13"/>
        </w:numPr>
        <w:spacing w:after="0" w:line="240" w:lineRule="auto"/>
        <w:ind w:left="0" w:firstLine="0"/>
        <w:rPr>
          <w:rFonts w:ascii="Calibri" w:hAnsi="Calibri" w:cs="Calibri"/>
          <w:sz w:val="20"/>
          <w:szCs w:val="20"/>
        </w:rPr>
      </w:pPr>
      <w:r w:rsidRPr="004F44F0">
        <w:rPr>
          <w:rFonts w:ascii="Calibri" w:hAnsi="Calibri" w:cs="Calibri"/>
          <w:sz w:val="20"/>
          <w:szCs w:val="20"/>
        </w:rPr>
        <w:t xml:space="preserve">Otras circunstancias de carácter significativo que afecten el Activo, tales como Bienes en Garantía, señalados en embargos, </w:t>
      </w:r>
      <w:r w:rsidR="00211405">
        <w:rPr>
          <w:rFonts w:ascii="Calibri" w:hAnsi="Calibri" w:cs="Calibri"/>
          <w:sz w:val="20"/>
          <w:szCs w:val="20"/>
        </w:rPr>
        <w:t>li</w:t>
      </w:r>
      <w:r w:rsidRPr="004F44F0">
        <w:rPr>
          <w:rFonts w:ascii="Calibri" w:hAnsi="Calibri" w:cs="Calibri"/>
          <w:sz w:val="20"/>
          <w:szCs w:val="20"/>
        </w:rPr>
        <w:t xml:space="preserve">tigios, Títulos de Inversiones entregados en garantías, baja significativa del valor de Inversiones Financieras, etc. </w:t>
      </w:r>
    </w:p>
    <w:p w14:paraId="0645DBC9" w14:textId="164B0DF7" w:rsidR="007745EB" w:rsidRPr="004F44F0" w:rsidRDefault="00C87FDA" w:rsidP="00EC7D22">
      <w:pPr>
        <w:pStyle w:val="INCISO"/>
        <w:spacing w:after="0" w:line="240" w:lineRule="auto"/>
        <w:ind w:left="0" w:firstLine="0"/>
        <w:rPr>
          <w:rFonts w:ascii="Calibri" w:hAnsi="Calibri" w:cs="Calibri"/>
          <w:sz w:val="20"/>
          <w:szCs w:val="20"/>
        </w:rPr>
      </w:pPr>
      <w:r w:rsidRPr="004F44F0">
        <w:rPr>
          <w:rFonts w:ascii="Calibri" w:hAnsi="Calibri" w:cs="Calibri"/>
          <w:b/>
          <w:sz w:val="20"/>
          <w:szCs w:val="20"/>
        </w:rPr>
        <w:t>No Aplica</w:t>
      </w:r>
      <w:r w:rsidRPr="004F44F0">
        <w:rPr>
          <w:rFonts w:ascii="Calibri" w:hAnsi="Calibri" w:cs="Calibri"/>
          <w:sz w:val="20"/>
          <w:szCs w:val="20"/>
        </w:rPr>
        <w:t>.</w:t>
      </w:r>
    </w:p>
    <w:p w14:paraId="410D6CCF" w14:textId="77777777" w:rsidR="007745EB" w:rsidRPr="000C3676" w:rsidRDefault="007745EB" w:rsidP="00EC7D22">
      <w:pPr>
        <w:pStyle w:val="INCISO"/>
        <w:spacing w:after="0" w:line="240" w:lineRule="auto"/>
        <w:ind w:left="0" w:firstLine="0"/>
        <w:rPr>
          <w:rFonts w:ascii="Calibri" w:hAnsi="Calibri" w:cs="Calibri"/>
          <w:szCs w:val="20"/>
        </w:rPr>
      </w:pPr>
    </w:p>
    <w:p w14:paraId="28888C0D" w14:textId="77777777" w:rsidR="00744F9F" w:rsidRPr="00744F9F" w:rsidRDefault="00C87FDA" w:rsidP="00EC7D22">
      <w:pPr>
        <w:pStyle w:val="INCISO"/>
        <w:numPr>
          <w:ilvl w:val="0"/>
          <w:numId w:val="13"/>
        </w:numPr>
        <w:spacing w:after="0" w:line="240" w:lineRule="auto"/>
        <w:ind w:left="0" w:firstLine="0"/>
        <w:rPr>
          <w:rFonts w:ascii="Calibri" w:hAnsi="Calibri" w:cs="Calibri"/>
          <w:sz w:val="20"/>
          <w:szCs w:val="20"/>
        </w:rPr>
      </w:pPr>
      <w:r w:rsidRPr="004F44F0">
        <w:rPr>
          <w:rFonts w:ascii="Calibri" w:hAnsi="Calibri" w:cs="Calibri"/>
          <w:sz w:val="20"/>
          <w:szCs w:val="20"/>
        </w:rPr>
        <w:t>Desmantelamiento de Activos, procedimientos, implicaciones, efectos contables</w:t>
      </w:r>
      <w:r w:rsidRPr="004F44F0">
        <w:rPr>
          <w:rFonts w:ascii="Calibri" w:hAnsi="Calibri" w:cs="Calibri"/>
          <w:b/>
          <w:sz w:val="20"/>
          <w:szCs w:val="20"/>
        </w:rPr>
        <w:t xml:space="preserve">.  </w:t>
      </w:r>
    </w:p>
    <w:p w14:paraId="3B142348" w14:textId="53F33EDF" w:rsidR="007745EB" w:rsidRDefault="00C87FDA" w:rsidP="00EC7D22">
      <w:pPr>
        <w:pStyle w:val="INCISO"/>
        <w:spacing w:after="0" w:line="240" w:lineRule="auto"/>
        <w:ind w:left="0" w:firstLine="0"/>
        <w:rPr>
          <w:rFonts w:ascii="Calibri" w:hAnsi="Calibri" w:cs="Calibri"/>
          <w:sz w:val="20"/>
          <w:szCs w:val="20"/>
        </w:rPr>
      </w:pPr>
      <w:r w:rsidRPr="004F44F0">
        <w:rPr>
          <w:rFonts w:ascii="Calibri" w:hAnsi="Calibri" w:cs="Calibri"/>
          <w:b/>
          <w:sz w:val="20"/>
          <w:szCs w:val="20"/>
        </w:rPr>
        <w:t>No Aplica</w:t>
      </w:r>
      <w:r w:rsidRPr="004F44F0">
        <w:rPr>
          <w:rFonts w:ascii="Calibri" w:hAnsi="Calibri" w:cs="Calibri"/>
          <w:sz w:val="20"/>
          <w:szCs w:val="20"/>
        </w:rPr>
        <w:t>.</w:t>
      </w:r>
    </w:p>
    <w:p w14:paraId="35BFDFC2" w14:textId="77777777" w:rsidR="00036395" w:rsidRPr="000C3676" w:rsidRDefault="00036395" w:rsidP="00EC7D22">
      <w:pPr>
        <w:pStyle w:val="INCISO"/>
        <w:spacing w:after="0" w:line="240" w:lineRule="auto"/>
        <w:ind w:left="0" w:firstLine="0"/>
        <w:rPr>
          <w:rFonts w:ascii="Calibri" w:hAnsi="Calibri" w:cs="Calibri"/>
          <w:sz w:val="16"/>
          <w:szCs w:val="20"/>
        </w:rPr>
      </w:pPr>
    </w:p>
    <w:p w14:paraId="34E715D1" w14:textId="77777777" w:rsidR="00744F9F" w:rsidRDefault="00C87FDA" w:rsidP="00EC7D22">
      <w:pPr>
        <w:pStyle w:val="INCISO"/>
        <w:numPr>
          <w:ilvl w:val="0"/>
          <w:numId w:val="13"/>
        </w:numPr>
        <w:spacing w:after="0" w:line="240" w:lineRule="auto"/>
        <w:ind w:left="0" w:firstLine="0"/>
        <w:rPr>
          <w:rFonts w:ascii="Calibri" w:hAnsi="Calibri" w:cs="Calibri"/>
          <w:sz w:val="20"/>
          <w:szCs w:val="20"/>
        </w:rPr>
      </w:pPr>
      <w:r w:rsidRPr="004F44F0">
        <w:rPr>
          <w:rFonts w:ascii="Calibri" w:hAnsi="Calibri" w:cs="Calibri"/>
          <w:sz w:val="20"/>
          <w:szCs w:val="20"/>
        </w:rPr>
        <w:t xml:space="preserve">Administración de Activos; planeación con el objetivo de que el ente los utilice de manera más efectiva.    </w:t>
      </w:r>
    </w:p>
    <w:p w14:paraId="514BA9B3" w14:textId="1971917D" w:rsidR="007745EB" w:rsidRPr="004F44F0" w:rsidRDefault="00C87FDA" w:rsidP="00EC7D22">
      <w:pPr>
        <w:pStyle w:val="INCISO"/>
        <w:spacing w:after="0" w:line="240" w:lineRule="auto"/>
        <w:ind w:left="0" w:firstLine="0"/>
        <w:rPr>
          <w:rFonts w:ascii="Calibri" w:hAnsi="Calibri" w:cs="Calibri"/>
          <w:sz w:val="20"/>
          <w:szCs w:val="20"/>
        </w:rPr>
      </w:pPr>
      <w:r w:rsidRPr="004F44F0">
        <w:rPr>
          <w:rFonts w:ascii="Calibri" w:hAnsi="Calibri" w:cs="Calibri"/>
          <w:b/>
          <w:sz w:val="20"/>
          <w:szCs w:val="20"/>
        </w:rPr>
        <w:t>No Aplica</w:t>
      </w:r>
    </w:p>
    <w:p w14:paraId="5EBA0919" w14:textId="77777777" w:rsidR="007745EB" w:rsidRPr="000C3676" w:rsidRDefault="007745EB" w:rsidP="00EC7D22">
      <w:pPr>
        <w:pStyle w:val="Prrafodelista"/>
        <w:spacing w:after="0" w:line="240" w:lineRule="auto"/>
        <w:ind w:left="0"/>
        <w:rPr>
          <w:rFonts w:cs="Calibri"/>
          <w:sz w:val="16"/>
          <w:szCs w:val="20"/>
        </w:rPr>
      </w:pPr>
    </w:p>
    <w:p w14:paraId="599114F8" w14:textId="3AC4C118" w:rsidR="007745EB" w:rsidRDefault="00C87FDA" w:rsidP="00EC7D22">
      <w:pPr>
        <w:pStyle w:val="Texto"/>
        <w:spacing w:after="0" w:line="240" w:lineRule="auto"/>
        <w:ind w:firstLine="0"/>
        <w:rPr>
          <w:rFonts w:ascii="Calibri" w:hAnsi="Calibri" w:cs="Calibri"/>
          <w:b/>
          <w:sz w:val="20"/>
          <w:szCs w:val="18"/>
        </w:rPr>
      </w:pPr>
      <w:r>
        <w:rPr>
          <w:rFonts w:ascii="Calibri" w:hAnsi="Calibri" w:cs="Calibri"/>
          <w:b/>
          <w:sz w:val="20"/>
          <w:szCs w:val="18"/>
        </w:rPr>
        <w:t>Principales variaciones en el Activo.</w:t>
      </w:r>
    </w:p>
    <w:p w14:paraId="2DDE5D37" w14:textId="77777777" w:rsidR="007745EB" w:rsidRDefault="007745EB" w:rsidP="00EC7D22">
      <w:pPr>
        <w:pStyle w:val="Texto"/>
        <w:spacing w:after="0" w:line="240" w:lineRule="auto"/>
        <w:ind w:firstLine="0"/>
        <w:rPr>
          <w:rFonts w:ascii="Calibri" w:hAnsi="Calibri" w:cs="Calibri"/>
          <w:szCs w:val="18"/>
        </w:rPr>
      </w:pPr>
    </w:p>
    <w:p w14:paraId="57F587F6" w14:textId="77777777" w:rsidR="00744F9F" w:rsidRDefault="00C87FDA" w:rsidP="00EC7D22">
      <w:pPr>
        <w:pStyle w:val="Texto"/>
        <w:numPr>
          <w:ilvl w:val="0"/>
          <w:numId w:val="3"/>
        </w:numPr>
        <w:spacing w:after="0" w:line="240" w:lineRule="auto"/>
        <w:ind w:left="0" w:firstLine="0"/>
        <w:rPr>
          <w:rFonts w:ascii="Calibri" w:hAnsi="Calibri" w:cs="Calibri"/>
          <w:sz w:val="20"/>
        </w:rPr>
      </w:pPr>
      <w:r w:rsidRPr="004F44F0">
        <w:rPr>
          <w:rFonts w:ascii="Calibri" w:hAnsi="Calibri" w:cs="Calibri"/>
          <w:sz w:val="20"/>
        </w:rPr>
        <w:t xml:space="preserve">Inversiones en valores. </w:t>
      </w:r>
    </w:p>
    <w:p w14:paraId="46AAC8C4" w14:textId="203CCF9D" w:rsidR="007745EB" w:rsidRPr="004F44F0" w:rsidRDefault="00C87FDA" w:rsidP="00EC7D22">
      <w:pPr>
        <w:pStyle w:val="Texto"/>
        <w:spacing w:after="0" w:line="240" w:lineRule="auto"/>
        <w:ind w:firstLine="0"/>
        <w:rPr>
          <w:rFonts w:ascii="Calibri" w:hAnsi="Calibri" w:cs="Calibri"/>
          <w:sz w:val="20"/>
        </w:rPr>
      </w:pPr>
      <w:r w:rsidRPr="004F44F0">
        <w:rPr>
          <w:rFonts w:ascii="Calibri" w:hAnsi="Calibri" w:cs="Calibri"/>
          <w:b/>
          <w:sz w:val="20"/>
        </w:rPr>
        <w:t>No Aplica</w:t>
      </w:r>
    </w:p>
    <w:p w14:paraId="20E4F37A" w14:textId="77777777" w:rsidR="007745EB" w:rsidRPr="000C3676" w:rsidRDefault="007745EB" w:rsidP="00EC7D22">
      <w:pPr>
        <w:pStyle w:val="Texto"/>
        <w:spacing w:after="0" w:line="240" w:lineRule="auto"/>
        <w:ind w:firstLine="0"/>
        <w:rPr>
          <w:rFonts w:ascii="Calibri" w:hAnsi="Calibri" w:cs="Calibri"/>
          <w:sz w:val="16"/>
        </w:rPr>
      </w:pPr>
    </w:p>
    <w:p w14:paraId="6FBEFEB3" w14:textId="77777777" w:rsidR="00211405" w:rsidRDefault="00C87FDA" w:rsidP="00EC7D22">
      <w:pPr>
        <w:pStyle w:val="Texto"/>
        <w:numPr>
          <w:ilvl w:val="0"/>
          <w:numId w:val="3"/>
        </w:numPr>
        <w:spacing w:after="0" w:line="240" w:lineRule="auto"/>
        <w:ind w:left="0" w:firstLine="0"/>
        <w:rPr>
          <w:rFonts w:ascii="Calibri" w:hAnsi="Calibri" w:cs="Calibri"/>
          <w:sz w:val="20"/>
        </w:rPr>
      </w:pPr>
      <w:r w:rsidRPr="004F44F0">
        <w:rPr>
          <w:rFonts w:ascii="Calibri" w:hAnsi="Calibri" w:cs="Calibri"/>
          <w:sz w:val="20"/>
        </w:rPr>
        <w:t xml:space="preserve">Patrimonio de organismos descentralizados. </w:t>
      </w:r>
    </w:p>
    <w:p w14:paraId="0A5D54DB" w14:textId="3B84C67A" w:rsidR="007745EB" w:rsidRPr="004F44F0" w:rsidRDefault="00C87FDA" w:rsidP="00EC7D22">
      <w:pPr>
        <w:pStyle w:val="Texto"/>
        <w:spacing w:after="0" w:line="240" w:lineRule="auto"/>
        <w:ind w:firstLine="0"/>
        <w:rPr>
          <w:rFonts w:ascii="Calibri" w:hAnsi="Calibri" w:cs="Calibri"/>
          <w:sz w:val="20"/>
        </w:rPr>
      </w:pPr>
      <w:r w:rsidRPr="004F44F0">
        <w:rPr>
          <w:rFonts w:ascii="Calibri" w:hAnsi="Calibri" w:cs="Calibri"/>
          <w:sz w:val="20"/>
        </w:rPr>
        <w:t>La información detallada del patrimonio se encuentra desglosada en cada uno de los estados financieros de los organismos descentralizados.</w:t>
      </w:r>
    </w:p>
    <w:p w14:paraId="398D1E9D" w14:textId="77777777" w:rsidR="007745EB" w:rsidRPr="000A16E7" w:rsidRDefault="007745EB" w:rsidP="00EC7D22">
      <w:pPr>
        <w:pStyle w:val="Texto"/>
        <w:spacing w:after="0" w:line="240" w:lineRule="auto"/>
        <w:ind w:firstLine="0"/>
        <w:rPr>
          <w:rFonts w:ascii="Calibri" w:hAnsi="Calibri" w:cs="Calibri"/>
          <w:sz w:val="16"/>
        </w:rPr>
      </w:pPr>
    </w:p>
    <w:p w14:paraId="75DC4AB1" w14:textId="77777777" w:rsidR="007745EB" w:rsidRPr="004F44F0" w:rsidRDefault="00C87FDA" w:rsidP="00EC7D22">
      <w:pPr>
        <w:pStyle w:val="Texto"/>
        <w:numPr>
          <w:ilvl w:val="0"/>
          <w:numId w:val="3"/>
        </w:numPr>
        <w:spacing w:after="0" w:line="240" w:lineRule="auto"/>
        <w:ind w:left="0" w:firstLine="0"/>
        <w:rPr>
          <w:rFonts w:ascii="Calibri" w:hAnsi="Calibri" w:cs="Calibri"/>
          <w:sz w:val="20"/>
        </w:rPr>
      </w:pPr>
      <w:r w:rsidRPr="004F44F0">
        <w:rPr>
          <w:rFonts w:ascii="Calibri" w:hAnsi="Calibri" w:cs="Calibri"/>
          <w:sz w:val="20"/>
        </w:rPr>
        <w:t xml:space="preserve">Inversiones en empresas de participación mayoritaria. </w:t>
      </w:r>
    </w:p>
    <w:p w14:paraId="1F2A6A74" w14:textId="7EFF14D3" w:rsidR="007745EB" w:rsidRDefault="00C87FDA" w:rsidP="00EC7D22">
      <w:pPr>
        <w:pStyle w:val="Prrafodelista"/>
        <w:spacing w:after="0" w:line="240" w:lineRule="auto"/>
        <w:ind w:left="0"/>
        <w:rPr>
          <w:rFonts w:cs="Calibri"/>
          <w:sz w:val="20"/>
          <w:szCs w:val="20"/>
        </w:rPr>
      </w:pPr>
      <w:r w:rsidRPr="004F44F0">
        <w:rPr>
          <w:rFonts w:cs="Calibri"/>
          <w:sz w:val="20"/>
          <w:szCs w:val="20"/>
        </w:rPr>
        <w:t>Se encuentran en los puntos 6 y 7 de las Notas de Desglose.</w:t>
      </w:r>
    </w:p>
    <w:p w14:paraId="1ACECCE7" w14:textId="77777777" w:rsidR="000A16E7" w:rsidRPr="000C3676" w:rsidRDefault="000A16E7" w:rsidP="00EC7D22">
      <w:pPr>
        <w:pStyle w:val="Prrafodelista"/>
        <w:spacing w:after="0" w:line="240" w:lineRule="auto"/>
        <w:ind w:left="0"/>
        <w:rPr>
          <w:rFonts w:cs="Calibri"/>
          <w:sz w:val="16"/>
          <w:szCs w:val="20"/>
        </w:rPr>
      </w:pPr>
    </w:p>
    <w:p w14:paraId="6A364322" w14:textId="77777777" w:rsidR="00744F9F" w:rsidRDefault="00C87FDA" w:rsidP="00EC7D22">
      <w:pPr>
        <w:pStyle w:val="Texto"/>
        <w:numPr>
          <w:ilvl w:val="0"/>
          <w:numId w:val="3"/>
        </w:numPr>
        <w:spacing w:after="0" w:line="240" w:lineRule="auto"/>
        <w:ind w:left="0" w:firstLine="0"/>
        <w:rPr>
          <w:rFonts w:ascii="Calibri" w:hAnsi="Calibri" w:cs="Calibri"/>
          <w:sz w:val="20"/>
        </w:rPr>
      </w:pPr>
      <w:r w:rsidRPr="004F44F0">
        <w:rPr>
          <w:rFonts w:ascii="Calibri" w:hAnsi="Calibri" w:cs="Calibri"/>
          <w:sz w:val="20"/>
        </w:rPr>
        <w:t xml:space="preserve">Inversiones en empresas de participación minoritaria. </w:t>
      </w:r>
    </w:p>
    <w:p w14:paraId="3942AB40" w14:textId="016DBE9D" w:rsidR="007745EB" w:rsidRPr="004F44F0" w:rsidRDefault="00C87FDA" w:rsidP="00EC7D22">
      <w:pPr>
        <w:pStyle w:val="Texto"/>
        <w:spacing w:after="0" w:line="240" w:lineRule="auto"/>
        <w:ind w:firstLine="0"/>
        <w:rPr>
          <w:rFonts w:ascii="Calibri" w:hAnsi="Calibri" w:cs="Calibri"/>
          <w:sz w:val="20"/>
        </w:rPr>
      </w:pPr>
      <w:r w:rsidRPr="004F44F0">
        <w:rPr>
          <w:rFonts w:ascii="Calibri" w:hAnsi="Calibri" w:cs="Calibri"/>
          <w:b/>
          <w:sz w:val="20"/>
        </w:rPr>
        <w:t xml:space="preserve">No Aplica </w:t>
      </w:r>
    </w:p>
    <w:p w14:paraId="4DB07830" w14:textId="77777777" w:rsidR="007745EB" w:rsidRPr="000C3676" w:rsidRDefault="007745EB" w:rsidP="00EC7D22">
      <w:pPr>
        <w:pStyle w:val="INCISO"/>
        <w:spacing w:after="0" w:line="240" w:lineRule="auto"/>
        <w:ind w:left="0" w:firstLine="0"/>
        <w:rPr>
          <w:rFonts w:ascii="Calibri" w:hAnsi="Calibri" w:cs="Calibri"/>
          <w:sz w:val="16"/>
          <w:szCs w:val="20"/>
        </w:rPr>
      </w:pPr>
    </w:p>
    <w:p w14:paraId="0C6B705F" w14:textId="77777777" w:rsidR="00744F9F" w:rsidRDefault="00C87FDA" w:rsidP="00EC7D22">
      <w:pPr>
        <w:pStyle w:val="INCISO"/>
        <w:numPr>
          <w:ilvl w:val="0"/>
          <w:numId w:val="3"/>
        </w:numPr>
        <w:spacing w:after="0" w:line="240" w:lineRule="auto"/>
        <w:ind w:left="0" w:firstLine="0"/>
        <w:rPr>
          <w:rFonts w:ascii="Calibri" w:hAnsi="Calibri" w:cs="Calibri"/>
          <w:sz w:val="20"/>
          <w:szCs w:val="20"/>
        </w:rPr>
      </w:pPr>
      <w:r w:rsidRPr="004F44F0">
        <w:rPr>
          <w:rFonts w:ascii="Calibri" w:hAnsi="Calibri" w:cs="Calibri"/>
          <w:sz w:val="20"/>
          <w:szCs w:val="20"/>
        </w:rPr>
        <w:t xml:space="preserve">Patrimonio de organismos descentralizados de control presupuestario directo, según corresponda. </w:t>
      </w:r>
    </w:p>
    <w:p w14:paraId="05FF9D49" w14:textId="3EBA4EBD" w:rsidR="007745EB" w:rsidRDefault="00C87FDA" w:rsidP="00EC7D22">
      <w:pPr>
        <w:pStyle w:val="INCISO"/>
        <w:spacing w:after="0" w:line="240" w:lineRule="exact"/>
        <w:ind w:left="0" w:firstLine="0"/>
        <w:rPr>
          <w:rFonts w:ascii="Calibri" w:hAnsi="Calibri" w:cs="Calibri"/>
          <w:b/>
          <w:sz w:val="20"/>
          <w:szCs w:val="20"/>
        </w:rPr>
      </w:pPr>
      <w:r w:rsidRPr="004F44F0">
        <w:rPr>
          <w:rFonts w:ascii="Calibri" w:hAnsi="Calibri" w:cs="Calibri"/>
          <w:b/>
          <w:sz w:val="20"/>
          <w:szCs w:val="20"/>
        </w:rPr>
        <w:t>No Aplica</w:t>
      </w:r>
    </w:p>
    <w:p w14:paraId="09788A00" w14:textId="77777777" w:rsidR="000C429E" w:rsidRDefault="000C429E" w:rsidP="00EC7D22">
      <w:pPr>
        <w:pStyle w:val="INCISO"/>
        <w:spacing w:after="0" w:line="240" w:lineRule="exact"/>
        <w:ind w:left="0" w:firstLine="0"/>
        <w:rPr>
          <w:rFonts w:ascii="Calibri" w:hAnsi="Calibri" w:cs="Calibri"/>
          <w:b/>
          <w:sz w:val="20"/>
          <w:szCs w:val="20"/>
        </w:rPr>
      </w:pPr>
    </w:p>
    <w:p w14:paraId="02D6DF26" w14:textId="2F3CF958" w:rsidR="007745EB" w:rsidRPr="000C429E" w:rsidRDefault="00F26249" w:rsidP="00EC7D22">
      <w:pPr>
        <w:spacing w:after="0" w:line="240" w:lineRule="exact"/>
        <w:jc w:val="both"/>
        <w:rPr>
          <w:rFonts w:eastAsia="Times New Roman" w:cs="Calibri"/>
          <w:b/>
          <w:sz w:val="20"/>
          <w:szCs w:val="20"/>
          <w:lang w:eastAsia="es-ES"/>
        </w:rPr>
      </w:pPr>
      <w:bookmarkStart w:id="2" w:name="_Hlk192068858"/>
      <w:r>
        <w:rPr>
          <w:rFonts w:eastAsia="Times New Roman" w:cs="Calibri"/>
          <w:b/>
          <w:sz w:val="20"/>
          <w:szCs w:val="20"/>
          <w:lang w:eastAsia="es-ES"/>
        </w:rPr>
        <w:lastRenderedPageBreak/>
        <w:t>8</w:t>
      </w:r>
      <w:r w:rsidR="00892B54">
        <w:rPr>
          <w:rFonts w:eastAsia="Times New Roman" w:cs="Calibri"/>
          <w:b/>
          <w:sz w:val="20"/>
          <w:szCs w:val="20"/>
          <w:lang w:eastAsia="es-ES"/>
        </w:rPr>
        <w:t xml:space="preserve">.  </w:t>
      </w:r>
      <w:r w:rsidR="0014127D">
        <w:rPr>
          <w:rFonts w:eastAsia="Times New Roman" w:cs="Calibri"/>
          <w:b/>
          <w:sz w:val="20"/>
          <w:szCs w:val="20"/>
          <w:lang w:eastAsia="es-ES"/>
        </w:rPr>
        <w:t xml:space="preserve">  </w:t>
      </w:r>
      <w:r w:rsidR="00C87FDA" w:rsidRPr="00892B54">
        <w:rPr>
          <w:rFonts w:eastAsia="Times New Roman" w:cs="Calibri"/>
          <w:b/>
          <w:sz w:val="20"/>
          <w:szCs w:val="20"/>
          <w:lang w:eastAsia="es-ES"/>
        </w:rPr>
        <w:t>Fideicomisos, Mandatos y Análogos</w:t>
      </w:r>
    </w:p>
    <w:p w14:paraId="083B5939" w14:textId="77777777" w:rsidR="007745EB" w:rsidRPr="00036395" w:rsidRDefault="00C87FDA" w:rsidP="00EC7D22">
      <w:pPr>
        <w:pStyle w:val="Prrafodelista"/>
        <w:numPr>
          <w:ilvl w:val="0"/>
          <w:numId w:val="8"/>
        </w:numPr>
        <w:spacing w:after="0" w:line="240" w:lineRule="exact"/>
        <w:ind w:left="0" w:firstLine="0"/>
        <w:jc w:val="both"/>
        <w:rPr>
          <w:rFonts w:eastAsia="Times New Roman" w:cs="Calibri"/>
          <w:sz w:val="20"/>
          <w:szCs w:val="20"/>
          <w:lang w:val="es-ES" w:eastAsia="es-ES"/>
        </w:rPr>
      </w:pPr>
      <w:bookmarkStart w:id="3" w:name="_Hlk179188733"/>
      <w:r w:rsidRPr="00036395">
        <w:rPr>
          <w:rFonts w:eastAsia="Times New Roman" w:cs="Calibri"/>
          <w:sz w:val="20"/>
          <w:szCs w:val="20"/>
          <w:lang w:val="es-ES" w:eastAsia="es-ES"/>
        </w:rPr>
        <w:t>Ramo a Unidad Administrativa que los reporta.</w:t>
      </w:r>
    </w:p>
    <w:p w14:paraId="67DA9DD3" w14:textId="77777777" w:rsidR="007745EB" w:rsidRPr="00036395" w:rsidRDefault="007745EB" w:rsidP="00EC7D22">
      <w:pPr>
        <w:spacing w:after="0" w:line="240" w:lineRule="exact"/>
        <w:jc w:val="both"/>
        <w:rPr>
          <w:rFonts w:eastAsia="Times New Roman" w:cs="Calibri"/>
          <w:sz w:val="20"/>
          <w:szCs w:val="20"/>
          <w:lang w:eastAsia="es-ES"/>
        </w:rPr>
      </w:pPr>
    </w:p>
    <w:p w14:paraId="48E58860" w14:textId="77777777" w:rsidR="007745EB" w:rsidRPr="004F44F0" w:rsidRDefault="00C87FDA" w:rsidP="00EC7D22">
      <w:pPr>
        <w:pStyle w:val="Prrafodelista"/>
        <w:ind w:left="0"/>
        <w:jc w:val="both"/>
        <w:rPr>
          <w:rFonts w:cs="Calibri"/>
          <w:b/>
          <w:sz w:val="20"/>
          <w:szCs w:val="20"/>
          <w:u w:val="single"/>
          <w:lang w:eastAsia="es-ES"/>
        </w:rPr>
      </w:pPr>
      <w:r w:rsidRPr="004F44F0">
        <w:rPr>
          <w:rFonts w:cs="Calibri"/>
          <w:b/>
          <w:sz w:val="20"/>
          <w:szCs w:val="20"/>
          <w:u w:val="single"/>
        </w:rPr>
        <w:t>SECRETARÍA DE DESARROLLO URBANO Y MEDIO AMBIENTE</w:t>
      </w:r>
    </w:p>
    <w:p w14:paraId="28ADA88A" w14:textId="77777777" w:rsidR="007745EB" w:rsidRPr="004F44F0" w:rsidRDefault="00C87FDA" w:rsidP="00EC7D22">
      <w:pPr>
        <w:pStyle w:val="Prrafodelista"/>
        <w:numPr>
          <w:ilvl w:val="0"/>
          <w:numId w:val="27"/>
        </w:numPr>
        <w:spacing w:after="0" w:line="240" w:lineRule="auto"/>
        <w:ind w:left="0" w:firstLine="0"/>
        <w:jc w:val="both"/>
        <w:rPr>
          <w:rFonts w:cs="Calibri"/>
          <w:sz w:val="20"/>
          <w:szCs w:val="20"/>
        </w:rPr>
      </w:pPr>
      <w:r w:rsidRPr="004F44F0">
        <w:rPr>
          <w:rFonts w:cs="Calibri"/>
          <w:sz w:val="20"/>
          <w:szCs w:val="20"/>
        </w:rPr>
        <w:t>Fideicomiso del Centro Histórico de Matamoros (</w:t>
      </w:r>
      <w:proofErr w:type="spellStart"/>
      <w:r w:rsidRPr="004F44F0">
        <w:rPr>
          <w:rFonts w:cs="Calibri"/>
          <w:sz w:val="20"/>
          <w:szCs w:val="20"/>
        </w:rPr>
        <w:t>Ficemat</w:t>
      </w:r>
      <w:proofErr w:type="spellEnd"/>
      <w:r w:rsidRPr="004F44F0">
        <w:rPr>
          <w:rFonts w:cs="Calibri"/>
          <w:sz w:val="20"/>
          <w:szCs w:val="20"/>
        </w:rPr>
        <w:t xml:space="preserve">) </w:t>
      </w:r>
      <w:r w:rsidRPr="004F44F0">
        <w:rPr>
          <w:rFonts w:cs="Calibri"/>
          <w:b/>
          <w:sz w:val="20"/>
          <w:szCs w:val="20"/>
        </w:rPr>
        <w:t xml:space="preserve">* </w:t>
      </w:r>
    </w:p>
    <w:p w14:paraId="29276B8F" w14:textId="77777777" w:rsidR="007745EB" w:rsidRPr="004F44F0" w:rsidRDefault="00C87FDA" w:rsidP="00EC7D22">
      <w:pPr>
        <w:pStyle w:val="Prrafodelista"/>
        <w:numPr>
          <w:ilvl w:val="0"/>
          <w:numId w:val="28"/>
        </w:numPr>
        <w:spacing w:after="0" w:line="240" w:lineRule="auto"/>
        <w:ind w:left="0" w:firstLine="0"/>
        <w:jc w:val="both"/>
        <w:rPr>
          <w:rFonts w:cs="Calibri"/>
          <w:sz w:val="20"/>
          <w:szCs w:val="20"/>
        </w:rPr>
      </w:pPr>
      <w:r w:rsidRPr="004F44F0">
        <w:rPr>
          <w:rFonts w:cs="Calibri"/>
          <w:sz w:val="20"/>
          <w:szCs w:val="20"/>
        </w:rPr>
        <w:t>Fideicomiso del Centro Urbano Turístico de Ciudad Madero (</w:t>
      </w:r>
      <w:proofErr w:type="spellStart"/>
      <w:r w:rsidRPr="004F44F0">
        <w:rPr>
          <w:rFonts w:cs="Calibri"/>
          <w:sz w:val="20"/>
          <w:szCs w:val="20"/>
        </w:rPr>
        <w:t>Ficutmad</w:t>
      </w:r>
      <w:proofErr w:type="spellEnd"/>
      <w:r w:rsidRPr="004F44F0">
        <w:rPr>
          <w:rFonts w:cs="Calibri"/>
          <w:sz w:val="20"/>
          <w:szCs w:val="20"/>
        </w:rPr>
        <w:t xml:space="preserve">) </w:t>
      </w:r>
      <w:r w:rsidRPr="004F44F0">
        <w:rPr>
          <w:rFonts w:cs="Calibri"/>
          <w:b/>
          <w:sz w:val="20"/>
          <w:szCs w:val="20"/>
        </w:rPr>
        <w:t xml:space="preserve">* </w:t>
      </w:r>
    </w:p>
    <w:p w14:paraId="685613FB" w14:textId="77777777" w:rsidR="007745EB" w:rsidRPr="004F44F0" w:rsidRDefault="00C87FDA" w:rsidP="00EC7D22">
      <w:pPr>
        <w:pStyle w:val="Prrafodelista"/>
        <w:numPr>
          <w:ilvl w:val="0"/>
          <w:numId w:val="29"/>
        </w:numPr>
        <w:spacing w:after="0" w:line="240" w:lineRule="auto"/>
        <w:ind w:left="0" w:firstLine="0"/>
        <w:jc w:val="both"/>
        <w:rPr>
          <w:rFonts w:cs="Calibri"/>
          <w:sz w:val="20"/>
          <w:szCs w:val="20"/>
        </w:rPr>
      </w:pPr>
      <w:r w:rsidRPr="004F44F0">
        <w:rPr>
          <w:rFonts w:cs="Calibri"/>
          <w:sz w:val="20"/>
          <w:szCs w:val="20"/>
        </w:rPr>
        <w:t xml:space="preserve">Fideicomiso Fondo para el Cambio Climático del Estado de Tamaulipas </w:t>
      </w:r>
    </w:p>
    <w:p w14:paraId="77EB4720" w14:textId="77777777" w:rsidR="00A558FC" w:rsidRDefault="00A558FC" w:rsidP="00EC7D22">
      <w:pPr>
        <w:pStyle w:val="Prrafodelista"/>
        <w:ind w:left="0"/>
        <w:jc w:val="both"/>
        <w:rPr>
          <w:rFonts w:cs="Calibri"/>
          <w:b/>
          <w:sz w:val="20"/>
          <w:szCs w:val="20"/>
          <w:u w:val="single"/>
        </w:rPr>
      </w:pPr>
    </w:p>
    <w:p w14:paraId="1FC850EC" w14:textId="113ABD4A" w:rsidR="007745EB" w:rsidRPr="004F44F0" w:rsidRDefault="00C87FDA" w:rsidP="00EC7D22">
      <w:pPr>
        <w:pStyle w:val="Prrafodelista"/>
        <w:ind w:left="0"/>
        <w:jc w:val="both"/>
        <w:rPr>
          <w:rFonts w:cs="Calibri"/>
          <w:b/>
          <w:sz w:val="20"/>
          <w:szCs w:val="20"/>
          <w:u w:val="single"/>
        </w:rPr>
      </w:pPr>
      <w:r w:rsidRPr="004F44F0">
        <w:rPr>
          <w:rFonts w:cs="Calibri"/>
          <w:b/>
          <w:sz w:val="20"/>
          <w:szCs w:val="20"/>
          <w:u w:val="single"/>
        </w:rPr>
        <w:t>SECRETARÍA DE DESARROLLO ECONÓMICO</w:t>
      </w:r>
    </w:p>
    <w:p w14:paraId="62D52AA6" w14:textId="77777777" w:rsidR="007745EB" w:rsidRPr="004F44F0" w:rsidRDefault="00C87FDA" w:rsidP="00EC7D22">
      <w:pPr>
        <w:pStyle w:val="Prrafodelista"/>
        <w:numPr>
          <w:ilvl w:val="0"/>
          <w:numId w:val="30"/>
        </w:numPr>
        <w:spacing w:after="0" w:line="240" w:lineRule="auto"/>
        <w:ind w:left="0" w:firstLine="0"/>
        <w:jc w:val="both"/>
        <w:rPr>
          <w:rFonts w:cs="Calibri"/>
          <w:sz w:val="20"/>
          <w:szCs w:val="20"/>
        </w:rPr>
      </w:pPr>
      <w:r w:rsidRPr="004F44F0">
        <w:rPr>
          <w:rFonts w:cs="Calibri"/>
          <w:sz w:val="20"/>
          <w:szCs w:val="20"/>
        </w:rPr>
        <w:t>Fideicomiso Fondo de Garantía y Fomento a la Microindustria del Estado de Tamaulipas (</w:t>
      </w:r>
      <w:proofErr w:type="spellStart"/>
      <w:r w:rsidRPr="004F44F0">
        <w:rPr>
          <w:rFonts w:cs="Calibri"/>
          <w:sz w:val="20"/>
          <w:szCs w:val="20"/>
        </w:rPr>
        <w:t>Fomicro</w:t>
      </w:r>
      <w:proofErr w:type="spellEnd"/>
      <w:r w:rsidRPr="004F44F0">
        <w:rPr>
          <w:rFonts w:cs="Calibri"/>
          <w:sz w:val="20"/>
          <w:szCs w:val="20"/>
        </w:rPr>
        <w:t>)</w:t>
      </w:r>
    </w:p>
    <w:p w14:paraId="26D215FF" w14:textId="77777777" w:rsidR="007745EB" w:rsidRPr="004F44F0" w:rsidRDefault="00C87FDA" w:rsidP="00EC7D22">
      <w:pPr>
        <w:pStyle w:val="Prrafodelista"/>
        <w:numPr>
          <w:ilvl w:val="0"/>
          <w:numId w:val="31"/>
        </w:numPr>
        <w:spacing w:after="0" w:line="240" w:lineRule="auto"/>
        <w:ind w:left="0" w:firstLine="0"/>
        <w:jc w:val="both"/>
        <w:rPr>
          <w:rFonts w:cs="Calibri"/>
          <w:sz w:val="20"/>
          <w:szCs w:val="20"/>
        </w:rPr>
      </w:pPr>
      <w:r w:rsidRPr="004F44F0">
        <w:rPr>
          <w:rFonts w:cs="Calibri"/>
          <w:sz w:val="20"/>
          <w:szCs w:val="20"/>
        </w:rPr>
        <w:t>Fideicomiso Nuevo Santander</w:t>
      </w:r>
    </w:p>
    <w:p w14:paraId="64A29C7E" w14:textId="77777777" w:rsidR="007745EB" w:rsidRPr="004F44F0" w:rsidRDefault="00C87FDA" w:rsidP="00EC7D22">
      <w:pPr>
        <w:pStyle w:val="Prrafodelista"/>
        <w:numPr>
          <w:ilvl w:val="0"/>
          <w:numId w:val="32"/>
        </w:numPr>
        <w:spacing w:after="0" w:line="240" w:lineRule="auto"/>
        <w:ind w:left="0" w:firstLine="0"/>
        <w:jc w:val="both"/>
        <w:rPr>
          <w:rFonts w:cs="Calibri"/>
          <w:sz w:val="20"/>
          <w:szCs w:val="20"/>
        </w:rPr>
      </w:pPr>
      <w:r w:rsidRPr="004F44F0">
        <w:rPr>
          <w:rFonts w:cs="Calibri"/>
          <w:sz w:val="20"/>
          <w:szCs w:val="20"/>
        </w:rPr>
        <w:t xml:space="preserve">Fideicomiso para el Desarrollo Urbano Lucio Blanco </w:t>
      </w:r>
      <w:r w:rsidRPr="004F44F0">
        <w:rPr>
          <w:rFonts w:cs="Calibri"/>
          <w:b/>
          <w:sz w:val="20"/>
          <w:szCs w:val="20"/>
        </w:rPr>
        <w:t>*</w:t>
      </w:r>
    </w:p>
    <w:p w14:paraId="4D5A8B34" w14:textId="77777777" w:rsidR="007745EB" w:rsidRPr="004F44F0" w:rsidRDefault="00C87FDA" w:rsidP="00EC7D22">
      <w:pPr>
        <w:pStyle w:val="Prrafodelista"/>
        <w:numPr>
          <w:ilvl w:val="0"/>
          <w:numId w:val="33"/>
        </w:numPr>
        <w:spacing w:after="0" w:line="240" w:lineRule="auto"/>
        <w:ind w:left="0" w:firstLine="0"/>
        <w:jc w:val="both"/>
        <w:rPr>
          <w:rFonts w:cs="Calibri"/>
          <w:sz w:val="20"/>
          <w:szCs w:val="20"/>
        </w:rPr>
      </w:pPr>
      <w:r w:rsidRPr="004F44F0">
        <w:rPr>
          <w:rFonts w:cs="Calibri"/>
          <w:sz w:val="20"/>
          <w:szCs w:val="20"/>
        </w:rPr>
        <w:t xml:space="preserve">Fideicomiso para el Desarrollo Comercial Ignacio Zaragoza </w:t>
      </w:r>
      <w:r w:rsidRPr="004F44F0">
        <w:rPr>
          <w:rFonts w:cs="Calibri"/>
          <w:b/>
          <w:sz w:val="20"/>
          <w:szCs w:val="20"/>
        </w:rPr>
        <w:t>*</w:t>
      </w:r>
    </w:p>
    <w:p w14:paraId="2C0D31C3" w14:textId="77777777" w:rsidR="0023369C" w:rsidRDefault="0023369C" w:rsidP="00EC7D22">
      <w:pPr>
        <w:pStyle w:val="Prrafodelista"/>
        <w:ind w:left="0"/>
        <w:jc w:val="both"/>
        <w:rPr>
          <w:rFonts w:cs="Calibri"/>
          <w:b/>
          <w:sz w:val="20"/>
          <w:szCs w:val="20"/>
          <w:u w:val="single"/>
        </w:rPr>
      </w:pPr>
    </w:p>
    <w:p w14:paraId="4C184A35" w14:textId="484F7A21" w:rsidR="007745EB" w:rsidRPr="004F44F0" w:rsidRDefault="00C87FDA" w:rsidP="00EC7D22">
      <w:pPr>
        <w:pStyle w:val="Prrafodelista"/>
        <w:ind w:left="0"/>
        <w:jc w:val="both"/>
        <w:rPr>
          <w:rFonts w:cs="Calibri"/>
          <w:b/>
          <w:sz w:val="20"/>
          <w:szCs w:val="20"/>
          <w:u w:val="single"/>
          <w:lang w:val="es-ES"/>
        </w:rPr>
      </w:pPr>
      <w:r w:rsidRPr="004F44F0">
        <w:rPr>
          <w:rFonts w:cs="Calibri"/>
          <w:b/>
          <w:sz w:val="20"/>
          <w:szCs w:val="20"/>
          <w:u w:val="single"/>
        </w:rPr>
        <w:t>SECRETARÍA DE DESARROLLO RURAL, PESCA Y ACUACULTURA</w:t>
      </w:r>
    </w:p>
    <w:p w14:paraId="5AE3B9FB" w14:textId="77777777" w:rsidR="007745EB" w:rsidRPr="004F44F0" w:rsidRDefault="00C87FDA" w:rsidP="00EC7D22">
      <w:pPr>
        <w:pStyle w:val="Prrafodelista"/>
        <w:numPr>
          <w:ilvl w:val="0"/>
          <w:numId w:val="34"/>
        </w:numPr>
        <w:spacing w:after="0" w:line="240" w:lineRule="auto"/>
        <w:ind w:left="0" w:firstLine="0"/>
        <w:jc w:val="both"/>
        <w:rPr>
          <w:rFonts w:cs="Calibri"/>
          <w:sz w:val="20"/>
          <w:szCs w:val="20"/>
        </w:rPr>
      </w:pPr>
      <w:r w:rsidRPr="004F44F0">
        <w:rPr>
          <w:rFonts w:cs="Calibri"/>
          <w:sz w:val="20"/>
          <w:szCs w:val="20"/>
        </w:rPr>
        <w:t>Fideicomiso Fondo de Fomento Agropecuario del Estado de Tamaulipas (</w:t>
      </w:r>
      <w:proofErr w:type="spellStart"/>
      <w:r w:rsidRPr="004F44F0">
        <w:rPr>
          <w:rFonts w:cs="Calibri"/>
          <w:sz w:val="20"/>
          <w:szCs w:val="20"/>
        </w:rPr>
        <w:t>Fofaet</w:t>
      </w:r>
      <w:proofErr w:type="spellEnd"/>
      <w:r w:rsidRPr="004F44F0">
        <w:rPr>
          <w:rFonts w:cs="Calibri"/>
          <w:sz w:val="20"/>
          <w:szCs w:val="20"/>
        </w:rPr>
        <w:t>)</w:t>
      </w:r>
    </w:p>
    <w:p w14:paraId="6D62AD25" w14:textId="77777777" w:rsidR="007745EB" w:rsidRPr="004F44F0" w:rsidRDefault="00C87FDA" w:rsidP="00EC7D22">
      <w:pPr>
        <w:pStyle w:val="Prrafodelista"/>
        <w:numPr>
          <w:ilvl w:val="0"/>
          <w:numId w:val="35"/>
        </w:numPr>
        <w:spacing w:after="0" w:line="240" w:lineRule="auto"/>
        <w:ind w:left="0" w:firstLine="0"/>
        <w:jc w:val="both"/>
        <w:rPr>
          <w:rFonts w:cs="Calibri"/>
          <w:sz w:val="20"/>
          <w:szCs w:val="20"/>
        </w:rPr>
      </w:pPr>
      <w:r w:rsidRPr="004F44F0">
        <w:rPr>
          <w:rFonts w:cs="Calibri"/>
          <w:sz w:val="20"/>
          <w:szCs w:val="20"/>
        </w:rPr>
        <w:t>Fideicomiso de Garantía Líquida Solidaria del Estado de Tamaulipas (</w:t>
      </w:r>
      <w:proofErr w:type="spellStart"/>
      <w:r w:rsidRPr="004F44F0">
        <w:rPr>
          <w:rFonts w:cs="Calibri"/>
          <w:sz w:val="20"/>
          <w:szCs w:val="20"/>
        </w:rPr>
        <w:t>Fidegat</w:t>
      </w:r>
      <w:proofErr w:type="spellEnd"/>
      <w:r w:rsidRPr="004F44F0">
        <w:rPr>
          <w:rFonts w:cs="Calibri"/>
          <w:sz w:val="20"/>
          <w:szCs w:val="20"/>
        </w:rPr>
        <w:t>)</w:t>
      </w:r>
    </w:p>
    <w:p w14:paraId="7D9951E9" w14:textId="77777777" w:rsidR="007745EB" w:rsidRPr="004F44F0" w:rsidRDefault="00C87FDA" w:rsidP="00EC7D22">
      <w:pPr>
        <w:pStyle w:val="Prrafodelista"/>
        <w:numPr>
          <w:ilvl w:val="0"/>
          <w:numId w:val="36"/>
        </w:numPr>
        <w:spacing w:after="0" w:line="240" w:lineRule="auto"/>
        <w:ind w:left="0" w:firstLine="0"/>
        <w:jc w:val="both"/>
        <w:rPr>
          <w:rFonts w:cs="Calibri"/>
          <w:sz w:val="20"/>
          <w:szCs w:val="20"/>
        </w:rPr>
      </w:pPr>
      <w:r w:rsidRPr="004F44F0">
        <w:rPr>
          <w:rFonts w:cs="Calibri"/>
          <w:sz w:val="20"/>
          <w:szCs w:val="20"/>
        </w:rPr>
        <w:t>Fideicomiso para el Desarrollo Forestal Sustentable del Estado de Tamaulipas (</w:t>
      </w:r>
      <w:proofErr w:type="spellStart"/>
      <w:r w:rsidRPr="004F44F0">
        <w:rPr>
          <w:rFonts w:cs="Calibri"/>
          <w:sz w:val="20"/>
          <w:szCs w:val="20"/>
        </w:rPr>
        <w:t>Fidefoset</w:t>
      </w:r>
      <w:proofErr w:type="spellEnd"/>
      <w:r w:rsidRPr="004F44F0">
        <w:rPr>
          <w:rFonts w:cs="Calibri"/>
          <w:sz w:val="20"/>
          <w:szCs w:val="20"/>
        </w:rPr>
        <w:t>)</w:t>
      </w:r>
    </w:p>
    <w:p w14:paraId="7DE84004" w14:textId="77777777" w:rsidR="007745EB" w:rsidRPr="004F44F0" w:rsidRDefault="00C87FDA" w:rsidP="00EC7D22">
      <w:pPr>
        <w:pStyle w:val="Prrafodelista"/>
        <w:numPr>
          <w:ilvl w:val="0"/>
          <w:numId w:val="37"/>
        </w:numPr>
        <w:spacing w:after="0" w:line="240" w:lineRule="auto"/>
        <w:ind w:left="0" w:firstLine="0"/>
        <w:jc w:val="both"/>
        <w:rPr>
          <w:rFonts w:cs="Calibri"/>
          <w:sz w:val="20"/>
          <w:szCs w:val="20"/>
        </w:rPr>
      </w:pPr>
      <w:r w:rsidRPr="004F44F0">
        <w:rPr>
          <w:rFonts w:cs="Calibri"/>
          <w:sz w:val="20"/>
          <w:szCs w:val="20"/>
        </w:rPr>
        <w:t>Fideicomiso Tamaulipas para Cobertura de Precios y Agricultura por Contrato (</w:t>
      </w:r>
      <w:proofErr w:type="spellStart"/>
      <w:r w:rsidRPr="004F44F0">
        <w:rPr>
          <w:rFonts w:cs="Calibri"/>
          <w:sz w:val="20"/>
          <w:szCs w:val="20"/>
        </w:rPr>
        <w:t>Fitam</w:t>
      </w:r>
      <w:proofErr w:type="spellEnd"/>
      <w:r w:rsidRPr="004F44F0">
        <w:rPr>
          <w:rFonts w:cs="Calibri"/>
          <w:sz w:val="20"/>
          <w:szCs w:val="20"/>
        </w:rPr>
        <w:t>)</w:t>
      </w:r>
    </w:p>
    <w:p w14:paraId="51ECDAB4" w14:textId="77777777" w:rsidR="007745EB" w:rsidRPr="004F44F0" w:rsidRDefault="00C87FDA" w:rsidP="00EC7D22">
      <w:pPr>
        <w:pStyle w:val="Prrafodelista"/>
        <w:numPr>
          <w:ilvl w:val="0"/>
          <w:numId w:val="38"/>
        </w:numPr>
        <w:spacing w:after="0" w:line="240" w:lineRule="auto"/>
        <w:ind w:left="0" w:firstLine="0"/>
        <w:jc w:val="both"/>
        <w:rPr>
          <w:rFonts w:cs="Calibri"/>
          <w:sz w:val="20"/>
          <w:szCs w:val="20"/>
        </w:rPr>
      </w:pPr>
      <w:r w:rsidRPr="004F44F0">
        <w:rPr>
          <w:rFonts w:cs="Calibri"/>
          <w:sz w:val="20"/>
          <w:szCs w:val="20"/>
        </w:rPr>
        <w:t>Fideicomiso Fondo de Garantía Agropecuaria del Estado de Tamaulipas (</w:t>
      </w:r>
      <w:proofErr w:type="spellStart"/>
      <w:r w:rsidRPr="004F44F0">
        <w:rPr>
          <w:rFonts w:cs="Calibri"/>
          <w:sz w:val="20"/>
          <w:szCs w:val="20"/>
        </w:rPr>
        <w:t>Fogagro</w:t>
      </w:r>
      <w:proofErr w:type="spellEnd"/>
      <w:r w:rsidRPr="004F44F0">
        <w:rPr>
          <w:rFonts w:cs="Calibri"/>
          <w:sz w:val="20"/>
          <w:szCs w:val="20"/>
        </w:rPr>
        <w:t>)</w:t>
      </w:r>
    </w:p>
    <w:p w14:paraId="45A9BCEE" w14:textId="77777777" w:rsidR="0023369C" w:rsidRDefault="0023369C" w:rsidP="00EC7D22">
      <w:pPr>
        <w:pStyle w:val="Prrafodelista"/>
        <w:ind w:left="0"/>
        <w:jc w:val="both"/>
        <w:rPr>
          <w:rFonts w:cs="Calibri"/>
          <w:b/>
          <w:sz w:val="20"/>
          <w:szCs w:val="20"/>
          <w:u w:val="single"/>
        </w:rPr>
      </w:pPr>
    </w:p>
    <w:p w14:paraId="39B1241F" w14:textId="64C3C6AD" w:rsidR="007745EB" w:rsidRPr="004F44F0" w:rsidRDefault="00C87FDA" w:rsidP="00EC7D22">
      <w:pPr>
        <w:pStyle w:val="Prrafodelista"/>
        <w:ind w:left="0"/>
        <w:jc w:val="both"/>
        <w:rPr>
          <w:rFonts w:cs="Calibri"/>
          <w:b/>
          <w:sz w:val="20"/>
          <w:szCs w:val="20"/>
          <w:u w:val="single"/>
          <w:lang w:val="es-ES"/>
        </w:rPr>
      </w:pPr>
      <w:r w:rsidRPr="004F44F0">
        <w:rPr>
          <w:rFonts w:cs="Calibri"/>
          <w:b/>
          <w:sz w:val="20"/>
          <w:szCs w:val="20"/>
          <w:u w:val="single"/>
        </w:rPr>
        <w:t>SECRETARÍA DE EDUCACIÓN</w:t>
      </w:r>
    </w:p>
    <w:p w14:paraId="5BC3889C" w14:textId="77777777" w:rsidR="007745EB" w:rsidRPr="004F44F0" w:rsidRDefault="00C87FDA" w:rsidP="00EC7D22">
      <w:pPr>
        <w:pStyle w:val="Prrafodelista"/>
        <w:numPr>
          <w:ilvl w:val="0"/>
          <w:numId w:val="39"/>
        </w:numPr>
        <w:spacing w:after="0" w:line="240" w:lineRule="auto"/>
        <w:ind w:left="0" w:firstLine="0"/>
        <w:jc w:val="both"/>
        <w:rPr>
          <w:rFonts w:cs="Calibri"/>
          <w:sz w:val="20"/>
          <w:szCs w:val="20"/>
        </w:rPr>
      </w:pPr>
      <w:r w:rsidRPr="004F44F0">
        <w:rPr>
          <w:rFonts w:cs="Calibri"/>
          <w:sz w:val="20"/>
          <w:szCs w:val="20"/>
        </w:rPr>
        <w:t>Fideicomiso del Instituto Tamaulipeco de Becas, Estímulos y Créditos Educativos (</w:t>
      </w:r>
      <w:proofErr w:type="spellStart"/>
      <w:r w:rsidRPr="004F44F0">
        <w:rPr>
          <w:rFonts w:cs="Calibri"/>
          <w:sz w:val="20"/>
          <w:szCs w:val="20"/>
        </w:rPr>
        <w:t>Fitabec</w:t>
      </w:r>
      <w:proofErr w:type="spellEnd"/>
      <w:r w:rsidRPr="004F44F0">
        <w:rPr>
          <w:rFonts w:cs="Calibri"/>
          <w:sz w:val="20"/>
          <w:szCs w:val="20"/>
        </w:rPr>
        <w:t>)</w:t>
      </w:r>
    </w:p>
    <w:p w14:paraId="775CB038" w14:textId="77777777" w:rsidR="007745EB" w:rsidRPr="004F44F0" w:rsidRDefault="00C87FDA" w:rsidP="00EC7D22">
      <w:pPr>
        <w:pStyle w:val="Prrafodelista"/>
        <w:numPr>
          <w:ilvl w:val="0"/>
          <w:numId w:val="40"/>
        </w:numPr>
        <w:spacing w:after="0" w:line="240" w:lineRule="auto"/>
        <w:ind w:left="0" w:firstLine="0"/>
        <w:jc w:val="both"/>
        <w:rPr>
          <w:rFonts w:cs="Calibri"/>
          <w:sz w:val="20"/>
          <w:szCs w:val="20"/>
        </w:rPr>
      </w:pPr>
      <w:r w:rsidRPr="004F44F0">
        <w:rPr>
          <w:rFonts w:cs="Calibri"/>
          <w:sz w:val="20"/>
          <w:szCs w:val="20"/>
        </w:rPr>
        <w:t>Fideicomiso de Apoyo de Tecnologías Educativas y de la Información para el Personal al Servicio de la Educación.</w:t>
      </w:r>
    </w:p>
    <w:p w14:paraId="39E15599" w14:textId="5CF680C8" w:rsidR="007745EB" w:rsidRPr="00036395" w:rsidRDefault="00C87FDA" w:rsidP="00EC7D22">
      <w:pPr>
        <w:pStyle w:val="Prrafodelista"/>
        <w:numPr>
          <w:ilvl w:val="0"/>
          <w:numId w:val="41"/>
        </w:numPr>
        <w:spacing w:after="0" w:line="240" w:lineRule="auto"/>
        <w:ind w:left="0" w:firstLine="0"/>
        <w:jc w:val="both"/>
        <w:rPr>
          <w:rFonts w:cs="Calibri"/>
          <w:sz w:val="20"/>
          <w:szCs w:val="20"/>
        </w:rPr>
      </w:pPr>
      <w:r w:rsidRPr="00036395">
        <w:rPr>
          <w:rFonts w:cs="Calibri"/>
          <w:sz w:val="20"/>
          <w:szCs w:val="20"/>
        </w:rPr>
        <w:t>Fideicomiso para el Programa Especial de Financiamiento a la Vivienda para el Magisterio del Estado de Tamaulipas (</w:t>
      </w:r>
      <w:proofErr w:type="spellStart"/>
      <w:r w:rsidRPr="00036395">
        <w:rPr>
          <w:rFonts w:cs="Calibri"/>
          <w:sz w:val="20"/>
          <w:szCs w:val="20"/>
        </w:rPr>
        <w:t>Fovimat</w:t>
      </w:r>
      <w:proofErr w:type="spellEnd"/>
      <w:r w:rsidRPr="00036395">
        <w:rPr>
          <w:rFonts w:cs="Calibri"/>
          <w:sz w:val="20"/>
          <w:szCs w:val="20"/>
        </w:rPr>
        <w:t>)</w:t>
      </w:r>
      <w:r w:rsidR="0023369C" w:rsidRPr="00036395">
        <w:rPr>
          <w:rFonts w:cs="Calibri"/>
          <w:sz w:val="20"/>
          <w:szCs w:val="20"/>
        </w:rPr>
        <w:t>.</w:t>
      </w:r>
      <w:r w:rsidRPr="00036395">
        <w:rPr>
          <w:rFonts w:cs="Calibri"/>
          <w:sz w:val="20"/>
          <w:szCs w:val="20"/>
        </w:rPr>
        <w:t xml:space="preserve"> </w:t>
      </w:r>
    </w:p>
    <w:p w14:paraId="149D8ECC" w14:textId="1BC1C763" w:rsidR="007745EB" w:rsidRDefault="00C87FDA" w:rsidP="00EC7D22">
      <w:pPr>
        <w:pStyle w:val="Prrafodelista"/>
        <w:numPr>
          <w:ilvl w:val="0"/>
          <w:numId w:val="42"/>
        </w:numPr>
        <w:spacing w:after="0" w:line="240" w:lineRule="auto"/>
        <w:ind w:left="0" w:firstLine="0"/>
        <w:jc w:val="both"/>
        <w:rPr>
          <w:rFonts w:cs="Calibri"/>
          <w:sz w:val="20"/>
          <w:szCs w:val="20"/>
        </w:rPr>
      </w:pPr>
      <w:r w:rsidRPr="004F44F0">
        <w:rPr>
          <w:rFonts w:cs="Calibri"/>
          <w:sz w:val="20"/>
          <w:szCs w:val="20"/>
        </w:rPr>
        <w:t>Fideicomiso del Centro de Capacitación Tecnológica de Altamira (</w:t>
      </w:r>
      <w:proofErr w:type="spellStart"/>
      <w:r w:rsidRPr="004F44F0">
        <w:rPr>
          <w:rFonts w:cs="Calibri"/>
          <w:sz w:val="20"/>
          <w:szCs w:val="20"/>
        </w:rPr>
        <w:t>Cecata</w:t>
      </w:r>
      <w:proofErr w:type="spellEnd"/>
      <w:r w:rsidRPr="004F44F0">
        <w:rPr>
          <w:rFonts w:cs="Calibri"/>
          <w:sz w:val="20"/>
          <w:szCs w:val="20"/>
        </w:rPr>
        <w:t xml:space="preserve">) </w:t>
      </w:r>
      <w:r w:rsidRPr="004F44F0">
        <w:rPr>
          <w:rFonts w:cs="Calibri"/>
          <w:b/>
          <w:sz w:val="20"/>
          <w:szCs w:val="20"/>
        </w:rPr>
        <w:t>*</w:t>
      </w:r>
      <w:r w:rsidRPr="004F44F0">
        <w:rPr>
          <w:rFonts w:cs="Calibri"/>
          <w:sz w:val="20"/>
          <w:szCs w:val="20"/>
        </w:rPr>
        <w:t xml:space="preserve"> </w:t>
      </w:r>
    </w:p>
    <w:p w14:paraId="740ADB08" w14:textId="77777777" w:rsidR="0023369C" w:rsidRPr="004F44F0" w:rsidRDefault="0023369C" w:rsidP="00EC7D22">
      <w:pPr>
        <w:pStyle w:val="Prrafodelista"/>
        <w:spacing w:after="0" w:line="240" w:lineRule="auto"/>
        <w:ind w:left="0"/>
        <w:jc w:val="both"/>
        <w:rPr>
          <w:rFonts w:cs="Calibri"/>
          <w:sz w:val="20"/>
          <w:szCs w:val="20"/>
        </w:rPr>
      </w:pPr>
    </w:p>
    <w:p w14:paraId="5D780F10" w14:textId="77777777" w:rsidR="007745EB" w:rsidRPr="004F44F0" w:rsidRDefault="00C87FDA" w:rsidP="00EC7D22">
      <w:pPr>
        <w:pStyle w:val="Prrafodelista"/>
        <w:ind w:left="0"/>
        <w:jc w:val="both"/>
        <w:rPr>
          <w:rFonts w:cs="Calibri"/>
          <w:b/>
          <w:sz w:val="20"/>
          <w:szCs w:val="20"/>
          <w:u w:val="single"/>
          <w:lang w:val="es-ES"/>
        </w:rPr>
      </w:pPr>
      <w:r w:rsidRPr="004F44F0">
        <w:rPr>
          <w:rFonts w:cs="Calibri"/>
          <w:b/>
          <w:sz w:val="20"/>
          <w:szCs w:val="20"/>
          <w:u w:val="single"/>
        </w:rPr>
        <w:t>SECRETARÍA DE FINANZAS</w:t>
      </w:r>
    </w:p>
    <w:p w14:paraId="61E6C070" w14:textId="77777777" w:rsidR="007745EB" w:rsidRPr="004F44F0" w:rsidRDefault="00C87FDA" w:rsidP="00EC7D22">
      <w:pPr>
        <w:pStyle w:val="Prrafodelista"/>
        <w:numPr>
          <w:ilvl w:val="0"/>
          <w:numId w:val="43"/>
        </w:numPr>
        <w:spacing w:after="0" w:line="240" w:lineRule="auto"/>
        <w:ind w:left="0" w:firstLine="0"/>
        <w:jc w:val="both"/>
        <w:rPr>
          <w:rFonts w:cs="Calibri"/>
          <w:sz w:val="20"/>
          <w:szCs w:val="20"/>
        </w:rPr>
      </w:pPr>
      <w:r w:rsidRPr="004F44F0">
        <w:rPr>
          <w:rFonts w:cs="Calibri"/>
          <w:sz w:val="20"/>
          <w:szCs w:val="20"/>
        </w:rPr>
        <w:t>Fideicomiso para el Pago de Créditos del Estado de Tamaulipas (</w:t>
      </w:r>
      <w:proofErr w:type="spellStart"/>
      <w:r w:rsidRPr="004F44F0">
        <w:rPr>
          <w:rFonts w:cs="Calibri"/>
          <w:sz w:val="20"/>
          <w:szCs w:val="20"/>
        </w:rPr>
        <w:t>Fipac</w:t>
      </w:r>
      <w:proofErr w:type="spellEnd"/>
      <w:r w:rsidRPr="004F44F0">
        <w:rPr>
          <w:rFonts w:cs="Calibri"/>
          <w:sz w:val="20"/>
          <w:szCs w:val="20"/>
        </w:rPr>
        <w:t xml:space="preserve">) </w:t>
      </w:r>
    </w:p>
    <w:p w14:paraId="6C716A8B" w14:textId="77777777" w:rsidR="007745EB" w:rsidRPr="004F44F0" w:rsidRDefault="00C87FDA" w:rsidP="00EC7D22">
      <w:pPr>
        <w:pStyle w:val="Prrafodelista"/>
        <w:numPr>
          <w:ilvl w:val="0"/>
          <w:numId w:val="44"/>
        </w:numPr>
        <w:spacing w:after="0" w:line="240" w:lineRule="auto"/>
        <w:ind w:left="0" w:firstLine="0"/>
        <w:jc w:val="both"/>
        <w:rPr>
          <w:rFonts w:cs="Calibri"/>
          <w:sz w:val="20"/>
          <w:szCs w:val="20"/>
        </w:rPr>
      </w:pPr>
      <w:r w:rsidRPr="004F44F0">
        <w:rPr>
          <w:rFonts w:cs="Calibri"/>
          <w:sz w:val="20"/>
          <w:szCs w:val="20"/>
        </w:rPr>
        <w:t>Fideicomiso Puente Internacional Nuevo Laredo III</w:t>
      </w:r>
    </w:p>
    <w:p w14:paraId="561138E0" w14:textId="77777777" w:rsidR="007745EB" w:rsidRPr="004F44F0" w:rsidRDefault="00C87FDA" w:rsidP="00EC7D22">
      <w:pPr>
        <w:pStyle w:val="Prrafodelista"/>
        <w:numPr>
          <w:ilvl w:val="0"/>
          <w:numId w:val="45"/>
        </w:numPr>
        <w:spacing w:after="0" w:line="240" w:lineRule="auto"/>
        <w:ind w:left="0" w:firstLine="0"/>
        <w:jc w:val="both"/>
        <w:rPr>
          <w:rFonts w:cs="Calibri"/>
          <w:sz w:val="20"/>
          <w:szCs w:val="20"/>
        </w:rPr>
      </w:pPr>
      <w:r w:rsidRPr="004F44F0">
        <w:rPr>
          <w:rFonts w:cs="Calibri"/>
          <w:sz w:val="20"/>
          <w:szCs w:val="20"/>
        </w:rPr>
        <w:t>Fideicomiso Irrevocable de Administración y Fuente de Pago No. 851-00901 (</w:t>
      </w:r>
      <w:proofErr w:type="spellStart"/>
      <w:r w:rsidRPr="004F44F0">
        <w:rPr>
          <w:rFonts w:cs="Calibri"/>
          <w:sz w:val="20"/>
          <w:szCs w:val="20"/>
        </w:rPr>
        <w:t>Banregio</w:t>
      </w:r>
      <w:proofErr w:type="spellEnd"/>
      <w:r w:rsidRPr="004F44F0">
        <w:rPr>
          <w:rFonts w:cs="Calibri"/>
          <w:sz w:val="20"/>
          <w:szCs w:val="20"/>
        </w:rPr>
        <w:t>)</w:t>
      </w:r>
    </w:p>
    <w:p w14:paraId="6DBFD63E" w14:textId="77777777" w:rsidR="007745EB" w:rsidRPr="004F44F0" w:rsidRDefault="00C87FDA" w:rsidP="00EC7D22">
      <w:pPr>
        <w:pStyle w:val="Prrafodelista"/>
        <w:numPr>
          <w:ilvl w:val="0"/>
          <w:numId w:val="46"/>
        </w:numPr>
        <w:spacing w:after="0" w:line="240" w:lineRule="auto"/>
        <w:ind w:left="0" w:firstLine="0"/>
        <w:jc w:val="both"/>
        <w:rPr>
          <w:rFonts w:cs="Calibri"/>
          <w:sz w:val="20"/>
          <w:szCs w:val="20"/>
        </w:rPr>
      </w:pPr>
      <w:r w:rsidRPr="004F44F0">
        <w:rPr>
          <w:rFonts w:cs="Calibri"/>
          <w:sz w:val="20"/>
          <w:szCs w:val="20"/>
        </w:rPr>
        <w:t>Fideicomiso Irrevocable de Administración y Fuente de Pago No. 2003885-0 (Santander)</w:t>
      </w:r>
    </w:p>
    <w:p w14:paraId="738B05CD" w14:textId="77777777" w:rsidR="007745EB" w:rsidRPr="004F44F0" w:rsidRDefault="00C87FDA" w:rsidP="00EC7D22">
      <w:pPr>
        <w:pStyle w:val="Prrafodelista"/>
        <w:numPr>
          <w:ilvl w:val="0"/>
          <w:numId w:val="47"/>
        </w:numPr>
        <w:spacing w:after="0" w:line="240" w:lineRule="auto"/>
        <w:ind w:left="0" w:firstLine="0"/>
        <w:jc w:val="both"/>
        <w:rPr>
          <w:rFonts w:cs="Calibri"/>
          <w:sz w:val="20"/>
          <w:szCs w:val="20"/>
        </w:rPr>
      </w:pPr>
      <w:r w:rsidRPr="004F44F0">
        <w:rPr>
          <w:rFonts w:cs="Calibri"/>
          <w:sz w:val="20"/>
          <w:szCs w:val="20"/>
        </w:rPr>
        <w:t>Fideicomiso Irrevocable de Administración y Fuente Alterna de Pago No. 3404/2019 (App)</w:t>
      </w:r>
    </w:p>
    <w:p w14:paraId="376A7E49" w14:textId="77777777" w:rsidR="007745EB" w:rsidRPr="004F44F0" w:rsidRDefault="00C87FDA" w:rsidP="00EC7D22">
      <w:pPr>
        <w:pStyle w:val="Prrafodelista"/>
        <w:numPr>
          <w:ilvl w:val="0"/>
          <w:numId w:val="48"/>
        </w:numPr>
        <w:spacing w:after="0" w:line="240" w:lineRule="auto"/>
        <w:ind w:left="0" w:firstLine="0"/>
        <w:jc w:val="both"/>
        <w:rPr>
          <w:rFonts w:cs="Calibri"/>
          <w:sz w:val="20"/>
          <w:szCs w:val="20"/>
        </w:rPr>
      </w:pPr>
      <w:r w:rsidRPr="004F44F0">
        <w:rPr>
          <w:rFonts w:cs="Calibri"/>
          <w:sz w:val="20"/>
          <w:szCs w:val="20"/>
        </w:rPr>
        <w:t>Fideicomiso Público, Sin Estructura, Maestro Irrevocable de Administración y Fuente de Pago No. F/1231</w:t>
      </w:r>
    </w:p>
    <w:p w14:paraId="0B7B9741" w14:textId="77777777" w:rsidR="007745EB" w:rsidRPr="004F44F0" w:rsidRDefault="00C87FDA" w:rsidP="00EC7D22">
      <w:pPr>
        <w:pStyle w:val="Prrafodelista"/>
        <w:numPr>
          <w:ilvl w:val="0"/>
          <w:numId w:val="49"/>
        </w:numPr>
        <w:spacing w:after="0" w:line="240" w:lineRule="auto"/>
        <w:ind w:left="0" w:firstLine="0"/>
        <w:jc w:val="both"/>
        <w:rPr>
          <w:rFonts w:cs="Calibri"/>
          <w:sz w:val="20"/>
          <w:szCs w:val="20"/>
        </w:rPr>
      </w:pPr>
      <w:r w:rsidRPr="004F44F0">
        <w:rPr>
          <w:rFonts w:cs="Calibri"/>
          <w:sz w:val="20"/>
          <w:szCs w:val="20"/>
        </w:rPr>
        <w:t>Fideicomiso del Fondo de Capitalidad</w:t>
      </w:r>
    </w:p>
    <w:p w14:paraId="1F665F33" w14:textId="3268E6CB" w:rsidR="007745EB" w:rsidRDefault="00C87FDA" w:rsidP="00EC7D22">
      <w:pPr>
        <w:pStyle w:val="Prrafodelista"/>
        <w:numPr>
          <w:ilvl w:val="0"/>
          <w:numId w:val="50"/>
        </w:numPr>
        <w:spacing w:after="0" w:line="240" w:lineRule="auto"/>
        <w:ind w:left="0" w:firstLine="0"/>
        <w:jc w:val="both"/>
        <w:rPr>
          <w:rFonts w:cs="Calibri"/>
          <w:sz w:val="20"/>
          <w:szCs w:val="20"/>
        </w:rPr>
      </w:pPr>
      <w:r w:rsidRPr="004F44F0">
        <w:rPr>
          <w:rFonts w:cs="Calibri"/>
          <w:sz w:val="20"/>
          <w:szCs w:val="20"/>
        </w:rPr>
        <w:t xml:space="preserve">Fideicomiso de </w:t>
      </w:r>
      <w:r w:rsidR="004F44F0" w:rsidRPr="004F44F0">
        <w:rPr>
          <w:rFonts w:cs="Calibri"/>
          <w:sz w:val="20"/>
          <w:szCs w:val="20"/>
        </w:rPr>
        <w:t>Administración</w:t>
      </w:r>
      <w:r w:rsidRPr="004F44F0">
        <w:rPr>
          <w:rFonts w:cs="Calibri"/>
          <w:sz w:val="20"/>
          <w:szCs w:val="20"/>
        </w:rPr>
        <w:t xml:space="preserve"> e Inversión No. 75</w:t>
      </w:r>
      <w:r w:rsidR="002442B5">
        <w:rPr>
          <w:rFonts w:cs="Calibri"/>
          <w:sz w:val="20"/>
          <w:szCs w:val="20"/>
        </w:rPr>
        <w:t>4</w:t>
      </w:r>
      <w:r w:rsidRPr="004F44F0">
        <w:rPr>
          <w:rFonts w:cs="Calibri"/>
          <w:sz w:val="20"/>
          <w:szCs w:val="20"/>
        </w:rPr>
        <w:t>309 “Ciudad Judicial”</w:t>
      </w:r>
    </w:p>
    <w:p w14:paraId="061BB4FA" w14:textId="01BD60B7" w:rsidR="002442B5" w:rsidRPr="004F44F0" w:rsidRDefault="002442B5" w:rsidP="00EC7D22">
      <w:pPr>
        <w:pStyle w:val="Prrafodelista"/>
        <w:numPr>
          <w:ilvl w:val="0"/>
          <w:numId w:val="50"/>
        </w:numPr>
        <w:spacing w:after="0" w:line="240" w:lineRule="auto"/>
        <w:ind w:left="0" w:firstLine="0"/>
        <w:jc w:val="both"/>
        <w:rPr>
          <w:rFonts w:cs="Calibri"/>
          <w:sz w:val="20"/>
          <w:szCs w:val="20"/>
        </w:rPr>
      </w:pPr>
      <w:r>
        <w:rPr>
          <w:rFonts w:cs="Calibri"/>
          <w:sz w:val="20"/>
          <w:szCs w:val="20"/>
        </w:rPr>
        <w:t>Fideicomiso de Administración Inmobiliaria e Inversión No.75441 “Puerto Seco Ciudad Victoria”</w:t>
      </w:r>
    </w:p>
    <w:p w14:paraId="20C0C867" w14:textId="77777777" w:rsidR="00744F9F" w:rsidRDefault="00744F9F" w:rsidP="00EC7D22">
      <w:pPr>
        <w:pStyle w:val="Prrafodelista"/>
        <w:ind w:left="0"/>
        <w:jc w:val="both"/>
        <w:rPr>
          <w:rFonts w:cs="Calibri"/>
          <w:b/>
          <w:sz w:val="20"/>
          <w:szCs w:val="20"/>
          <w:u w:val="single"/>
        </w:rPr>
      </w:pPr>
    </w:p>
    <w:p w14:paraId="139FC00E" w14:textId="3219BEFD" w:rsidR="007745EB" w:rsidRPr="004F44F0" w:rsidRDefault="00C87FDA" w:rsidP="00EC7D22">
      <w:pPr>
        <w:pStyle w:val="Prrafodelista"/>
        <w:ind w:left="0"/>
        <w:jc w:val="both"/>
        <w:rPr>
          <w:rFonts w:cs="Calibri"/>
          <w:b/>
          <w:sz w:val="20"/>
          <w:szCs w:val="20"/>
          <w:u w:val="single"/>
          <w:lang w:val="es-ES"/>
        </w:rPr>
      </w:pPr>
      <w:r w:rsidRPr="004F44F0">
        <w:rPr>
          <w:rFonts w:cs="Calibri"/>
          <w:b/>
          <w:sz w:val="20"/>
          <w:szCs w:val="20"/>
          <w:u w:val="single"/>
        </w:rPr>
        <w:t>SECRETARÍA GENERAL DE GOBIERNO</w:t>
      </w:r>
    </w:p>
    <w:p w14:paraId="11A37D26" w14:textId="5949A42A" w:rsidR="000C429E" w:rsidRDefault="00C87FDA" w:rsidP="00EC7D22">
      <w:pPr>
        <w:pStyle w:val="Prrafodelista"/>
        <w:numPr>
          <w:ilvl w:val="0"/>
          <w:numId w:val="51"/>
        </w:numPr>
        <w:spacing w:after="0" w:line="240" w:lineRule="auto"/>
        <w:ind w:left="0" w:firstLine="0"/>
        <w:jc w:val="both"/>
        <w:rPr>
          <w:rFonts w:cs="Calibri"/>
          <w:sz w:val="20"/>
          <w:szCs w:val="20"/>
        </w:rPr>
      </w:pPr>
      <w:r w:rsidRPr="004F44F0">
        <w:rPr>
          <w:rFonts w:cs="Calibri"/>
          <w:sz w:val="20"/>
          <w:szCs w:val="20"/>
        </w:rPr>
        <w:t>Fideicomiso Fondo de Desastres Naturales del Estado de Tamaulipas</w:t>
      </w:r>
    </w:p>
    <w:p w14:paraId="21487923" w14:textId="77777777" w:rsidR="000C429E" w:rsidRPr="000C429E" w:rsidRDefault="000C429E" w:rsidP="00EC7D22">
      <w:pPr>
        <w:pStyle w:val="Prrafodelista"/>
        <w:spacing w:after="0" w:line="240" w:lineRule="auto"/>
        <w:ind w:left="0"/>
        <w:jc w:val="both"/>
        <w:rPr>
          <w:rFonts w:cs="Calibri"/>
          <w:sz w:val="20"/>
          <w:szCs w:val="20"/>
        </w:rPr>
      </w:pPr>
    </w:p>
    <w:p w14:paraId="3B6FEF97" w14:textId="1ED4DEC1" w:rsidR="007745EB" w:rsidRPr="004F44F0" w:rsidRDefault="00C87FDA" w:rsidP="00EC7D22">
      <w:pPr>
        <w:pStyle w:val="Prrafodelista"/>
        <w:ind w:left="0"/>
        <w:jc w:val="both"/>
        <w:rPr>
          <w:rFonts w:cs="Calibri"/>
          <w:b/>
          <w:sz w:val="20"/>
          <w:szCs w:val="20"/>
          <w:u w:val="single"/>
        </w:rPr>
      </w:pPr>
      <w:r w:rsidRPr="004F44F0">
        <w:rPr>
          <w:rFonts w:cs="Calibri"/>
          <w:b/>
          <w:sz w:val="20"/>
          <w:szCs w:val="20"/>
          <w:u w:val="single"/>
        </w:rPr>
        <w:t>SECRETARÍA DE OBRAS PÚBLICAS</w:t>
      </w:r>
    </w:p>
    <w:p w14:paraId="50474D9E" w14:textId="77777777" w:rsidR="007745EB" w:rsidRPr="004F44F0" w:rsidRDefault="00C87FDA" w:rsidP="00EC7D22">
      <w:pPr>
        <w:pStyle w:val="Prrafodelista"/>
        <w:numPr>
          <w:ilvl w:val="0"/>
          <w:numId w:val="52"/>
        </w:numPr>
        <w:spacing w:after="0" w:line="240" w:lineRule="auto"/>
        <w:ind w:left="0" w:firstLine="0"/>
        <w:jc w:val="both"/>
        <w:rPr>
          <w:rFonts w:cs="Calibri"/>
          <w:sz w:val="20"/>
          <w:szCs w:val="20"/>
        </w:rPr>
      </w:pPr>
      <w:r w:rsidRPr="004F44F0">
        <w:rPr>
          <w:rFonts w:cs="Calibri"/>
          <w:sz w:val="20"/>
          <w:szCs w:val="20"/>
        </w:rPr>
        <w:t>Fideicomiso Puente Internacional Río Bravo-Donna</w:t>
      </w:r>
    </w:p>
    <w:p w14:paraId="5A799777" w14:textId="77777777" w:rsidR="007745EB" w:rsidRPr="004F44F0" w:rsidRDefault="00C87FDA" w:rsidP="00EC7D22">
      <w:pPr>
        <w:pStyle w:val="Prrafodelista"/>
        <w:numPr>
          <w:ilvl w:val="0"/>
          <w:numId w:val="53"/>
        </w:numPr>
        <w:spacing w:after="0" w:line="240" w:lineRule="auto"/>
        <w:ind w:left="0" w:firstLine="0"/>
        <w:jc w:val="both"/>
        <w:rPr>
          <w:rFonts w:cs="Calibri"/>
          <w:sz w:val="20"/>
          <w:szCs w:val="20"/>
        </w:rPr>
      </w:pPr>
      <w:r w:rsidRPr="004F44F0">
        <w:rPr>
          <w:rFonts w:cs="Calibri"/>
          <w:sz w:val="20"/>
          <w:szCs w:val="20"/>
        </w:rPr>
        <w:t>Fideicomiso Mante-Ocampo-Tula</w:t>
      </w:r>
    </w:p>
    <w:p w14:paraId="05B48DBF" w14:textId="77777777" w:rsidR="007745EB" w:rsidRPr="004F44F0" w:rsidRDefault="00C87FDA" w:rsidP="00EC7D22">
      <w:pPr>
        <w:pStyle w:val="Prrafodelista"/>
        <w:numPr>
          <w:ilvl w:val="0"/>
          <w:numId w:val="54"/>
        </w:numPr>
        <w:spacing w:after="0" w:line="240" w:lineRule="auto"/>
        <w:ind w:left="0" w:firstLine="0"/>
        <w:jc w:val="both"/>
        <w:rPr>
          <w:rFonts w:cs="Calibri"/>
          <w:sz w:val="20"/>
          <w:szCs w:val="20"/>
        </w:rPr>
      </w:pPr>
      <w:r w:rsidRPr="004F44F0">
        <w:rPr>
          <w:rFonts w:cs="Calibri"/>
          <w:sz w:val="20"/>
          <w:szCs w:val="20"/>
        </w:rPr>
        <w:lastRenderedPageBreak/>
        <w:t xml:space="preserve">Fideicomiso del Corredor Económico del Norte </w:t>
      </w:r>
      <w:r w:rsidRPr="004F44F0">
        <w:rPr>
          <w:rFonts w:cs="Calibri"/>
          <w:b/>
          <w:sz w:val="20"/>
          <w:szCs w:val="20"/>
        </w:rPr>
        <w:t>*</w:t>
      </w:r>
    </w:p>
    <w:p w14:paraId="7AAE7FDF" w14:textId="77777777" w:rsidR="007745EB" w:rsidRPr="004F44F0" w:rsidRDefault="00C87FDA" w:rsidP="00EC7D22">
      <w:pPr>
        <w:pStyle w:val="Prrafodelista"/>
        <w:numPr>
          <w:ilvl w:val="0"/>
          <w:numId w:val="55"/>
        </w:numPr>
        <w:spacing w:after="0" w:line="240" w:lineRule="auto"/>
        <w:ind w:left="0" w:firstLine="0"/>
        <w:jc w:val="both"/>
        <w:rPr>
          <w:rFonts w:cs="Calibri"/>
          <w:sz w:val="20"/>
          <w:szCs w:val="20"/>
        </w:rPr>
      </w:pPr>
      <w:r w:rsidRPr="004F44F0">
        <w:rPr>
          <w:rFonts w:eastAsia="Times New Roman" w:cs="Calibri"/>
          <w:color w:val="000000"/>
          <w:sz w:val="20"/>
          <w:szCs w:val="20"/>
          <w:lang w:eastAsia="es-MX"/>
        </w:rPr>
        <w:t>Fideicomiso Irrevocable de Inversión, Administración y Fuente de Pago No.754017 (Rumbo Nuevo)</w:t>
      </w:r>
    </w:p>
    <w:p w14:paraId="0F961FCF" w14:textId="77777777" w:rsidR="00744F9F" w:rsidRPr="00CA1325" w:rsidRDefault="00744F9F" w:rsidP="00EC7D22">
      <w:pPr>
        <w:pStyle w:val="Prrafodelista"/>
        <w:spacing w:after="120"/>
        <w:ind w:left="0"/>
        <w:jc w:val="both"/>
        <w:rPr>
          <w:rFonts w:cs="Calibri"/>
          <w:b/>
          <w:sz w:val="16"/>
          <w:szCs w:val="20"/>
          <w:u w:val="single"/>
        </w:rPr>
      </w:pPr>
    </w:p>
    <w:p w14:paraId="4503580A" w14:textId="257188B4" w:rsidR="007745EB" w:rsidRPr="004F44F0" w:rsidRDefault="00C87FDA" w:rsidP="00EC7D22">
      <w:pPr>
        <w:pStyle w:val="Prrafodelista"/>
        <w:spacing w:after="120"/>
        <w:ind w:left="0"/>
        <w:jc w:val="both"/>
        <w:rPr>
          <w:rFonts w:cs="Calibri"/>
          <w:b/>
          <w:sz w:val="20"/>
          <w:szCs w:val="20"/>
          <w:u w:val="single"/>
        </w:rPr>
      </w:pPr>
      <w:r w:rsidRPr="004F44F0">
        <w:rPr>
          <w:rFonts w:cs="Calibri"/>
          <w:b/>
          <w:sz w:val="20"/>
          <w:szCs w:val="20"/>
          <w:u w:val="single"/>
        </w:rPr>
        <w:t>SECRETARÍA DE TURISMO</w:t>
      </w:r>
    </w:p>
    <w:p w14:paraId="2C553E37" w14:textId="77777777" w:rsidR="007745EB" w:rsidRPr="004F44F0" w:rsidRDefault="00C87FDA" w:rsidP="00EC7D22">
      <w:pPr>
        <w:pStyle w:val="Prrafodelista"/>
        <w:numPr>
          <w:ilvl w:val="0"/>
          <w:numId w:val="56"/>
        </w:numPr>
        <w:spacing w:after="0" w:line="240" w:lineRule="auto"/>
        <w:ind w:left="0" w:firstLine="0"/>
        <w:jc w:val="both"/>
        <w:rPr>
          <w:rFonts w:cs="Calibri"/>
          <w:b/>
          <w:sz w:val="20"/>
          <w:szCs w:val="20"/>
        </w:rPr>
      </w:pPr>
      <w:r w:rsidRPr="004F44F0">
        <w:rPr>
          <w:rFonts w:cs="Calibri"/>
          <w:sz w:val="20"/>
          <w:szCs w:val="20"/>
        </w:rPr>
        <w:t>Fideicomiso de Administración e Inversión del Impuesto por Servicios de Hospedaje del Estado de Tamaulipas</w:t>
      </w:r>
    </w:p>
    <w:p w14:paraId="5D40A1DD" w14:textId="18149A6E" w:rsidR="007745EB" w:rsidRDefault="007745EB" w:rsidP="00EC7D22">
      <w:pPr>
        <w:pStyle w:val="Prrafodelista"/>
        <w:spacing w:after="0" w:line="240" w:lineRule="auto"/>
        <w:ind w:left="0"/>
        <w:jc w:val="both"/>
        <w:rPr>
          <w:rFonts w:cs="Calibri"/>
          <w:b/>
          <w:sz w:val="20"/>
          <w:szCs w:val="20"/>
        </w:rPr>
      </w:pPr>
    </w:p>
    <w:p w14:paraId="5E9CD6DA" w14:textId="77777777" w:rsidR="007745EB" w:rsidRPr="004F44F0" w:rsidRDefault="00C87FDA" w:rsidP="00EC7D22">
      <w:pPr>
        <w:pStyle w:val="Prrafodelista"/>
        <w:spacing w:after="0"/>
        <w:ind w:left="0"/>
        <w:jc w:val="both"/>
        <w:rPr>
          <w:rFonts w:cs="Calibri"/>
          <w:b/>
          <w:sz w:val="20"/>
          <w:szCs w:val="20"/>
          <w:u w:val="single"/>
        </w:rPr>
      </w:pPr>
      <w:r w:rsidRPr="004F44F0">
        <w:rPr>
          <w:rFonts w:cs="Calibri"/>
          <w:b/>
          <w:sz w:val="20"/>
          <w:szCs w:val="20"/>
          <w:u w:val="single"/>
        </w:rPr>
        <w:t>SISTEMA DIF TAMAULIPAS</w:t>
      </w:r>
    </w:p>
    <w:p w14:paraId="41EB4BA7" w14:textId="77777777" w:rsidR="007745EB" w:rsidRPr="004F44F0" w:rsidRDefault="00C87FDA" w:rsidP="00EC7D22">
      <w:pPr>
        <w:pStyle w:val="Prrafodelista"/>
        <w:numPr>
          <w:ilvl w:val="0"/>
          <w:numId w:val="57"/>
        </w:numPr>
        <w:spacing w:after="0" w:line="240" w:lineRule="auto"/>
        <w:ind w:left="0" w:firstLine="0"/>
        <w:jc w:val="both"/>
        <w:rPr>
          <w:rFonts w:cs="Calibri"/>
          <w:sz w:val="20"/>
          <w:szCs w:val="20"/>
        </w:rPr>
      </w:pPr>
      <w:r w:rsidRPr="004F44F0">
        <w:rPr>
          <w:rFonts w:cs="Calibri"/>
          <w:sz w:val="20"/>
          <w:szCs w:val="20"/>
        </w:rPr>
        <w:t xml:space="preserve">Fideicomiso para el Desarrollo del Programa “Nuestros Niños, Nuestro Futuro” </w:t>
      </w:r>
    </w:p>
    <w:p w14:paraId="7AC21311" w14:textId="77777777" w:rsidR="007745EB" w:rsidRPr="00CA1325" w:rsidRDefault="007745EB" w:rsidP="00EC7D22">
      <w:pPr>
        <w:spacing w:after="0"/>
        <w:rPr>
          <w:rFonts w:cs="Calibri"/>
          <w:b/>
          <w:sz w:val="14"/>
          <w:szCs w:val="20"/>
        </w:rPr>
      </w:pPr>
    </w:p>
    <w:p w14:paraId="0262655F" w14:textId="77777777" w:rsidR="00754349" w:rsidRDefault="00C87FDA" w:rsidP="00EC7D22">
      <w:pPr>
        <w:spacing w:after="0"/>
        <w:rPr>
          <w:rFonts w:cs="Calibri"/>
          <w:sz w:val="20"/>
          <w:szCs w:val="20"/>
        </w:rPr>
      </w:pPr>
      <w:r w:rsidRPr="004F44F0">
        <w:rPr>
          <w:rFonts w:cs="Calibri"/>
          <w:b/>
          <w:sz w:val="20"/>
          <w:szCs w:val="20"/>
        </w:rPr>
        <w:t>*</w:t>
      </w:r>
      <w:r w:rsidRPr="004F44F0">
        <w:rPr>
          <w:rFonts w:cs="Calibri"/>
          <w:sz w:val="20"/>
          <w:szCs w:val="20"/>
        </w:rPr>
        <w:t>Inactivos.</w:t>
      </w:r>
    </w:p>
    <w:p w14:paraId="77EC1884" w14:textId="77777777" w:rsidR="00211405" w:rsidRPr="00CA1325" w:rsidRDefault="00211405" w:rsidP="00EC7D22">
      <w:pPr>
        <w:spacing w:after="0"/>
        <w:rPr>
          <w:rFonts w:cs="Calibri"/>
          <w:sz w:val="14"/>
          <w:szCs w:val="20"/>
        </w:rPr>
      </w:pPr>
    </w:p>
    <w:bookmarkEnd w:id="2"/>
    <w:bookmarkEnd w:id="3"/>
    <w:p w14:paraId="0E49635A" w14:textId="6553F0DA" w:rsidR="00744F9F" w:rsidRPr="00744F9F" w:rsidRDefault="00754349" w:rsidP="00EC7D22">
      <w:pPr>
        <w:pStyle w:val="Prrafodelista"/>
        <w:numPr>
          <w:ilvl w:val="0"/>
          <w:numId w:val="8"/>
        </w:numPr>
        <w:spacing w:after="0" w:line="240" w:lineRule="exact"/>
        <w:ind w:left="0" w:firstLine="0"/>
        <w:jc w:val="both"/>
        <w:rPr>
          <w:rFonts w:eastAsia="Times New Roman" w:cs="Calibri"/>
          <w:sz w:val="20"/>
          <w:szCs w:val="20"/>
          <w:lang w:val="es-ES" w:eastAsia="es-ES"/>
        </w:rPr>
      </w:pPr>
      <w:r w:rsidRPr="00744F9F">
        <w:rPr>
          <w:rFonts w:eastAsia="Times New Roman" w:cs="Calibri"/>
          <w:sz w:val="20"/>
          <w:szCs w:val="20"/>
          <w:lang w:val="es-ES" w:eastAsia="es-ES"/>
        </w:rPr>
        <w:t>Se enlistan los Fideicomisos con mayor monto de disponibilidad, relacionando aquellos que conforman el 80% del total de Fideicomisos.</w:t>
      </w:r>
    </w:p>
    <w:tbl>
      <w:tblPr>
        <w:tblpPr w:leftFromText="141" w:rightFromText="141" w:vertAnchor="text" w:horzAnchor="margin" w:tblpY="121"/>
        <w:tblW w:w="6544" w:type="dxa"/>
        <w:tblCellMar>
          <w:left w:w="70" w:type="dxa"/>
          <w:right w:w="70" w:type="dxa"/>
        </w:tblCellMar>
        <w:tblLook w:val="04A0" w:firstRow="1" w:lastRow="0" w:firstColumn="1" w:lastColumn="0" w:noHBand="0" w:noVBand="1"/>
      </w:tblPr>
      <w:tblGrid>
        <w:gridCol w:w="4655"/>
        <w:gridCol w:w="1889"/>
      </w:tblGrid>
      <w:tr w:rsidR="00132EC0" w:rsidRPr="007467A2" w14:paraId="13EE9295" w14:textId="77777777" w:rsidTr="00132EC0">
        <w:trPr>
          <w:trHeight w:val="284"/>
        </w:trPr>
        <w:tc>
          <w:tcPr>
            <w:tcW w:w="4655"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37551C03" w14:textId="77777777" w:rsidR="00132EC0" w:rsidRPr="007467A2" w:rsidRDefault="00132EC0" w:rsidP="00132EC0">
            <w:pPr>
              <w:suppressAutoHyphens w:val="0"/>
              <w:overflowPunct/>
              <w:spacing w:after="0" w:line="240" w:lineRule="auto"/>
              <w:jc w:val="center"/>
              <w:rPr>
                <w:rFonts w:eastAsia="Times New Roman" w:cs="Calibri"/>
                <w:b/>
                <w:bCs/>
                <w:color w:val="FFFFFF"/>
                <w:sz w:val="16"/>
                <w:szCs w:val="16"/>
                <w:lang w:eastAsia="es-MX"/>
              </w:rPr>
            </w:pPr>
            <w:r w:rsidRPr="007467A2">
              <w:rPr>
                <w:rFonts w:eastAsia="Times New Roman" w:cs="Calibri"/>
                <w:b/>
                <w:bCs/>
                <w:color w:val="FFFFFF"/>
                <w:sz w:val="16"/>
                <w:szCs w:val="16"/>
                <w:lang w:eastAsia="es-MX"/>
              </w:rPr>
              <w:t>Fideicomisos</w:t>
            </w:r>
          </w:p>
        </w:tc>
        <w:tc>
          <w:tcPr>
            <w:tcW w:w="1889" w:type="dxa"/>
            <w:tcBorders>
              <w:top w:val="single" w:sz="4" w:space="0" w:color="auto"/>
              <w:left w:val="nil"/>
              <w:bottom w:val="single" w:sz="4" w:space="0" w:color="auto"/>
              <w:right w:val="single" w:sz="4" w:space="0" w:color="auto"/>
            </w:tcBorders>
            <w:shd w:val="clear" w:color="800080" w:fill="A90025"/>
            <w:vAlign w:val="center"/>
            <w:hideMark/>
          </w:tcPr>
          <w:p w14:paraId="572079D4" w14:textId="77777777" w:rsidR="00132EC0" w:rsidRPr="007467A2" w:rsidRDefault="00132EC0" w:rsidP="00132EC0">
            <w:pPr>
              <w:suppressAutoHyphens w:val="0"/>
              <w:overflowPunct/>
              <w:spacing w:after="0" w:line="240" w:lineRule="auto"/>
              <w:jc w:val="center"/>
              <w:rPr>
                <w:rFonts w:eastAsia="Times New Roman" w:cs="Calibri"/>
                <w:b/>
                <w:bCs/>
                <w:color w:val="FFFFFF"/>
                <w:sz w:val="16"/>
                <w:szCs w:val="16"/>
                <w:lang w:eastAsia="es-MX"/>
              </w:rPr>
            </w:pPr>
            <w:r w:rsidRPr="007467A2">
              <w:rPr>
                <w:rFonts w:eastAsia="Times New Roman" w:cs="Calibri"/>
                <w:b/>
                <w:bCs/>
                <w:color w:val="FFFFFF"/>
                <w:sz w:val="16"/>
                <w:szCs w:val="16"/>
                <w:lang w:eastAsia="es-MX"/>
              </w:rPr>
              <w:t>Importe</w:t>
            </w:r>
          </w:p>
        </w:tc>
      </w:tr>
      <w:tr w:rsidR="00132EC0" w:rsidRPr="007467A2" w14:paraId="06C8E36F" w14:textId="77777777" w:rsidTr="00132EC0">
        <w:trPr>
          <w:trHeight w:val="284"/>
        </w:trPr>
        <w:tc>
          <w:tcPr>
            <w:tcW w:w="4655" w:type="dxa"/>
            <w:tcBorders>
              <w:top w:val="nil"/>
              <w:left w:val="single" w:sz="4" w:space="0" w:color="auto"/>
              <w:bottom w:val="single" w:sz="4" w:space="0" w:color="auto"/>
              <w:right w:val="single" w:sz="4" w:space="0" w:color="auto"/>
            </w:tcBorders>
            <w:shd w:val="clear" w:color="auto" w:fill="auto"/>
            <w:noWrap/>
            <w:vAlign w:val="center"/>
            <w:hideMark/>
          </w:tcPr>
          <w:p w14:paraId="427A2C6E" w14:textId="77777777" w:rsidR="00132EC0" w:rsidRPr="007467A2" w:rsidRDefault="00132EC0" w:rsidP="00132EC0">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Puente Internacional Nuevo Laredo III</w:t>
            </w:r>
          </w:p>
        </w:tc>
        <w:tc>
          <w:tcPr>
            <w:tcW w:w="1889" w:type="dxa"/>
            <w:tcBorders>
              <w:top w:val="nil"/>
              <w:left w:val="nil"/>
              <w:bottom w:val="single" w:sz="4" w:space="0" w:color="auto"/>
              <w:right w:val="single" w:sz="4" w:space="0" w:color="auto"/>
            </w:tcBorders>
            <w:shd w:val="clear" w:color="auto" w:fill="auto"/>
            <w:noWrap/>
            <w:vAlign w:val="bottom"/>
            <w:hideMark/>
          </w:tcPr>
          <w:p w14:paraId="64074AAE" w14:textId="77777777" w:rsidR="00132EC0" w:rsidRPr="007467A2" w:rsidRDefault="00132EC0" w:rsidP="00132EC0">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832,207,461</w:t>
            </w:r>
          </w:p>
        </w:tc>
      </w:tr>
      <w:tr w:rsidR="00132EC0" w:rsidRPr="007467A2" w14:paraId="1EA7A602" w14:textId="77777777" w:rsidTr="00132EC0">
        <w:trPr>
          <w:trHeight w:val="284"/>
        </w:trPr>
        <w:tc>
          <w:tcPr>
            <w:tcW w:w="4655" w:type="dxa"/>
            <w:tcBorders>
              <w:top w:val="nil"/>
              <w:left w:val="single" w:sz="4" w:space="0" w:color="auto"/>
              <w:bottom w:val="single" w:sz="4" w:space="0" w:color="auto"/>
              <w:right w:val="single" w:sz="4" w:space="0" w:color="auto"/>
            </w:tcBorders>
            <w:shd w:val="clear" w:color="auto" w:fill="auto"/>
            <w:noWrap/>
            <w:vAlign w:val="center"/>
            <w:hideMark/>
          </w:tcPr>
          <w:p w14:paraId="63C9D437" w14:textId="77777777" w:rsidR="00132EC0" w:rsidRPr="007467A2" w:rsidRDefault="00132EC0" w:rsidP="00132EC0">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Santander 200-3885 (CRÉDITOS)</w:t>
            </w:r>
          </w:p>
        </w:tc>
        <w:tc>
          <w:tcPr>
            <w:tcW w:w="1889" w:type="dxa"/>
            <w:tcBorders>
              <w:top w:val="nil"/>
              <w:left w:val="nil"/>
              <w:bottom w:val="single" w:sz="4" w:space="0" w:color="auto"/>
              <w:right w:val="single" w:sz="4" w:space="0" w:color="auto"/>
            </w:tcBorders>
            <w:shd w:val="clear" w:color="000000" w:fill="FFFFFF"/>
            <w:noWrap/>
            <w:vAlign w:val="bottom"/>
            <w:hideMark/>
          </w:tcPr>
          <w:p w14:paraId="50DF3957" w14:textId="77777777" w:rsidR="00132EC0" w:rsidRPr="007467A2" w:rsidRDefault="00132EC0" w:rsidP="00132EC0">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641,154,802</w:t>
            </w:r>
          </w:p>
        </w:tc>
      </w:tr>
      <w:tr w:rsidR="00132EC0" w:rsidRPr="007467A2" w14:paraId="3176FA87" w14:textId="77777777" w:rsidTr="00132EC0">
        <w:trPr>
          <w:trHeight w:val="284"/>
        </w:trPr>
        <w:tc>
          <w:tcPr>
            <w:tcW w:w="4655" w:type="dxa"/>
            <w:tcBorders>
              <w:top w:val="nil"/>
              <w:left w:val="single" w:sz="4" w:space="0" w:color="auto"/>
              <w:bottom w:val="single" w:sz="4" w:space="0" w:color="auto"/>
              <w:right w:val="single" w:sz="4" w:space="0" w:color="auto"/>
            </w:tcBorders>
            <w:shd w:val="clear" w:color="auto" w:fill="auto"/>
            <w:noWrap/>
            <w:vAlign w:val="center"/>
            <w:hideMark/>
          </w:tcPr>
          <w:p w14:paraId="209867AE" w14:textId="77777777" w:rsidR="00132EC0" w:rsidRPr="007467A2" w:rsidRDefault="00132EC0" w:rsidP="00132EC0">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FOFAET</w:t>
            </w:r>
          </w:p>
        </w:tc>
        <w:tc>
          <w:tcPr>
            <w:tcW w:w="1889" w:type="dxa"/>
            <w:tcBorders>
              <w:top w:val="nil"/>
              <w:left w:val="nil"/>
              <w:bottom w:val="single" w:sz="4" w:space="0" w:color="auto"/>
              <w:right w:val="single" w:sz="4" w:space="0" w:color="auto"/>
            </w:tcBorders>
            <w:shd w:val="clear" w:color="auto" w:fill="auto"/>
            <w:noWrap/>
            <w:vAlign w:val="bottom"/>
            <w:hideMark/>
          </w:tcPr>
          <w:p w14:paraId="11CE4698" w14:textId="77777777" w:rsidR="00132EC0" w:rsidRPr="007467A2" w:rsidRDefault="00132EC0" w:rsidP="00132EC0">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104,778,936</w:t>
            </w:r>
          </w:p>
        </w:tc>
      </w:tr>
      <w:tr w:rsidR="00132EC0" w:rsidRPr="007467A2" w14:paraId="66F36755" w14:textId="77777777" w:rsidTr="00132EC0">
        <w:trPr>
          <w:trHeight w:val="284"/>
        </w:trPr>
        <w:tc>
          <w:tcPr>
            <w:tcW w:w="4655" w:type="dxa"/>
            <w:tcBorders>
              <w:top w:val="nil"/>
              <w:left w:val="single" w:sz="4" w:space="0" w:color="auto"/>
              <w:bottom w:val="single" w:sz="4" w:space="0" w:color="auto"/>
              <w:right w:val="single" w:sz="4" w:space="0" w:color="auto"/>
            </w:tcBorders>
            <w:shd w:val="clear" w:color="auto" w:fill="auto"/>
            <w:noWrap/>
            <w:vAlign w:val="center"/>
            <w:hideMark/>
          </w:tcPr>
          <w:p w14:paraId="3C75E78F" w14:textId="77777777" w:rsidR="00132EC0" w:rsidRPr="007467A2" w:rsidRDefault="00132EC0" w:rsidP="00132EC0">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sobre Hospedaje</w:t>
            </w:r>
          </w:p>
        </w:tc>
        <w:tc>
          <w:tcPr>
            <w:tcW w:w="1889" w:type="dxa"/>
            <w:tcBorders>
              <w:top w:val="nil"/>
              <w:left w:val="nil"/>
              <w:bottom w:val="single" w:sz="4" w:space="0" w:color="auto"/>
              <w:right w:val="single" w:sz="4" w:space="0" w:color="auto"/>
            </w:tcBorders>
            <w:shd w:val="clear" w:color="auto" w:fill="auto"/>
            <w:noWrap/>
            <w:vAlign w:val="bottom"/>
            <w:hideMark/>
          </w:tcPr>
          <w:p w14:paraId="12411C9D" w14:textId="77777777" w:rsidR="00132EC0" w:rsidRPr="007467A2" w:rsidRDefault="00132EC0" w:rsidP="00132EC0">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79,068,061</w:t>
            </w:r>
          </w:p>
        </w:tc>
      </w:tr>
      <w:tr w:rsidR="00132EC0" w:rsidRPr="007467A2" w14:paraId="47450664" w14:textId="77777777" w:rsidTr="00132EC0">
        <w:trPr>
          <w:trHeight w:val="284"/>
        </w:trPr>
        <w:tc>
          <w:tcPr>
            <w:tcW w:w="4655" w:type="dxa"/>
            <w:tcBorders>
              <w:top w:val="nil"/>
              <w:left w:val="single" w:sz="4" w:space="0" w:color="auto"/>
              <w:bottom w:val="single" w:sz="4" w:space="0" w:color="auto"/>
              <w:right w:val="single" w:sz="4" w:space="0" w:color="auto"/>
            </w:tcBorders>
            <w:shd w:val="clear" w:color="auto" w:fill="auto"/>
            <w:noWrap/>
            <w:vAlign w:val="center"/>
            <w:hideMark/>
          </w:tcPr>
          <w:p w14:paraId="22D01FD7" w14:textId="77777777" w:rsidR="00132EC0" w:rsidRPr="007467A2" w:rsidRDefault="00132EC0" w:rsidP="00132EC0">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FITABEC</w:t>
            </w:r>
          </w:p>
        </w:tc>
        <w:tc>
          <w:tcPr>
            <w:tcW w:w="1889" w:type="dxa"/>
            <w:tcBorders>
              <w:top w:val="nil"/>
              <w:left w:val="nil"/>
              <w:bottom w:val="single" w:sz="4" w:space="0" w:color="auto"/>
              <w:right w:val="single" w:sz="4" w:space="0" w:color="auto"/>
            </w:tcBorders>
            <w:shd w:val="clear" w:color="auto" w:fill="auto"/>
            <w:noWrap/>
            <w:vAlign w:val="bottom"/>
            <w:hideMark/>
          </w:tcPr>
          <w:p w14:paraId="25624D87" w14:textId="77777777" w:rsidR="00132EC0" w:rsidRPr="007467A2" w:rsidRDefault="00132EC0" w:rsidP="00132EC0">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59,886,309</w:t>
            </w:r>
          </w:p>
        </w:tc>
      </w:tr>
      <w:tr w:rsidR="00132EC0" w:rsidRPr="007467A2" w14:paraId="6CD5BCBC" w14:textId="77777777" w:rsidTr="00132EC0">
        <w:trPr>
          <w:trHeight w:val="284"/>
        </w:trPr>
        <w:tc>
          <w:tcPr>
            <w:tcW w:w="4655" w:type="dxa"/>
            <w:tcBorders>
              <w:top w:val="nil"/>
              <w:left w:val="single" w:sz="4" w:space="0" w:color="auto"/>
              <w:bottom w:val="single" w:sz="4" w:space="0" w:color="auto"/>
              <w:right w:val="single" w:sz="4" w:space="0" w:color="auto"/>
            </w:tcBorders>
            <w:shd w:val="clear" w:color="auto" w:fill="auto"/>
            <w:noWrap/>
            <w:vAlign w:val="center"/>
            <w:hideMark/>
          </w:tcPr>
          <w:p w14:paraId="3E12F5B5" w14:textId="77777777" w:rsidR="00132EC0" w:rsidRPr="007467A2" w:rsidRDefault="00132EC0" w:rsidP="00132EC0">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Tamaulipas para Cobertura de Precios y Agricultura</w:t>
            </w:r>
          </w:p>
        </w:tc>
        <w:tc>
          <w:tcPr>
            <w:tcW w:w="1889" w:type="dxa"/>
            <w:tcBorders>
              <w:top w:val="nil"/>
              <w:left w:val="nil"/>
              <w:bottom w:val="single" w:sz="4" w:space="0" w:color="auto"/>
              <w:right w:val="single" w:sz="4" w:space="0" w:color="auto"/>
            </w:tcBorders>
            <w:shd w:val="clear" w:color="auto" w:fill="auto"/>
            <w:noWrap/>
            <w:vAlign w:val="bottom"/>
            <w:hideMark/>
          </w:tcPr>
          <w:p w14:paraId="7868F040" w14:textId="77777777" w:rsidR="00132EC0" w:rsidRPr="007467A2" w:rsidRDefault="00132EC0" w:rsidP="00132EC0">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33,906,804</w:t>
            </w:r>
          </w:p>
        </w:tc>
      </w:tr>
      <w:tr w:rsidR="00132EC0" w:rsidRPr="007467A2" w14:paraId="772AD3BD" w14:textId="77777777" w:rsidTr="00132EC0">
        <w:trPr>
          <w:trHeight w:val="284"/>
        </w:trPr>
        <w:tc>
          <w:tcPr>
            <w:tcW w:w="4655" w:type="dxa"/>
            <w:tcBorders>
              <w:top w:val="nil"/>
              <w:left w:val="single" w:sz="4" w:space="0" w:color="auto"/>
              <w:bottom w:val="single" w:sz="4" w:space="0" w:color="auto"/>
              <w:right w:val="single" w:sz="4" w:space="0" w:color="auto"/>
            </w:tcBorders>
            <w:shd w:val="clear" w:color="auto" w:fill="auto"/>
            <w:noWrap/>
            <w:vAlign w:val="center"/>
            <w:hideMark/>
          </w:tcPr>
          <w:p w14:paraId="5EB6714E" w14:textId="77777777" w:rsidR="00132EC0" w:rsidRPr="007467A2" w:rsidRDefault="00132EC0" w:rsidP="00132EC0">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Nuevo Santander</w:t>
            </w:r>
          </w:p>
        </w:tc>
        <w:tc>
          <w:tcPr>
            <w:tcW w:w="1889" w:type="dxa"/>
            <w:tcBorders>
              <w:top w:val="nil"/>
              <w:left w:val="nil"/>
              <w:bottom w:val="single" w:sz="4" w:space="0" w:color="auto"/>
              <w:right w:val="single" w:sz="4" w:space="0" w:color="auto"/>
            </w:tcBorders>
            <w:shd w:val="clear" w:color="auto" w:fill="auto"/>
            <w:noWrap/>
            <w:vAlign w:val="bottom"/>
            <w:hideMark/>
          </w:tcPr>
          <w:p w14:paraId="1825A4AA" w14:textId="77777777" w:rsidR="00132EC0" w:rsidRPr="007467A2" w:rsidRDefault="00132EC0" w:rsidP="00132EC0">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33,511,373</w:t>
            </w:r>
          </w:p>
        </w:tc>
      </w:tr>
    </w:tbl>
    <w:p w14:paraId="474919B2" w14:textId="77777777" w:rsidR="007467A2" w:rsidRDefault="007467A2" w:rsidP="00EC7D22">
      <w:pPr>
        <w:spacing w:after="0" w:line="240" w:lineRule="exact"/>
        <w:jc w:val="both"/>
        <w:rPr>
          <w:rFonts w:eastAsia="Times New Roman" w:cs="Calibri"/>
          <w:i/>
          <w:sz w:val="20"/>
          <w:szCs w:val="20"/>
          <w:lang w:val="es-ES" w:eastAsia="es-ES"/>
        </w:rPr>
      </w:pPr>
    </w:p>
    <w:p w14:paraId="201DFA2C" w14:textId="7BECD7AD" w:rsidR="007467A2" w:rsidRDefault="007467A2" w:rsidP="00EC7D22">
      <w:pPr>
        <w:spacing w:after="0" w:line="220" w:lineRule="exact"/>
        <w:jc w:val="both"/>
        <w:rPr>
          <w:rFonts w:eastAsia="Times New Roman" w:cs="Calibri"/>
          <w:b/>
          <w:sz w:val="20"/>
          <w:szCs w:val="18"/>
          <w:lang w:eastAsia="es-ES"/>
        </w:rPr>
      </w:pPr>
    </w:p>
    <w:p w14:paraId="481B14F0" w14:textId="51FF1639" w:rsidR="00744F9F" w:rsidRDefault="00744F9F" w:rsidP="00EC7D22">
      <w:pPr>
        <w:spacing w:after="0" w:line="220" w:lineRule="exact"/>
        <w:jc w:val="both"/>
        <w:rPr>
          <w:rFonts w:eastAsia="Times New Roman" w:cs="Calibri"/>
          <w:b/>
          <w:sz w:val="20"/>
          <w:szCs w:val="18"/>
          <w:lang w:eastAsia="es-ES"/>
        </w:rPr>
      </w:pPr>
    </w:p>
    <w:p w14:paraId="42047D25" w14:textId="4141D89F" w:rsidR="00744F9F" w:rsidRDefault="00744F9F" w:rsidP="00EC7D22">
      <w:pPr>
        <w:spacing w:after="0" w:line="220" w:lineRule="exact"/>
        <w:jc w:val="both"/>
        <w:rPr>
          <w:rFonts w:eastAsia="Times New Roman" w:cs="Calibri"/>
          <w:b/>
          <w:sz w:val="20"/>
          <w:szCs w:val="18"/>
          <w:lang w:eastAsia="es-ES"/>
        </w:rPr>
      </w:pPr>
    </w:p>
    <w:p w14:paraId="16201FFC" w14:textId="542EF27C" w:rsidR="00744F9F" w:rsidRDefault="00744F9F" w:rsidP="00EC7D22">
      <w:pPr>
        <w:spacing w:after="0" w:line="220" w:lineRule="exact"/>
        <w:jc w:val="both"/>
        <w:rPr>
          <w:rFonts w:eastAsia="Times New Roman" w:cs="Calibri"/>
          <w:b/>
          <w:sz w:val="20"/>
          <w:szCs w:val="18"/>
          <w:lang w:eastAsia="es-ES"/>
        </w:rPr>
      </w:pPr>
    </w:p>
    <w:p w14:paraId="281956CA" w14:textId="6F2351C1" w:rsidR="00744F9F" w:rsidRDefault="00744F9F" w:rsidP="00EC7D22">
      <w:pPr>
        <w:spacing w:after="0" w:line="220" w:lineRule="exact"/>
        <w:jc w:val="both"/>
        <w:rPr>
          <w:rFonts w:eastAsia="Times New Roman" w:cs="Calibri"/>
          <w:b/>
          <w:sz w:val="20"/>
          <w:szCs w:val="18"/>
          <w:lang w:eastAsia="es-ES"/>
        </w:rPr>
      </w:pPr>
    </w:p>
    <w:p w14:paraId="3904592B" w14:textId="76DD8A6E" w:rsidR="00744F9F" w:rsidRDefault="00744F9F" w:rsidP="00EC7D22">
      <w:pPr>
        <w:spacing w:after="0" w:line="220" w:lineRule="exact"/>
        <w:jc w:val="both"/>
        <w:rPr>
          <w:rFonts w:eastAsia="Times New Roman" w:cs="Calibri"/>
          <w:b/>
          <w:sz w:val="20"/>
          <w:szCs w:val="18"/>
          <w:lang w:eastAsia="es-ES"/>
        </w:rPr>
      </w:pPr>
    </w:p>
    <w:p w14:paraId="2C148690" w14:textId="2A7B0BAB" w:rsidR="00744F9F" w:rsidRDefault="00744F9F" w:rsidP="00EC7D22">
      <w:pPr>
        <w:spacing w:after="0" w:line="220" w:lineRule="exact"/>
        <w:jc w:val="both"/>
        <w:rPr>
          <w:rFonts w:eastAsia="Times New Roman" w:cs="Calibri"/>
          <w:b/>
          <w:sz w:val="20"/>
          <w:szCs w:val="18"/>
          <w:lang w:eastAsia="es-ES"/>
        </w:rPr>
      </w:pPr>
    </w:p>
    <w:p w14:paraId="4D7B724A" w14:textId="13DC728D" w:rsidR="00744F9F" w:rsidRDefault="00744F9F" w:rsidP="00EC7D22">
      <w:pPr>
        <w:spacing w:after="0" w:line="220" w:lineRule="exact"/>
        <w:jc w:val="both"/>
        <w:rPr>
          <w:rFonts w:eastAsia="Times New Roman" w:cs="Calibri"/>
          <w:b/>
          <w:sz w:val="20"/>
          <w:szCs w:val="18"/>
          <w:lang w:eastAsia="es-ES"/>
        </w:rPr>
      </w:pPr>
    </w:p>
    <w:p w14:paraId="0B2353C2" w14:textId="6550E65B" w:rsidR="00744F9F" w:rsidRDefault="00744F9F" w:rsidP="00EC7D22">
      <w:pPr>
        <w:spacing w:after="0" w:line="220" w:lineRule="exact"/>
        <w:jc w:val="both"/>
        <w:rPr>
          <w:rFonts w:eastAsia="Times New Roman" w:cs="Calibri"/>
          <w:b/>
          <w:sz w:val="20"/>
          <w:szCs w:val="18"/>
          <w:lang w:eastAsia="es-ES"/>
        </w:rPr>
      </w:pPr>
    </w:p>
    <w:p w14:paraId="6BA229B1" w14:textId="5F81B957" w:rsidR="00744F9F" w:rsidRDefault="00744F9F" w:rsidP="00EC7D22">
      <w:pPr>
        <w:spacing w:after="0" w:line="220" w:lineRule="exact"/>
        <w:jc w:val="both"/>
        <w:rPr>
          <w:rFonts w:eastAsia="Times New Roman" w:cs="Calibri"/>
          <w:b/>
          <w:sz w:val="20"/>
          <w:szCs w:val="18"/>
          <w:lang w:eastAsia="es-ES"/>
        </w:rPr>
      </w:pPr>
    </w:p>
    <w:p w14:paraId="0EB02D21" w14:textId="17BFFB65" w:rsidR="0023369C" w:rsidRDefault="0023369C" w:rsidP="00EC7D22">
      <w:pPr>
        <w:spacing w:after="0" w:line="220" w:lineRule="exact"/>
        <w:jc w:val="both"/>
        <w:rPr>
          <w:rFonts w:eastAsia="Times New Roman" w:cs="Calibri"/>
          <w:b/>
          <w:sz w:val="20"/>
          <w:szCs w:val="18"/>
          <w:lang w:eastAsia="es-ES"/>
        </w:rPr>
      </w:pPr>
    </w:p>
    <w:p w14:paraId="3B1C1235" w14:textId="77777777" w:rsidR="0023369C" w:rsidRPr="00CA1325" w:rsidRDefault="0023369C" w:rsidP="00EC7D22">
      <w:pPr>
        <w:spacing w:after="0" w:line="220" w:lineRule="exact"/>
        <w:jc w:val="both"/>
        <w:rPr>
          <w:rFonts w:eastAsia="Times New Roman" w:cs="Calibri"/>
          <w:b/>
          <w:sz w:val="12"/>
          <w:szCs w:val="18"/>
          <w:lang w:eastAsia="es-ES"/>
        </w:rPr>
      </w:pPr>
    </w:p>
    <w:p w14:paraId="28C31FA9" w14:textId="27B38EA5" w:rsidR="007745EB" w:rsidRDefault="00F26249" w:rsidP="00EC7D22">
      <w:pPr>
        <w:pStyle w:val="Prrafodelista"/>
        <w:spacing w:after="0" w:line="220" w:lineRule="exact"/>
        <w:ind w:left="0"/>
        <w:jc w:val="both"/>
        <w:rPr>
          <w:rFonts w:eastAsia="Times New Roman" w:cs="Calibri"/>
          <w:b/>
          <w:sz w:val="20"/>
          <w:szCs w:val="18"/>
          <w:lang w:eastAsia="es-ES"/>
        </w:rPr>
      </w:pPr>
      <w:r>
        <w:rPr>
          <w:rFonts w:eastAsia="Times New Roman" w:cs="Calibri"/>
          <w:b/>
          <w:sz w:val="20"/>
          <w:szCs w:val="18"/>
          <w:lang w:eastAsia="es-ES"/>
        </w:rPr>
        <w:t>9</w:t>
      </w:r>
      <w:r w:rsidR="00C87FDA">
        <w:rPr>
          <w:rFonts w:eastAsia="Times New Roman" w:cs="Calibri"/>
          <w:b/>
          <w:sz w:val="20"/>
          <w:szCs w:val="18"/>
          <w:lang w:eastAsia="es-ES"/>
        </w:rPr>
        <w:t>. Reporte de la Recaudación</w:t>
      </w:r>
    </w:p>
    <w:p w14:paraId="60A25D80" w14:textId="77777777" w:rsidR="007745EB" w:rsidRDefault="007745EB" w:rsidP="00EC7D22">
      <w:pPr>
        <w:pStyle w:val="Prrafodelista"/>
        <w:spacing w:after="0" w:line="220" w:lineRule="exact"/>
        <w:ind w:left="0"/>
        <w:jc w:val="both"/>
        <w:rPr>
          <w:rFonts w:eastAsia="Times New Roman" w:cs="Calibri"/>
          <w:b/>
          <w:sz w:val="18"/>
          <w:szCs w:val="18"/>
          <w:lang w:eastAsia="es-ES"/>
        </w:rPr>
      </w:pPr>
    </w:p>
    <w:p w14:paraId="4FE9DFCD" w14:textId="738D0E10" w:rsidR="007745EB" w:rsidRDefault="00C87FDA" w:rsidP="00EC7D22">
      <w:pPr>
        <w:pStyle w:val="Prrafodelista"/>
        <w:numPr>
          <w:ilvl w:val="1"/>
          <w:numId w:val="3"/>
        </w:numPr>
        <w:spacing w:after="0" w:line="240" w:lineRule="exact"/>
        <w:ind w:left="0" w:firstLine="0"/>
        <w:jc w:val="both"/>
        <w:rPr>
          <w:rFonts w:eastAsia="Times New Roman" w:cs="Calibri"/>
          <w:sz w:val="20"/>
          <w:szCs w:val="20"/>
          <w:lang w:val="es-ES" w:eastAsia="es-ES"/>
        </w:rPr>
      </w:pPr>
      <w:r w:rsidRPr="002E7B94">
        <w:rPr>
          <w:rFonts w:eastAsia="Times New Roman" w:cs="Calibri"/>
          <w:sz w:val="20"/>
          <w:szCs w:val="20"/>
          <w:lang w:val="es-ES" w:eastAsia="es-ES"/>
        </w:rPr>
        <w:t xml:space="preserve">Análisis del comportamiento de la Recaudación correspondiente </w:t>
      </w:r>
      <w:r w:rsidR="00A021E4">
        <w:rPr>
          <w:rFonts w:eastAsia="Times New Roman" w:cs="Calibri"/>
          <w:sz w:val="20"/>
          <w:szCs w:val="20"/>
          <w:lang w:val="es-ES" w:eastAsia="es-ES"/>
        </w:rPr>
        <w:t>ejercicio</w:t>
      </w:r>
      <w:r w:rsidRPr="002E7B94">
        <w:rPr>
          <w:rFonts w:eastAsia="Times New Roman" w:cs="Calibri"/>
          <w:sz w:val="20"/>
          <w:szCs w:val="20"/>
          <w:lang w:val="es-ES" w:eastAsia="es-ES"/>
        </w:rPr>
        <w:t xml:space="preserve"> 2024.</w:t>
      </w:r>
    </w:p>
    <w:tbl>
      <w:tblPr>
        <w:tblW w:w="8897" w:type="dxa"/>
        <w:tblCellMar>
          <w:left w:w="70" w:type="dxa"/>
          <w:right w:w="70" w:type="dxa"/>
        </w:tblCellMar>
        <w:tblLook w:val="04A0" w:firstRow="1" w:lastRow="0" w:firstColumn="1" w:lastColumn="0" w:noHBand="0" w:noVBand="1"/>
      </w:tblPr>
      <w:tblGrid>
        <w:gridCol w:w="3256"/>
        <w:gridCol w:w="1594"/>
        <w:gridCol w:w="1594"/>
        <w:gridCol w:w="1277"/>
        <w:gridCol w:w="1176"/>
      </w:tblGrid>
      <w:tr w:rsidR="00AC3B58" w:rsidRPr="00AC3B58" w14:paraId="0C8ED388" w14:textId="77777777" w:rsidTr="00CA1325">
        <w:trPr>
          <w:trHeight w:val="369"/>
        </w:trPr>
        <w:tc>
          <w:tcPr>
            <w:tcW w:w="3256"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4EC62E58" w14:textId="77777777" w:rsidR="00AC3B58" w:rsidRPr="00AC3B58" w:rsidRDefault="00AC3B58" w:rsidP="00EC7D22">
            <w:pPr>
              <w:suppressAutoHyphens w:val="0"/>
              <w:overflowPunct/>
              <w:spacing w:after="0" w:line="240" w:lineRule="auto"/>
              <w:jc w:val="center"/>
              <w:rPr>
                <w:rFonts w:eastAsia="Times New Roman" w:cs="Calibri"/>
                <w:b/>
                <w:bCs/>
                <w:color w:val="FFFFFF"/>
                <w:sz w:val="16"/>
                <w:szCs w:val="16"/>
                <w:lang w:eastAsia="es-MX"/>
              </w:rPr>
            </w:pPr>
            <w:r w:rsidRPr="00AC3B58">
              <w:rPr>
                <w:rFonts w:eastAsia="Times New Roman" w:cs="Calibri"/>
                <w:b/>
                <w:bCs/>
                <w:color w:val="FFFFFF"/>
                <w:sz w:val="16"/>
                <w:szCs w:val="16"/>
                <w:lang w:eastAsia="es-MX"/>
              </w:rPr>
              <w:t>Concepto</w:t>
            </w:r>
          </w:p>
        </w:tc>
        <w:tc>
          <w:tcPr>
            <w:tcW w:w="1594" w:type="dxa"/>
            <w:tcBorders>
              <w:top w:val="single" w:sz="8" w:space="0" w:color="auto"/>
              <w:left w:val="nil"/>
              <w:bottom w:val="single" w:sz="8" w:space="0" w:color="auto"/>
              <w:right w:val="single" w:sz="8" w:space="0" w:color="auto"/>
            </w:tcBorders>
            <w:shd w:val="clear" w:color="000000" w:fill="AB0033"/>
            <w:vAlign w:val="center"/>
            <w:hideMark/>
          </w:tcPr>
          <w:p w14:paraId="23ECD71D" w14:textId="77777777" w:rsidR="00AC3B58" w:rsidRPr="00AC3B58" w:rsidRDefault="00AC3B58" w:rsidP="00EC7D22">
            <w:pPr>
              <w:suppressAutoHyphens w:val="0"/>
              <w:overflowPunct/>
              <w:spacing w:after="0" w:line="240" w:lineRule="auto"/>
              <w:jc w:val="center"/>
              <w:rPr>
                <w:rFonts w:eastAsia="Times New Roman" w:cs="Calibri"/>
                <w:b/>
                <w:bCs/>
                <w:color w:val="FFFFFF"/>
                <w:sz w:val="16"/>
                <w:szCs w:val="16"/>
                <w:lang w:eastAsia="es-MX"/>
              </w:rPr>
            </w:pPr>
            <w:r w:rsidRPr="00AC3B58">
              <w:rPr>
                <w:rFonts w:eastAsia="Times New Roman" w:cs="Calibri"/>
                <w:b/>
                <w:bCs/>
                <w:color w:val="FFFFFF"/>
                <w:sz w:val="16"/>
                <w:szCs w:val="16"/>
                <w:lang w:eastAsia="es-MX"/>
              </w:rPr>
              <w:t>Ejercicio 2024</w:t>
            </w:r>
          </w:p>
        </w:tc>
        <w:tc>
          <w:tcPr>
            <w:tcW w:w="1594" w:type="dxa"/>
            <w:tcBorders>
              <w:top w:val="single" w:sz="8" w:space="0" w:color="auto"/>
              <w:left w:val="nil"/>
              <w:bottom w:val="single" w:sz="8" w:space="0" w:color="auto"/>
              <w:right w:val="single" w:sz="8" w:space="0" w:color="auto"/>
            </w:tcBorders>
            <w:shd w:val="clear" w:color="000000" w:fill="AB0033"/>
            <w:vAlign w:val="center"/>
            <w:hideMark/>
          </w:tcPr>
          <w:p w14:paraId="500531A6" w14:textId="77777777" w:rsidR="00AC3B58" w:rsidRPr="00AC3B58" w:rsidRDefault="00AC3B58" w:rsidP="00EC7D22">
            <w:pPr>
              <w:suppressAutoHyphens w:val="0"/>
              <w:overflowPunct/>
              <w:spacing w:after="0" w:line="240" w:lineRule="auto"/>
              <w:jc w:val="center"/>
              <w:rPr>
                <w:rFonts w:eastAsia="Times New Roman" w:cs="Calibri"/>
                <w:b/>
                <w:bCs/>
                <w:color w:val="FFFFFF"/>
                <w:sz w:val="16"/>
                <w:szCs w:val="16"/>
                <w:lang w:eastAsia="es-MX"/>
              </w:rPr>
            </w:pPr>
            <w:r w:rsidRPr="00AC3B58">
              <w:rPr>
                <w:rFonts w:eastAsia="Times New Roman" w:cs="Calibri"/>
                <w:b/>
                <w:bCs/>
                <w:color w:val="FFFFFF"/>
                <w:sz w:val="16"/>
                <w:szCs w:val="16"/>
                <w:lang w:eastAsia="es-MX"/>
              </w:rPr>
              <w:t>Ejercicio 2023</w:t>
            </w:r>
          </w:p>
        </w:tc>
        <w:tc>
          <w:tcPr>
            <w:tcW w:w="1277"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724E9D65" w14:textId="77777777" w:rsidR="00AC3B58" w:rsidRPr="00AC3B58" w:rsidRDefault="00AC3B58" w:rsidP="00EC7D22">
            <w:pPr>
              <w:suppressAutoHyphens w:val="0"/>
              <w:overflowPunct/>
              <w:spacing w:after="0" w:line="240" w:lineRule="auto"/>
              <w:jc w:val="center"/>
              <w:rPr>
                <w:rFonts w:eastAsia="Times New Roman" w:cs="Calibri"/>
                <w:b/>
                <w:bCs/>
                <w:color w:val="FFFFFF"/>
                <w:sz w:val="16"/>
                <w:szCs w:val="16"/>
                <w:lang w:eastAsia="es-MX"/>
              </w:rPr>
            </w:pPr>
            <w:r w:rsidRPr="00AC3B58">
              <w:rPr>
                <w:rFonts w:eastAsia="Times New Roman" w:cs="Calibri"/>
                <w:b/>
                <w:bCs/>
                <w:color w:val="FFFFFF"/>
                <w:sz w:val="16"/>
                <w:szCs w:val="16"/>
                <w:lang w:eastAsia="es-MX"/>
              </w:rPr>
              <w:t>Variación</w:t>
            </w:r>
          </w:p>
        </w:tc>
        <w:tc>
          <w:tcPr>
            <w:tcW w:w="1176" w:type="dxa"/>
            <w:tcBorders>
              <w:top w:val="single" w:sz="4" w:space="0" w:color="auto"/>
              <w:left w:val="nil"/>
              <w:bottom w:val="single" w:sz="4" w:space="0" w:color="auto"/>
              <w:right w:val="single" w:sz="4" w:space="0" w:color="auto"/>
            </w:tcBorders>
            <w:shd w:val="clear" w:color="800080" w:fill="A90025"/>
            <w:vAlign w:val="center"/>
            <w:hideMark/>
          </w:tcPr>
          <w:p w14:paraId="4CF921B4" w14:textId="77777777" w:rsidR="00AC3B58" w:rsidRPr="00AC3B58" w:rsidRDefault="00AC3B58" w:rsidP="00EC7D22">
            <w:pPr>
              <w:suppressAutoHyphens w:val="0"/>
              <w:overflowPunct/>
              <w:spacing w:after="0" w:line="240" w:lineRule="auto"/>
              <w:jc w:val="center"/>
              <w:rPr>
                <w:rFonts w:eastAsia="Times New Roman" w:cs="Calibri"/>
                <w:b/>
                <w:bCs/>
                <w:color w:val="FFFFFF"/>
                <w:sz w:val="16"/>
                <w:szCs w:val="16"/>
                <w:lang w:eastAsia="es-MX"/>
              </w:rPr>
            </w:pPr>
            <w:r w:rsidRPr="00AC3B58">
              <w:rPr>
                <w:rFonts w:eastAsia="Times New Roman" w:cs="Calibri"/>
                <w:b/>
                <w:bCs/>
                <w:color w:val="FFFFFF"/>
                <w:sz w:val="16"/>
                <w:szCs w:val="16"/>
                <w:lang w:eastAsia="es-MX"/>
              </w:rPr>
              <w:t>Porcentaje</w:t>
            </w:r>
          </w:p>
        </w:tc>
      </w:tr>
      <w:tr w:rsidR="00AC3B58" w:rsidRPr="00AC3B58" w14:paraId="492D54CE" w14:textId="77777777" w:rsidTr="00CA1325">
        <w:trPr>
          <w:trHeight w:val="300"/>
        </w:trPr>
        <w:tc>
          <w:tcPr>
            <w:tcW w:w="3256" w:type="dxa"/>
            <w:tcBorders>
              <w:top w:val="nil"/>
              <w:left w:val="single" w:sz="4" w:space="0" w:color="auto"/>
              <w:bottom w:val="single" w:sz="4" w:space="0" w:color="auto"/>
              <w:right w:val="single" w:sz="4" w:space="0" w:color="auto"/>
            </w:tcBorders>
            <w:shd w:val="clear" w:color="DBDBDB" w:fill="D9D9D9"/>
            <w:noWrap/>
            <w:vAlign w:val="center"/>
            <w:hideMark/>
          </w:tcPr>
          <w:p w14:paraId="5E55B36A" w14:textId="77777777" w:rsidR="00AC3B58" w:rsidRPr="00AC3B58" w:rsidRDefault="00AC3B58" w:rsidP="00EC7D22">
            <w:pPr>
              <w:suppressAutoHyphens w:val="0"/>
              <w:overflowPunct/>
              <w:spacing w:after="0" w:line="240" w:lineRule="auto"/>
              <w:rPr>
                <w:rFonts w:eastAsia="Times New Roman" w:cs="Calibri"/>
                <w:b/>
                <w:bCs/>
                <w:color w:val="000000"/>
                <w:sz w:val="16"/>
                <w:szCs w:val="16"/>
                <w:lang w:eastAsia="es-MX"/>
              </w:rPr>
            </w:pPr>
            <w:r w:rsidRPr="00AC3B58">
              <w:rPr>
                <w:rFonts w:eastAsia="Times New Roman" w:cs="Calibri"/>
                <w:b/>
                <w:bCs/>
                <w:color w:val="000000"/>
                <w:sz w:val="16"/>
                <w:szCs w:val="16"/>
                <w:lang w:eastAsia="es-MX"/>
              </w:rPr>
              <w:t xml:space="preserve"> Ingresos Propios </w:t>
            </w:r>
          </w:p>
        </w:tc>
        <w:tc>
          <w:tcPr>
            <w:tcW w:w="1594" w:type="dxa"/>
            <w:tcBorders>
              <w:top w:val="single" w:sz="4" w:space="0" w:color="auto"/>
              <w:left w:val="nil"/>
              <w:bottom w:val="single" w:sz="4" w:space="0" w:color="auto"/>
              <w:right w:val="single" w:sz="4" w:space="0" w:color="auto"/>
            </w:tcBorders>
            <w:shd w:val="clear" w:color="DBDBDB" w:fill="D9D9D9"/>
            <w:noWrap/>
            <w:vAlign w:val="center"/>
            <w:hideMark/>
          </w:tcPr>
          <w:p w14:paraId="18D0CD64" w14:textId="77777777" w:rsidR="00AC3B58" w:rsidRPr="00AC3B58" w:rsidRDefault="00AC3B58" w:rsidP="00EC7D22">
            <w:pPr>
              <w:suppressAutoHyphens w:val="0"/>
              <w:overflowPunct/>
              <w:spacing w:after="0" w:line="240" w:lineRule="auto"/>
              <w:jc w:val="right"/>
              <w:rPr>
                <w:rFonts w:eastAsia="Times New Roman" w:cs="Calibri"/>
                <w:b/>
                <w:bCs/>
                <w:color w:val="000000"/>
                <w:sz w:val="16"/>
                <w:szCs w:val="16"/>
                <w:lang w:eastAsia="es-MX"/>
              </w:rPr>
            </w:pPr>
            <w:r w:rsidRPr="00AC3B58">
              <w:rPr>
                <w:rFonts w:eastAsia="Times New Roman" w:cs="Calibri"/>
                <w:b/>
                <w:bCs/>
                <w:color w:val="000000"/>
                <w:sz w:val="16"/>
                <w:szCs w:val="16"/>
                <w:lang w:eastAsia="es-MX"/>
              </w:rPr>
              <w:t>12,248,083,316</w:t>
            </w:r>
          </w:p>
        </w:tc>
        <w:tc>
          <w:tcPr>
            <w:tcW w:w="1594" w:type="dxa"/>
            <w:tcBorders>
              <w:top w:val="single" w:sz="4" w:space="0" w:color="auto"/>
              <w:left w:val="nil"/>
              <w:bottom w:val="single" w:sz="4" w:space="0" w:color="auto"/>
              <w:right w:val="single" w:sz="4" w:space="0" w:color="auto"/>
            </w:tcBorders>
            <w:shd w:val="clear" w:color="DBDBDB" w:fill="D9D9D9"/>
            <w:noWrap/>
            <w:vAlign w:val="center"/>
            <w:hideMark/>
          </w:tcPr>
          <w:p w14:paraId="1D642DAD" w14:textId="77777777" w:rsidR="00AC3B58" w:rsidRPr="00AC3B58" w:rsidRDefault="00AC3B58" w:rsidP="00EC7D22">
            <w:pPr>
              <w:suppressAutoHyphens w:val="0"/>
              <w:overflowPunct/>
              <w:spacing w:after="0" w:line="240" w:lineRule="auto"/>
              <w:jc w:val="right"/>
              <w:rPr>
                <w:rFonts w:eastAsia="Times New Roman" w:cs="Calibri"/>
                <w:b/>
                <w:bCs/>
                <w:color w:val="000000"/>
                <w:sz w:val="16"/>
                <w:szCs w:val="16"/>
                <w:lang w:eastAsia="es-MX"/>
              </w:rPr>
            </w:pPr>
            <w:r w:rsidRPr="00AC3B58">
              <w:rPr>
                <w:rFonts w:eastAsia="Times New Roman" w:cs="Calibri"/>
                <w:b/>
                <w:bCs/>
                <w:color w:val="000000"/>
                <w:sz w:val="16"/>
                <w:szCs w:val="16"/>
                <w:lang w:eastAsia="es-MX"/>
              </w:rPr>
              <w:t>10,800,227,641</w:t>
            </w:r>
          </w:p>
        </w:tc>
        <w:tc>
          <w:tcPr>
            <w:tcW w:w="1277" w:type="dxa"/>
            <w:tcBorders>
              <w:top w:val="nil"/>
              <w:left w:val="nil"/>
              <w:bottom w:val="single" w:sz="4" w:space="0" w:color="auto"/>
              <w:right w:val="single" w:sz="4" w:space="0" w:color="auto"/>
            </w:tcBorders>
            <w:shd w:val="clear" w:color="DBDBDB" w:fill="D9D9D9"/>
            <w:noWrap/>
            <w:vAlign w:val="center"/>
            <w:hideMark/>
          </w:tcPr>
          <w:p w14:paraId="2739101A" w14:textId="77777777" w:rsidR="00AC3B58" w:rsidRPr="00AC3B58" w:rsidRDefault="00AC3B58" w:rsidP="00EC7D22">
            <w:pPr>
              <w:suppressAutoHyphens w:val="0"/>
              <w:overflowPunct/>
              <w:spacing w:after="0" w:line="240" w:lineRule="auto"/>
              <w:jc w:val="right"/>
              <w:rPr>
                <w:rFonts w:eastAsia="Times New Roman" w:cs="Calibri"/>
                <w:b/>
                <w:bCs/>
                <w:color w:val="000000"/>
                <w:sz w:val="16"/>
                <w:szCs w:val="16"/>
                <w:lang w:eastAsia="es-MX"/>
              </w:rPr>
            </w:pPr>
            <w:r w:rsidRPr="00AC3B58">
              <w:rPr>
                <w:rFonts w:eastAsia="Times New Roman" w:cs="Calibri"/>
                <w:b/>
                <w:bCs/>
                <w:color w:val="000000"/>
                <w:sz w:val="16"/>
                <w:szCs w:val="16"/>
                <w:lang w:eastAsia="es-MX"/>
              </w:rPr>
              <w:t>1,447,855,675</w:t>
            </w:r>
          </w:p>
        </w:tc>
        <w:tc>
          <w:tcPr>
            <w:tcW w:w="1176" w:type="dxa"/>
            <w:tcBorders>
              <w:top w:val="nil"/>
              <w:left w:val="nil"/>
              <w:bottom w:val="single" w:sz="4" w:space="0" w:color="auto"/>
              <w:right w:val="single" w:sz="4" w:space="0" w:color="auto"/>
            </w:tcBorders>
            <w:shd w:val="clear" w:color="DBDBDB" w:fill="D9D9D9"/>
            <w:noWrap/>
            <w:vAlign w:val="center"/>
            <w:hideMark/>
          </w:tcPr>
          <w:p w14:paraId="532B8F82" w14:textId="77777777" w:rsidR="00AC3B58" w:rsidRPr="00AC3B58" w:rsidRDefault="00AC3B58" w:rsidP="00EC7D22">
            <w:pPr>
              <w:suppressAutoHyphens w:val="0"/>
              <w:overflowPunct/>
              <w:spacing w:after="0" w:line="240" w:lineRule="auto"/>
              <w:jc w:val="right"/>
              <w:rPr>
                <w:rFonts w:eastAsia="Times New Roman" w:cs="Calibri"/>
                <w:b/>
                <w:bCs/>
                <w:color w:val="000000"/>
                <w:sz w:val="16"/>
                <w:szCs w:val="16"/>
                <w:lang w:eastAsia="es-MX"/>
              </w:rPr>
            </w:pPr>
            <w:r w:rsidRPr="00AC3B58">
              <w:rPr>
                <w:rFonts w:eastAsia="Times New Roman" w:cs="Calibri"/>
                <w:b/>
                <w:bCs/>
                <w:color w:val="000000"/>
                <w:sz w:val="16"/>
                <w:szCs w:val="16"/>
                <w:lang w:eastAsia="es-MX"/>
              </w:rPr>
              <w:t>13.41%</w:t>
            </w:r>
          </w:p>
        </w:tc>
      </w:tr>
      <w:tr w:rsidR="00AC3B58" w:rsidRPr="00AC3B58" w14:paraId="57B5CC5D"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B1B2FDC"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Impuestos </w:t>
            </w:r>
          </w:p>
        </w:tc>
        <w:tc>
          <w:tcPr>
            <w:tcW w:w="1594" w:type="dxa"/>
            <w:tcBorders>
              <w:top w:val="nil"/>
              <w:left w:val="nil"/>
              <w:bottom w:val="single" w:sz="4" w:space="0" w:color="auto"/>
              <w:right w:val="single" w:sz="4" w:space="0" w:color="auto"/>
            </w:tcBorders>
            <w:shd w:val="clear" w:color="F2F2F2" w:fill="FFFFFF"/>
            <w:noWrap/>
            <w:vAlign w:val="center"/>
            <w:hideMark/>
          </w:tcPr>
          <w:p w14:paraId="0D0800A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6,984,595,420</w:t>
            </w:r>
          </w:p>
        </w:tc>
        <w:tc>
          <w:tcPr>
            <w:tcW w:w="1594" w:type="dxa"/>
            <w:tcBorders>
              <w:top w:val="nil"/>
              <w:left w:val="nil"/>
              <w:bottom w:val="single" w:sz="4" w:space="0" w:color="auto"/>
              <w:right w:val="single" w:sz="4" w:space="0" w:color="auto"/>
            </w:tcBorders>
            <w:shd w:val="clear" w:color="F2F2F2" w:fill="FFFFFF"/>
            <w:noWrap/>
            <w:vAlign w:val="center"/>
            <w:hideMark/>
          </w:tcPr>
          <w:p w14:paraId="070D2E7B"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6,288,674,966</w:t>
            </w:r>
          </w:p>
        </w:tc>
        <w:tc>
          <w:tcPr>
            <w:tcW w:w="1277" w:type="dxa"/>
            <w:tcBorders>
              <w:top w:val="nil"/>
              <w:left w:val="nil"/>
              <w:bottom w:val="single" w:sz="4" w:space="0" w:color="auto"/>
              <w:right w:val="single" w:sz="4" w:space="0" w:color="auto"/>
            </w:tcBorders>
            <w:shd w:val="clear" w:color="auto" w:fill="auto"/>
            <w:noWrap/>
            <w:vAlign w:val="center"/>
            <w:hideMark/>
          </w:tcPr>
          <w:p w14:paraId="1FBCE02E"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695,920,454</w:t>
            </w:r>
          </w:p>
        </w:tc>
        <w:tc>
          <w:tcPr>
            <w:tcW w:w="1176" w:type="dxa"/>
            <w:tcBorders>
              <w:top w:val="nil"/>
              <w:left w:val="nil"/>
              <w:bottom w:val="single" w:sz="4" w:space="0" w:color="auto"/>
              <w:right w:val="single" w:sz="4" w:space="0" w:color="auto"/>
            </w:tcBorders>
            <w:shd w:val="clear" w:color="auto" w:fill="auto"/>
            <w:noWrap/>
            <w:vAlign w:val="center"/>
            <w:hideMark/>
          </w:tcPr>
          <w:p w14:paraId="2BF100BB"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11.07%</w:t>
            </w:r>
          </w:p>
        </w:tc>
      </w:tr>
      <w:tr w:rsidR="00AC3B58" w:rsidRPr="00AC3B58" w14:paraId="0CDEFAFC"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46E0218"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Contribuciones y Aportaciones de Seguridad Social </w:t>
            </w:r>
          </w:p>
        </w:tc>
        <w:tc>
          <w:tcPr>
            <w:tcW w:w="1594" w:type="dxa"/>
            <w:tcBorders>
              <w:top w:val="nil"/>
              <w:left w:val="nil"/>
              <w:bottom w:val="single" w:sz="4" w:space="0" w:color="auto"/>
              <w:right w:val="single" w:sz="4" w:space="0" w:color="auto"/>
            </w:tcBorders>
            <w:shd w:val="clear" w:color="F2F2F2" w:fill="FFFFFF"/>
            <w:noWrap/>
            <w:vAlign w:val="center"/>
            <w:hideMark/>
          </w:tcPr>
          <w:p w14:paraId="3B534BA7"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w:t>
            </w:r>
          </w:p>
        </w:tc>
        <w:tc>
          <w:tcPr>
            <w:tcW w:w="1594" w:type="dxa"/>
            <w:tcBorders>
              <w:top w:val="nil"/>
              <w:left w:val="nil"/>
              <w:bottom w:val="single" w:sz="4" w:space="0" w:color="auto"/>
              <w:right w:val="single" w:sz="4" w:space="0" w:color="auto"/>
            </w:tcBorders>
            <w:shd w:val="clear" w:color="F2F2F2" w:fill="FFFFFF"/>
            <w:noWrap/>
            <w:vAlign w:val="center"/>
            <w:hideMark/>
          </w:tcPr>
          <w:p w14:paraId="058A261B"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w:t>
            </w:r>
          </w:p>
        </w:tc>
        <w:tc>
          <w:tcPr>
            <w:tcW w:w="1277" w:type="dxa"/>
            <w:tcBorders>
              <w:top w:val="nil"/>
              <w:left w:val="nil"/>
              <w:bottom w:val="single" w:sz="4" w:space="0" w:color="auto"/>
              <w:right w:val="single" w:sz="4" w:space="0" w:color="auto"/>
            </w:tcBorders>
            <w:shd w:val="clear" w:color="auto" w:fill="auto"/>
            <w:noWrap/>
            <w:vAlign w:val="center"/>
            <w:hideMark/>
          </w:tcPr>
          <w:p w14:paraId="1FE48485"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w:t>
            </w:r>
          </w:p>
        </w:tc>
        <w:tc>
          <w:tcPr>
            <w:tcW w:w="1176" w:type="dxa"/>
            <w:tcBorders>
              <w:top w:val="nil"/>
              <w:left w:val="nil"/>
              <w:bottom w:val="single" w:sz="4" w:space="0" w:color="auto"/>
              <w:right w:val="single" w:sz="4" w:space="0" w:color="auto"/>
            </w:tcBorders>
            <w:shd w:val="clear" w:color="auto" w:fill="auto"/>
            <w:noWrap/>
            <w:vAlign w:val="center"/>
            <w:hideMark/>
          </w:tcPr>
          <w:p w14:paraId="1CBCAA5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0.00%</w:t>
            </w:r>
          </w:p>
        </w:tc>
      </w:tr>
      <w:tr w:rsidR="00AC3B58" w:rsidRPr="00AC3B58" w14:paraId="26E930FE"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14F5E4D"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Contribuciones de Mejoras</w:t>
            </w:r>
          </w:p>
        </w:tc>
        <w:tc>
          <w:tcPr>
            <w:tcW w:w="1594" w:type="dxa"/>
            <w:tcBorders>
              <w:top w:val="nil"/>
              <w:left w:val="nil"/>
              <w:bottom w:val="single" w:sz="4" w:space="0" w:color="auto"/>
              <w:right w:val="single" w:sz="4" w:space="0" w:color="auto"/>
            </w:tcBorders>
            <w:shd w:val="clear" w:color="F2F2F2" w:fill="FFFFFF"/>
            <w:noWrap/>
            <w:vAlign w:val="center"/>
            <w:hideMark/>
          </w:tcPr>
          <w:p w14:paraId="3CE19820"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w:t>
            </w:r>
          </w:p>
        </w:tc>
        <w:tc>
          <w:tcPr>
            <w:tcW w:w="1594" w:type="dxa"/>
            <w:tcBorders>
              <w:top w:val="nil"/>
              <w:left w:val="nil"/>
              <w:bottom w:val="single" w:sz="4" w:space="0" w:color="auto"/>
              <w:right w:val="single" w:sz="4" w:space="0" w:color="auto"/>
            </w:tcBorders>
            <w:shd w:val="clear" w:color="F2F2F2" w:fill="FFFFFF"/>
            <w:noWrap/>
            <w:vAlign w:val="center"/>
            <w:hideMark/>
          </w:tcPr>
          <w:p w14:paraId="3595C989"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w:t>
            </w:r>
          </w:p>
        </w:tc>
        <w:tc>
          <w:tcPr>
            <w:tcW w:w="1277" w:type="dxa"/>
            <w:tcBorders>
              <w:top w:val="nil"/>
              <w:left w:val="nil"/>
              <w:bottom w:val="single" w:sz="4" w:space="0" w:color="auto"/>
              <w:right w:val="single" w:sz="4" w:space="0" w:color="auto"/>
            </w:tcBorders>
            <w:shd w:val="clear" w:color="auto" w:fill="auto"/>
            <w:noWrap/>
            <w:vAlign w:val="center"/>
            <w:hideMark/>
          </w:tcPr>
          <w:p w14:paraId="4E61524D"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w:t>
            </w:r>
          </w:p>
        </w:tc>
        <w:tc>
          <w:tcPr>
            <w:tcW w:w="1176" w:type="dxa"/>
            <w:tcBorders>
              <w:top w:val="nil"/>
              <w:left w:val="nil"/>
              <w:bottom w:val="single" w:sz="4" w:space="0" w:color="auto"/>
              <w:right w:val="single" w:sz="4" w:space="0" w:color="auto"/>
            </w:tcBorders>
            <w:shd w:val="clear" w:color="auto" w:fill="auto"/>
            <w:noWrap/>
            <w:vAlign w:val="center"/>
            <w:hideMark/>
          </w:tcPr>
          <w:p w14:paraId="069F4365"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0.00%</w:t>
            </w:r>
          </w:p>
        </w:tc>
      </w:tr>
      <w:tr w:rsidR="00AC3B58" w:rsidRPr="00AC3B58" w14:paraId="2DC4A953"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B0935B2"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Derechos </w:t>
            </w:r>
          </w:p>
        </w:tc>
        <w:tc>
          <w:tcPr>
            <w:tcW w:w="1594" w:type="dxa"/>
            <w:tcBorders>
              <w:top w:val="nil"/>
              <w:left w:val="nil"/>
              <w:bottom w:val="single" w:sz="4" w:space="0" w:color="auto"/>
              <w:right w:val="single" w:sz="4" w:space="0" w:color="auto"/>
            </w:tcBorders>
            <w:shd w:val="clear" w:color="F2F2F2" w:fill="FFFFFF"/>
            <w:noWrap/>
            <w:vAlign w:val="center"/>
            <w:hideMark/>
          </w:tcPr>
          <w:p w14:paraId="0B5DDB10"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3,331,765,359</w:t>
            </w:r>
          </w:p>
        </w:tc>
        <w:tc>
          <w:tcPr>
            <w:tcW w:w="1594" w:type="dxa"/>
            <w:tcBorders>
              <w:top w:val="nil"/>
              <w:left w:val="nil"/>
              <w:bottom w:val="single" w:sz="4" w:space="0" w:color="auto"/>
              <w:right w:val="single" w:sz="4" w:space="0" w:color="auto"/>
            </w:tcBorders>
            <w:shd w:val="clear" w:color="F2F2F2" w:fill="FFFFFF"/>
            <w:noWrap/>
            <w:vAlign w:val="center"/>
            <w:hideMark/>
          </w:tcPr>
          <w:p w14:paraId="2AA9AFC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3,078,237,756</w:t>
            </w:r>
          </w:p>
        </w:tc>
        <w:tc>
          <w:tcPr>
            <w:tcW w:w="1277" w:type="dxa"/>
            <w:tcBorders>
              <w:top w:val="nil"/>
              <w:left w:val="nil"/>
              <w:bottom w:val="single" w:sz="4" w:space="0" w:color="auto"/>
              <w:right w:val="single" w:sz="4" w:space="0" w:color="auto"/>
            </w:tcBorders>
            <w:shd w:val="clear" w:color="auto" w:fill="auto"/>
            <w:noWrap/>
            <w:vAlign w:val="center"/>
            <w:hideMark/>
          </w:tcPr>
          <w:p w14:paraId="4AC9639F"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253,527,603</w:t>
            </w:r>
          </w:p>
        </w:tc>
        <w:tc>
          <w:tcPr>
            <w:tcW w:w="1176" w:type="dxa"/>
            <w:tcBorders>
              <w:top w:val="nil"/>
              <w:left w:val="nil"/>
              <w:bottom w:val="single" w:sz="4" w:space="0" w:color="auto"/>
              <w:right w:val="single" w:sz="4" w:space="0" w:color="auto"/>
            </w:tcBorders>
            <w:shd w:val="clear" w:color="auto" w:fill="auto"/>
            <w:noWrap/>
            <w:vAlign w:val="center"/>
            <w:hideMark/>
          </w:tcPr>
          <w:p w14:paraId="2AFFAE0B"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8.24%</w:t>
            </w:r>
          </w:p>
        </w:tc>
      </w:tr>
      <w:tr w:rsidR="00AC3B58" w:rsidRPr="00AC3B58" w14:paraId="3403F0C2"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CA09A02"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Productos </w:t>
            </w:r>
          </w:p>
        </w:tc>
        <w:tc>
          <w:tcPr>
            <w:tcW w:w="1594" w:type="dxa"/>
            <w:tcBorders>
              <w:top w:val="nil"/>
              <w:left w:val="nil"/>
              <w:bottom w:val="single" w:sz="4" w:space="0" w:color="auto"/>
              <w:right w:val="single" w:sz="4" w:space="0" w:color="auto"/>
            </w:tcBorders>
            <w:shd w:val="clear" w:color="auto" w:fill="auto"/>
            <w:noWrap/>
            <w:vAlign w:val="center"/>
            <w:hideMark/>
          </w:tcPr>
          <w:p w14:paraId="68413C2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717,238,833</w:t>
            </w:r>
          </w:p>
        </w:tc>
        <w:tc>
          <w:tcPr>
            <w:tcW w:w="1594" w:type="dxa"/>
            <w:tcBorders>
              <w:top w:val="nil"/>
              <w:left w:val="nil"/>
              <w:bottom w:val="single" w:sz="4" w:space="0" w:color="auto"/>
              <w:right w:val="single" w:sz="4" w:space="0" w:color="auto"/>
            </w:tcBorders>
            <w:shd w:val="clear" w:color="F2F2F2" w:fill="FFFFFF"/>
            <w:noWrap/>
            <w:vAlign w:val="center"/>
            <w:hideMark/>
          </w:tcPr>
          <w:p w14:paraId="29ADA712"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686,420,530</w:t>
            </w:r>
          </w:p>
        </w:tc>
        <w:tc>
          <w:tcPr>
            <w:tcW w:w="1277" w:type="dxa"/>
            <w:tcBorders>
              <w:top w:val="nil"/>
              <w:left w:val="nil"/>
              <w:bottom w:val="single" w:sz="4" w:space="0" w:color="auto"/>
              <w:right w:val="single" w:sz="4" w:space="0" w:color="auto"/>
            </w:tcBorders>
            <w:shd w:val="clear" w:color="auto" w:fill="auto"/>
            <w:noWrap/>
            <w:vAlign w:val="center"/>
            <w:hideMark/>
          </w:tcPr>
          <w:p w14:paraId="05EF1D8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30,818,303</w:t>
            </w:r>
          </w:p>
        </w:tc>
        <w:tc>
          <w:tcPr>
            <w:tcW w:w="1176" w:type="dxa"/>
            <w:tcBorders>
              <w:top w:val="nil"/>
              <w:left w:val="nil"/>
              <w:bottom w:val="single" w:sz="4" w:space="0" w:color="auto"/>
              <w:right w:val="single" w:sz="4" w:space="0" w:color="auto"/>
            </w:tcBorders>
            <w:shd w:val="clear" w:color="auto" w:fill="auto"/>
            <w:noWrap/>
            <w:vAlign w:val="center"/>
            <w:hideMark/>
          </w:tcPr>
          <w:p w14:paraId="414CA287"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4.49%</w:t>
            </w:r>
          </w:p>
        </w:tc>
      </w:tr>
      <w:tr w:rsidR="00AC3B58" w:rsidRPr="00AC3B58" w14:paraId="19042A12"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638028B"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Aprovechamientos </w:t>
            </w:r>
          </w:p>
        </w:tc>
        <w:tc>
          <w:tcPr>
            <w:tcW w:w="1594" w:type="dxa"/>
            <w:tcBorders>
              <w:top w:val="nil"/>
              <w:left w:val="nil"/>
              <w:bottom w:val="single" w:sz="4" w:space="0" w:color="auto"/>
              <w:right w:val="single" w:sz="4" w:space="0" w:color="auto"/>
            </w:tcBorders>
            <w:shd w:val="clear" w:color="F2F2F2" w:fill="FFFFFF"/>
            <w:noWrap/>
            <w:vAlign w:val="center"/>
            <w:hideMark/>
          </w:tcPr>
          <w:p w14:paraId="7DC64D95"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1,214,483,704</w:t>
            </w:r>
          </w:p>
        </w:tc>
        <w:tc>
          <w:tcPr>
            <w:tcW w:w="1594" w:type="dxa"/>
            <w:tcBorders>
              <w:top w:val="nil"/>
              <w:left w:val="nil"/>
              <w:bottom w:val="single" w:sz="4" w:space="0" w:color="auto"/>
              <w:right w:val="single" w:sz="4" w:space="0" w:color="auto"/>
            </w:tcBorders>
            <w:shd w:val="clear" w:color="F2F2F2" w:fill="FFFFFF"/>
            <w:noWrap/>
            <w:vAlign w:val="center"/>
            <w:hideMark/>
          </w:tcPr>
          <w:p w14:paraId="3B9B4B15"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746,894,389</w:t>
            </w:r>
          </w:p>
        </w:tc>
        <w:tc>
          <w:tcPr>
            <w:tcW w:w="1277" w:type="dxa"/>
            <w:tcBorders>
              <w:top w:val="nil"/>
              <w:left w:val="nil"/>
              <w:bottom w:val="single" w:sz="4" w:space="0" w:color="auto"/>
              <w:right w:val="single" w:sz="4" w:space="0" w:color="auto"/>
            </w:tcBorders>
            <w:shd w:val="clear" w:color="F2F2F2" w:fill="FFFFFF"/>
            <w:noWrap/>
            <w:vAlign w:val="center"/>
            <w:hideMark/>
          </w:tcPr>
          <w:p w14:paraId="4F9C4B81"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467,589,315</w:t>
            </w:r>
          </w:p>
        </w:tc>
        <w:tc>
          <w:tcPr>
            <w:tcW w:w="1176" w:type="dxa"/>
            <w:tcBorders>
              <w:top w:val="nil"/>
              <w:left w:val="nil"/>
              <w:bottom w:val="single" w:sz="4" w:space="0" w:color="auto"/>
              <w:right w:val="single" w:sz="4" w:space="0" w:color="auto"/>
            </w:tcBorders>
            <w:shd w:val="clear" w:color="auto" w:fill="auto"/>
            <w:noWrap/>
            <w:vAlign w:val="center"/>
            <w:hideMark/>
          </w:tcPr>
          <w:p w14:paraId="3A097CC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62.60%</w:t>
            </w:r>
          </w:p>
        </w:tc>
      </w:tr>
      <w:tr w:rsidR="00AC3B58" w:rsidRPr="00AC3B58" w14:paraId="4DDB1042" w14:textId="77777777" w:rsidTr="00CA1325">
        <w:trPr>
          <w:trHeight w:val="312"/>
        </w:trPr>
        <w:tc>
          <w:tcPr>
            <w:tcW w:w="3256" w:type="dxa"/>
            <w:tcBorders>
              <w:top w:val="nil"/>
              <w:left w:val="single" w:sz="4" w:space="0" w:color="auto"/>
              <w:bottom w:val="single" w:sz="4" w:space="0" w:color="auto"/>
              <w:right w:val="single" w:sz="4" w:space="0" w:color="auto"/>
            </w:tcBorders>
            <w:shd w:val="clear" w:color="DBDBDB" w:fill="D9D9D9"/>
            <w:vAlign w:val="center"/>
            <w:hideMark/>
          </w:tcPr>
          <w:p w14:paraId="615379E1" w14:textId="77777777" w:rsidR="00AC3B58" w:rsidRPr="00AC3B58" w:rsidRDefault="00AC3B58" w:rsidP="00EC7D22">
            <w:pPr>
              <w:suppressAutoHyphens w:val="0"/>
              <w:overflowPunct/>
              <w:spacing w:after="0" w:line="240" w:lineRule="auto"/>
              <w:jc w:val="center"/>
              <w:rPr>
                <w:rFonts w:eastAsia="Times New Roman" w:cs="Calibri"/>
                <w:b/>
                <w:bCs/>
                <w:color w:val="000000"/>
                <w:sz w:val="14"/>
                <w:szCs w:val="14"/>
                <w:lang w:eastAsia="es-MX"/>
              </w:rPr>
            </w:pPr>
            <w:r w:rsidRPr="00AC3B58">
              <w:rPr>
                <w:rFonts w:eastAsia="Times New Roman" w:cs="Calibri"/>
                <w:b/>
                <w:bCs/>
                <w:color w:val="000000"/>
                <w:sz w:val="14"/>
                <w:szCs w:val="14"/>
                <w:lang w:eastAsia="es-MX"/>
              </w:rPr>
              <w:t xml:space="preserve"> Participaciones y Aportaciones </w:t>
            </w:r>
          </w:p>
        </w:tc>
        <w:tc>
          <w:tcPr>
            <w:tcW w:w="1594" w:type="dxa"/>
            <w:tcBorders>
              <w:top w:val="nil"/>
              <w:left w:val="nil"/>
              <w:bottom w:val="single" w:sz="4" w:space="0" w:color="auto"/>
              <w:right w:val="single" w:sz="4" w:space="0" w:color="auto"/>
            </w:tcBorders>
            <w:shd w:val="clear" w:color="DBDBDB" w:fill="D9D9D9"/>
            <w:vAlign w:val="center"/>
            <w:hideMark/>
          </w:tcPr>
          <w:p w14:paraId="5A77A153"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 xml:space="preserve">                 69,497,019,514 </w:t>
            </w:r>
          </w:p>
        </w:tc>
        <w:tc>
          <w:tcPr>
            <w:tcW w:w="1594" w:type="dxa"/>
            <w:tcBorders>
              <w:top w:val="nil"/>
              <w:left w:val="nil"/>
              <w:bottom w:val="single" w:sz="4" w:space="0" w:color="auto"/>
              <w:right w:val="single" w:sz="4" w:space="0" w:color="auto"/>
            </w:tcBorders>
            <w:shd w:val="clear" w:color="DBDBDB" w:fill="D9D9D9"/>
            <w:vAlign w:val="center"/>
            <w:hideMark/>
          </w:tcPr>
          <w:p w14:paraId="3A74DF45"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 xml:space="preserve">                 67,786,661,855 </w:t>
            </w:r>
          </w:p>
        </w:tc>
        <w:tc>
          <w:tcPr>
            <w:tcW w:w="1277" w:type="dxa"/>
            <w:tcBorders>
              <w:top w:val="nil"/>
              <w:left w:val="nil"/>
              <w:bottom w:val="single" w:sz="4" w:space="0" w:color="auto"/>
              <w:right w:val="single" w:sz="4" w:space="0" w:color="auto"/>
            </w:tcBorders>
            <w:shd w:val="clear" w:color="DBDBDB" w:fill="D9D9D9"/>
            <w:vAlign w:val="center"/>
            <w:hideMark/>
          </w:tcPr>
          <w:p w14:paraId="30A6260C" w14:textId="77777777" w:rsidR="00AC3B58" w:rsidRPr="00AC3B58" w:rsidRDefault="00AC3B58" w:rsidP="00EC7D22">
            <w:pPr>
              <w:suppressAutoHyphens w:val="0"/>
              <w:overflowPunct/>
              <w:spacing w:after="0" w:line="240" w:lineRule="auto"/>
              <w:jc w:val="center"/>
              <w:rPr>
                <w:rFonts w:eastAsia="Times New Roman" w:cs="Calibri"/>
                <w:b/>
                <w:bCs/>
                <w:color w:val="000000"/>
                <w:sz w:val="14"/>
                <w:szCs w:val="14"/>
                <w:lang w:eastAsia="es-MX"/>
              </w:rPr>
            </w:pPr>
            <w:r w:rsidRPr="00AC3B58">
              <w:rPr>
                <w:rFonts w:eastAsia="Times New Roman" w:cs="Calibri"/>
                <w:b/>
                <w:bCs/>
                <w:color w:val="000000"/>
                <w:sz w:val="14"/>
                <w:szCs w:val="14"/>
                <w:lang w:eastAsia="es-MX"/>
              </w:rPr>
              <w:t xml:space="preserve">          1,710,357,659 </w:t>
            </w:r>
          </w:p>
        </w:tc>
        <w:tc>
          <w:tcPr>
            <w:tcW w:w="1176" w:type="dxa"/>
            <w:tcBorders>
              <w:top w:val="nil"/>
              <w:left w:val="nil"/>
              <w:bottom w:val="single" w:sz="4" w:space="0" w:color="auto"/>
              <w:right w:val="single" w:sz="4" w:space="0" w:color="auto"/>
            </w:tcBorders>
            <w:shd w:val="clear" w:color="DBDBDB" w:fill="D9D9D9"/>
            <w:vAlign w:val="center"/>
            <w:hideMark/>
          </w:tcPr>
          <w:p w14:paraId="710E54E0"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2.52%</w:t>
            </w:r>
          </w:p>
        </w:tc>
      </w:tr>
      <w:tr w:rsidR="00AC3B58" w:rsidRPr="00AC3B58" w14:paraId="4AE318BB"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80B899E" w14:textId="77777777" w:rsidR="00AC3B58" w:rsidRPr="00AC3B58" w:rsidRDefault="00AC3B58" w:rsidP="00EC7D22">
            <w:pPr>
              <w:suppressAutoHyphens w:val="0"/>
              <w:overflowPunct/>
              <w:spacing w:after="0" w:line="240" w:lineRule="auto"/>
              <w:rPr>
                <w:rFonts w:eastAsia="Times New Roman" w:cs="Calibri"/>
                <w:i/>
                <w:iCs/>
                <w:color w:val="333333"/>
                <w:sz w:val="14"/>
                <w:szCs w:val="14"/>
                <w:lang w:eastAsia="es-MX"/>
              </w:rPr>
            </w:pPr>
            <w:r w:rsidRPr="00AC3B58">
              <w:rPr>
                <w:rFonts w:eastAsia="Times New Roman" w:cs="Calibri"/>
                <w:i/>
                <w:iCs/>
                <w:color w:val="333333"/>
                <w:sz w:val="14"/>
                <w:szCs w:val="14"/>
                <w:lang w:eastAsia="es-MX"/>
              </w:rPr>
              <w:t xml:space="preserve">     Participaciones Federales </w:t>
            </w:r>
          </w:p>
        </w:tc>
        <w:tc>
          <w:tcPr>
            <w:tcW w:w="1594" w:type="dxa"/>
            <w:tcBorders>
              <w:top w:val="nil"/>
              <w:left w:val="nil"/>
              <w:bottom w:val="single" w:sz="4" w:space="0" w:color="auto"/>
              <w:right w:val="single" w:sz="4" w:space="0" w:color="auto"/>
            </w:tcBorders>
            <w:shd w:val="clear" w:color="F2F2F2" w:fill="FFFFFF"/>
            <w:noWrap/>
            <w:vAlign w:val="center"/>
            <w:hideMark/>
          </w:tcPr>
          <w:p w14:paraId="1DAB63D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31,890,527,953</w:t>
            </w:r>
          </w:p>
        </w:tc>
        <w:tc>
          <w:tcPr>
            <w:tcW w:w="1594" w:type="dxa"/>
            <w:tcBorders>
              <w:top w:val="nil"/>
              <w:left w:val="nil"/>
              <w:bottom w:val="single" w:sz="4" w:space="0" w:color="auto"/>
              <w:right w:val="single" w:sz="4" w:space="0" w:color="auto"/>
            </w:tcBorders>
            <w:shd w:val="clear" w:color="F2F2F2" w:fill="FFFFFF"/>
            <w:noWrap/>
            <w:vAlign w:val="center"/>
            <w:hideMark/>
          </w:tcPr>
          <w:p w14:paraId="5322091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30,636,195,774</w:t>
            </w:r>
          </w:p>
        </w:tc>
        <w:tc>
          <w:tcPr>
            <w:tcW w:w="1277" w:type="dxa"/>
            <w:tcBorders>
              <w:top w:val="nil"/>
              <w:left w:val="nil"/>
              <w:bottom w:val="single" w:sz="4" w:space="0" w:color="auto"/>
              <w:right w:val="single" w:sz="4" w:space="0" w:color="auto"/>
            </w:tcBorders>
            <w:shd w:val="clear" w:color="F2F2F2" w:fill="FFFFFF"/>
            <w:noWrap/>
            <w:vAlign w:val="center"/>
            <w:hideMark/>
          </w:tcPr>
          <w:p w14:paraId="5BC3BD5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1,254,332,179</w:t>
            </w:r>
          </w:p>
        </w:tc>
        <w:tc>
          <w:tcPr>
            <w:tcW w:w="1176" w:type="dxa"/>
            <w:tcBorders>
              <w:top w:val="nil"/>
              <w:left w:val="nil"/>
              <w:bottom w:val="single" w:sz="4" w:space="0" w:color="auto"/>
              <w:right w:val="single" w:sz="4" w:space="0" w:color="auto"/>
            </w:tcBorders>
            <w:shd w:val="clear" w:color="auto" w:fill="auto"/>
            <w:noWrap/>
            <w:vAlign w:val="center"/>
            <w:hideMark/>
          </w:tcPr>
          <w:p w14:paraId="7F4310A9"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1.57%</w:t>
            </w:r>
          </w:p>
        </w:tc>
      </w:tr>
      <w:tr w:rsidR="00AC3B58" w:rsidRPr="00AC3B58" w14:paraId="4D76819A"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538A929" w14:textId="77777777" w:rsidR="00AC3B58" w:rsidRPr="00AC3B58" w:rsidRDefault="00AC3B58" w:rsidP="00EC7D22">
            <w:pPr>
              <w:suppressAutoHyphens w:val="0"/>
              <w:overflowPunct/>
              <w:spacing w:after="0" w:line="240" w:lineRule="auto"/>
              <w:rPr>
                <w:rFonts w:eastAsia="Times New Roman" w:cs="Calibri"/>
                <w:i/>
                <w:iCs/>
                <w:color w:val="333333"/>
                <w:sz w:val="14"/>
                <w:szCs w:val="14"/>
                <w:lang w:eastAsia="es-MX"/>
              </w:rPr>
            </w:pPr>
            <w:r w:rsidRPr="00AC3B58">
              <w:rPr>
                <w:rFonts w:eastAsia="Times New Roman" w:cs="Calibri"/>
                <w:i/>
                <w:iCs/>
                <w:color w:val="333333"/>
                <w:sz w:val="14"/>
                <w:szCs w:val="14"/>
                <w:lang w:eastAsia="es-MX"/>
              </w:rPr>
              <w:t xml:space="preserve">     Aportaciones </w:t>
            </w:r>
          </w:p>
        </w:tc>
        <w:tc>
          <w:tcPr>
            <w:tcW w:w="1594" w:type="dxa"/>
            <w:tcBorders>
              <w:top w:val="nil"/>
              <w:left w:val="nil"/>
              <w:bottom w:val="single" w:sz="4" w:space="0" w:color="auto"/>
              <w:right w:val="single" w:sz="4" w:space="0" w:color="auto"/>
            </w:tcBorders>
            <w:shd w:val="clear" w:color="F2F2F2" w:fill="FFFFFF"/>
            <w:noWrap/>
            <w:vAlign w:val="center"/>
            <w:hideMark/>
          </w:tcPr>
          <w:p w14:paraId="69BE3A99"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27,854,238,813</w:t>
            </w:r>
          </w:p>
        </w:tc>
        <w:tc>
          <w:tcPr>
            <w:tcW w:w="1594" w:type="dxa"/>
            <w:tcBorders>
              <w:top w:val="nil"/>
              <w:left w:val="nil"/>
              <w:bottom w:val="single" w:sz="4" w:space="0" w:color="auto"/>
              <w:right w:val="single" w:sz="4" w:space="0" w:color="auto"/>
            </w:tcBorders>
            <w:shd w:val="clear" w:color="F2F2F2" w:fill="FFFFFF"/>
            <w:noWrap/>
            <w:vAlign w:val="center"/>
            <w:hideMark/>
          </w:tcPr>
          <w:p w14:paraId="41DADBF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27,821,238,188</w:t>
            </w:r>
          </w:p>
        </w:tc>
        <w:tc>
          <w:tcPr>
            <w:tcW w:w="1277" w:type="dxa"/>
            <w:tcBorders>
              <w:top w:val="nil"/>
              <w:left w:val="nil"/>
              <w:bottom w:val="single" w:sz="4" w:space="0" w:color="auto"/>
              <w:right w:val="single" w:sz="4" w:space="0" w:color="auto"/>
            </w:tcBorders>
            <w:shd w:val="clear" w:color="F2F2F2" w:fill="FFFFFF"/>
            <w:noWrap/>
            <w:vAlign w:val="center"/>
            <w:hideMark/>
          </w:tcPr>
          <w:p w14:paraId="0435918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33,000,625</w:t>
            </w:r>
          </w:p>
        </w:tc>
        <w:tc>
          <w:tcPr>
            <w:tcW w:w="1176" w:type="dxa"/>
            <w:tcBorders>
              <w:top w:val="nil"/>
              <w:left w:val="nil"/>
              <w:bottom w:val="single" w:sz="4" w:space="0" w:color="auto"/>
              <w:right w:val="single" w:sz="4" w:space="0" w:color="auto"/>
            </w:tcBorders>
            <w:shd w:val="clear" w:color="auto" w:fill="auto"/>
            <w:noWrap/>
            <w:vAlign w:val="center"/>
            <w:hideMark/>
          </w:tcPr>
          <w:p w14:paraId="161C0EF5"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0.04%</w:t>
            </w:r>
          </w:p>
        </w:tc>
      </w:tr>
      <w:tr w:rsidR="00AC3B58" w:rsidRPr="00AC3B58" w14:paraId="7EE7C692"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656DE6A" w14:textId="77777777" w:rsidR="00AC3B58" w:rsidRPr="00AC3B58" w:rsidRDefault="00AC3B58" w:rsidP="00EC7D22">
            <w:pPr>
              <w:suppressAutoHyphens w:val="0"/>
              <w:overflowPunct/>
              <w:spacing w:after="0" w:line="240" w:lineRule="auto"/>
              <w:rPr>
                <w:rFonts w:eastAsia="Times New Roman" w:cs="Calibri"/>
                <w:i/>
                <w:iCs/>
                <w:color w:val="333333"/>
                <w:sz w:val="14"/>
                <w:szCs w:val="14"/>
                <w:lang w:eastAsia="es-MX"/>
              </w:rPr>
            </w:pPr>
            <w:r w:rsidRPr="00AC3B58">
              <w:rPr>
                <w:rFonts w:eastAsia="Times New Roman" w:cs="Calibri"/>
                <w:i/>
                <w:iCs/>
                <w:color w:val="333333"/>
                <w:sz w:val="14"/>
                <w:szCs w:val="14"/>
                <w:lang w:eastAsia="es-MX"/>
              </w:rPr>
              <w:t xml:space="preserve">     Convenios </w:t>
            </w:r>
          </w:p>
        </w:tc>
        <w:tc>
          <w:tcPr>
            <w:tcW w:w="1594" w:type="dxa"/>
            <w:tcBorders>
              <w:top w:val="nil"/>
              <w:left w:val="nil"/>
              <w:bottom w:val="single" w:sz="4" w:space="0" w:color="auto"/>
              <w:right w:val="single" w:sz="4" w:space="0" w:color="auto"/>
            </w:tcBorders>
            <w:shd w:val="clear" w:color="auto" w:fill="auto"/>
            <w:noWrap/>
            <w:vAlign w:val="center"/>
            <w:hideMark/>
          </w:tcPr>
          <w:p w14:paraId="5D9F70CE"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7,202,746,900</w:t>
            </w:r>
          </w:p>
        </w:tc>
        <w:tc>
          <w:tcPr>
            <w:tcW w:w="1594" w:type="dxa"/>
            <w:tcBorders>
              <w:top w:val="nil"/>
              <w:left w:val="nil"/>
              <w:bottom w:val="single" w:sz="4" w:space="0" w:color="auto"/>
              <w:right w:val="single" w:sz="4" w:space="0" w:color="auto"/>
            </w:tcBorders>
            <w:shd w:val="clear" w:color="F2F2F2" w:fill="FFFFFF"/>
            <w:noWrap/>
            <w:vAlign w:val="center"/>
            <w:hideMark/>
          </w:tcPr>
          <w:p w14:paraId="48B7890B"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6,472,124,356</w:t>
            </w:r>
          </w:p>
        </w:tc>
        <w:tc>
          <w:tcPr>
            <w:tcW w:w="1277" w:type="dxa"/>
            <w:tcBorders>
              <w:top w:val="nil"/>
              <w:left w:val="nil"/>
              <w:bottom w:val="single" w:sz="4" w:space="0" w:color="auto"/>
              <w:right w:val="single" w:sz="4" w:space="0" w:color="auto"/>
            </w:tcBorders>
            <w:shd w:val="clear" w:color="F2F2F2" w:fill="FFFFFF"/>
            <w:noWrap/>
            <w:vAlign w:val="center"/>
            <w:hideMark/>
          </w:tcPr>
          <w:p w14:paraId="44114EA7"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730,622,544</w:t>
            </w:r>
          </w:p>
        </w:tc>
        <w:tc>
          <w:tcPr>
            <w:tcW w:w="1176" w:type="dxa"/>
            <w:tcBorders>
              <w:top w:val="nil"/>
              <w:left w:val="nil"/>
              <w:bottom w:val="single" w:sz="4" w:space="0" w:color="auto"/>
              <w:right w:val="single" w:sz="4" w:space="0" w:color="auto"/>
            </w:tcBorders>
            <w:shd w:val="clear" w:color="auto" w:fill="auto"/>
            <w:noWrap/>
            <w:vAlign w:val="center"/>
            <w:hideMark/>
          </w:tcPr>
          <w:p w14:paraId="6703267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0.91%</w:t>
            </w:r>
          </w:p>
        </w:tc>
      </w:tr>
      <w:tr w:rsidR="00AC3B58" w:rsidRPr="00AC3B58" w14:paraId="258C0DE6"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CB9CE58" w14:textId="77777777" w:rsidR="00AC3B58" w:rsidRPr="00AC3B58" w:rsidRDefault="00AC3B58" w:rsidP="00EC7D22">
            <w:pPr>
              <w:suppressAutoHyphens w:val="0"/>
              <w:overflowPunct/>
              <w:spacing w:after="0" w:line="240" w:lineRule="auto"/>
              <w:rPr>
                <w:rFonts w:eastAsia="Times New Roman" w:cs="Calibri"/>
                <w:i/>
                <w:iCs/>
                <w:color w:val="333333"/>
                <w:sz w:val="14"/>
                <w:szCs w:val="14"/>
                <w:lang w:eastAsia="es-MX"/>
              </w:rPr>
            </w:pPr>
            <w:r w:rsidRPr="00AC3B58">
              <w:rPr>
                <w:rFonts w:eastAsia="Times New Roman" w:cs="Calibri"/>
                <w:i/>
                <w:iCs/>
                <w:color w:val="333333"/>
                <w:sz w:val="14"/>
                <w:szCs w:val="14"/>
                <w:lang w:eastAsia="es-MX"/>
              </w:rPr>
              <w:t>Incentivos Derivados de la Colaboración Fiscal</w:t>
            </w:r>
          </w:p>
        </w:tc>
        <w:tc>
          <w:tcPr>
            <w:tcW w:w="1594" w:type="dxa"/>
            <w:tcBorders>
              <w:top w:val="nil"/>
              <w:left w:val="nil"/>
              <w:bottom w:val="single" w:sz="4" w:space="0" w:color="auto"/>
              <w:right w:val="single" w:sz="4" w:space="0" w:color="auto"/>
            </w:tcBorders>
            <w:shd w:val="clear" w:color="F2F2F2" w:fill="FFFFFF"/>
            <w:noWrap/>
            <w:vAlign w:val="center"/>
            <w:hideMark/>
          </w:tcPr>
          <w:p w14:paraId="1F2DD0D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1,325,779,170</w:t>
            </w:r>
          </w:p>
        </w:tc>
        <w:tc>
          <w:tcPr>
            <w:tcW w:w="1594" w:type="dxa"/>
            <w:tcBorders>
              <w:top w:val="nil"/>
              <w:left w:val="nil"/>
              <w:bottom w:val="single" w:sz="4" w:space="0" w:color="auto"/>
              <w:right w:val="single" w:sz="4" w:space="0" w:color="auto"/>
            </w:tcBorders>
            <w:shd w:val="clear" w:color="F2F2F2" w:fill="FFFFFF"/>
            <w:noWrap/>
            <w:vAlign w:val="center"/>
            <w:hideMark/>
          </w:tcPr>
          <w:p w14:paraId="3BB0F3BD"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1,255,141,018</w:t>
            </w:r>
          </w:p>
        </w:tc>
        <w:tc>
          <w:tcPr>
            <w:tcW w:w="1277" w:type="dxa"/>
            <w:tcBorders>
              <w:top w:val="nil"/>
              <w:left w:val="nil"/>
              <w:bottom w:val="single" w:sz="4" w:space="0" w:color="auto"/>
              <w:right w:val="single" w:sz="4" w:space="0" w:color="auto"/>
            </w:tcBorders>
            <w:shd w:val="clear" w:color="F2F2F2" w:fill="FFFFFF"/>
            <w:noWrap/>
            <w:vAlign w:val="center"/>
            <w:hideMark/>
          </w:tcPr>
          <w:p w14:paraId="0E835F46"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70,638,152</w:t>
            </w:r>
          </w:p>
        </w:tc>
        <w:tc>
          <w:tcPr>
            <w:tcW w:w="1176" w:type="dxa"/>
            <w:tcBorders>
              <w:top w:val="nil"/>
              <w:left w:val="nil"/>
              <w:bottom w:val="single" w:sz="4" w:space="0" w:color="auto"/>
              <w:right w:val="single" w:sz="4" w:space="0" w:color="auto"/>
            </w:tcBorders>
            <w:shd w:val="clear" w:color="auto" w:fill="auto"/>
            <w:noWrap/>
            <w:vAlign w:val="center"/>
            <w:hideMark/>
          </w:tcPr>
          <w:p w14:paraId="60EAAA17"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0.09%</w:t>
            </w:r>
          </w:p>
        </w:tc>
      </w:tr>
      <w:tr w:rsidR="00AC3B58" w:rsidRPr="00AC3B58" w14:paraId="6DB2EA61" w14:textId="77777777" w:rsidTr="00CA1325">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FDE65B" w14:textId="77777777" w:rsidR="00AC3B58" w:rsidRPr="00AC3B58" w:rsidRDefault="00AC3B58" w:rsidP="00EC7D22">
            <w:pPr>
              <w:suppressAutoHyphens w:val="0"/>
              <w:overflowPunct/>
              <w:spacing w:after="0" w:line="240" w:lineRule="auto"/>
              <w:rPr>
                <w:rFonts w:eastAsia="Times New Roman" w:cs="Calibri"/>
                <w:i/>
                <w:iCs/>
                <w:color w:val="333333"/>
                <w:sz w:val="14"/>
                <w:szCs w:val="14"/>
                <w:lang w:eastAsia="es-MX"/>
              </w:rPr>
            </w:pPr>
            <w:r w:rsidRPr="00AC3B58">
              <w:rPr>
                <w:rFonts w:eastAsia="Times New Roman" w:cs="Calibri"/>
                <w:i/>
                <w:iCs/>
                <w:color w:val="333333"/>
                <w:sz w:val="14"/>
                <w:szCs w:val="14"/>
                <w:lang w:eastAsia="es-MX"/>
              </w:rPr>
              <w:t>Fondos Distintos de Aportaciones</w:t>
            </w:r>
          </w:p>
        </w:tc>
        <w:tc>
          <w:tcPr>
            <w:tcW w:w="1594" w:type="dxa"/>
            <w:tcBorders>
              <w:top w:val="nil"/>
              <w:left w:val="nil"/>
              <w:bottom w:val="single" w:sz="4" w:space="0" w:color="auto"/>
              <w:right w:val="single" w:sz="4" w:space="0" w:color="auto"/>
            </w:tcBorders>
            <w:shd w:val="clear" w:color="F2F2F2" w:fill="FFFFFF"/>
            <w:noWrap/>
            <w:vAlign w:val="center"/>
            <w:hideMark/>
          </w:tcPr>
          <w:p w14:paraId="0F7AF49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1,223,726,678</w:t>
            </w:r>
          </w:p>
        </w:tc>
        <w:tc>
          <w:tcPr>
            <w:tcW w:w="1594" w:type="dxa"/>
            <w:tcBorders>
              <w:top w:val="nil"/>
              <w:left w:val="nil"/>
              <w:bottom w:val="single" w:sz="4" w:space="0" w:color="auto"/>
              <w:right w:val="single" w:sz="4" w:space="0" w:color="auto"/>
            </w:tcBorders>
            <w:shd w:val="clear" w:color="F2F2F2" w:fill="FFFFFF"/>
            <w:noWrap/>
            <w:vAlign w:val="center"/>
            <w:hideMark/>
          </w:tcPr>
          <w:p w14:paraId="7B0551C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1,601,962,519</w:t>
            </w:r>
          </w:p>
        </w:tc>
        <w:tc>
          <w:tcPr>
            <w:tcW w:w="1277" w:type="dxa"/>
            <w:tcBorders>
              <w:top w:val="nil"/>
              <w:left w:val="nil"/>
              <w:bottom w:val="single" w:sz="4" w:space="0" w:color="auto"/>
              <w:right w:val="single" w:sz="4" w:space="0" w:color="auto"/>
            </w:tcBorders>
            <w:shd w:val="clear" w:color="F2F2F2" w:fill="FFFFFF"/>
            <w:noWrap/>
            <w:vAlign w:val="center"/>
            <w:hideMark/>
          </w:tcPr>
          <w:p w14:paraId="161EA60C"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-378,235,841</w:t>
            </w:r>
          </w:p>
        </w:tc>
        <w:tc>
          <w:tcPr>
            <w:tcW w:w="1176" w:type="dxa"/>
            <w:tcBorders>
              <w:top w:val="nil"/>
              <w:left w:val="nil"/>
              <w:bottom w:val="single" w:sz="4" w:space="0" w:color="auto"/>
              <w:right w:val="single" w:sz="4" w:space="0" w:color="auto"/>
            </w:tcBorders>
            <w:shd w:val="clear" w:color="auto" w:fill="auto"/>
            <w:noWrap/>
            <w:vAlign w:val="center"/>
            <w:hideMark/>
          </w:tcPr>
          <w:p w14:paraId="30D4C5BE"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-0.47%</w:t>
            </w:r>
          </w:p>
        </w:tc>
      </w:tr>
      <w:tr w:rsidR="00AC3B58" w:rsidRPr="00AC3B58" w14:paraId="13EDFDCA" w14:textId="77777777" w:rsidTr="00CA1325">
        <w:trPr>
          <w:trHeight w:val="300"/>
        </w:trPr>
        <w:tc>
          <w:tcPr>
            <w:tcW w:w="3256" w:type="dxa"/>
            <w:tcBorders>
              <w:top w:val="nil"/>
              <w:left w:val="single" w:sz="4" w:space="0" w:color="auto"/>
              <w:bottom w:val="single" w:sz="4" w:space="0" w:color="auto"/>
              <w:right w:val="single" w:sz="4" w:space="0" w:color="auto"/>
            </w:tcBorders>
            <w:shd w:val="clear" w:color="DBDBDB" w:fill="D9D9D9"/>
            <w:noWrap/>
            <w:vAlign w:val="center"/>
            <w:hideMark/>
          </w:tcPr>
          <w:p w14:paraId="03D67BB6" w14:textId="77777777" w:rsidR="00AC3B58" w:rsidRPr="00AC3B58" w:rsidRDefault="00AC3B58" w:rsidP="00EC7D22">
            <w:pPr>
              <w:suppressAutoHyphens w:val="0"/>
              <w:overflowPunct/>
              <w:spacing w:after="0" w:line="240" w:lineRule="auto"/>
              <w:rPr>
                <w:rFonts w:eastAsia="Times New Roman" w:cs="Calibri"/>
                <w:b/>
                <w:bCs/>
                <w:color w:val="000000"/>
                <w:sz w:val="16"/>
                <w:szCs w:val="16"/>
                <w:lang w:eastAsia="es-MX"/>
              </w:rPr>
            </w:pPr>
            <w:r w:rsidRPr="00AC3B58">
              <w:rPr>
                <w:rFonts w:eastAsia="Times New Roman" w:cs="Calibri"/>
                <w:b/>
                <w:bCs/>
                <w:color w:val="000000"/>
                <w:sz w:val="16"/>
                <w:szCs w:val="16"/>
                <w:lang w:eastAsia="es-MX"/>
              </w:rPr>
              <w:t>Ingresos por Financiamiento</w:t>
            </w:r>
          </w:p>
        </w:tc>
        <w:tc>
          <w:tcPr>
            <w:tcW w:w="1594" w:type="dxa"/>
            <w:tcBorders>
              <w:top w:val="nil"/>
              <w:left w:val="nil"/>
              <w:bottom w:val="single" w:sz="4" w:space="0" w:color="auto"/>
              <w:right w:val="single" w:sz="4" w:space="0" w:color="auto"/>
            </w:tcBorders>
            <w:shd w:val="clear" w:color="DBDBDB" w:fill="D9D9D9"/>
            <w:vAlign w:val="center"/>
            <w:hideMark/>
          </w:tcPr>
          <w:p w14:paraId="56549AF4"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 xml:space="preserve">                 13,699,079,662 </w:t>
            </w:r>
          </w:p>
        </w:tc>
        <w:tc>
          <w:tcPr>
            <w:tcW w:w="1594" w:type="dxa"/>
            <w:tcBorders>
              <w:top w:val="nil"/>
              <w:left w:val="nil"/>
              <w:bottom w:val="single" w:sz="4" w:space="0" w:color="auto"/>
              <w:right w:val="single" w:sz="4" w:space="0" w:color="auto"/>
            </w:tcBorders>
            <w:shd w:val="clear" w:color="DBDBDB" w:fill="D9D9D9"/>
            <w:vAlign w:val="center"/>
            <w:hideMark/>
          </w:tcPr>
          <w:p w14:paraId="06C9786F"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 xml:space="preserve">                   1,300,000,000 </w:t>
            </w:r>
          </w:p>
        </w:tc>
        <w:tc>
          <w:tcPr>
            <w:tcW w:w="1277" w:type="dxa"/>
            <w:tcBorders>
              <w:top w:val="nil"/>
              <w:left w:val="nil"/>
              <w:bottom w:val="single" w:sz="4" w:space="0" w:color="auto"/>
              <w:right w:val="single" w:sz="4" w:space="0" w:color="auto"/>
            </w:tcBorders>
            <w:shd w:val="clear" w:color="000000" w:fill="D9D9D9"/>
            <w:vAlign w:val="center"/>
            <w:hideMark/>
          </w:tcPr>
          <w:p w14:paraId="7A1DDC1D"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 </w:t>
            </w:r>
          </w:p>
        </w:tc>
        <w:tc>
          <w:tcPr>
            <w:tcW w:w="1176" w:type="dxa"/>
            <w:tcBorders>
              <w:top w:val="nil"/>
              <w:left w:val="nil"/>
              <w:bottom w:val="single" w:sz="4" w:space="0" w:color="auto"/>
              <w:right w:val="single" w:sz="4" w:space="0" w:color="auto"/>
            </w:tcBorders>
            <w:shd w:val="clear" w:color="DBDBDB" w:fill="D9D9D9"/>
            <w:noWrap/>
            <w:vAlign w:val="center"/>
            <w:hideMark/>
          </w:tcPr>
          <w:p w14:paraId="669241AA"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 </w:t>
            </w:r>
          </w:p>
        </w:tc>
      </w:tr>
      <w:tr w:rsidR="00AC3B58" w:rsidRPr="00CA1325" w14:paraId="7B4CF25E" w14:textId="77777777" w:rsidTr="00CA1325">
        <w:trPr>
          <w:trHeight w:val="397"/>
        </w:trPr>
        <w:tc>
          <w:tcPr>
            <w:tcW w:w="3256" w:type="dxa"/>
            <w:tcBorders>
              <w:top w:val="nil"/>
              <w:left w:val="single" w:sz="4" w:space="0" w:color="auto"/>
              <w:bottom w:val="single" w:sz="4" w:space="0" w:color="auto"/>
              <w:right w:val="single" w:sz="4" w:space="0" w:color="auto"/>
            </w:tcBorders>
            <w:shd w:val="clear" w:color="F8CBAD" w:fill="DDC9A3"/>
            <w:vAlign w:val="center"/>
            <w:hideMark/>
          </w:tcPr>
          <w:p w14:paraId="2C2DD87E" w14:textId="77777777" w:rsidR="00AC3B58" w:rsidRPr="00CA1325" w:rsidRDefault="00AC3B58" w:rsidP="00EC7D22">
            <w:pPr>
              <w:suppressAutoHyphens w:val="0"/>
              <w:overflowPunct/>
              <w:spacing w:after="0" w:line="240" w:lineRule="auto"/>
              <w:jc w:val="center"/>
              <w:rPr>
                <w:rFonts w:eastAsia="Times New Roman" w:cs="Calibri"/>
                <w:b/>
                <w:bCs/>
                <w:color w:val="000000"/>
                <w:sz w:val="16"/>
                <w:szCs w:val="14"/>
                <w:lang w:eastAsia="es-MX"/>
              </w:rPr>
            </w:pPr>
            <w:r w:rsidRPr="00CA1325">
              <w:rPr>
                <w:rFonts w:eastAsia="Times New Roman" w:cs="Calibri"/>
                <w:b/>
                <w:bCs/>
                <w:color w:val="000000"/>
                <w:sz w:val="16"/>
                <w:szCs w:val="14"/>
                <w:lang w:eastAsia="es-MX"/>
              </w:rPr>
              <w:t>Total de Ingresos Presupuestarios</w:t>
            </w:r>
          </w:p>
        </w:tc>
        <w:tc>
          <w:tcPr>
            <w:tcW w:w="1594" w:type="dxa"/>
            <w:tcBorders>
              <w:top w:val="nil"/>
              <w:left w:val="nil"/>
              <w:bottom w:val="single" w:sz="4" w:space="0" w:color="auto"/>
              <w:right w:val="single" w:sz="4" w:space="0" w:color="auto"/>
            </w:tcBorders>
            <w:shd w:val="clear" w:color="F8CBAD" w:fill="DDC9A3"/>
            <w:vAlign w:val="center"/>
            <w:hideMark/>
          </w:tcPr>
          <w:p w14:paraId="75D736C2" w14:textId="77777777" w:rsidR="00AC3B58" w:rsidRPr="00CA1325" w:rsidRDefault="00AC3B58" w:rsidP="00EC7D22">
            <w:pPr>
              <w:suppressAutoHyphens w:val="0"/>
              <w:overflowPunct/>
              <w:spacing w:after="0" w:line="240" w:lineRule="auto"/>
              <w:jc w:val="right"/>
              <w:rPr>
                <w:rFonts w:eastAsia="Times New Roman" w:cs="Calibri"/>
                <w:b/>
                <w:bCs/>
                <w:color w:val="000000"/>
                <w:sz w:val="16"/>
                <w:szCs w:val="14"/>
                <w:lang w:eastAsia="es-MX"/>
              </w:rPr>
            </w:pPr>
            <w:r w:rsidRPr="00CA1325">
              <w:rPr>
                <w:rFonts w:eastAsia="Times New Roman" w:cs="Calibri"/>
                <w:b/>
                <w:bCs/>
                <w:color w:val="000000"/>
                <w:sz w:val="16"/>
                <w:szCs w:val="14"/>
                <w:lang w:eastAsia="es-MX"/>
              </w:rPr>
              <w:t>95,444,182,492</w:t>
            </w:r>
          </w:p>
        </w:tc>
        <w:tc>
          <w:tcPr>
            <w:tcW w:w="1594" w:type="dxa"/>
            <w:tcBorders>
              <w:top w:val="nil"/>
              <w:left w:val="nil"/>
              <w:bottom w:val="single" w:sz="4" w:space="0" w:color="auto"/>
              <w:right w:val="single" w:sz="4" w:space="0" w:color="auto"/>
            </w:tcBorders>
            <w:shd w:val="clear" w:color="F8CBAD" w:fill="DDC9A3"/>
            <w:vAlign w:val="center"/>
            <w:hideMark/>
          </w:tcPr>
          <w:p w14:paraId="5C5C9A46" w14:textId="77777777" w:rsidR="00AC3B58" w:rsidRPr="00CA1325" w:rsidRDefault="00AC3B58" w:rsidP="00EC7D22">
            <w:pPr>
              <w:suppressAutoHyphens w:val="0"/>
              <w:overflowPunct/>
              <w:spacing w:after="0" w:line="240" w:lineRule="auto"/>
              <w:jc w:val="right"/>
              <w:rPr>
                <w:rFonts w:eastAsia="Times New Roman" w:cs="Calibri"/>
                <w:b/>
                <w:bCs/>
                <w:color w:val="000000"/>
                <w:sz w:val="16"/>
                <w:szCs w:val="14"/>
                <w:lang w:eastAsia="es-MX"/>
              </w:rPr>
            </w:pPr>
            <w:r w:rsidRPr="00CA1325">
              <w:rPr>
                <w:rFonts w:eastAsia="Times New Roman" w:cs="Calibri"/>
                <w:b/>
                <w:bCs/>
                <w:color w:val="000000"/>
                <w:sz w:val="16"/>
                <w:szCs w:val="14"/>
                <w:lang w:eastAsia="es-MX"/>
              </w:rPr>
              <w:t>79,886,889,496</w:t>
            </w:r>
          </w:p>
        </w:tc>
        <w:tc>
          <w:tcPr>
            <w:tcW w:w="1277" w:type="dxa"/>
            <w:tcBorders>
              <w:top w:val="nil"/>
              <w:left w:val="nil"/>
              <w:bottom w:val="single" w:sz="4" w:space="0" w:color="auto"/>
              <w:right w:val="single" w:sz="4" w:space="0" w:color="auto"/>
            </w:tcBorders>
            <w:shd w:val="clear" w:color="F8CBAD" w:fill="DDC9A3"/>
            <w:vAlign w:val="center"/>
            <w:hideMark/>
          </w:tcPr>
          <w:p w14:paraId="67975B8D" w14:textId="77777777" w:rsidR="00AC3B58" w:rsidRPr="00CA1325" w:rsidRDefault="00AC3B58" w:rsidP="00EC7D22">
            <w:pPr>
              <w:suppressAutoHyphens w:val="0"/>
              <w:overflowPunct/>
              <w:spacing w:after="0" w:line="240" w:lineRule="auto"/>
              <w:jc w:val="right"/>
              <w:rPr>
                <w:rFonts w:eastAsia="Times New Roman" w:cs="Calibri"/>
                <w:b/>
                <w:bCs/>
                <w:color w:val="000000"/>
                <w:sz w:val="16"/>
                <w:szCs w:val="14"/>
                <w:lang w:eastAsia="es-MX"/>
              </w:rPr>
            </w:pPr>
            <w:r w:rsidRPr="00CA1325">
              <w:rPr>
                <w:rFonts w:eastAsia="Times New Roman" w:cs="Calibri"/>
                <w:b/>
                <w:bCs/>
                <w:color w:val="000000"/>
                <w:sz w:val="16"/>
                <w:szCs w:val="14"/>
                <w:lang w:eastAsia="es-MX"/>
              </w:rPr>
              <w:t>3,158,213,334</w:t>
            </w:r>
          </w:p>
        </w:tc>
        <w:tc>
          <w:tcPr>
            <w:tcW w:w="1176" w:type="dxa"/>
            <w:tcBorders>
              <w:top w:val="nil"/>
              <w:left w:val="nil"/>
              <w:bottom w:val="single" w:sz="4" w:space="0" w:color="auto"/>
              <w:right w:val="single" w:sz="4" w:space="0" w:color="auto"/>
            </w:tcBorders>
            <w:shd w:val="clear" w:color="F8CBAD" w:fill="DDC9A3"/>
            <w:noWrap/>
            <w:vAlign w:val="center"/>
            <w:hideMark/>
          </w:tcPr>
          <w:p w14:paraId="34A00E2F" w14:textId="77777777" w:rsidR="00AC3B58" w:rsidRPr="00CA1325" w:rsidRDefault="00AC3B58" w:rsidP="00EC7D22">
            <w:pPr>
              <w:suppressAutoHyphens w:val="0"/>
              <w:overflowPunct/>
              <w:spacing w:after="0" w:line="240" w:lineRule="auto"/>
              <w:jc w:val="right"/>
              <w:rPr>
                <w:rFonts w:eastAsia="Times New Roman" w:cs="Calibri"/>
                <w:b/>
                <w:bCs/>
                <w:color w:val="000000"/>
                <w:sz w:val="16"/>
                <w:szCs w:val="14"/>
                <w:lang w:eastAsia="es-MX"/>
              </w:rPr>
            </w:pPr>
            <w:r w:rsidRPr="00CA1325">
              <w:rPr>
                <w:rFonts w:eastAsia="Times New Roman" w:cs="Calibri"/>
                <w:b/>
                <w:bCs/>
                <w:color w:val="000000"/>
                <w:sz w:val="16"/>
                <w:szCs w:val="14"/>
                <w:lang w:eastAsia="es-MX"/>
              </w:rPr>
              <w:t>3.65%</w:t>
            </w:r>
          </w:p>
        </w:tc>
      </w:tr>
    </w:tbl>
    <w:p w14:paraId="1B265804" w14:textId="35F3F9B6" w:rsidR="002E7B94" w:rsidRDefault="00C87FDA" w:rsidP="00EC7D22">
      <w:pPr>
        <w:spacing w:after="0" w:line="240" w:lineRule="auto"/>
        <w:jc w:val="both"/>
        <w:rPr>
          <w:rFonts w:cs="Calibri"/>
          <w:sz w:val="20"/>
          <w:szCs w:val="20"/>
          <w:lang w:val="es-ES" w:eastAsia="es-ES"/>
        </w:rPr>
      </w:pPr>
      <w:r w:rsidRPr="00742CCD">
        <w:rPr>
          <w:rFonts w:cs="Calibri"/>
          <w:sz w:val="20"/>
          <w:szCs w:val="20"/>
        </w:rPr>
        <w:lastRenderedPageBreak/>
        <w:t xml:space="preserve">Los ingresos propios presupuestarios sin incluir los ingresos derivados de financiamiento representaron en forma global un incremento del </w:t>
      </w:r>
      <w:r w:rsidR="0001479C">
        <w:rPr>
          <w:rFonts w:cs="Calibri"/>
          <w:sz w:val="20"/>
          <w:szCs w:val="20"/>
        </w:rPr>
        <w:t>13.4</w:t>
      </w:r>
      <w:r w:rsidR="00AC3B58">
        <w:rPr>
          <w:rFonts w:cs="Calibri"/>
          <w:sz w:val="20"/>
          <w:szCs w:val="20"/>
        </w:rPr>
        <w:t>1</w:t>
      </w:r>
      <w:r w:rsidRPr="00742CCD">
        <w:rPr>
          <w:rFonts w:cs="Calibri"/>
          <w:sz w:val="20"/>
          <w:szCs w:val="20"/>
        </w:rPr>
        <w:t xml:space="preserve">% con respecto al cierre </w:t>
      </w:r>
      <w:r w:rsidR="0001479C">
        <w:rPr>
          <w:rFonts w:cs="Calibri"/>
          <w:sz w:val="20"/>
          <w:szCs w:val="20"/>
        </w:rPr>
        <w:t>ejercicio anterior</w:t>
      </w:r>
      <w:r w:rsidRPr="00742CCD">
        <w:rPr>
          <w:rFonts w:cs="Calibri"/>
          <w:sz w:val="20"/>
          <w:szCs w:val="20"/>
        </w:rPr>
        <w:t>, por la cantidad de $</w:t>
      </w:r>
      <w:r w:rsidR="00F66363">
        <w:rPr>
          <w:rFonts w:cs="Calibri"/>
          <w:sz w:val="20"/>
          <w:szCs w:val="20"/>
        </w:rPr>
        <w:t>1</w:t>
      </w:r>
      <w:r w:rsidR="00ED5F8B">
        <w:rPr>
          <w:rFonts w:cs="Calibri"/>
          <w:sz w:val="20"/>
          <w:szCs w:val="20"/>
        </w:rPr>
        <w:t>,</w:t>
      </w:r>
      <w:r w:rsidR="00B31A8E">
        <w:rPr>
          <w:rFonts w:cs="Calibri"/>
          <w:sz w:val="20"/>
          <w:szCs w:val="20"/>
        </w:rPr>
        <w:t>447,</w:t>
      </w:r>
      <w:r w:rsidR="00AC3B58">
        <w:rPr>
          <w:rFonts w:cs="Calibri"/>
          <w:sz w:val="20"/>
          <w:szCs w:val="20"/>
        </w:rPr>
        <w:t>855,675</w:t>
      </w:r>
      <w:r w:rsidRPr="00742CCD">
        <w:rPr>
          <w:rFonts w:cs="Calibri"/>
          <w:sz w:val="20"/>
          <w:szCs w:val="20"/>
        </w:rPr>
        <w:t xml:space="preserve">, siendo el rubro de aprovechamientos el que muestra un </w:t>
      </w:r>
      <w:r w:rsidR="0001479C">
        <w:rPr>
          <w:rFonts w:cs="Calibri"/>
          <w:sz w:val="20"/>
          <w:szCs w:val="20"/>
        </w:rPr>
        <w:t xml:space="preserve">porcentaje </w:t>
      </w:r>
      <w:r w:rsidRPr="00742CCD">
        <w:rPr>
          <w:rFonts w:cs="Calibri"/>
          <w:sz w:val="20"/>
          <w:szCs w:val="20"/>
        </w:rPr>
        <w:t xml:space="preserve">muy significativo </w:t>
      </w:r>
      <w:r w:rsidR="0001479C">
        <w:rPr>
          <w:rFonts w:cs="Calibri"/>
          <w:sz w:val="20"/>
          <w:szCs w:val="20"/>
        </w:rPr>
        <w:t xml:space="preserve">de </w:t>
      </w:r>
      <w:r w:rsidRPr="00742CCD">
        <w:rPr>
          <w:rFonts w:cs="Calibri"/>
          <w:sz w:val="20"/>
          <w:szCs w:val="20"/>
        </w:rPr>
        <w:t>incremento</w:t>
      </w:r>
      <w:r w:rsidR="006B5B65">
        <w:rPr>
          <w:rFonts w:cs="Calibri"/>
          <w:sz w:val="20"/>
          <w:szCs w:val="20"/>
        </w:rPr>
        <w:t>, esto</w:t>
      </w:r>
      <w:r w:rsidRPr="00742CCD">
        <w:rPr>
          <w:rFonts w:cs="Calibri"/>
          <w:sz w:val="20"/>
          <w:szCs w:val="20"/>
        </w:rPr>
        <w:t xml:space="preserve"> debido al </w:t>
      </w:r>
      <w:r w:rsidRPr="00742CCD">
        <w:rPr>
          <w:rFonts w:cs="Calibri"/>
          <w:sz w:val="20"/>
          <w:szCs w:val="20"/>
          <w:lang w:val="es-ES" w:eastAsia="es-ES"/>
        </w:rPr>
        <w:t>pago de la contraprestación de la adjudicación del proyecto de la autopista Rumbo Nuevo en el estado</w:t>
      </w:r>
      <w:r w:rsidR="006B5B65">
        <w:rPr>
          <w:rFonts w:cs="Calibri"/>
          <w:sz w:val="20"/>
          <w:szCs w:val="20"/>
          <w:lang w:val="es-ES" w:eastAsia="es-ES"/>
        </w:rPr>
        <w:t>,</w:t>
      </w:r>
      <w:r w:rsidRPr="00742CCD">
        <w:rPr>
          <w:rFonts w:cs="Calibri"/>
          <w:sz w:val="20"/>
          <w:szCs w:val="20"/>
          <w:lang w:val="es-ES" w:eastAsia="es-ES"/>
        </w:rPr>
        <w:t xml:space="preserve"> por</w:t>
      </w:r>
      <w:r w:rsidR="006B5B65">
        <w:rPr>
          <w:rFonts w:cs="Calibri"/>
          <w:sz w:val="20"/>
          <w:szCs w:val="20"/>
          <w:lang w:val="es-ES" w:eastAsia="es-ES"/>
        </w:rPr>
        <w:t xml:space="preserve"> parte de</w:t>
      </w:r>
      <w:r w:rsidRPr="00742CCD">
        <w:rPr>
          <w:rFonts w:cs="Calibri"/>
          <w:sz w:val="20"/>
          <w:szCs w:val="20"/>
          <w:lang w:val="es-ES" w:eastAsia="es-ES"/>
        </w:rPr>
        <w:t xml:space="preserve"> la empresa Concesionaria Rumbo Nuevo por </w:t>
      </w:r>
      <w:r w:rsidR="006B5B65">
        <w:rPr>
          <w:rFonts w:cs="Calibri"/>
          <w:sz w:val="20"/>
          <w:szCs w:val="20"/>
          <w:lang w:val="es-ES" w:eastAsia="es-ES"/>
        </w:rPr>
        <w:t xml:space="preserve">un monto de </w:t>
      </w:r>
      <w:r w:rsidRPr="00742CCD">
        <w:rPr>
          <w:rFonts w:cs="Calibri"/>
          <w:sz w:val="20"/>
          <w:szCs w:val="20"/>
          <w:lang w:val="es-ES" w:eastAsia="es-ES"/>
        </w:rPr>
        <w:t>$654,000,000.</w:t>
      </w:r>
      <w:r w:rsidR="000C3676">
        <w:rPr>
          <w:rFonts w:cs="Calibri"/>
          <w:sz w:val="20"/>
          <w:szCs w:val="20"/>
          <w:lang w:val="es-ES" w:eastAsia="es-ES"/>
        </w:rPr>
        <w:t xml:space="preserve"> </w:t>
      </w:r>
    </w:p>
    <w:p w14:paraId="302F5255" w14:textId="77777777" w:rsidR="002E7B94" w:rsidRDefault="002E7B94" w:rsidP="00EC7D22">
      <w:pPr>
        <w:spacing w:after="0" w:line="240" w:lineRule="auto"/>
        <w:jc w:val="both"/>
        <w:rPr>
          <w:rFonts w:cs="Calibri"/>
          <w:sz w:val="20"/>
          <w:szCs w:val="20"/>
          <w:lang w:val="es-ES" w:eastAsia="es-ES"/>
        </w:rPr>
      </w:pPr>
    </w:p>
    <w:p w14:paraId="652BCE19" w14:textId="212B9B6D" w:rsidR="002E7B94" w:rsidRPr="0023369C" w:rsidRDefault="002E7B94" w:rsidP="00EC7D22">
      <w:pPr>
        <w:pStyle w:val="Prrafodelista"/>
        <w:numPr>
          <w:ilvl w:val="1"/>
          <w:numId w:val="3"/>
        </w:numPr>
        <w:spacing w:after="0" w:line="240" w:lineRule="auto"/>
        <w:ind w:left="0" w:firstLine="0"/>
        <w:jc w:val="both"/>
        <w:rPr>
          <w:rFonts w:cs="Calibri"/>
          <w:sz w:val="20"/>
          <w:szCs w:val="20"/>
          <w:lang w:val="es-ES" w:eastAsia="es-ES"/>
        </w:rPr>
      </w:pPr>
      <w:r w:rsidRPr="002E7B94">
        <w:rPr>
          <w:rFonts w:cs="Calibri"/>
          <w:sz w:val="20"/>
          <w:szCs w:val="20"/>
        </w:rPr>
        <w:t>Proyección y recaudación e ingresos a mediano plazo</w:t>
      </w:r>
      <w:r w:rsidR="001D3C38">
        <w:rPr>
          <w:rFonts w:cs="Calibri"/>
          <w:sz w:val="20"/>
          <w:szCs w:val="20"/>
        </w:rPr>
        <w:t>.</w:t>
      </w:r>
    </w:p>
    <w:p w14:paraId="3980D0D8" w14:textId="2DB571F7" w:rsidR="002E7B94" w:rsidRPr="002E7B94" w:rsidRDefault="002E7B94" w:rsidP="00EC7D22">
      <w:pPr>
        <w:spacing w:after="0" w:line="240" w:lineRule="auto"/>
        <w:jc w:val="both"/>
        <w:rPr>
          <w:rFonts w:cs="Calibri"/>
          <w:sz w:val="20"/>
          <w:szCs w:val="20"/>
          <w:lang w:val="es-ES" w:eastAsia="es-ES"/>
        </w:rPr>
      </w:pPr>
      <w:r>
        <w:rPr>
          <w:rFonts w:cs="Calibri"/>
          <w:sz w:val="20"/>
          <w:szCs w:val="20"/>
          <w:lang w:val="es-ES" w:eastAsia="es-ES"/>
        </w:rPr>
        <w:t xml:space="preserve">Respecto a la </w:t>
      </w:r>
      <w:r w:rsidR="0001479C">
        <w:rPr>
          <w:rFonts w:cs="Calibri"/>
          <w:sz w:val="20"/>
          <w:szCs w:val="20"/>
          <w:lang w:val="es-ES" w:eastAsia="es-ES"/>
        </w:rPr>
        <w:t xml:space="preserve">recaudación para </w:t>
      </w:r>
      <w:r w:rsidR="0001479C" w:rsidRPr="00F64288">
        <w:rPr>
          <w:rFonts w:cs="Calibri"/>
          <w:sz w:val="20"/>
          <w:szCs w:val="20"/>
          <w:lang w:val="es-ES" w:eastAsia="es-ES"/>
        </w:rPr>
        <w:t xml:space="preserve">el próximo </w:t>
      </w:r>
      <w:r w:rsidR="00450E90" w:rsidRPr="00F64288">
        <w:rPr>
          <w:rFonts w:cs="Calibri"/>
          <w:sz w:val="20"/>
          <w:szCs w:val="20"/>
          <w:lang w:val="es-ES" w:eastAsia="es-ES"/>
        </w:rPr>
        <w:t>ejercicio s</w:t>
      </w:r>
      <w:r w:rsidR="0001479C" w:rsidRPr="00F64288">
        <w:rPr>
          <w:rFonts w:cs="Calibri"/>
          <w:sz w:val="20"/>
          <w:szCs w:val="20"/>
          <w:lang w:val="es-ES" w:eastAsia="es-ES"/>
        </w:rPr>
        <w:t>e</w:t>
      </w:r>
      <w:r w:rsidR="0001479C">
        <w:rPr>
          <w:rFonts w:cs="Calibri"/>
          <w:sz w:val="20"/>
          <w:szCs w:val="20"/>
          <w:lang w:val="es-ES" w:eastAsia="es-ES"/>
        </w:rPr>
        <w:t xml:space="preserve"> espera lograr la recaudación </w:t>
      </w:r>
      <w:r w:rsidR="00B31A8E">
        <w:rPr>
          <w:rFonts w:cs="Calibri"/>
          <w:sz w:val="20"/>
          <w:szCs w:val="20"/>
          <w:lang w:val="es-ES" w:eastAsia="es-ES"/>
        </w:rPr>
        <w:t>de acuerdo con</w:t>
      </w:r>
      <w:r w:rsidR="0001479C">
        <w:rPr>
          <w:rFonts w:cs="Calibri"/>
          <w:sz w:val="20"/>
          <w:szCs w:val="20"/>
          <w:lang w:val="es-ES" w:eastAsia="es-ES"/>
        </w:rPr>
        <w:t xml:space="preserve"> la iniciativa </w:t>
      </w:r>
      <w:r w:rsidR="0023369C">
        <w:rPr>
          <w:rFonts w:cs="Calibri"/>
          <w:sz w:val="20"/>
          <w:szCs w:val="20"/>
          <w:lang w:val="es-ES" w:eastAsia="es-ES"/>
        </w:rPr>
        <w:t xml:space="preserve">    </w:t>
      </w:r>
      <w:r w:rsidR="0001479C">
        <w:rPr>
          <w:rFonts w:cs="Calibri"/>
          <w:sz w:val="20"/>
          <w:szCs w:val="20"/>
          <w:lang w:val="es-ES" w:eastAsia="es-ES"/>
        </w:rPr>
        <w:t>de la ley de Ingresos.</w:t>
      </w:r>
    </w:p>
    <w:p w14:paraId="6961BE91" w14:textId="489E1FFF" w:rsidR="007745EB" w:rsidRDefault="007745EB" w:rsidP="00EC7D22">
      <w:pPr>
        <w:spacing w:after="0" w:line="240" w:lineRule="auto"/>
        <w:jc w:val="both"/>
        <w:rPr>
          <w:rFonts w:cs="Calibri"/>
          <w:sz w:val="20"/>
          <w:szCs w:val="20"/>
        </w:rPr>
      </w:pPr>
    </w:p>
    <w:p w14:paraId="65D8B0EB" w14:textId="2080B3F0" w:rsidR="007745EB" w:rsidRPr="00892B54" w:rsidRDefault="00892B54" w:rsidP="00EC7D22">
      <w:pPr>
        <w:spacing w:after="0" w:line="240" w:lineRule="auto"/>
        <w:jc w:val="both"/>
        <w:rPr>
          <w:rFonts w:cs="Calibri"/>
          <w:b/>
          <w:sz w:val="20"/>
          <w:szCs w:val="18"/>
        </w:rPr>
      </w:pPr>
      <w:r>
        <w:rPr>
          <w:rFonts w:cs="Calibri"/>
          <w:b/>
          <w:sz w:val="20"/>
          <w:szCs w:val="18"/>
        </w:rPr>
        <w:t>1</w:t>
      </w:r>
      <w:r w:rsidR="00F26249">
        <w:rPr>
          <w:rFonts w:cs="Calibri"/>
          <w:b/>
          <w:sz w:val="20"/>
          <w:szCs w:val="18"/>
        </w:rPr>
        <w:t>0</w:t>
      </w:r>
      <w:r>
        <w:rPr>
          <w:rFonts w:cs="Calibri"/>
          <w:b/>
          <w:sz w:val="20"/>
          <w:szCs w:val="18"/>
        </w:rPr>
        <w:t xml:space="preserve">. </w:t>
      </w:r>
      <w:r w:rsidR="00C87FDA" w:rsidRPr="00892B54">
        <w:rPr>
          <w:rFonts w:cs="Calibri"/>
          <w:b/>
          <w:sz w:val="20"/>
          <w:szCs w:val="18"/>
        </w:rPr>
        <w:t>Información sobre la Deuda y Reporte Analítico de la Deuda</w:t>
      </w:r>
    </w:p>
    <w:p w14:paraId="450804F5" w14:textId="77777777" w:rsidR="007745EB" w:rsidRPr="00697201" w:rsidRDefault="007745EB" w:rsidP="00EC7D22">
      <w:pPr>
        <w:pStyle w:val="Texto"/>
        <w:spacing w:after="0" w:line="240" w:lineRule="auto"/>
        <w:ind w:firstLine="0"/>
        <w:rPr>
          <w:rFonts w:ascii="Calibri" w:hAnsi="Calibri" w:cs="Calibri"/>
          <w:b/>
          <w:sz w:val="14"/>
          <w:szCs w:val="18"/>
          <w:lang w:val="es-MX"/>
        </w:rPr>
      </w:pPr>
    </w:p>
    <w:p w14:paraId="5FB2FFD2" w14:textId="77777777" w:rsidR="007745EB" w:rsidRPr="006B5B65" w:rsidRDefault="00C87FDA" w:rsidP="00EC7D22">
      <w:pPr>
        <w:pStyle w:val="Texto"/>
        <w:numPr>
          <w:ilvl w:val="0"/>
          <w:numId w:val="2"/>
        </w:numPr>
        <w:spacing w:after="0" w:line="240" w:lineRule="auto"/>
        <w:ind w:left="0" w:firstLine="0"/>
        <w:rPr>
          <w:rFonts w:ascii="Calibri" w:hAnsi="Calibri" w:cs="Calibri"/>
          <w:b/>
          <w:sz w:val="20"/>
          <w:lang w:val="es-MX"/>
        </w:rPr>
      </w:pPr>
      <w:r w:rsidRPr="006B5B65">
        <w:rPr>
          <w:rFonts w:ascii="Calibri" w:hAnsi="Calibri" w:cs="Calibri"/>
          <w:b/>
          <w:sz w:val="20"/>
          <w:lang w:val="es-MX"/>
        </w:rPr>
        <w:t>Indicadores:</w:t>
      </w:r>
    </w:p>
    <w:p w14:paraId="710D0CCE" w14:textId="77777777" w:rsidR="007745EB" w:rsidRPr="00697201" w:rsidRDefault="007745EB" w:rsidP="00EC7D22">
      <w:pPr>
        <w:pStyle w:val="Texto"/>
        <w:spacing w:after="0" w:line="240" w:lineRule="auto"/>
        <w:ind w:firstLine="0"/>
        <w:rPr>
          <w:rFonts w:ascii="Calibri" w:hAnsi="Calibri" w:cs="Calibri"/>
          <w:sz w:val="14"/>
          <w:lang w:val="es-MX"/>
        </w:rPr>
      </w:pPr>
    </w:p>
    <w:p w14:paraId="1CB11BCC" w14:textId="18EE4A25" w:rsidR="007745EB" w:rsidRDefault="00C87FDA" w:rsidP="00EC7D22">
      <w:pPr>
        <w:pStyle w:val="Texto"/>
        <w:spacing w:after="0" w:line="240" w:lineRule="auto"/>
        <w:ind w:firstLine="0"/>
        <w:rPr>
          <w:rFonts w:ascii="Calibri" w:hAnsi="Calibri" w:cs="Calibri"/>
          <w:szCs w:val="18"/>
          <w:lang w:val="es-MX"/>
        </w:rPr>
      </w:pPr>
      <w:r>
        <w:rPr>
          <w:rFonts w:ascii="Calibri" w:hAnsi="Calibri" w:cs="Calibri"/>
          <w:szCs w:val="18"/>
          <w:lang w:val="es-MX"/>
        </w:rPr>
        <w:t xml:space="preserve">    Deuda Respecto al PIB.</w:t>
      </w:r>
    </w:p>
    <w:p w14:paraId="5B450B7A" w14:textId="77777777" w:rsidR="0001479C" w:rsidRDefault="0001479C" w:rsidP="00EC7D22">
      <w:pPr>
        <w:pStyle w:val="Texto"/>
        <w:spacing w:after="0" w:line="240" w:lineRule="auto"/>
        <w:ind w:firstLine="0"/>
        <w:rPr>
          <w:rFonts w:ascii="Calibri" w:hAnsi="Calibri" w:cs="Calibri"/>
          <w:szCs w:val="18"/>
          <w:lang w:val="es-MX"/>
        </w:rPr>
      </w:pPr>
    </w:p>
    <w:tbl>
      <w:tblPr>
        <w:tblW w:w="5954" w:type="dxa"/>
        <w:tblInd w:w="-5" w:type="dxa"/>
        <w:tblCellMar>
          <w:left w:w="70" w:type="dxa"/>
          <w:right w:w="70" w:type="dxa"/>
        </w:tblCellMar>
        <w:tblLook w:val="04A0" w:firstRow="1" w:lastRow="0" w:firstColumn="1" w:lastColumn="0" w:noHBand="0" w:noVBand="1"/>
      </w:tblPr>
      <w:tblGrid>
        <w:gridCol w:w="1134"/>
        <w:gridCol w:w="1701"/>
        <w:gridCol w:w="1560"/>
        <w:gridCol w:w="1559"/>
      </w:tblGrid>
      <w:tr w:rsidR="0001479C" w:rsidRPr="0001479C" w14:paraId="54EB3D39" w14:textId="77777777" w:rsidTr="00A743DD">
        <w:trPr>
          <w:trHeight w:val="327"/>
        </w:trPr>
        <w:tc>
          <w:tcPr>
            <w:tcW w:w="5954" w:type="dxa"/>
            <w:gridSpan w:val="4"/>
            <w:tcBorders>
              <w:top w:val="single" w:sz="4" w:space="0" w:color="auto"/>
              <w:left w:val="single" w:sz="4" w:space="0" w:color="auto"/>
              <w:bottom w:val="single" w:sz="4" w:space="0" w:color="auto"/>
              <w:right w:val="single" w:sz="4" w:space="0" w:color="auto"/>
            </w:tcBorders>
            <w:shd w:val="clear" w:color="9C0006" w:fill="AB0033"/>
            <w:vAlign w:val="center"/>
            <w:hideMark/>
          </w:tcPr>
          <w:p w14:paraId="26E25BDF" w14:textId="77777777" w:rsidR="0001479C" w:rsidRPr="0001479C" w:rsidRDefault="0001479C" w:rsidP="00EC7D22">
            <w:pPr>
              <w:suppressAutoHyphens w:val="0"/>
              <w:overflowPunct/>
              <w:spacing w:after="0" w:line="240" w:lineRule="auto"/>
              <w:jc w:val="center"/>
              <w:rPr>
                <w:rFonts w:eastAsia="Times New Roman" w:cs="Calibri"/>
                <w:b/>
                <w:bCs/>
                <w:color w:val="FFFFFF"/>
                <w:sz w:val="16"/>
                <w:szCs w:val="16"/>
                <w:lang w:eastAsia="es-MX"/>
              </w:rPr>
            </w:pPr>
            <w:r w:rsidRPr="0001479C">
              <w:rPr>
                <w:rFonts w:eastAsia="Times New Roman" w:cs="Calibri"/>
                <w:b/>
                <w:bCs/>
                <w:color w:val="FFFFFF"/>
                <w:sz w:val="16"/>
                <w:szCs w:val="16"/>
                <w:lang w:eastAsia="es-MX"/>
              </w:rPr>
              <w:t>Indicador: Deuda Respecto al PIB</w:t>
            </w:r>
          </w:p>
        </w:tc>
      </w:tr>
      <w:tr w:rsidR="0001479C" w:rsidRPr="0001479C" w14:paraId="2F3AE63C" w14:textId="77777777" w:rsidTr="00A743DD">
        <w:trPr>
          <w:trHeight w:val="438"/>
        </w:trPr>
        <w:tc>
          <w:tcPr>
            <w:tcW w:w="1134" w:type="dxa"/>
            <w:tcBorders>
              <w:top w:val="nil"/>
              <w:left w:val="single" w:sz="4" w:space="0" w:color="auto"/>
              <w:bottom w:val="single" w:sz="4" w:space="0" w:color="auto"/>
              <w:right w:val="single" w:sz="4" w:space="0" w:color="auto"/>
            </w:tcBorders>
            <w:shd w:val="clear" w:color="DBDBDB" w:fill="D9D9D9"/>
            <w:noWrap/>
            <w:vAlign w:val="center"/>
            <w:hideMark/>
          </w:tcPr>
          <w:p w14:paraId="5F98A1ED" w14:textId="77777777" w:rsidR="0001479C" w:rsidRPr="0001479C" w:rsidRDefault="0001479C" w:rsidP="00EC7D22">
            <w:pPr>
              <w:suppressAutoHyphens w:val="0"/>
              <w:overflowPunct/>
              <w:spacing w:after="0" w:line="240" w:lineRule="auto"/>
              <w:jc w:val="center"/>
              <w:rPr>
                <w:rFonts w:eastAsia="Times New Roman" w:cs="Calibri"/>
                <w:b/>
                <w:bCs/>
                <w:color w:val="000000"/>
                <w:sz w:val="16"/>
                <w:szCs w:val="16"/>
                <w:lang w:eastAsia="es-MX"/>
              </w:rPr>
            </w:pPr>
            <w:r w:rsidRPr="0001479C">
              <w:rPr>
                <w:rFonts w:eastAsia="Times New Roman" w:cs="Calibri"/>
                <w:b/>
                <w:bCs/>
                <w:color w:val="000000"/>
                <w:sz w:val="16"/>
                <w:szCs w:val="16"/>
                <w:lang w:eastAsia="es-MX"/>
              </w:rPr>
              <w:t>Año</w:t>
            </w:r>
          </w:p>
        </w:tc>
        <w:tc>
          <w:tcPr>
            <w:tcW w:w="1701" w:type="dxa"/>
            <w:tcBorders>
              <w:top w:val="nil"/>
              <w:left w:val="nil"/>
              <w:bottom w:val="single" w:sz="4" w:space="0" w:color="auto"/>
              <w:right w:val="single" w:sz="4" w:space="0" w:color="auto"/>
            </w:tcBorders>
            <w:shd w:val="clear" w:color="DBDBDB" w:fill="D9D9D9"/>
            <w:vAlign w:val="center"/>
            <w:hideMark/>
          </w:tcPr>
          <w:p w14:paraId="7D88E25A" w14:textId="77777777" w:rsidR="0001479C" w:rsidRPr="0001479C" w:rsidRDefault="0001479C" w:rsidP="00EC7D22">
            <w:pPr>
              <w:suppressAutoHyphens w:val="0"/>
              <w:overflowPunct/>
              <w:spacing w:after="0" w:line="240" w:lineRule="auto"/>
              <w:jc w:val="center"/>
              <w:rPr>
                <w:rFonts w:eastAsia="Times New Roman" w:cs="Calibri"/>
                <w:b/>
                <w:bCs/>
                <w:color w:val="000000"/>
                <w:sz w:val="16"/>
                <w:szCs w:val="16"/>
                <w:lang w:eastAsia="es-MX"/>
              </w:rPr>
            </w:pPr>
            <w:r w:rsidRPr="0001479C">
              <w:rPr>
                <w:rFonts w:eastAsia="Times New Roman" w:cs="Calibri"/>
                <w:b/>
                <w:bCs/>
                <w:color w:val="000000"/>
                <w:sz w:val="16"/>
                <w:szCs w:val="16"/>
                <w:lang w:eastAsia="es-MX"/>
              </w:rPr>
              <w:t>Saldo de la Deuda</w:t>
            </w:r>
          </w:p>
        </w:tc>
        <w:tc>
          <w:tcPr>
            <w:tcW w:w="1560" w:type="dxa"/>
            <w:tcBorders>
              <w:top w:val="nil"/>
              <w:left w:val="nil"/>
              <w:bottom w:val="single" w:sz="4" w:space="0" w:color="auto"/>
              <w:right w:val="single" w:sz="4" w:space="0" w:color="auto"/>
            </w:tcBorders>
            <w:shd w:val="clear" w:color="DBDBDB" w:fill="D9D9D9"/>
            <w:noWrap/>
            <w:vAlign w:val="center"/>
            <w:hideMark/>
          </w:tcPr>
          <w:p w14:paraId="07608E0F" w14:textId="77777777" w:rsidR="0001479C" w:rsidRPr="0001479C" w:rsidRDefault="0001479C" w:rsidP="00EC7D22">
            <w:pPr>
              <w:suppressAutoHyphens w:val="0"/>
              <w:overflowPunct/>
              <w:spacing w:after="0" w:line="240" w:lineRule="auto"/>
              <w:jc w:val="center"/>
              <w:rPr>
                <w:rFonts w:eastAsia="Times New Roman" w:cs="Calibri"/>
                <w:b/>
                <w:bCs/>
                <w:color w:val="000000"/>
                <w:sz w:val="16"/>
                <w:szCs w:val="16"/>
                <w:lang w:eastAsia="es-MX"/>
              </w:rPr>
            </w:pPr>
            <w:r w:rsidRPr="0001479C">
              <w:rPr>
                <w:rFonts w:eastAsia="Times New Roman" w:cs="Calibri"/>
                <w:b/>
                <w:bCs/>
                <w:color w:val="000000"/>
                <w:sz w:val="16"/>
                <w:szCs w:val="16"/>
                <w:lang w:eastAsia="es-MX"/>
              </w:rPr>
              <w:t>PIB</w:t>
            </w:r>
          </w:p>
        </w:tc>
        <w:tc>
          <w:tcPr>
            <w:tcW w:w="1559" w:type="dxa"/>
            <w:tcBorders>
              <w:top w:val="nil"/>
              <w:left w:val="nil"/>
              <w:bottom w:val="single" w:sz="4" w:space="0" w:color="auto"/>
              <w:right w:val="single" w:sz="4" w:space="0" w:color="auto"/>
            </w:tcBorders>
            <w:shd w:val="clear" w:color="DBDBDB" w:fill="D9D9D9"/>
            <w:noWrap/>
            <w:vAlign w:val="center"/>
            <w:hideMark/>
          </w:tcPr>
          <w:p w14:paraId="1E369690" w14:textId="77777777" w:rsidR="0001479C" w:rsidRPr="0001479C" w:rsidRDefault="0001479C" w:rsidP="00EC7D22">
            <w:pPr>
              <w:suppressAutoHyphens w:val="0"/>
              <w:overflowPunct/>
              <w:spacing w:after="0" w:line="240" w:lineRule="auto"/>
              <w:jc w:val="right"/>
              <w:rPr>
                <w:rFonts w:eastAsia="Times New Roman" w:cs="Calibri"/>
                <w:b/>
                <w:bCs/>
                <w:color w:val="000000"/>
                <w:sz w:val="16"/>
                <w:szCs w:val="16"/>
                <w:lang w:eastAsia="es-MX"/>
              </w:rPr>
            </w:pPr>
            <w:r w:rsidRPr="0001479C">
              <w:rPr>
                <w:rFonts w:eastAsia="Times New Roman" w:cs="Calibri"/>
                <w:b/>
                <w:bCs/>
                <w:color w:val="000000"/>
                <w:sz w:val="16"/>
                <w:szCs w:val="16"/>
                <w:lang w:eastAsia="es-MX"/>
              </w:rPr>
              <w:t>Indicador</w:t>
            </w:r>
          </w:p>
        </w:tc>
      </w:tr>
      <w:tr w:rsidR="0001479C" w:rsidRPr="0001479C" w14:paraId="70005FB6" w14:textId="77777777" w:rsidTr="00A743DD">
        <w:trPr>
          <w:trHeight w:val="330"/>
        </w:trPr>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14:paraId="019F5010" w14:textId="77777777" w:rsidR="0001479C" w:rsidRPr="0001479C" w:rsidRDefault="0001479C" w:rsidP="00EC7D22">
            <w:pPr>
              <w:suppressAutoHyphens w:val="0"/>
              <w:overflowPunct/>
              <w:spacing w:after="0" w:line="240" w:lineRule="auto"/>
              <w:jc w:val="center"/>
              <w:rPr>
                <w:rFonts w:eastAsia="Times New Roman" w:cs="Calibri"/>
                <w:color w:val="000000"/>
                <w:sz w:val="14"/>
                <w:szCs w:val="14"/>
                <w:lang w:eastAsia="es-MX"/>
              </w:rPr>
            </w:pPr>
            <w:r w:rsidRPr="0001479C">
              <w:rPr>
                <w:rFonts w:eastAsia="Times New Roman" w:cs="Calibri"/>
                <w:color w:val="000000"/>
                <w:sz w:val="14"/>
                <w:szCs w:val="14"/>
                <w:lang w:eastAsia="es-MX"/>
              </w:rPr>
              <w:t>2017</w:t>
            </w:r>
          </w:p>
        </w:tc>
        <w:tc>
          <w:tcPr>
            <w:tcW w:w="1701" w:type="dxa"/>
            <w:tcBorders>
              <w:top w:val="nil"/>
              <w:left w:val="nil"/>
              <w:bottom w:val="single" w:sz="4" w:space="0" w:color="auto"/>
              <w:right w:val="single" w:sz="4" w:space="0" w:color="auto"/>
            </w:tcBorders>
            <w:shd w:val="clear" w:color="FFFFCC" w:fill="FFFFFF"/>
            <w:noWrap/>
            <w:vAlign w:val="center"/>
            <w:hideMark/>
          </w:tcPr>
          <w:p w14:paraId="57CF1522"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11,462,941,947</w:t>
            </w:r>
          </w:p>
        </w:tc>
        <w:tc>
          <w:tcPr>
            <w:tcW w:w="1560" w:type="dxa"/>
            <w:tcBorders>
              <w:top w:val="nil"/>
              <w:left w:val="nil"/>
              <w:bottom w:val="single" w:sz="4" w:space="0" w:color="auto"/>
              <w:right w:val="single" w:sz="4" w:space="0" w:color="auto"/>
            </w:tcBorders>
            <w:shd w:val="clear" w:color="FFFFCC" w:fill="FFFFFF"/>
            <w:noWrap/>
            <w:vAlign w:val="center"/>
            <w:hideMark/>
          </w:tcPr>
          <w:p w14:paraId="3E6A9058"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557,763,000,000</w:t>
            </w:r>
          </w:p>
        </w:tc>
        <w:tc>
          <w:tcPr>
            <w:tcW w:w="1559" w:type="dxa"/>
            <w:tcBorders>
              <w:top w:val="nil"/>
              <w:left w:val="nil"/>
              <w:bottom w:val="single" w:sz="4" w:space="0" w:color="auto"/>
              <w:right w:val="single" w:sz="4" w:space="0" w:color="auto"/>
            </w:tcBorders>
            <w:shd w:val="clear" w:color="auto" w:fill="auto"/>
            <w:noWrap/>
            <w:vAlign w:val="bottom"/>
            <w:hideMark/>
          </w:tcPr>
          <w:p w14:paraId="193060DB"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2.0552</w:t>
            </w:r>
          </w:p>
        </w:tc>
      </w:tr>
      <w:tr w:rsidR="0001479C" w:rsidRPr="0001479C" w14:paraId="3BF9DC2F" w14:textId="77777777" w:rsidTr="00A743DD">
        <w:trPr>
          <w:trHeight w:val="330"/>
        </w:trPr>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14:paraId="5964C51F" w14:textId="77777777" w:rsidR="0001479C" w:rsidRPr="0001479C" w:rsidRDefault="0001479C" w:rsidP="00EC7D22">
            <w:pPr>
              <w:suppressAutoHyphens w:val="0"/>
              <w:overflowPunct/>
              <w:spacing w:after="0" w:line="240" w:lineRule="auto"/>
              <w:jc w:val="center"/>
              <w:rPr>
                <w:rFonts w:eastAsia="Times New Roman" w:cs="Calibri"/>
                <w:color w:val="000000"/>
                <w:sz w:val="14"/>
                <w:szCs w:val="14"/>
                <w:lang w:eastAsia="es-MX"/>
              </w:rPr>
            </w:pPr>
            <w:r w:rsidRPr="0001479C">
              <w:rPr>
                <w:rFonts w:eastAsia="Times New Roman" w:cs="Calibri"/>
                <w:color w:val="000000"/>
                <w:sz w:val="14"/>
                <w:szCs w:val="14"/>
                <w:lang w:eastAsia="es-MX"/>
              </w:rPr>
              <w:t>2018</w:t>
            </w:r>
          </w:p>
        </w:tc>
        <w:tc>
          <w:tcPr>
            <w:tcW w:w="1701" w:type="dxa"/>
            <w:tcBorders>
              <w:top w:val="nil"/>
              <w:left w:val="nil"/>
              <w:bottom w:val="single" w:sz="4" w:space="0" w:color="auto"/>
              <w:right w:val="single" w:sz="4" w:space="0" w:color="auto"/>
            </w:tcBorders>
            <w:shd w:val="clear" w:color="FFFFCC" w:fill="FFFFFF"/>
            <w:noWrap/>
            <w:vAlign w:val="center"/>
            <w:hideMark/>
          </w:tcPr>
          <w:p w14:paraId="09EB27C8"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11,582,032,979</w:t>
            </w:r>
          </w:p>
        </w:tc>
        <w:tc>
          <w:tcPr>
            <w:tcW w:w="1560" w:type="dxa"/>
            <w:tcBorders>
              <w:top w:val="nil"/>
              <w:left w:val="nil"/>
              <w:bottom w:val="single" w:sz="4" w:space="0" w:color="auto"/>
              <w:right w:val="single" w:sz="4" w:space="0" w:color="auto"/>
            </w:tcBorders>
            <w:shd w:val="clear" w:color="FFFFCC" w:fill="FFFFFF"/>
            <w:noWrap/>
            <w:vAlign w:val="center"/>
            <w:hideMark/>
          </w:tcPr>
          <w:p w14:paraId="1D61DE41"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607,890,000,000</w:t>
            </w:r>
          </w:p>
        </w:tc>
        <w:tc>
          <w:tcPr>
            <w:tcW w:w="1559" w:type="dxa"/>
            <w:tcBorders>
              <w:top w:val="nil"/>
              <w:left w:val="nil"/>
              <w:bottom w:val="single" w:sz="4" w:space="0" w:color="auto"/>
              <w:right w:val="single" w:sz="4" w:space="0" w:color="auto"/>
            </w:tcBorders>
            <w:shd w:val="clear" w:color="auto" w:fill="auto"/>
            <w:noWrap/>
            <w:vAlign w:val="bottom"/>
            <w:hideMark/>
          </w:tcPr>
          <w:p w14:paraId="4E9818BD"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1.9053</w:t>
            </w:r>
          </w:p>
        </w:tc>
      </w:tr>
      <w:tr w:rsidR="0001479C" w:rsidRPr="0001479C" w14:paraId="2EB850AC" w14:textId="77777777" w:rsidTr="00A743DD">
        <w:trPr>
          <w:trHeight w:val="330"/>
        </w:trPr>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14:paraId="7B80C286" w14:textId="77777777" w:rsidR="0001479C" w:rsidRPr="0001479C" w:rsidRDefault="0001479C" w:rsidP="00EC7D22">
            <w:pPr>
              <w:suppressAutoHyphens w:val="0"/>
              <w:overflowPunct/>
              <w:spacing w:after="0" w:line="240" w:lineRule="auto"/>
              <w:jc w:val="center"/>
              <w:rPr>
                <w:rFonts w:eastAsia="Times New Roman" w:cs="Calibri"/>
                <w:color w:val="000000"/>
                <w:sz w:val="14"/>
                <w:szCs w:val="14"/>
                <w:lang w:eastAsia="es-MX"/>
              </w:rPr>
            </w:pPr>
            <w:r w:rsidRPr="0001479C">
              <w:rPr>
                <w:rFonts w:eastAsia="Times New Roman" w:cs="Calibri"/>
                <w:color w:val="000000"/>
                <w:sz w:val="14"/>
                <w:szCs w:val="14"/>
                <w:lang w:eastAsia="es-MX"/>
              </w:rPr>
              <w:t>2019</w:t>
            </w:r>
          </w:p>
        </w:tc>
        <w:tc>
          <w:tcPr>
            <w:tcW w:w="1701" w:type="dxa"/>
            <w:tcBorders>
              <w:top w:val="nil"/>
              <w:left w:val="nil"/>
              <w:bottom w:val="single" w:sz="4" w:space="0" w:color="auto"/>
              <w:right w:val="single" w:sz="4" w:space="0" w:color="auto"/>
            </w:tcBorders>
            <w:shd w:val="clear" w:color="FFFFCC" w:fill="FFFFFF"/>
            <w:noWrap/>
            <w:vAlign w:val="center"/>
            <w:hideMark/>
          </w:tcPr>
          <w:p w14:paraId="15B38B83"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14,416,115,884</w:t>
            </w:r>
          </w:p>
        </w:tc>
        <w:tc>
          <w:tcPr>
            <w:tcW w:w="1560" w:type="dxa"/>
            <w:tcBorders>
              <w:top w:val="nil"/>
              <w:left w:val="nil"/>
              <w:bottom w:val="single" w:sz="4" w:space="0" w:color="auto"/>
              <w:right w:val="single" w:sz="4" w:space="0" w:color="auto"/>
            </w:tcBorders>
            <w:shd w:val="clear" w:color="FFFFCC" w:fill="FFFFFF"/>
            <w:noWrap/>
            <w:vAlign w:val="center"/>
            <w:hideMark/>
          </w:tcPr>
          <w:p w14:paraId="23FBEBBF"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651,864,000,000</w:t>
            </w:r>
          </w:p>
        </w:tc>
        <w:tc>
          <w:tcPr>
            <w:tcW w:w="1559" w:type="dxa"/>
            <w:tcBorders>
              <w:top w:val="nil"/>
              <w:left w:val="nil"/>
              <w:bottom w:val="single" w:sz="4" w:space="0" w:color="auto"/>
              <w:right w:val="single" w:sz="4" w:space="0" w:color="auto"/>
            </w:tcBorders>
            <w:shd w:val="clear" w:color="auto" w:fill="auto"/>
            <w:noWrap/>
            <w:vAlign w:val="bottom"/>
            <w:hideMark/>
          </w:tcPr>
          <w:p w14:paraId="128FB8FC"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2.2115</w:t>
            </w:r>
          </w:p>
        </w:tc>
      </w:tr>
      <w:tr w:rsidR="0001479C" w:rsidRPr="0001479C" w14:paraId="5B29AF8A" w14:textId="77777777" w:rsidTr="00A743DD">
        <w:trPr>
          <w:trHeight w:val="330"/>
        </w:trPr>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14:paraId="6FFBA801" w14:textId="77777777" w:rsidR="0001479C" w:rsidRPr="0001479C" w:rsidRDefault="0001479C" w:rsidP="00EC7D22">
            <w:pPr>
              <w:suppressAutoHyphens w:val="0"/>
              <w:overflowPunct/>
              <w:spacing w:after="0" w:line="240" w:lineRule="auto"/>
              <w:jc w:val="center"/>
              <w:rPr>
                <w:rFonts w:eastAsia="Times New Roman" w:cs="Calibri"/>
                <w:color w:val="000000"/>
                <w:sz w:val="14"/>
                <w:szCs w:val="14"/>
                <w:lang w:eastAsia="es-MX"/>
              </w:rPr>
            </w:pPr>
            <w:r w:rsidRPr="0001479C">
              <w:rPr>
                <w:rFonts w:eastAsia="Times New Roman" w:cs="Calibri"/>
                <w:color w:val="000000"/>
                <w:sz w:val="14"/>
                <w:szCs w:val="14"/>
                <w:lang w:eastAsia="es-MX"/>
              </w:rPr>
              <w:t>2020</w:t>
            </w:r>
          </w:p>
        </w:tc>
        <w:tc>
          <w:tcPr>
            <w:tcW w:w="1701" w:type="dxa"/>
            <w:tcBorders>
              <w:top w:val="nil"/>
              <w:left w:val="nil"/>
              <w:bottom w:val="single" w:sz="4" w:space="0" w:color="auto"/>
              <w:right w:val="single" w:sz="4" w:space="0" w:color="auto"/>
            </w:tcBorders>
            <w:shd w:val="clear" w:color="FFFFCC" w:fill="FFFFFF"/>
            <w:noWrap/>
            <w:vAlign w:val="center"/>
            <w:hideMark/>
          </w:tcPr>
          <w:p w14:paraId="2469202E"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14,020,190,971</w:t>
            </w:r>
          </w:p>
        </w:tc>
        <w:tc>
          <w:tcPr>
            <w:tcW w:w="1560" w:type="dxa"/>
            <w:tcBorders>
              <w:top w:val="nil"/>
              <w:left w:val="nil"/>
              <w:bottom w:val="single" w:sz="4" w:space="0" w:color="auto"/>
              <w:right w:val="single" w:sz="4" w:space="0" w:color="auto"/>
            </w:tcBorders>
            <w:shd w:val="clear" w:color="FFFFCC" w:fill="FFFFFF"/>
            <w:noWrap/>
            <w:vAlign w:val="center"/>
            <w:hideMark/>
          </w:tcPr>
          <w:p w14:paraId="70045B40"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709,991,000,000</w:t>
            </w:r>
          </w:p>
        </w:tc>
        <w:tc>
          <w:tcPr>
            <w:tcW w:w="1559" w:type="dxa"/>
            <w:tcBorders>
              <w:top w:val="nil"/>
              <w:left w:val="nil"/>
              <w:bottom w:val="single" w:sz="4" w:space="0" w:color="auto"/>
              <w:right w:val="single" w:sz="4" w:space="0" w:color="auto"/>
            </w:tcBorders>
            <w:shd w:val="clear" w:color="auto" w:fill="auto"/>
            <w:noWrap/>
            <w:vAlign w:val="bottom"/>
            <w:hideMark/>
          </w:tcPr>
          <w:p w14:paraId="722D9E95"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1.9747</w:t>
            </w:r>
          </w:p>
        </w:tc>
      </w:tr>
      <w:tr w:rsidR="0001479C" w:rsidRPr="0001479C" w14:paraId="6FB51689" w14:textId="77777777" w:rsidTr="00A743DD">
        <w:trPr>
          <w:trHeight w:val="330"/>
        </w:trPr>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14:paraId="6940333F" w14:textId="77777777" w:rsidR="0001479C" w:rsidRPr="0001479C" w:rsidRDefault="0001479C" w:rsidP="00EC7D22">
            <w:pPr>
              <w:suppressAutoHyphens w:val="0"/>
              <w:overflowPunct/>
              <w:spacing w:after="0" w:line="240" w:lineRule="auto"/>
              <w:jc w:val="center"/>
              <w:rPr>
                <w:rFonts w:eastAsia="Times New Roman" w:cs="Calibri"/>
                <w:color w:val="000000"/>
                <w:sz w:val="14"/>
                <w:szCs w:val="14"/>
                <w:lang w:eastAsia="es-MX"/>
              </w:rPr>
            </w:pPr>
            <w:r w:rsidRPr="0001479C">
              <w:rPr>
                <w:rFonts w:eastAsia="Times New Roman" w:cs="Calibri"/>
                <w:color w:val="000000"/>
                <w:sz w:val="14"/>
                <w:szCs w:val="14"/>
                <w:lang w:eastAsia="es-MX"/>
              </w:rPr>
              <w:t>2021</w:t>
            </w:r>
          </w:p>
        </w:tc>
        <w:tc>
          <w:tcPr>
            <w:tcW w:w="1701" w:type="dxa"/>
            <w:tcBorders>
              <w:top w:val="nil"/>
              <w:left w:val="nil"/>
              <w:bottom w:val="single" w:sz="4" w:space="0" w:color="auto"/>
              <w:right w:val="single" w:sz="4" w:space="0" w:color="auto"/>
            </w:tcBorders>
            <w:shd w:val="clear" w:color="FFFFCC" w:fill="FFFFFF"/>
            <w:noWrap/>
            <w:vAlign w:val="center"/>
            <w:hideMark/>
          </w:tcPr>
          <w:p w14:paraId="5EFAEA3A"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15,552,312,266</w:t>
            </w:r>
          </w:p>
        </w:tc>
        <w:tc>
          <w:tcPr>
            <w:tcW w:w="1560" w:type="dxa"/>
            <w:tcBorders>
              <w:top w:val="nil"/>
              <w:left w:val="nil"/>
              <w:bottom w:val="single" w:sz="4" w:space="0" w:color="auto"/>
              <w:right w:val="single" w:sz="4" w:space="0" w:color="auto"/>
            </w:tcBorders>
            <w:shd w:val="clear" w:color="FFFFCC" w:fill="FFFFFF"/>
            <w:noWrap/>
            <w:vAlign w:val="center"/>
            <w:hideMark/>
          </w:tcPr>
          <w:p w14:paraId="5AF893F4"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674,741,000,000</w:t>
            </w:r>
          </w:p>
        </w:tc>
        <w:tc>
          <w:tcPr>
            <w:tcW w:w="1559" w:type="dxa"/>
            <w:tcBorders>
              <w:top w:val="nil"/>
              <w:left w:val="nil"/>
              <w:bottom w:val="single" w:sz="4" w:space="0" w:color="auto"/>
              <w:right w:val="single" w:sz="4" w:space="0" w:color="auto"/>
            </w:tcBorders>
            <w:shd w:val="clear" w:color="auto" w:fill="auto"/>
            <w:noWrap/>
            <w:vAlign w:val="bottom"/>
            <w:hideMark/>
          </w:tcPr>
          <w:p w14:paraId="0D50CC2A"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2.3049</w:t>
            </w:r>
          </w:p>
        </w:tc>
      </w:tr>
      <w:tr w:rsidR="0001479C" w:rsidRPr="0001479C" w14:paraId="5FA9C2B2" w14:textId="77777777" w:rsidTr="00A743DD">
        <w:trPr>
          <w:trHeight w:val="330"/>
        </w:trPr>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14:paraId="112E7737" w14:textId="77777777" w:rsidR="0001479C" w:rsidRPr="0001479C" w:rsidRDefault="0001479C" w:rsidP="00EC7D22">
            <w:pPr>
              <w:suppressAutoHyphens w:val="0"/>
              <w:overflowPunct/>
              <w:spacing w:after="0" w:line="240" w:lineRule="auto"/>
              <w:jc w:val="center"/>
              <w:rPr>
                <w:rFonts w:eastAsia="Times New Roman" w:cs="Calibri"/>
                <w:color w:val="000000"/>
                <w:sz w:val="14"/>
                <w:szCs w:val="14"/>
                <w:lang w:eastAsia="es-MX"/>
              </w:rPr>
            </w:pPr>
            <w:r w:rsidRPr="0001479C">
              <w:rPr>
                <w:rFonts w:eastAsia="Times New Roman" w:cs="Calibri"/>
                <w:color w:val="000000"/>
                <w:sz w:val="14"/>
                <w:szCs w:val="14"/>
                <w:lang w:eastAsia="es-MX"/>
              </w:rPr>
              <w:t>2022</w:t>
            </w:r>
          </w:p>
        </w:tc>
        <w:tc>
          <w:tcPr>
            <w:tcW w:w="1701" w:type="dxa"/>
            <w:tcBorders>
              <w:top w:val="nil"/>
              <w:left w:val="nil"/>
              <w:bottom w:val="single" w:sz="4" w:space="0" w:color="auto"/>
              <w:right w:val="single" w:sz="4" w:space="0" w:color="auto"/>
            </w:tcBorders>
            <w:shd w:val="clear" w:color="FFFFCC" w:fill="FFFFFF"/>
            <w:noWrap/>
            <w:vAlign w:val="center"/>
            <w:hideMark/>
          </w:tcPr>
          <w:p w14:paraId="3EA02CC2"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15,833,324,062</w:t>
            </w:r>
          </w:p>
        </w:tc>
        <w:tc>
          <w:tcPr>
            <w:tcW w:w="1560" w:type="dxa"/>
            <w:tcBorders>
              <w:top w:val="nil"/>
              <w:left w:val="nil"/>
              <w:bottom w:val="single" w:sz="4" w:space="0" w:color="auto"/>
              <w:right w:val="single" w:sz="4" w:space="0" w:color="auto"/>
            </w:tcBorders>
            <w:shd w:val="clear" w:color="FFFFCC" w:fill="FFFFFF"/>
            <w:noWrap/>
            <w:vAlign w:val="center"/>
            <w:hideMark/>
          </w:tcPr>
          <w:p w14:paraId="21E1D5A9"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674,059,000,000</w:t>
            </w:r>
          </w:p>
        </w:tc>
        <w:tc>
          <w:tcPr>
            <w:tcW w:w="1559" w:type="dxa"/>
            <w:tcBorders>
              <w:top w:val="nil"/>
              <w:left w:val="nil"/>
              <w:bottom w:val="single" w:sz="4" w:space="0" w:color="auto"/>
              <w:right w:val="single" w:sz="4" w:space="0" w:color="auto"/>
            </w:tcBorders>
            <w:shd w:val="clear" w:color="auto" w:fill="auto"/>
            <w:noWrap/>
            <w:vAlign w:val="bottom"/>
            <w:hideMark/>
          </w:tcPr>
          <w:p w14:paraId="6FCE7D4C"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2.3490</w:t>
            </w:r>
          </w:p>
        </w:tc>
      </w:tr>
      <w:tr w:rsidR="0001479C" w:rsidRPr="0001479C" w14:paraId="776A0932" w14:textId="77777777" w:rsidTr="00A743DD">
        <w:trPr>
          <w:trHeight w:val="327"/>
        </w:trPr>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14:paraId="0E9F0AB2" w14:textId="77777777" w:rsidR="0001479C" w:rsidRPr="0001479C" w:rsidRDefault="0001479C" w:rsidP="00EC7D22">
            <w:pPr>
              <w:suppressAutoHyphens w:val="0"/>
              <w:overflowPunct/>
              <w:spacing w:after="0" w:line="240" w:lineRule="auto"/>
              <w:jc w:val="center"/>
              <w:rPr>
                <w:rFonts w:eastAsia="Times New Roman" w:cs="Calibri"/>
                <w:color w:val="000000"/>
                <w:sz w:val="14"/>
                <w:szCs w:val="14"/>
                <w:lang w:eastAsia="es-MX"/>
              </w:rPr>
            </w:pPr>
            <w:r w:rsidRPr="0001479C">
              <w:rPr>
                <w:rFonts w:eastAsia="Times New Roman" w:cs="Calibri"/>
                <w:color w:val="000000"/>
                <w:sz w:val="14"/>
                <w:szCs w:val="14"/>
                <w:lang w:eastAsia="es-MX"/>
              </w:rPr>
              <w:t>2023</w:t>
            </w:r>
          </w:p>
        </w:tc>
        <w:tc>
          <w:tcPr>
            <w:tcW w:w="1701" w:type="dxa"/>
            <w:tcBorders>
              <w:top w:val="nil"/>
              <w:left w:val="nil"/>
              <w:bottom w:val="single" w:sz="4" w:space="0" w:color="auto"/>
              <w:right w:val="single" w:sz="4" w:space="0" w:color="auto"/>
            </w:tcBorders>
            <w:shd w:val="clear" w:color="FFFFCC" w:fill="FFFFFF"/>
            <w:noWrap/>
            <w:vAlign w:val="center"/>
            <w:hideMark/>
          </w:tcPr>
          <w:p w14:paraId="066A14F3"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15,440,502,481</w:t>
            </w:r>
          </w:p>
        </w:tc>
        <w:tc>
          <w:tcPr>
            <w:tcW w:w="1560" w:type="dxa"/>
            <w:tcBorders>
              <w:top w:val="nil"/>
              <w:left w:val="nil"/>
              <w:bottom w:val="single" w:sz="4" w:space="0" w:color="auto"/>
              <w:right w:val="single" w:sz="4" w:space="0" w:color="auto"/>
            </w:tcBorders>
            <w:shd w:val="clear" w:color="FFFFCC" w:fill="FFFFFF"/>
            <w:noWrap/>
            <w:vAlign w:val="center"/>
            <w:hideMark/>
          </w:tcPr>
          <w:p w14:paraId="2EB2704A"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723,791,000,000</w:t>
            </w:r>
          </w:p>
        </w:tc>
        <w:tc>
          <w:tcPr>
            <w:tcW w:w="1559" w:type="dxa"/>
            <w:tcBorders>
              <w:top w:val="nil"/>
              <w:left w:val="nil"/>
              <w:bottom w:val="single" w:sz="4" w:space="0" w:color="auto"/>
              <w:right w:val="single" w:sz="4" w:space="0" w:color="auto"/>
            </w:tcBorders>
            <w:shd w:val="clear" w:color="auto" w:fill="auto"/>
            <w:noWrap/>
            <w:vAlign w:val="bottom"/>
            <w:hideMark/>
          </w:tcPr>
          <w:p w14:paraId="0E8AA1B3"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2.1333</w:t>
            </w:r>
          </w:p>
        </w:tc>
      </w:tr>
      <w:tr w:rsidR="0001479C" w:rsidRPr="0001479C" w14:paraId="6CB66CB9" w14:textId="77777777" w:rsidTr="00A743DD">
        <w:trPr>
          <w:trHeight w:val="327"/>
        </w:trPr>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14:paraId="39EFB3B5" w14:textId="77777777" w:rsidR="0001479C" w:rsidRPr="0001479C" w:rsidRDefault="0001479C" w:rsidP="00EC7D22">
            <w:pPr>
              <w:suppressAutoHyphens w:val="0"/>
              <w:overflowPunct/>
              <w:spacing w:after="0" w:line="240" w:lineRule="auto"/>
              <w:jc w:val="center"/>
              <w:rPr>
                <w:rFonts w:eastAsia="Times New Roman" w:cs="Calibri"/>
                <w:color w:val="000000"/>
                <w:sz w:val="14"/>
                <w:szCs w:val="14"/>
                <w:lang w:eastAsia="es-MX"/>
              </w:rPr>
            </w:pPr>
            <w:r w:rsidRPr="0001479C">
              <w:rPr>
                <w:rFonts w:eastAsia="Times New Roman" w:cs="Calibri"/>
                <w:color w:val="000000"/>
                <w:sz w:val="14"/>
                <w:szCs w:val="14"/>
                <w:lang w:eastAsia="es-MX"/>
              </w:rPr>
              <w:t>2024</w:t>
            </w:r>
          </w:p>
        </w:tc>
        <w:tc>
          <w:tcPr>
            <w:tcW w:w="1701" w:type="dxa"/>
            <w:tcBorders>
              <w:top w:val="nil"/>
              <w:left w:val="nil"/>
              <w:bottom w:val="single" w:sz="4" w:space="0" w:color="auto"/>
              <w:right w:val="single" w:sz="4" w:space="0" w:color="auto"/>
            </w:tcBorders>
            <w:shd w:val="clear" w:color="FFFFCC" w:fill="FFFFFF"/>
            <w:noWrap/>
            <w:vAlign w:val="center"/>
            <w:hideMark/>
          </w:tcPr>
          <w:p w14:paraId="3BCDFA00" w14:textId="372BD573" w:rsidR="0001479C" w:rsidRPr="002553AC" w:rsidRDefault="0001479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15,227,044,58</w:t>
            </w:r>
            <w:r w:rsidR="00450E90" w:rsidRPr="002553AC">
              <w:rPr>
                <w:rFonts w:eastAsia="Times New Roman" w:cs="Calibri"/>
                <w:color w:val="000000"/>
                <w:sz w:val="14"/>
                <w:szCs w:val="14"/>
                <w:lang w:eastAsia="es-MX"/>
              </w:rPr>
              <w:t>2</w:t>
            </w:r>
          </w:p>
        </w:tc>
        <w:tc>
          <w:tcPr>
            <w:tcW w:w="1560" w:type="dxa"/>
            <w:tcBorders>
              <w:top w:val="nil"/>
              <w:left w:val="nil"/>
              <w:bottom w:val="single" w:sz="4" w:space="0" w:color="auto"/>
              <w:right w:val="single" w:sz="4" w:space="0" w:color="auto"/>
            </w:tcBorders>
            <w:shd w:val="clear" w:color="FFFFCC" w:fill="FFFFFF"/>
            <w:noWrap/>
            <w:vAlign w:val="center"/>
            <w:hideMark/>
          </w:tcPr>
          <w:p w14:paraId="67FCA445" w14:textId="77777777" w:rsidR="0001479C" w:rsidRPr="002553AC" w:rsidRDefault="0001479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942,714,000,000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6D5D6" w14:textId="77777777" w:rsidR="0001479C" w:rsidRPr="0001479C" w:rsidRDefault="0001479C" w:rsidP="00EC7D22">
            <w:pPr>
              <w:suppressAutoHyphens w:val="0"/>
              <w:overflowPunct/>
              <w:spacing w:after="0" w:line="240" w:lineRule="auto"/>
              <w:jc w:val="right"/>
              <w:rPr>
                <w:rFonts w:eastAsia="Times New Roman" w:cs="Calibri"/>
                <w:color w:val="000000"/>
                <w:sz w:val="14"/>
                <w:szCs w:val="14"/>
                <w:lang w:eastAsia="es-MX"/>
              </w:rPr>
            </w:pPr>
            <w:r w:rsidRPr="0001479C">
              <w:rPr>
                <w:rFonts w:eastAsia="Times New Roman" w:cs="Calibri"/>
                <w:color w:val="000000"/>
                <w:sz w:val="14"/>
                <w:szCs w:val="14"/>
                <w:lang w:eastAsia="es-MX"/>
              </w:rPr>
              <w:t>1.6152</w:t>
            </w:r>
          </w:p>
        </w:tc>
      </w:tr>
    </w:tbl>
    <w:p w14:paraId="6B52D89C" w14:textId="77777777" w:rsidR="0001479C" w:rsidRDefault="0001479C" w:rsidP="00EC7D22">
      <w:pPr>
        <w:pStyle w:val="Texto"/>
        <w:spacing w:after="0" w:line="240" w:lineRule="auto"/>
        <w:ind w:firstLine="0"/>
        <w:rPr>
          <w:rFonts w:ascii="Calibri" w:hAnsi="Calibri" w:cs="Calibri"/>
          <w:szCs w:val="18"/>
          <w:lang w:val="es-MX"/>
        </w:rPr>
      </w:pPr>
    </w:p>
    <w:p w14:paraId="35C8C7D8" w14:textId="77777777" w:rsidR="0077584E" w:rsidRDefault="0077584E" w:rsidP="00EC7D22">
      <w:pPr>
        <w:pStyle w:val="Texto"/>
        <w:spacing w:after="0" w:line="240" w:lineRule="auto"/>
        <w:ind w:firstLine="0"/>
        <w:rPr>
          <w:rFonts w:ascii="Calibri" w:hAnsi="Calibri" w:cs="Calibri"/>
          <w:szCs w:val="18"/>
          <w:lang w:val="es-MX"/>
        </w:rPr>
      </w:pPr>
    </w:p>
    <w:p w14:paraId="72A78ACC" w14:textId="2897D9CE" w:rsidR="007745EB" w:rsidRDefault="00C87FDA" w:rsidP="00EC7D22">
      <w:pPr>
        <w:pStyle w:val="Texto"/>
        <w:spacing w:after="0" w:line="240" w:lineRule="exact"/>
        <w:ind w:firstLine="0"/>
        <w:rPr>
          <w:rFonts w:ascii="Calibri" w:hAnsi="Calibri" w:cs="Calibri"/>
          <w:szCs w:val="18"/>
        </w:rPr>
      </w:pPr>
      <w:r>
        <w:rPr>
          <w:rFonts w:ascii="Calibri" w:hAnsi="Calibri" w:cs="Calibri"/>
          <w:szCs w:val="18"/>
        </w:rPr>
        <w:t xml:space="preserve">  Deuda Respecto a la Recaudación</w:t>
      </w:r>
    </w:p>
    <w:p w14:paraId="399A092A" w14:textId="77777777" w:rsidR="002553AC" w:rsidRDefault="002553AC" w:rsidP="00EC7D22">
      <w:pPr>
        <w:pStyle w:val="Texto"/>
        <w:spacing w:after="0" w:line="240" w:lineRule="exact"/>
        <w:ind w:firstLine="0"/>
        <w:rPr>
          <w:rFonts w:ascii="Calibri" w:hAnsi="Calibri" w:cs="Calibri"/>
          <w:szCs w:val="18"/>
        </w:rPr>
      </w:pPr>
    </w:p>
    <w:p w14:paraId="66235C10" w14:textId="77777777" w:rsidR="002553AC" w:rsidRDefault="002553AC" w:rsidP="00EC7D22">
      <w:pPr>
        <w:pStyle w:val="Texto"/>
        <w:spacing w:after="0" w:line="240" w:lineRule="exact"/>
        <w:ind w:firstLine="0"/>
        <w:rPr>
          <w:rFonts w:ascii="Calibri" w:hAnsi="Calibri" w:cs="Calibri"/>
          <w:szCs w:val="18"/>
        </w:rPr>
      </w:pPr>
      <w:r>
        <w:rPr>
          <w:rFonts w:ascii="Calibri" w:hAnsi="Calibri" w:cs="Calibri"/>
          <w:szCs w:val="18"/>
        </w:rPr>
        <w:t xml:space="preserve">   </w:t>
      </w:r>
    </w:p>
    <w:tbl>
      <w:tblPr>
        <w:tblW w:w="5983" w:type="dxa"/>
        <w:tblInd w:w="-5" w:type="dxa"/>
        <w:tblCellMar>
          <w:left w:w="70" w:type="dxa"/>
          <w:right w:w="70" w:type="dxa"/>
        </w:tblCellMar>
        <w:tblLook w:val="04A0" w:firstRow="1" w:lastRow="0" w:firstColumn="1" w:lastColumn="0" w:noHBand="0" w:noVBand="1"/>
      </w:tblPr>
      <w:tblGrid>
        <w:gridCol w:w="1119"/>
        <w:gridCol w:w="1689"/>
        <w:gridCol w:w="1555"/>
        <w:gridCol w:w="1620"/>
      </w:tblGrid>
      <w:tr w:rsidR="002553AC" w:rsidRPr="002553AC" w14:paraId="282B4421" w14:textId="77777777" w:rsidTr="00A743DD">
        <w:trPr>
          <w:trHeight w:val="288"/>
        </w:trPr>
        <w:tc>
          <w:tcPr>
            <w:tcW w:w="5983" w:type="dxa"/>
            <w:gridSpan w:val="4"/>
            <w:tcBorders>
              <w:top w:val="single" w:sz="4" w:space="0" w:color="auto"/>
              <w:left w:val="single" w:sz="4" w:space="0" w:color="auto"/>
              <w:bottom w:val="single" w:sz="4" w:space="0" w:color="auto"/>
              <w:right w:val="single" w:sz="4" w:space="0" w:color="auto"/>
            </w:tcBorders>
            <w:shd w:val="clear" w:color="9C0006" w:fill="AB0033"/>
            <w:vAlign w:val="center"/>
            <w:hideMark/>
          </w:tcPr>
          <w:p w14:paraId="758FC952" w14:textId="77777777" w:rsidR="002553AC" w:rsidRPr="002553AC" w:rsidRDefault="002553AC" w:rsidP="00EC7D22">
            <w:pPr>
              <w:suppressAutoHyphens w:val="0"/>
              <w:overflowPunct/>
              <w:spacing w:after="0" w:line="240" w:lineRule="auto"/>
              <w:jc w:val="center"/>
              <w:rPr>
                <w:rFonts w:eastAsia="Times New Roman" w:cs="Calibri"/>
                <w:b/>
                <w:bCs/>
                <w:color w:val="FFFFFF"/>
                <w:sz w:val="14"/>
                <w:szCs w:val="14"/>
                <w:lang w:eastAsia="es-MX"/>
              </w:rPr>
            </w:pPr>
            <w:r w:rsidRPr="002553AC">
              <w:rPr>
                <w:rFonts w:eastAsia="Times New Roman" w:cs="Calibri"/>
                <w:b/>
                <w:bCs/>
                <w:color w:val="FFFFFF"/>
                <w:sz w:val="14"/>
                <w:szCs w:val="14"/>
                <w:lang w:eastAsia="es-MX"/>
              </w:rPr>
              <w:t>Indicador: Deuda Respecto a la Recaudación</w:t>
            </w:r>
          </w:p>
        </w:tc>
      </w:tr>
      <w:tr w:rsidR="002553AC" w:rsidRPr="002553AC" w14:paraId="15706776" w14:textId="77777777" w:rsidTr="00A743DD">
        <w:trPr>
          <w:trHeight w:val="384"/>
        </w:trPr>
        <w:tc>
          <w:tcPr>
            <w:tcW w:w="1119" w:type="dxa"/>
            <w:tcBorders>
              <w:top w:val="nil"/>
              <w:left w:val="single" w:sz="4" w:space="0" w:color="auto"/>
              <w:bottom w:val="single" w:sz="4" w:space="0" w:color="auto"/>
              <w:right w:val="single" w:sz="4" w:space="0" w:color="auto"/>
            </w:tcBorders>
            <w:shd w:val="clear" w:color="DBDBDB" w:fill="D9D9D9"/>
            <w:noWrap/>
            <w:vAlign w:val="center"/>
            <w:hideMark/>
          </w:tcPr>
          <w:p w14:paraId="1EE16ADA" w14:textId="77777777" w:rsidR="002553AC" w:rsidRPr="002553AC" w:rsidRDefault="002553AC" w:rsidP="00EC7D22">
            <w:pPr>
              <w:suppressAutoHyphens w:val="0"/>
              <w:overflowPunct/>
              <w:spacing w:after="0" w:line="240" w:lineRule="auto"/>
              <w:jc w:val="center"/>
              <w:rPr>
                <w:rFonts w:eastAsia="Times New Roman" w:cs="Calibri"/>
                <w:b/>
                <w:bCs/>
                <w:color w:val="000000"/>
                <w:sz w:val="14"/>
                <w:szCs w:val="14"/>
                <w:lang w:eastAsia="es-MX"/>
              </w:rPr>
            </w:pPr>
            <w:r w:rsidRPr="002553AC">
              <w:rPr>
                <w:rFonts w:eastAsia="Times New Roman" w:cs="Calibri"/>
                <w:b/>
                <w:bCs/>
                <w:color w:val="000000"/>
                <w:sz w:val="14"/>
                <w:szCs w:val="14"/>
                <w:lang w:eastAsia="es-MX"/>
              </w:rPr>
              <w:t>Año</w:t>
            </w:r>
          </w:p>
        </w:tc>
        <w:tc>
          <w:tcPr>
            <w:tcW w:w="1689" w:type="dxa"/>
            <w:tcBorders>
              <w:top w:val="nil"/>
              <w:left w:val="nil"/>
              <w:bottom w:val="single" w:sz="4" w:space="0" w:color="auto"/>
              <w:right w:val="single" w:sz="4" w:space="0" w:color="auto"/>
            </w:tcBorders>
            <w:shd w:val="clear" w:color="DBDBDB" w:fill="D9D9D9"/>
            <w:vAlign w:val="center"/>
            <w:hideMark/>
          </w:tcPr>
          <w:p w14:paraId="48CCDDE6" w14:textId="77777777" w:rsidR="002553AC" w:rsidRPr="002553AC" w:rsidRDefault="002553AC" w:rsidP="00EC7D22">
            <w:pPr>
              <w:suppressAutoHyphens w:val="0"/>
              <w:overflowPunct/>
              <w:spacing w:after="0" w:line="240" w:lineRule="auto"/>
              <w:jc w:val="center"/>
              <w:rPr>
                <w:rFonts w:eastAsia="Times New Roman" w:cs="Calibri"/>
                <w:b/>
                <w:bCs/>
                <w:color w:val="000000"/>
                <w:sz w:val="14"/>
                <w:szCs w:val="14"/>
                <w:lang w:eastAsia="es-MX"/>
              </w:rPr>
            </w:pPr>
            <w:r w:rsidRPr="002553AC">
              <w:rPr>
                <w:rFonts w:eastAsia="Times New Roman" w:cs="Calibri"/>
                <w:b/>
                <w:bCs/>
                <w:color w:val="000000"/>
                <w:sz w:val="14"/>
                <w:szCs w:val="14"/>
                <w:lang w:eastAsia="es-MX"/>
              </w:rPr>
              <w:t>Saldo de la Deuda</w:t>
            </w:r>
          </w:p>
        </w:tc>
        <w:tc>
          <w:tcPr>
            <w:tcW w:w="1555" w:type="dxa"/>
            <w:tcBorders>
              <w:top w:val="nil"/>
              <w:left w:val="nil"/>
              <w:bottom w:val="single" w:sz="4" w:space="0" w:color="auto"/>
              <w:right w:val="single" w:sz="4" w:space="0" w:color="auto"/>
            </w:tcBorders>
            <w:shd w:val="clear" w:color="DBDBDB" w:fill="D9D9D9"/>
            <w:noWrap/>
            <w:vAlign w:val="center"/>
            <w:hideMark/>
          </w:tcPr>
          <w:p w14:paraId="76699CF0" w14:textId="77777777" w:rsidR="002553AC" w:rsidRPr="002553AC" w:rsidRDefault="002553AC" w:rsidP="00EC7D22">
            <w:pPr>
              <w:suppressAutoHyphens w:val="0"/>
              <w:overflowPunct/>
              <w:spacing w:after="0" w:line="240" w:lineRule="auto"/>
              <w:jc w:val="center"/>
              <w:rPr>
                <w:rFonts w:eastAsia="Times New Roman" w:cs="Calibri"/>
                <w:b/>
                <w:bCs/>
                <w:color w:val="000000"/>
                <w:sz w:val="14"/>
                <w:szCs w:val="14"/>
                <w:lang w:eastAsia="es-MX"/>
              </w:rPr>
            </w:pPr>
            <w:r w:rsidRPr="002553AC">
              <w:rPr>
                <w:rFonts w:eastAsia="Times New Roman" w:cs="Calibri"/>
                <w:b/>
                <w:bCs/>
                <w:color w:val="000000"/>
                <w:sz w:val="14"/>
                <w:szCs w:val="14"/>
                <w:lang w:eastAsia="es-MX"/>
              </w:rPr>
              <w:t xml:space="preserve">Recaudación </w:t>
            </w:r>
          </w:p>
        </w:tc>
        <w:tc>
          <w:tcPr>
            <w:tcW w:w="1620" w:type="dxa"/>
            <w:tcBorders>
              <w:top w:val="nil"/>
              <w:left w:val="nil"/>
              <w:bottom w:val="single" w:sz="4" w:space="0" w:color="auto"/>
              <w:right w:val="single" w:sz="4" w:space="0" w:color="auto"/>
            </w:tcBorders>
            <w:shd w:val="clear" w:color="DBDBDB" w:fill="D9D9D9"/>
            <w:noWrap/>
            <w:vAlign w:val="center"/>
            <w:hideMark/>
          </w:tcPr>
          <w:p w14:paraId="4CB6A1F7" w14:textId="77777777" w:rsidR="002553AC" w:rsidRPr="002553AC" w:rsidRDefault="002553AC" w:rsidP="00EC7D22">
            <w:pPr>
              <w:suppressAutoHyphens w:val="0"/>
              <w:overflowPunct/>
              <w:spacing w:after="0" w:line="240" w:lineRule="auto"/>
              <w:jc w:val="center"/>
              <w:rPr>
                <w:rFonts w:eastAsia="Times New Roman" w:cs="Calibri"/>
                <w:b/>
                <w:bCs/>
                <w:color w:val="000000"/>
                <w:sz w:val="14"/>
                <w:szCs w:val="14"/>
                <w:lang w:eastAsia="es-MX"/>
              </w:rPr>
            </w:pPr>
            <w:r w:rsidRPr="002553AC">
              <w:rPr>
                <w:rFonts w:eastAsia="Times New Roman" w:cs="Calibri"/>
                <w:b/>
                <w:bCs/>
                <w:color w:val="000000"/>
                <w:sz w:val="14"/>
                <w:szCs w:val="14"/>
                <w:lang w:eastAsia="es-MX"/>
              </w:rPr>
              <w:t xml:space="preserve">    Indicador</w:t>
            </w:r>
          </w:p>
        </w:tc>
      </w:tr>
      <w:tr w:rsidR="002553AC" w:rsidRPr="002553AC" w14:paraId="7ED3FA13" w14:textId="77777777" w:rsidTr="00A743DD">
        <w:trPr>
          <w:trHeight w:val="288"/>
        </w:trPr>
        <w:tc>
          <w:tcPr>
            <w:tcW w:w="1119" w:type="dxa"/>
            <w:tcBorders>
              <w:top w:val="nil"/>
              <w:left w:val="single" w:sz="4" w:space="0" w:color="auto"/>
              <w:bottom w:val="single" w:sz="4" w:space="0" w:color="auto"/>
              <w:right w:val="single" w:sz="4" w:space="0" w:color="auto"/>
            </w:tcBorders>
            <w:shd w:val="clear" w:color="FFFFCC" w:fill="FFFFFF"/>
            <w:noWrap/>
            <w:vAlign w:val="center"/>
            <w:hideMark/>
          </w:tcPr>
          <w:p w14:paraId="143DCE78"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2017</w:t>
            </w:r>
          </w:p>
        </w:tc>
        <w:tc>
          <w:tcPr>
            <w:tcW w:w="1689" w:type="dxa"/>
            <w:tcBorders>
              <w:top w:val="nil"/>
              <w:left w:val="nil"/>
              <w:bottom w:val="single" w:sz="4" w:space="0" w:color="auto"/>
              <w:right w:val="single" w:sz="4" w:space="0" w:color="auto"/>
            </w:tcBorders>
            <w:shd w:val="clear" w:color="FFFFCC" w:fill="FFFFFF"/>
            <w:noWrap/>
            <w:vAlign w:val="center"/>
            <w:hideMark/>
          </w:tcPr>
          <w:p w14:paraId="222698B4"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11,462,941,947</w:t>
            </w:r>
          </w:p>
        </w:tc>
        <w:tc>
          <w:tcPr>
            <w:tcW w:w="1555" w:type="dxa"/>
            <w:tcBorders>
              <w:top w:val="nil"/>
              <w:left w:val="nil"/>
              <w:bottom w:val="single" w:sz="4" w:space="0" w:color="auto"/>
              <w:right w:val="single" w:sz="4" w:space="0" w:color="auto"/>
            </w:tcBorders>
            <w:shd w:val="clear" w:color="FFFFCC" w:fill="FFFFFF"/>
            <w:noWrap/>
            <w:vAlign w:val="center"/>
            <w:hideMark/>
          </w:tcPr>
          <w:p w14:paraId="3DBCF354"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7,005,654,094</w:t>
            </w:r>
          </w:p>
        </w:tc>
        <w:tc>
          <w:tcPr>
            <w:tcW w:w="1620" w:type="dxa"/>
            <w:tcBorders>
              <w:top w:val="nil"/>
              <w:left w:val="nil"/>
              <w:bottom w:val="single" w:sz="4" w:space="0" w:color="auto"/>
              <w:right w:val="single" w:sz="4" w:space="0" w:color="auto"/>
            </w:tcBorders>
            <w:shd w:val="clear" w:color="FFFFCC" w:fill="FFFFFF"/>
            <w:noWrap/>
            <w:vAlign w:val="center"/>
            <w:hideMark/>
          </w:tcPr>
          <w:p w14:paraId="14CFB15D"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163.624</w:t>
            </w:r>
          </w:p>
        </w:tc>
      </w:tr>
      <w:tr w:rsidR="002553AC" w:rsidRPr="002553AC" w14:paraId="4C2D23FA" w14:textId="77777777" w:rsidTr="00A743DD">
        <w:trPr>
          <w:trHeight w:val="288"/>
        </w:trPr>
        <w:tc>
          <w:tcPr>
            <w:tcW w:w="1119" w:type="dxa"/>
            <w:tcBorders>
              <w:top w:val="nil"/>
              <w:left w:val="single" w:sz="4" w:space="0" w:color="auto"/>
              <w:bottom w:val="single" w:sz="4" w:space="0" w:color="auto"/>
              <w:right w:val="single" w:sz="4" w:space="0" w:color="auto"/>
            </w:tcBorders>
            <w:shd w:val="clear" w:color="FFFFCC" w:fill="FFFFFF"/>
            <w:noWrap/>
            <w:vAlign w:val="center"/>
            <w:hideMark/>
          </w:tcPr>
          <w:p w14:paraId="252D9B12"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2018</w:t>
            </w:r>
          </w:p>
        </w:tc>
        <w:tc>
          <w:tcPr>
            <w:tcW w:w="1689" w:type="dxa"/>
            <w:tcBorders>
              <w:top w:val="nil"/>
              <w:left w:val="nil"/>
              <w:bottom w:val="single" w:sz="4" w:space="0" w:color="auto"/>
              <w:right w:val="single" w:sz="4" w:space="0" w:color="auto"/>
            </w:tcBorders>
            <w:shd w:val="clear" w:color="FFFFCC" w:fill="FFFFFF"/>
            <w:noWrap/>
            <w:vAlign w:val="center"/>
            <w:hideMark/>
          </w:tcPr>
          <w:p w14:paraId="61A2D83B"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11,582,032,979</w:t>
            </w:r>
          </w:p>
        </w:tc>
        <w:tc>
          <w:tcPr>
            <w:tcW w:w="1555" w:type="dxa"/>
            <w:tcBorders>
              <w:top w:val="nil"/>
              <w:left w:val="nil"/>
              <w:bottom w:val="single" w:sz="4" w:space="0" w:color="auto"/>
              <w:right w:val="single" w:sz="4" w:space="0" w:color="auto"/>
            </w:tcBorders>
            <w:shd w:val="clear" w:color="FFFFCC" w:fill="FFFFFF"/>
            <w:noWrap/>
            <w:vAlign w:val="center"/>
            <w:hideMark/>
          </w:tcPr>
          <w:p w14:paraId="3F4E2F58"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6,693,584,312</w:t>
            </w:r>
          </w:p>
        </w:tc>
        <w:tc>
          <w:tcPr>
            <w:tcW w:w="1620" w:type="dxa"/>
            <w:tcBorders>
              <w:top w:val="nil"/>
              <w:left w:val="nil"/>
              <w:bottom w:val="single" w:sz="4" w:space="0" w:color="auto"/>
              <w:right w:val="single" w:sz="4" w:space="0" w:color="auto"/>
            </w:tcBorders>
            <w:shd w:val="clear" w:color="FFFFCC" w:fill="FFFFFF"/>
            <w:noWrap/>
            <w:vAlign w:val="center"/>
            <w:hideMark/>
          </w:tcPr>
          <w:p w14:paraId="357B09A1"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173.032</w:t>
            </w:r>
          </w:p>
        </w:tc>
      </w:tr>
      <w:tr w:rsidR="002553AC" w:rsidRPr="002553AC" w14:paraId="430BE0EB" w14:textId="77777777" w:rsidTr="00A743DD">
        <w:trPr>
          <w:trHeight w:val="288"/>
        </w:trPr>
        <w:tc>
          <w:tcPr>
            <w:tcW w:w="1119" w:type="dxa"/>
            <w:tcBorders>
              <w:top w:val="nil"/>
              <w:left w:val="single" w:sz="4" w:space="0" w:color="auto"/>
              <w:bottom w:val="single" w:sz="4" w:space="0" w:color="auto"/>
              <w:right w:val="single" w:sz="4" w:space="0" w:color="auto"/>
            </w:tcBorders>
            <w:shd w:val="clear" w:color="FFFFCC" w:fill="FFFFFF"/>
            <w:noWrap/>
            <w:vAlign w:val="center"/>
            <w:hideMark/>
          </w:tcPr>
          <w:p w14:paraId="7ACA1A63"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2019</w:t>
            </w:r>
          </w:p>
        </w:tc>
        <w:tc>
          <w:tcPr>
            <w:tcW w:w="1689" w:type="dxa"/>
            <w:tcBorders>
              <w:top w:val="nil"/>
              <w:left w:val="nil"/>
              <w:bottom w:val="single" w:sz="4" w:space="0" w:color="auto"/>
              <w:right w:val="single" w:sz="4" w:space="0" w:color="auto"/>
            </w:tcBorders>
            <w:shd w:val="clear" w:color="FFFFCC" w:fill="FFFFFF"/>
            <w:noWrap/>
            <w:vAlign w:val="center"/>
            <w:hideMark/>
          </w:tcPr>
          <w:p w14:paraId="36634FBC"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14,416,115,884</w:t>
            </w:r>
          </w:p>
        </w:tc>
        <w:tc>
          <w:tcPr>
            <w:tcW w:w="1555" w:type="dxa"/>
            <w:tcBorders>
              <w:top w:val="nil"/>
              <w:left w:val="nil"/>
              <w:bottom w:val="single" w:sz="4" w:space="0" w:color="auto"/>
              <w:right w:val="single" w:sz="4" w:space="0" w:color="auto"/>
            </w:tcBorders>
            <w:shd w:val="clear" w:color="FFFFCC" w:fill="FFFFFF"/>
            <w:noWrap/>
            <w:vAlign w:val="center"/>
            <w:hideMark/>
          </w:tcPr>
          <w:p w14:paraId="1AF6BE3C"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8,303,604,964</w:t>
            </w:r>
          </w:p>
        </w:tc>
        <w:tc>
          <w:tcPr>
            <w:tcW w:w="1620" w:type="dxa"/>
            <w:tcBorders>
              <w:top w:val="nil"/>
              <w:left w:val="nil"/>
              <w:bottom w:val="single" w:sz="4" w:space="0" w:color="auto"/>
              <w:right w:val="single" w:sz="4" w:space="0" w:color="auto"/>
            </w:tcBorders>
            <w:shd w:val="clear" w:color="FFFFCC" w:fill="FFFFFF"/>
            <w:noWrap/>
            <w:vAlign w:val="center"/>
            <w:hideMark/>
          </w:tcPr>
          <w:p w14:paraId="06ECBC99"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173.613</w:t>
            </w:r>
          </w:p>
        </w:tc>
      </w:tr>
      <w:tr w:rsidR="002553AC" w:rsidRPr="002553AC" w14:paraId="4FF9191F" w14:textId="77777777" w:rsidTr="00A743DD">
        <w:trPr>
          <w:trHeight w:val="288"/>
        </w:trPr>
        <w:tc>
          <w:tcPr>
            <w:tcW w:w="1119" w:type="dxa"/>
            <w:tcBorders>
              <w:top w:val="nil"/>
              <w:left w:val="single" w:sz="4" w:space="0" w:color="auto"/>
              <w:bottom w:val="single" w:sz="4" w:space="0" w:color="auto"/>
              <w:right w:val="single" w:sz="4" w:space="0" w:color="auto"/>
            </w:tcBorders>
            <w:shd w:val="clear" w:color="FFFFCC" w:fill="FFFFFF"/>
            <w:noWrap/>
            <w:vAlign w:val="center"/>
            <w:hideMark/>
          </w:tcPr>
          <w:p w14:paraId="39C07F13"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2020</w:t>
            </w:r>
          </w:p>
        </w:tc>
        <w:tc>
          <w:tcPr>
            <w:tcW w:w="1689" w:type="dxa"/>
            <w:tcBorders>
              <w:top w:val="nil"/>
              <w:left w:val="nil"/>
              <w:bottom w:val="single" w:sz="4" w:space="0" w:color="auto"/>
              <w:right w:val="single" w:sz="4" w:space="0" w:color="auto"/>
            </w:tcBorders>
            <w:shd w:val="clear" w:color="FFFFCC" w:fill="FFFFFF"/>
            <w:noWrap/>
            <w:vAlign w:val="center"/>
            <w:hideMark/>
          </w:tcPr>
          <w:p w14:paraId="28D7BE5E"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14,020,190,971</w:t>
            </w:r>
          </w:p>
        </w:tc>
        <w:tc>
          <w:tcPr>
            <w:tcW w:w="1555" w:type="dxa"/>
            <w:tcBorders>
              <w:top w:val="nil"/>
              <w:left w:val="nil"/>
              <w:bottom w:val="single" w:sz="4" w:space="0" w:color="auto"/>
              <w:right w:val="single" w:sz="4" w:space="0" w:color="auto"/>
            </w:tcBorders>
            <w:shd w:val="clear" w:color="FFFFCC" w:fill="FFFFFF"/>
            <w:noWrap/>
            <w:vAlign w:val="center"/>
            <w:hideMark/>
          </w:tcPr>
          <w:p w14:paraId="77AED40B"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7,486,430,886</w:t>
            </w:r>
          </w:p>
        </w:tc>
        <w:tc>
          <w:tcPr>
            <w:tcW w:w="1620" w:type="dxa"/>
            <w:tcBorders>
              <w:top w:val="nil"/>
              <w:left w:val="nil"/>
              <w:bottom w:val="single" w:sz="4" w:space="0" w:color="auto"/>
              <w:right w:val="single" w:sz="4" w:space="0" w:color="auto"/>
            </w:tcBorders>
            <w:shd w:val="clear" w:color="FFFFCC" w:fill="FFFFFF"/>
            <w:noWrap/>
            <w:vAlign w:val="center"/>
            <w:hideMark/>
          </w:tcPr>
          <w:p w14:paraId="0909972C"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187.275</w:t>
            </w:r>
          </w:p>
        </w:tc>
      </w:tr>
      <w:tr w:rsidR="002553AC" w:rsidRPr="002553AC" w14:paraId="225CB2FA" w14:textId="77777777" w:rsidTr="00A743DD">
        <w:trPr>
          <w:trHeight w:val="288"/>
        </w:trPr>
        <w:tc>
          <w:tcPr>
            <w:tcW w:w="1119" w:type="dxa"/>
            <w:tcBorders>
              <w:top w:val="nil"/>
              <w:left w:val="single" w:sz="4" w:space="0" w:color="auto"/>
              <w:bottom w:val="single" w:sz="4" w:space="0" w:color="auto"/>
              <w:right w:val="single" w:sz="4" w:space="0" w:color="auto"/>
            </w:tcBorders>
            <w:shd w:val="clear" w:color="FFFFCC" w:fill="FFFFFF"/>
            <w:noWrap/>
            <w:vAlign w:val="center"/>
            <w:hideMark/>
          </w:tcPr>
          <w:p w14:paraId="2245A590"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2021</w:t>
            </w:r>
          </w:p>
        </w:tc>
        <w:tc>
          <w:tcPr>
            <w:tcW w:w="1689" w:type="dxa"/>
            <w:tcBorders>
              <w:top w:val="nil"/>
              <w:left w:val="nil"/>
              <w:bottom w:val="single" w:sz="4" w:space="0" w:color="auto"/>
              <w:right w:val="single" w:sz="4" w:space="0" w:color="auto"/>
            </w:tcBorders>
            <w:shd w:val="clear" w:color="FFFFCC" w:fill="FFFFFF"/>
            <w:noWrap/>
            <w:vAlign w:val="center"/>
            <w:hideMark/>
          </w:tcPr>
          <w:p w14:paraId="64ED3CFB"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15,552,312,266</w:t>
            </w:r>
          </w:p>
        </w:tc>
        <w:tc>
          <w:tcPr>
            <w:tcW w:w="1555" w:type="dxa"/>
            <w:tcBorders>
              <w:top w:val="nil"/>
              <w:left w:val="nil"/>
              <w:bottom w:val="single" w:sz="4" w:space="0" w:color="auto"/>
              <w:right w:val="single" w:sz="4" w:space="0" w:color="auto"/>
            </w:tcBorders>
            <w:shd w:val="clear" w:color="FFFFCC" w:fill="FFFFFF"/>
            <w:noWrap/>
            <w:vAlign w:val="center"/>
            <w:hideMark/>
          </w:tcPr>
          <w:p w14:paraId="7C4967CF"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7,971,827,967</w:t>
            </w:r>
          </w:p>
        </w:tc>
        <w:tc>
          <w:tcPr>
            <w:tcW w:w="1620" w:type="dxa"/>
            <w:tcBorders>
              <w:top w:val="nil"/>
              <w:left w:val="nil"/>
              <w:bottom w:val="single" w:sz="4" w:space="0" w:color="auto"/>
              <w:right w:val="single" w:sz="4" w:space="0" w:color="auto"/>
            </w:tcBorders>
            <w:shd w:val="clear" w:color="FFFFCC" w:fill="FFFFFF"/>
            <w:noWrap/>
            <w:vAlign w:val="center"/>
            <w:hideMark/>
          </w:tcPr>
          <w:p w14:paraId="27206F5B"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195.091</w:t>
            </w:r>
          </w:p>
        </w:tc>
      </w:tr>
      <w:tr w:rsidR="002553AC" w:rsidRPr="002553AC" w14:paraId="6018730C" w14:textId="77777777" w:rsidTr="00A743DD">
        <w:trPr>
          <w:trHeight w:val="288"/>
        </w:trPr>
        <w:tc>
          <w:tcPr>
            <w:tcW w:w="1119" w:type="dxa"/>
            <w:tcBorders>
              <w:top w:val="nil"/>
              <w:left w:val="single" w:sz="4" w:space="0" w:color="auto"/>
              <w:bottom w:val="single" w:sz="4" w:space="0" w:color="auto"/>
              <w:right w:val="single" w:sz="4" w:space="0" w:color="auto"/>
            </w:tcBorders>
            <w:shd w:val="clear" w:color="FFFFCC" w:fill="FFFFFF"/>
            <w:noWrap/>
            <w:vAlign w:val="center"/>
            <w:hideMark/>
          </w:tcPr>
          <w:p w14:paraId="594AEE25"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2022</w:t>
            </w:r>
          </w:p>
        </w:tc>
        <w:tc>
          <w:tcPr>
            <w:tcW w:w="1689" w:type="dxa"/>
            <w:tcBorders>
              <w:top w:val="nil"/>
              <w:left w:val="nil"/>
              <w:bottom w:val="single" w:sz="4" w:space="0" w:color="auto"/>
              <w:right w:val="single" w:sz="4" w:space="0" w:color="auto"/>
            </w:tcBorders>
            <w:shd w:val="clear" w:color="FFFFCC" w:fill="FFFFFF"/>
            <w:noWrap/>
            <w:vAlign w:val="center"/>
            <w:hideMark/>
          </w:tcPr>
          <w:p w14:paraId="2A9EECAA"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15,833,324,062</w:t>
            </w:r>
          </w:p>
        </w:tc>
        <w:tc>
          <w:tcPr>
            <w:tcW w:w="1555" w:type="dxa"/>
            <w:tcBorders>
              <w:top w:val="nil"/>
              <w:left w:val="nil"/>
              <w:bottom w:val="single" w:sz="4" w:space="0" w:color="auto"/>
              <w:right w:val="single" w:sz="4" w:space="0" w:color="auto"/>
            </w:tcBorders>
            <w:shd w:val="clear" w:color="FFFFCC" w:fill="FFFFFF"/>
            <w:noWrap/>
            <w:vAlign w:val="center"/>
            <w:hideMark/>
          </w:tcPr>
          <w:p w14:paraId="2DEA0CD3"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7,255,172,917</w:t>
            </w:r>
          </w:p>
        </w:tc>
        <w:tc>
          <w:tcPr>
            <w:tcW w:w="1620" w:type="dxa"/>
            <w:tcBorders>
              <w:top w:val="nil"/>
              <w:left w:val="nil"/>
              <w:bottom w:val="single" w:sz="4" w:space="0" w:color="auto"/>
              <w:right w:val="single" w:sz="4" w:space="0" w:color="auto"/>
            </w:tcBorders>
            <w:shd w:val="clear" w:color="FFFFCC" w:fill="FFFFFF"/>
            <w:noWrap/>
            <w:vAlign w:val="center"/>
            <w:hideMark/>
          </w:tcPr>
          <w:p w14:paraId="06FAD70B"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218.235</w:t>
            </w:r>
          </w:p>
        </w:tc>
      </w:tr>
      <w:tr w:rsidR="002553AC" w:rsidRPr="002553AC" w14:paraId="4D328DAC" w14:textId="77777777" w:rsidTr="00A743DD">
        <w:trPr>
          <w:trHeight w:val="288"/>
        </w:trPr>
        <w:tc>
          <w:tcPr>
            <w:tcW w:w="1119" w:type="dxa"/>
            <w:tcBorders>
              <w:top w:val="nil"/>
              <w:left w:val="single" w:sz="4" w:space="0" w:color="auto"/>
              <w:bottom w:val="single" w:sz="4" w:space="0" w:color="auto"/>
              <w:right w:val="single" w:sz="4" w:space="0" w:color="auto"/>
            </w:tcBorders>
            <w:shd w:val="clear" w:color="FFFFCC" w:fill="FFFFFF"/>
            <w:noWrap/>
            <w:vAlign w:val="center"/>
            <w:hideMark/>
          </w:tcPr>
          <w:p w14:paraId="25027A17"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2023</w:t>
            </w:r>
          </w:p>
        </w:tc>
        <w:tc>
          <w:tcPr>
            <w:tcW w:w="1689" w:type="dxa"/>
            <w:tcBorders>
              <w:top w:val="nil"/>
              <w:left w:val="nil"/>
              <w:bottom w:val="single" w:sz="4" w:space="0" w:color="auto"/>
              <w:right w:val="single" w:sz="4" w:space="0" w:color="auto"/>
            </w:tcBorders>
            <w:shd w:val="clear" w:color="FFFFCC" w:fill="FFFFFF"/>
            <w:noWrap/>
            <w:vAlign w:val="center"/>
            <w:hideMark/>
          </w:tcPr>
          <w:p w14:paraId="6B1278F4"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15,440,502,481</w:t>
            </w:r>
          </w:p>
        </w:tc>
        <w:tc>
          <w:tcPr>
            <w:tcW w:w="1555" w:type="dxa"/>
            <w:tcBorders>
              <w:top w:val="nil"/>
              <w:left w:val="nil"/>
              <w:bottom w:val="single" w:sz="4" w:space="0" w:color="auto"/>
              <w:right w:val="single" w:sz="4" w:space="0" w:color="auto"/>
            </w:tcBorders>
            <w:shd w:val="clear" w:color="FFFFCC" w:fill="FFFFFF"/>
            <w:noWrap/>
            <w:vAlign w:val="center"/>
            <w:hideMark/>
          </w:tcPr>
          <w:p w14:paraId="3EB7161C"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10,796,915,256</w:t>
            </w:r>
          </w:p>
        </w:tc>
        <w:tc>
          <w:tcPr>
            <w:tcW w:w="1620" w:type="dxa"/>
            <w:tcBorders>
              <w:top w:val="nil"/>
              <w:left w:val="nil"/>
              <w:bottom w:val="single" w:sz="4" w:space="0" w:color="auto"/>
              <w:right w:val="single" w:sz="4" w:space="0" w:color="auto"/>
            </w:tcBorders>
            <w:shd w:val="clear" w:color="FFFFCC" w:fill="FFFFFF"/>
            <w:noWrap/>
            <w:vAlign w:val="center"/>
            <w:hideMark/>
          </w:tcPr>
          <w:p w14:paraId="10D8188D"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143.008</w:t>
            </w:r>
          </w:p>
        </w:tc>
      </w:tr>
      <w:tr w:rsidR="002553AC" w:rsidRPr="002553AC" w14:paraId="36571081" w14:textId="77777777" w:rsidTr="00A743DD">
        <w:trPr>
          <w:trHeight w:val="288"/>
        </w:trPr>
        <w:tc>
          <w:tcPr>
            <w:tcW w:w="1119" w:type="dxa"/>
            <w:tcBorders>
              <w:top w:val="nil"/>
              <w:left w:val="single" w:sz="4" w:space="0" w:color="auto"/>
              <w:bottom w:val="single" w:sz="4" w:space="0" w:color="auto"/>
              <w:right w:val="single" w:sz="4" w:space="0" w:color="auto"/>
            </w:tcBorders>
            <w:shd w:val="clear" w:color="FFFFCC" w:fill="FFFFFF"/>
            <w:noWrap/>
            <w:vAlign w:val="center"/>
            <w:hideMark/>
          </w:tcPr>
          <w:p w14:paraId="2771DF05"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2024</w:t>
            </w:r>
          </w:p>
        </w:tc>
        <w:tc>
          <w:tcPr>
            <w:tcW w:w="1689" w:type="dxa"/>
            <w:tcBorders>
              <w:top w:val="nil"/>
              <w:left w:val="nil"/>
              <w:bottom w:val="single" w:sz="4" w:space="0" w:color="auto"/>
              <w:right w:val="single" w:sz="4" w:space="0" w:color="auto"/>
            </w:tcBorders>
            <w:shd w:val="clear" w:color="FFFFCC" w:fill="FFFFFF"/>
            <w:noWrap/>
            <w:vAlign w:val="center"/>
            <w:hideMark/>
          </w:tcPr>
          <w:p w14:paraId="56858CFF"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15,227,044,582</w:t>
            </w:r>
          </w:p>
        </w:tc>
        <w:tc>
          <w:tcPr>
            <w:tcW w:w="1555" w:type="dxa"/>
            <w:tcBorders>
              <w:top w:val="nil"/>
              <w:left w:val="nil"/>
              <w:bottom w:val="single" w:sz="4" w:space="0" w:color="auto"/>
              <w:right w:val="single" w:sz="4" w:space="0" w:color="auto"/>
            </w:tcBorders>
            <w:shd w:val="clear" w:color="FFFFCC" w:fill="FFFFFF"/>
            <w:noWrap/>
            <w:vAlign w:val="center"/>
            <w:hideMark/>
          </w:tcPr>
          <w:p w14:paraId="5C7EE5BB"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12,248,083,316</w:t>
            </w:r>
          </w:p>
        </w:tc>
        <w:tc>
          <w:tcPr>
            <w:tcW w:w="1620" w:type="dxa"/>
            <w:tcBorders>
              <w:top w:val="nil"/>
              <w:left w:val="nil"/>
              <w:bottom w:val="single" w:sz="4" w:space="0" w:color="auto"/>
              <w:right w:val="single" w:sz="4" w:space="0" w:color="auto"/>
            </w:tcBorders>
            <w:shd w:val="clear" w:color="FFFFCC" w:fill="FFFFFF"/>
            <w:noWrap/>
            <w:vAlign w:val="center"/>
            <w:hideMark/>
          </w:tcPr>
          <w:p w14:paraId="0B4021A3"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124.322</w:t>
            </w:r>
          </w:p>
        </w:tc>
      </w:tr>
    </w:tbl>
    <w:p w14:paraId="6C895322" w14:textId="74A12C09" w:rsidR="002553AC" w:rsidRDefault="002553AC" w:rsidP="00EC7D22">
      <w:pPr>
        <w:pStyle w:val="Texto"/>
        <w:spacing w:after="0" w:line="240" w:lineRule="exact"/>
        <w:ind w:firstLine="0"/>
        <w:rPr>
          <w:rFonts w:ascii="Calibri" w:hAnsi="Calibri" w:cs="Calibri"/>
          <w:szCs w:val="18"/>
        </w:rPr>
      </w:pPr>
      <w:r>
        <w:rPr>
          <w:rFonts w:ascii="Calibri" w:hAnsi="Calibri" w:cs="Calibri"/>
          <w:szCs w:val="18"/>
        </w:rPr>
        <w:t xml:space="preserve">  </w:t>
      </w:r>
    </w:p>
    <w:p w14:paraId="33D696F5" w14:textId="77777777" w:rsidR="007745EB" w:rsidRPr="001D3C38" w:rsidRDefault="00C87FDA" w:rsidP="00EC7D22">
      <w:pPr>
        <w:pStyle w:val="Texto"/>
        <w:numPr>
          <w:ilvl w:val="0"/>
          <w:numId w:val="2"/>
        </w:numPr>
        <w:tabs>
          <w:tab w:val="left" w:pos="360"/>
        </w:tabs>
        <w:spacing w:after="0" w:line="240" w:lineRule="auto"/>
        <w:ind w:left="0" w:firstLine="0"/>
        <w:rPr>
          <w:rFonts w:ascii="Calibri" w:hAnsi="Calibri" w:cs="Calibri"/>
          <w:bCs/>
          <w:sz w:val="20"/>
        </w:rPr>
      </w:pPr>
      <w:r w:rsidRPr="006B5B65">
        <w:rPr>
          <w:rFonts w:ascii="Calibri" w:hAnsi="Calibri" w:cs="Calibri"/>
          <w:b/>
          <w:sz w:val="20"/>
        </w:rPr>
        <w:lastRenderedPageBreak/>
        <w:t>Acreedores, Registro y Autorizaciones de la Deuda Pública</w:t>
      </w:r>
      <w:r w:rsidRPr="001D3C38">
        <w:rPr>
          <w:rFonts w:ascii="Calibri" w:hAnsi="Calibri" w:cs="Calibri"/>
          <w:bCs/>
          <w:sz w:val="20"/>
        </w:rPr>
        <w:t>.</w:t>
      </w:r>
    </w:p>
    <w:p w14:paraId="61B32E97" w14:textId="77777777" w:rsidR="008E01AB" w:rsidRDefault="008E01AB" w:rsidP="00EC7D22">
      <w:pPr>
        <w:pStyle w:val="Texto"/>
        <w:tabs>
          <w:tab w:val="left" w:pos="360"/>
        </w:tabs>
        <w:spacing w:after="0" w:line="240" w:lineRule="auto"/>
        <w:ind w:firstLine="0"/>
        <w:rPr>
          <w:rFonts w:ascii="Calibri" w:hAnsi="Calibri" w:cs="Calibri"/>
          <w:b/>
          <w:bCs/>
          <w:sz w:val="20"/>
        </w:rPr>
      </w:pPr>
    </w:p>
    <w:tbl>
      <w:tblPr>
        <w:tblW w:w="9351" w:type="dxa"/>
        <w:tblCellMar>
          <w:left w:w="70" w:type="dxa"/>
          <w:right w:w="70" w:type="dxa"/>
        </w:tblCellMar>
        <w:tblLook w:val="04A0" w:firstRow="1" w:lastRow="0" w:firstColumn="1" w:lastColumn="0" w:noHBand="0" w:noVBand="1"/>
      </w:tblPr>
      <w:tblGrid>
        <w:gridCol w:w="1279"/>
        <w:gridCol w:w="1071"/>
        <w:gridCol w:w="968"/>
        <w:gridCol w:w="898"/>
        <w:gridCol w:w="898"/>
        <w:gridCol w:w="903"/>
        <w:gridCol w:w="1089"/>
        <w:gridCol w:w="1158"/>
        <w:gridCol w:w="1087"/>
      </w:tblGrid>
      <w:tr w:rsidR="008E01AB" w:rsidRPr="008E01AB" w14:paraId="1AE3CC65" w14:textId="77777777" w:rsidTr="00132EC0">
        <w:trPr>
          <w:trHeight w:val="1076"/>
        </w:trPr>
        <w:tc>
          <w:tcPr>
            <w:tcW w:w="1279" w:type="dxa"/>
            <w:tcBorders>
              <w:top w:val="single" w:sz="4" w:space="0" w:color="auto"/>
              <w:left w:val="single" w:sz="4" w:space="0" w:color="auto"/>
              <w:bottom w:val="single" w:sz="4" w:space="0" w:color="auto"/>
              <w:right w:val="single" w:sz="4" w:space="0" w:color="auto"/>
            </w:tcBorders>
            <w:shd w:val="clear" w:color="9C0006" w:fill="AB0033"/>
            <w:vAlign w:val="center"/>
            <w:hideMark/>
          </w:tcPr>
          <w:p w14:paraId="686FB44B" w14:textId="77777777" w:rsidR="008E01AB" w:rsidRPr="008E01AB" w:rsidRDefault="008E01AB" w:rsidP="00EC7D22">
            <w:pPr>
              <w:suppressAutoHyphens w:val="0"/>
              <w:overflowPunct/>
              <w:spacing w:after="0" w:line="240" w:lineRule="auto"/>
              <w:jc w:val="center"/>
              <w:rPr>
                <w:rFonts w:eastAsia="Times New Roman" w:cs="Calibri"/>
                <w:b/>
                <w:bCs/>
                <w:color w:val="FFFFFF"/>
                <w:sz w:val="12"/>
                <w:szCs w:val="12"/>
                <w:lang w:eastAsia="es-MX"/>
              </w:rPr>
            </w:pPr>
            <w:r w:rsidRPr="008E01AB">
              <w:rPr>
                <w:rFonts w:eastAsia="Times New Roman" w:cs="Calibri"/>
                <w:b/>
                <w:bCs/>
                <w:color w:val="FFFFFF"/>
                <w:sz w:val="12"/>
                <w:szCs w:val="12"/>
                <w:lang w:eastAsia="es-MX"/>
              </w:rPr>
              <w:t>Acreedor</w:t>
            </w:r>
          </w:p>
        </w:tc>
        <w:tc>
          <w:tcPr>
            <w:tcW w:w="1071" w:type="dxa"/>
            <w:tcBorders>
              <w:top w:val="single" w:sz="4" w:space="0" w:color="auto"/>
              <w:left w:val="nil"/>
              <w:bottom w:val="single" w:sz="4" w:space="0" w:color="auto"/>
              <w:right w:val="single" w:sz="4" w:space="0" w:color="auto"/>
            </w:tcBorders>
            <w:shd w:val="clear" w:color="9C0006" w:fill="AB0033"/>
            <w:vAlign w:val="center"/>
            <w:hideMark/>
          </w:tcPr>
          <w:p w14:paraId="2064990F" w14:textId="77777777" w:rsidR="008E01AB" w:rsidRPr="008E01AB" w:rsidRDefault="008E01AB" w:rsidP="00EC7D22">
            <w:pPr>
              <w:suppressAutoHyphens w:val="0"/>
              <w:overflowPunct/>
              <w:spacing w:after="0" w:line="240" w:lineRule="auto"/>
              <w:jc w:val="center"/>
              <w:rPr>
                <w:rFonts w:eastAsia="Times New Roman" w:cs="Calibri"/>
                <w:b/>
                <w:bCs/>
                <w:color w:val="FFFFFF"/>
                <w:sz w:val="12"/>
                <w:szCs w:val="12"/>
                <w:lang w:eastAsia="es-MX"/>
              </w:rPr>
            </w:pPr>
            <w:r w:rsidRPr="008E01AB">
              <w:rPr>
                <w:rFonts w:eastAsia="Times New Roman" w:cs="Calibri"/>
                <w:b/>
                <w:bCs/>
                <w:color w:val="FFFFFF"/>
                <w:sz w:val="12"/>
                <w:szCs w:val="12"/>
                <w:lang w:eastAsia="es-MX"/>
              </w:rPr>
              <w:t xml:space="preserve">Núm. Inscripción Registro de Empréstitos R.P.U  de SHCP </w:t>
            </w:r>
          </w:p>
        </w:tc>
        <w:tc>
          <w:tcPr>
            <w:tcW w:w="968" w:type="dxa"/>
            <w:tcBorders>
              <w:top w:val="single" w:sz="4" w:space="0" w:color="auto"/>
              <w:left w:val="nil"/>
              <w:bottom w:val="single" w:sz="4" w:space="0" w:color="auto"/>
              <w:right w:val="single" w:sz="4" w:space="0" w:color="auto"/>
            </w:tcBorders>
            <w:shd w:val="clear" w:color="9C0006" w:fill="AB0033"/>
            <w:vAlign w:val="center"/>
            <w:hideMark/>
          </w:tcPr>
          <w:p w14:paraId="4E5098EF" w14:textId="77777777" w:rsidR="008E01AB" w:rsidRPr="008E01AB" w:rsidRDefault="008E01AB" w:rsidP="00EC7D22">
            <w:pPr>
              <w:suppressAutoHyphens w:val="0"/>
              <w:overflowPunct/>
              <w:spacing w:after="0" w:line="240" w:lineRule="auto"/>
              <w:jc w:val="center"/>
              <w:rPr>
                <w:rFonts w:eastAsia="Times New Roman" w:cs="Calibri"/>
                <w:b/>
                <w:bCs/>
                <w:color w:val="FFFFFF"/>
                <w:sz w:val="12"/>
                <w:szCs w:val="12"/>
                <w:lang w:eastAsia="es-MX"/>
              </w:rPr>
            </w:pPr>
            <w:r w:rsidRPr="008E01AB">
              <w:rPr>
                <w:rFonts w:eastAsia="Times New Roman" w:cs="Calibri"/>
                <w:b/>
                <w:bCs/>
                <w:color w:val="FFFFFF"/>
                <w:sz w:val="12"/>
                <w:szCs w:val="12"/>
                <w:lang w:eastAsia="es-MX"/>
              </w:rPr>
              <w:t>Fecha de  Inscripción Registro de Empréstitos R.P.U. de SHCP</w:t>
            </w:r>
          </w:p>
        </w:tc>
        <w:tc>
          <w:tcPr>
            <w:tcW w:w="898" w:type="dxa"/>
            <w:tcBorders>
              <w:top w:val="single" w:sz="4" w:space="0" w:color="auto"/>
              <w:left w:val="nil"/>
              <w:bottom w:val="single" w:sz="4" w:space="0" w:color="auto"/>
              <w:right w:val="single" w:sz="4" w:space="0" w:color="auto"/>
            </w:tcBorders>
            <w:shd w:val="clear" w:color="9C0006" w:fill="AB0033"/>
            <w:vAlign w:val="center"/>
            <w:hideMark/>
          </w:tcPr>
          <w:p w14:paraId="0507E36B" w14:textId="77777777" w:rsidR="008E01AB" w:rsidRPr="008E01AB" w:rsidRDefault="008E01AB" w:rsidP="00EC7D22">
            <w:pPr>
              <w:suppressAutoHyphens w:val="0"/>
              <w:overflowPunct/>
              <w:spacing w:after="0" w:line="240" w:lineRule="auto"/>
              <w:jc w:val="center"/>
              <w:rPr>
                <w:rFonts w:eastAsia="Times New Roman" w:cs="Calibri"/>
                <w:b/>
                <w:bCs/>
                <w:color w:val="FFFFFF"/>
                <w:sz w:val="12"/>
                <w:szCs w:val="12"/>
                <w:lang w:eastAsia="es-MX"/>
              </w:rPr>
            </w:pPr>
            <w:r w:rsidRPr="008E01AB">
              <w:rPr>
                <w:rFonts w:eastAsia="Times New Roman" w:cs="Calibri"/>
                <w:b/>
                <w:bCs/>
                <w:color w:val="FFFFFF"/>
                <w:sz w:val="12"/>
                <w:szCs w:val="12"/>
                <w:lang w:eastAsia="es-MX"/>
              </w:rPr>
              <w:t>Número del Decreto del H. Congreso del Estado</w:t>
            </w:r>
          </w:p>
        </w:tc>
        <w:tc>
          <w:tcPr>
            <w:tcW w:w="898" w:type="dxa"/>
            <w:tcBorders>
              <w:top w:val="single" w:sz="4" w:space="0" w:color="auto"/>
              <w:left w:val="nil"/>
              <w:bottom w:val="single" w:sz="4" w:space="0" w:color="auto"/>
              <w:right w:val="single" w:sz="4" w:space="0" w:color="auto"/>
            </w:tcBorders>
            <w:shd w:val="clear" w:color="9C0006" w:fill="AB0033"/>
            <w:vAlign w:val="center"/>
            <w:hideMark/>
          </w:tcPr>
          <w:p w14:paraId="1AAC2424" w14:textId="77777777" w:rsidR="008E01AB" w:rsidRPr="008E01AB" w:rsidRDefault="008E01AB" w:rsidP="00EC7D22">
            <w:pPr>
              <w:suppressAutoHyphens w:val="0"/>
              <w:overflowPunct/>
              <w:spacing w:after="0" w:line="240" w:lineRule="auto"/>
              <w:jc w:val="center"/>
              <w:rPr>
                <w:rFonts w:eastAsia="Times New Roman" w:cs="Calibri"/>
                <w:b/>
                <w:bCs/>
                <w:color w:val="FFFFFF"/>
                <w:sz w:val="12"/>
                <w:szCs w:val="12"/>
                <w:lang w:eastAsia="es-MX"/>
              </w:rPr>
            </w:pPr>
            <w:r w:rsidRPr="008E01AB">
              <w:rPr>
                <w:rFonts w:eastAsia="Times New Roman" w:cs="Calibri"/>
                <w:b/>
                <w:bCs/>
                <w:color w:val="FFFFFF"/>
                <w:sz w:val="12"/>
                <w:szCs w:val="12"/>
                <w:lang w:eastAsia="es-MX"/>
              </w:rPr>
              <w:t>Fecha del  Decreto del      H. Congreso del Estado</w:t>
            </w:r>
          </w:p>
        </w:tc>
        <w:tc>
          <w:tcPr>
            <w:tcW w:w="903" w:type="dxa"/>
            <w:tcBorders>
              <w:top w:val="single" w:sz="4" w:space="0" w:color="auto"/>
              <w:left w:val="nil"/>
              <w:bottom w:val="single" w:sz="4" w:space="0" w:color="auto"/>
              <w:right w:val="single" w:sz="4" w:space="0" w:color="auto"/>
            </w:tcBorders>
            <w:shd w:val="clear" w:color="9C0006" w:fill="AB0033"/>
            <w:vAlign w:val="center"/>
            <w:hideMark/>
          </w:tcPr>
          <w:p w14:paraId="58F32941" w14:textId="77777777" w:rsidR="008E01AB" w:rsidRPr="008E01AB" w:rsidRDefault="008E01AB" w:rsidP="00EC7D22">
            <w:pPr>
              <w:suppressAutoHyphens w:val="0"/>
              <w:overflowPunct/>
              <w:spacing w:after="0" w:line="240" w:lineRule="auto"/>
              <w:jc w:val="center"/>
              <w:rPr>
                <w:rFonts w:eastAsia="Times New Roman" w:cs="Calibri"/>
                <w:b/>
                <w:bCs/>
                <w:color w:val="FFFFFF"/>
                <w:sz w:val="12"/>
                <w:szCs w:val="12"/>
                <w:lang w:eastAsia="es-MX"/>
              </w:rPr>
            </w:pPr>
            <w:r w:rsidRPr="008E01AB">
              <w:rPr>
                <w:rFonts w:eastAsia="Times New Roman" w:cs="Calibri"/>
                <w:b/>
                <w:bCs/>
                <w:color w:val="FFFFFF"/>
                <w:sz w:val="12"/>
                <w:szCs w:val="12"/>
                <w:lang w:eastAsia="es-MX"/>
              </w:rPr>
              <w:t>Fecha de vencimiento</w:t>
            </w:r>
          </w:p>
        </w:tc>
        <w:tc>
          <w:tcPr>
            <w:tcW w:w="1089" w:type="dxa"/>
            <w:tcBorders>
              <w:top w:val="single" w:sz="4" w:space="0" w:color="auto"/>
              <w:left w:val="nil"/>
              <w:bottom w:val="single" w:sz="4" w:space="0" w:color="auto"/>
              <w:right w:val="single" w:sz="4" w:space="0" w:color="auto"/>
            </w:tcBorders>
            <w:shd w:val="clear" w:color="9C0006" w:fill="AB0033"/>
            <w:vAlign w:val="center"/>
            <w:hideMark/>
          </w:tcPr>
          <w:p w14:paraId="03829AF4" w14:textId="77777777" w:rsidR="008E01AB" w:rsidRPr="008E01AB" w:rsidRDefault="008E01AB" w:rsidP="00EC7D22">
            <w:pPr>
              <w:suppressAutoHyphens w:val="0"/>
              <w:overflowPunct/>
              <w:spacing w:after="0" w:line="240" w:lineRule="auto"/>
              <w:jc w:val="center"/>
              <w:rPr>
                <w:rFonts w:eastAsia="Times New Roman" w:cs="Calibri"/>
                <w:b/>
                <w:bCs/>
                <w:color w:val="FFFFFF"/>
                <w:sz w:val="12"/>
                <w:szCs w:val="12"/>
                <w:lang w:eastAsia="es-MX"/>
              </w:rPr>
            </w:pPr>
            <w:r w:rsidRPr="008E01AB">
              <w:rPr>
                <w:rFonts w:eastAsia="Times New Roman" w:cs="Calibri"/>
                <w:b/>
                <w:bCs/>
                <w:color w:val="FFFFFF"/>
                <w:sz w:val="12"/>
                <w:szCs w:val="12"/>
                <w:lang w:eastAsia="es-MX"/>
              </w:rPr>
              <w:t>Monto Original Contratado</w:t>
            </w:r>
          </w:p>
        </w:tc>
        <w:tc>
          <w:tcPr>
            <w:tcW w:w="1158" w:type="dxa"/>
            <w:tcBorders>
              <w:top w:val="single" w:sz="4" w:space="0" w:color="auto"/>
              <w:left w:val="nil"/>
              <w:bottom w:val="single" w:sz="4" w:space="0" w:color="auto"/>
              <w:right w:val="single" w:sz="4" w:space="0" w:color="auto"/>
            </w:tcBorders>
            <w:shd w:val="clear" w:color="9C0006" w:fill="AB0033"/>
            <w:vAlign w:val="center"/>
            <w:hideMark/>
          </w:tcPr>
          <w:p w14:paraId="447F2B2D" w14:textId="77777777" w:rsidR="008E01AB" w:rsidRPr="008E01AB" w:rsidRDefault="008E01AB" w:rsidP="00EC7D22">
            <w:pPr>
              <w:suppressAutoHyphens w:val="0"/>
              <w:overflowPunct/>
              <w:spacing w:after="0" w:line="240" w:lineRule="auto"/>
              <w:jc w:val="center"/>
              <w:rPr>
                <w:rFonts w:eastAsia="Times New Roman" w:cs="Calibri"/>
                <w:b/>
                <w:bCs/>
                <w:color w:val="FFFFFF"/>
                <w:sz w:val="12"/>
                <w:szCs w:val="12"/>
                <w:lang w:eastAsia="es-MX"/>
              </w:rPr>
            </w:pPr>
            <w:r w:rsidRPr="008E01AB">
              <w:rPr>
                <w:rFonts w:eastAsia="Times New Roman" w:cs="Calibri"/>
                <w:b/>
                <w:bCs/>
                <w:color w:val="FFFFFF"/>
                <w:sz w:val="12"/>
                <w:szCs w:val="12"/>
                <w:lang w:eastAsia="es-MX"/>
              </w:rPr>
              <w:t>Monto Dispuesto</w:t>
            </w:r>
          </w:p>
        </w:tc>
        <w:tc>
          <w:tcPr>
            <w:tcW w:w="1087" w:type="dxa"/>
            <w:tcBorders>
              <w:top w:val="single" w:sz="4" w:space="0" w:color="auto"/>
              <w:left w:val="nil"/>
              <w:bottom w:val="single" w:sz="4" w:space="0" w:color="auto"/>
              <w:right w:val="single" w:sz="4" w:space="0" w:color="auto"/>
            </w:tcBorders>
            <w:shd w:val="clear" w:color="9C0006" w:fill="AB0033"/>
            <w:vAlign w:val="center"/>
            <w:hideMark/>
          </w:tcPr>
          <w:p w14:paraId="5DA84173" w14:textId="56030C1C" w:rsidR="008E01AB" w:rsidRPr="008E01AB" w:rsidRDefault="008E01AB" w:rsidP="00EC7D22">
            <w:pPr>
              <w:suppressAutoHyphens w:val="0"/>
              <w:overflowPunct/>
              <w:spacing w:after="0" w:line="240" w:lineRule="auto"/>
              <w:jc w:val="center"/>
              <w:rPr>
                <w:rFonts w:eastAsia="Times New Roman" w:cs="Calibri"/>
                <w:b/>
                <w:bCs/>
                <w:color w:val="FFFFFF"/>
                <w:sz w:val="12"/>
                <w:szCs w:val="12"/>
                <w:lang w:eastAsia="es-MX"/>
              </w:rPr>
            </w:pPr>
            <w:r w:rsidRPr="008E01AB">
              <w:rPr>
                <w:rFonts w:eastAsia="Times New Roman" w:cs="Calibri"/>
                <w:b/>
                <w:bCs/>
                <w:color w:val="FFFFFF"/>
                <w:sz w:val="12"/>
                <w:szCs w:val="12"/>
                <w:lang w:eastAsia="es-MX"/>
              </w:rPr>
              <w:t>Saldo al 31 de Diciembre de 2024</w:t>
            </w:r>
          </w:p>
        </w:tc>
      </w:tr>
      <w:tr w:rsidR="008E01AB" w:rsidRPr="008E01AB" w14:paraId="336321E8" w14:textId="77777777" w:rsidTr="00132EC0">
        <w:trPr>
          <w:trHeight w:val="286"/>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3024FC95"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BBVA México S.A. 1000 MDP</w:t>
            </w:r>
          </w:p>
        </w:tc>
        <w:tc>
          <w:tcPr>
            <w:tcW w:w="1071" w:type="dxa"/>
            <w:tcBorders>
              <w:top w:val="nil"/>
              <w:left w:val="nil"/>
              <w:bottom w:val="single" w:sz="4" w:space="0" w:color="auto"/>
              <w:right w:val="single" w:sz="4" w:space="0" w:color="auto"/>
            </w:tcBorders>
            <w:shd w:val="clear" w:color="auto" w:fill="auto"/>
            <w:noWrap/>
            <w:vAlign w:val="bottom"/>
            <w:hideMark/>
          </w:tcPr>
          <w:p w14:paraId="15FABB52"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029/2010</w:t>
            </w:r>
          </w:p>
        </w:tc>
        <w:tc>
          <w:tcPr>
            <w:tcW w:w="968" w:type="dxa"/>
            <w:tcBorders>
              <w:top w:val="nil"/>
              <w:left w:val="nil"/>
              <w:bottom w:val="single" w:sz="4" w:space="0" w:color="auto"/>
              <w:right w:val="single" w:sz="4" w:space="0" w:color="auto"/>
            </w:tcBorders>
            <w:shd w:val="clear" w:color="auto" w:fill="auto"/>
            <w:noWrap/>
            <w:vAlign w:val="bottom"/>
            <w:hideMark/>
          </w:tcPr>
          <w:p w14:paraId="4EF0EE70"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16/02/2010</w:t>
            </w:r>
          </w:p>
        </w:tc>
        <w:tc>
          <w:tcPr>
            <w:tcW w:w="898" w:type="dxa"/>
            <w:tcBorders>
              <w:top w:val="nil"/>
              <w:left w:val="nil"/>
              <w:bottom w:val="single" w:sz="4" w:space="0" w:color="auto"/>
              <w:right w:val="single" w:sz="4" w:space="0" w:color="auto"/>
            </w:tcBorders>
            <w:shd w:val="clear" w:color="auto" w:fill="auto"/>
            <w:noWrap/>
            <w:vAlign w:val="bottom"/>
            <w:hideMark/>
          </w:tcPr>
          <w:p w14:paraId="0BF81AA1" w14:textId="77777777" w:rsidR="008E01AB" w:rsidRPr="008E01AB" w:rsidRDefault="008E01AB" w:rsidP="00EC7D22">
            <w:pPr>
              <w:suppressAutoHyphens w:val="0"/>
              <w:overflowPunct/>
              <w:spacing w:after="0" w:line="240" w:lineRule="auto"/>
              <w:jc w:val="center"/>
              <w:rPr>
                <w:rFonts w:eastAsia="Times New Roman" w:cs="Calibri"/>
                <w:color w:val="000000"/>
                <w:sz w:val="12"/>
                <w:szCs w:val="12"/>
                <w:lang w:eastAsia="es-MX"/>
              </w:rPr>
            </w:pPr>
            <w:r w:rsidRPr="008E01AB">
              <w:rPr>
                <w:rFonts w:eastAsia="Times New Roman" w:cs="Calibri"/>
                <w:color w:val="000000"/>
                <w:sz w:val="12"/>
                <w:szCs w:val="12"/>
                <w:lang w:eastAsia="es-MX"/>
              </w:rPr>
              <w:t>LX1006</w:t>
            </w:r>
          </w:p>
        </w:tc>
        <w:tc>
          <w:tcPr>
            <w:tcW w:w="898" w:type="dxa"/>
            <w:tcBorders>
              <w:top w:val="nil"/>
              <w:left w:val="nil"/>
              <w:bottom w:val="single" w:sz="4" w:space="0" w:color="auto"/>
              <w:right w:val="single" w:sz="4" w:space="0" w:color="auto"/>
            </w:tcBorders>
            <w:shd w:val="clear" w:color="auto" w:fill="auto"/>
            <w:noWrap/>
            <w:vAlign w:val="bottom"/>
            <w:hideMark/>
          </w:tcPr>
          <w:p w14:paraId="48224118"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17/12/2009</w:t>
            </w:r>
          </w:p>
        </w:tc>
        <w:tc>
          <w:tcPr>
            <w:tcW w:w="903" w:type="dxa"/>
            <w:tcBorders>
              <w:top w:val="nil"/>
              <w:left w:val="nil"/>
              <w:bottom w:val="single" w:sz="4" w:space="0" w:color="auto"/>
              <w:right w:val="single" w:sz="4" w:space="0" w:color="auto"/>
            </w:tcBorders>
            <w:shd w:val="clear" w:color="auto" w:fill="auto"/>
            <w:noWrap/>
            <w:vAlign w:val="bottom"/>
            <w:hideMark/>
          </w:tcPr>
          <w:p w14:paraId="65280ECE"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31/01/2030</w:t>
            </w:r>
          </w:p>
        </w:tc>
        <w:tc>
          <w:tcPr>
            <w:tcW w:w="1089" w:type="dxa"/>
            <w:tcBorders>
              <w:top w:val="nil"/>
              <w:left w:val="nil"/>
              <w:bottom w:val="single" w:sz="4" w:space="0" w:color="auto"/>
              <w:right w:val="single" w:sz="4" w:space="0" w:color="auto"/>
            </w:tcBorders>
            <w:shd w:val="clear" w:color="auto" w:fill="auto"/>
            <w:noWrap/>
            <w:vAlign w:val="bottom"/>
            <w:hideMark/>
          </w:tcPr>
          <w:p w14:paraId="4CCCF3EA"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1,000,000,000</w:t>
            </w:r>
          </w:p>
        </w:tc>
        <w:tc>
          <w:tcPr>
            <w:tcW w:w="1158" w:type="dxa"/>
            <w:tcBorders>
              <w:top w:val="nil"/>
              <w:left w:val="nil"/>
              <w:bottom w:val="single" w:sz="4" w:space="0" w:color="auto"/>
              <w:right w:val="single" w:sz="4" w:space="0" w:color="auto"/>
            </w:tcBorders>
            <w:shd w:val="clear" w:color="auto" w:fill="auto"/>
            <w:noWrap/>
            <w:vAlign w:val="bottom"/>
            <w:hideMark/>
          </w:tcPr>
          <w:p w14:paraId="6DB6343E"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1,000,000,000</w:t>
            </w:r>
          </w:p>
        </w:tc>
        <w:tc>
          <w:tcPr>
            <w:tcW w:w="1087" w:type="dxa"/>
            <w:tcBorders>
              <w:top w:val="nil"/>
              <w:left w:val="nil"/>
              <w:bottom w:val="single" w:sz="4" w:space="0" w:color="auto"/>
              <w:right w:val="single" w:sz="4" w:space="0" w:color="auto"/>
            </w:tcBorders>
            <w:shd w:val="clear" w:color="auto" w:fill="auto"/>
            <w:noWrap/>
            <w:vAlign w:val="bottom"/>
            <w:hideMark/>
          </w:tcPr>
          <w:p w14:paraId="01FF1F5F"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0F3E8183"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7D188311" w14:textId="77777777" w:rsidR="008E01AB" w:rsidRPr="008E01AB" w:rsidRDefault="008E01AB" w:rsidP="00EC7D22">
            <w:pPr>
              <w:suppressAutoHyphens w:val="0"/>
              <w:overflowPunct/>
              <w:spacing w:after="0" w:line="240" w:lineRule="auto"/>
              <w:rPr>
                <w:rFonts w:eastAsia="Times New Roman" w:cs="Calibri"/>
                <w:color w:val="222B35"/>
                <w:sz w:val="12"/>
                <w:szCs w:val="12"/>
                <w:lang w:val="pt-PT" w:eastAsia="es-MX"/>
              </w:rPr>
            </w:pPr>
            <w:r w:rsidRPr="008E01AB">
              <w:rPr>
                <w:rFonts w:eastAsia="Times New Roman" w:cs="Calibri"/>
                <w:color w:val="222B35"/>
                <w:sz w:val="12"/>
                <w:szCs w:val="12"/>
                <w:lang w:val="pt-PT" w:eastAsia="es-MX"/>
              </w:rPr>
              <w:t>Banobras S.N.C. 183 MDP</w:t>
            </w:r>
          </w:p>
        </w:tc>
        <w:tc>
          <w:tcPr>
            <w:tcW w:w="1071" w:type="dxa"/>
            <w:tcBorders>
              <w:top w:val="nil"/>
              <w:left w:val="nil"/>
              <w:bottom w:val="single" w:sz="4" w:space="0" w:color="auto"/>
              <w:right w:val="single" w:sz="4" w:space="0" w:color="auto"/>
            </w:tcBorders>
            <w:shd w:val="clear" w:color="auto" w:fill="auto"/>
            <w:noWrap/>
            <w:vAlign w:val="bottom"/>
            <w:hideMark/>
          </w:tcPr>
          <w:p w14:paraId="30692674"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223-FONAREC/2011</w:t>
            </w:r>
          </w:p>
        </w:tc>
        <w:tc>
          <w:tcPr>
            <w:tcW w:w="968" w:type="dxa"/>
            <w:tcBorders>
              <w:top w:val="nil"/>
              <w:left w:val="nil"/>
              <w:bottom w:val="single" w:sz="4" w:space="0" w:color="auto"/>
              <w:right w:val="single" w:sz="4" w:space="0" w:color="auto"/>
            </w:tcBorders>
            <w:shd w:val="clear" w:color="auto" w:fill="auto"/>
            <w:noWrap/>
            <w:vAlign w:val="bottom"/>
            <w:hideMark/>
          </w:tcPr>
          <w:p w14:paraId="4CF4EC9B"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11/07/2011</w:t>
            </w:r>
          </w:p>
        </w:tc>
        <w:tc>
          <w:tcPr>
            <w:tcW w:w="898" w:type="dxa"/>
            <w:tcBorders>
              <w:top w:val="nil"/>
              <w:left w:val="nil"/>
              <w:bottom w:val="single" w:sz="4" w:space="0" w:color="auto"/>
              <w:right w:val="single" w:sz="4" w:space="0" w:color="auto"/>
            </w:tcBorders>
            <w:shd w:val="clear" w:color="auto" w:fill="auto"/>
            <w:noWrap/>
            <w:vAlign w:val="bottom"/>
            <w:hideMark/>
          </w:tcPr>
          <w:p w14:paraId="6B25E68D"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LXI-38</w:t>
            </w:r>
          </w:p>
        </w:tc>
        <w:tc>
          <w:tcPr>
            <w:tcW w:w="898" w:type="dxa"/>
            <w:tcBorders>
              <w:top w:val="nil"/>
              <w:left w:val="nil"/>
              <w:bottom w:val="single" w:sz="4" w:space="0" w:color="auto"/>
              <w:right w:val="single" w:sz="4" w:space="0" w:color="auto"/>
            </w:tcBorders>
            <w:shd w:val="clear" w:color="auto" w:fill="auto"/>
            <w:noWrap/>
            <w:vAlign w:val="bottom"/>
            <w:hideMark/>
          </w:tcPr>
          <w:p w14:paraId="280A8CCF"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31/05/2011</w:t>
            </w:r>
          </w:p>
        </w:tc>
        <w:tc>
          <w:tcPr>
            <w:tcW w:w="903" w:type="dxa"/>
            <w:tcBorders>
              <w:top w:val="nil"/>
              <w:left w:val="nil"/>
              <w:bottom w:val="single" w:sz="4" w:space="0" w:color="auto"/>
              <w:right w:val="single" w:sz="4" w:space="0" w:color="auto"/>
            </w:tcBorders>
            <w:shd w:val="clear" w:color="auto" w:fill="auto"/>
            <w:noWrap/>
            <w:vAlign w:val="bottom"/>
            <w:hideMark/>
          </w:tcPr>
          <w:p w14:paraId="37C8B618"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29/07/2031</w:t>
            </w:r>
          </w:p>
        </w:tc>
        <w:tc>
          <w:tcPr>
            <w:tcW w:w="1089" w:type="dxa"/>
            <w:tcBorders>
              <w:top w:val="nil"/>
              <w:left w:val="nil"/>
              <w:bottom w:val="single" w:sz="4" w:space="0" w:color="auto"/>
              <w:right w:val="single" w:sz="4" w:space="0" w:color="auto"/>
            </w:tcBorders>
            <w:shd w:val="clear" w:color="auto" w:fill="auto"/>
            <w:noWrap/>
            <w:vAlign w:val="bottom"/>
            <w:hideMark/>
          </w:tcPr>
          <w:p w14:paraId="29FE88D8"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183,383,570</w:t>
            </w:r>
          </w:p>
        </w:tc>
        <w:tc>
          <w:tcPr>
            <w:tcW w:w="1158" w:type="dxa"/>
            <w:tcBorders>
              <w:top w:val="nil"/>
              <w:left w:val="nil"/>
              <w:bottom w:val="single" w:sz="4" w:space="0" w:color="auto"/>
              <w:right w:val="single" w:sz="4" w:space="0" w:color="auto"/>
            </w:tcBorders>
            <w:shd w:val="clear" w:color="auto" w:fill="auto"/>
            <w:noWrap/>
            <w:vAlign w:val="bottom"/>
            <w:hideMark/>
          </w:tcPr>
          <w:p w14:paraId="24D47CF2"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164,159,265</w:t>
            </w:r>
          </w:p>
        </w:tc>
        <w:tc>
          <w:tcPr>
            <w:tcW w:w="1087" w:type="dxa"/>
            <w:tcBorders>
              <w:top w:val="nil"/>
              <w:left w:val="nil"/>
              <w:bottom w:val="single" w:sz="4" w:space="0" w:color="auto"/>
              <w:right w:val="single" w:sz="4" w:space="0" w:color="auto"/>
            </w:tcBorders>
            <w:shd w:val="clear" w:color="auto" w:fill="auto"/>
            <w:noWrap/>
            <w:vAlign w:val="bottom"/>
            <w:hideMark/>
          </w:tcPr>
          <w:p w14:paraId="06CA056B"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71,013,731</w:t>
            </w:r>
          </w:p>
        </w:tc>
      </w:tr>
      <w:tr w:rsidR="008E01AB" w:rsidRPr="008E01AB" w14:paraId="22AD7D5F"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6BFB356F" w14:textId="77777777" w:rsidR="008E01AB" w:rsidRPr="008E01AB" w:rsidRDefault="008E01AB" w:rsidP="00EC7D22">
            <w:pPr>
              <w:suppressAutoHyphens w:val="0"/>
              <w:overflowPunct/>
              <w:spacing w:after="0" w:line="240" w:lineRule="auto"/>
              <w:rPr>
                <w:rFonts w:eastAsia="Times New Roman" w:cs="Calibri"/>
                <w:color w:val="222B35"/>
                <w:sz w:val="12"/>
                <w:szCs w:val="12"/>
                <w:lang w:val="pt-PT" w:eastAsia="es-MX"/>
              </w:rPr>
            </w:pPr>
            <w:r w:rsidRPr="008E01AB">
              <w:rPr>
                <w:rFonts w:eastAsia="Times New Roman" w:cs="Calibri"/>
                <w:color w:val="222B35"/>
                <w:sz w:val="12"/>
                <w:szCs w:val="12"/>
                <w:lang w:val="pt-PT" w:eastAsia="es-MX"/>
              </w:rPr>
              <w:t>Banobras S.N.C. 187 MDP</w:t>
            </w:r>
          </w:p>
        </w:tc>
        <w:tc>
          <w:tcPr>
            <w:tcW w:w="1071" w:type="dxa"/>
            <w:tcBorders>
              <w:top w:val="nil"/>
              <w:left w:val="nil"/>
              <w:bottom w:val="single" w:sz="4" w:space="0" w:color="auto"/>
              <w:right w:val="single" w:sz="4" w:space="0" w:color="auto"/>
            </w:tcBorders>
            <w:shd w:val="clear" w:color="auto" w:fill="auto"/>
            <w:noWrap/>
            <w:vAlign w:val="bottom"/>
            <w:hideMark/>
          </w:tcPr>
          <w:p w14:paraId="1F3DE208"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P28-0312028</w:t>
            </w:r>
          </w:p>
        </w:tc>
        <w:tc>
          <w:tcPr>
            <w:tcW w:w="968" w:type="dxa"/>
            <w:tcBorders>
              <w:top w:val="nil"/>
              <w:left w:val="nil"/>
              <w:bottom w:val="single" w:sz="4" w:space="0" w:color="auto"/>
              <w:right w:val="single" w:sz="4" w:space="0" w:color="auto"/>
            </w:tcBorders>
            <w:shd w:val="clear" w:color="auto" w:fill="auto"/>
            <w:noWrap/>
            <w:vAlign w:val="bottom"/>
            <w:hideMark/>
          </w:tcPr>
          <w:p w14:paraId="2415066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02/03/2012</w:t>
            </w:r>
          </w:p>
        </w:tc>
        <w:tc>
          <w:tcPr>
            <w:tcW w:w="898" w:type="dxa"/>
            <w:tcBorders>
              <w:top w:val="nil"/>
              <w:left w:val="nil"/>
              <w:bottom w:val="single" w:sz="4" w:space="0" w:color="auto"/>
              <w:right w:val="single" w:sz="4" w:space="0" w:color="auto"/>
            </w:tcBorders>
            <w:shd w:val="clear" w:color="auto" w:fill="auto"/>
            <w:noWrap/>
            <w:vAlign w:val="bottom"/>
            <w:hideMark/>
          </w:tcPr>
          <w:p w14:paraId="55A276ED"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LXI-173</w:t>
            </w:r>
          </w:p>
        </w:tc>
        <w:tc>
          <w:tcPr>
            <w:tcW w:w="898" w:type="dxa"/>
            <w:tcBorders>
              <w:top w:val="nil"/>
              <w:left w:val="nil"/>
              <w:bottom w:val="single" w:sz="4" w:space="0" w:color="auto"/>
              <w:right w:val="single" w:sz="4" w:space="0" w:color="auto"/>
            </w:tcBorders>
            <w:shd w:val="clear" w:color="auto" w:fill="auto"/>
            <w:noWrap/>
            <w:vAlign w:val="bottom"/>
            <w:hideMark/>
          </w:tcPr>
          <w:p w14:paraId="54B94B12"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07/12/2011</w:t>
            </w:r>
          </w:p>
        </w:tc>
        <w:tc>
          <w:tcPr>
            <w:tcW w:w="903" w:type="dxa"/>
            <w:tcBorders>
              <w:top w:val="nil"/>
              <w:left w:val="nil"/>
              <w:bottom w:val="single" w:sz="4" w:space="0" w:color="auto"/>
              <w:right w:val="single" w:sz="4" w:space="0" w:color="auto"/>
            </w:tcBorders>
            <w:shd w:val="clear" w:color="auto" w:fill="auto"/>
            <w:noWrap/>
            <w:vAlign w:val="bottom"/>
            <w:hideMark/>
          </w:tcPr>
          <w:p w14:paraId="6381DDBC"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25/05/2032</w:t>
            </w:r>
          </w:p>
        </w:tc>
        <w:tc>
          <w:tcPr>
            <w:tcW w:w="1089" w:type="dxa"/>
            <w:tcBorders>
              <w:top w:val="nil"/>
              <w:left w:val="nil"/>
              <w:bottom w:val="single" w:sz="4" w:space="0" w:color="auto"/>
              <w:right w:val="single" w:sz="4" w:space="0" w:color="auto"/>
            </w:tcBorders>
            <w:shd w:val="clear" w:color="auto" w:fill="auto"/>
            <w:noWrap/>
            <w:vAlign w:val="bottom"/>
            <w:hideMark/>
          </w:tcPr>
          <w:p w14:paraId="08245A3B"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187,112,637</w:t>
            </w:r>
          </w:p>
        </w:tc>
        <w:tc>
          <w:tcPr>
            <w:tcW w:w="1158" w:type="dxa"/>
            <w:tcBorders>
              <w:top w:val="nil"/>
              <w:left w:val="nil"/>
              <w:bottom w:val="single" w:sz="4" w:space="0" w:color="auto"/>
              <w:right w:val="single" w:sz="4" w:space="0" w:color="auto"/>
            </w:tcBorders>
            <w:shd w:val="clear" w:color="auto" w:fill="auto"/>
            <w:noWrap/>
            <w:vAlign w:val="bottom"/>
            <w:hideMark/>
          </w:tcPr>
          <w:p w14:paraId="75A6303E"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187,112,637</w:t>
            </w:r>
          </w:p>
        </w:tc>
        <w:tc>
          <w:tcPr>
            <w:tcW w:w="1087" w:type="dxa"/>
            <w:tcBorders>
              <w:top w:val="nil"/>
              <w:left w:val="nil"/>
              <w:bottom w:val="single" w:sz="4" w:space="0" w:color="auto"/>
              <w:right w:val="single" w:sz="4" w:space="0" w:color="auto"/>
            </w:tcBorders>
            <w:shd w:val="clear" w:color="auto" w:fill="auto"/>
            <w:noWrap/>
            <w:vAlign w:val="bottom"/>
            <w:hideMark/>
          </w:tcPr>
          <w:p w14:paraId="0395BE2D"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80,943,141</w:t>
            </w:r>
          </w:p>
        </w:tc>
      </w:tr>
      <w:tr w:rsidR="008E01AB" w:rsidRPr="008E01AB" w14:paraId="46FC8AA6"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74AF61C0" w14:textId="77777777" w:rsidR="008E01AB" w:rsidRPr="008E01AB" w:rsidRDefault="008E01AB" w:rsidP="00EC7D22">
            <w:pPr>
              <w:suppressAutoHyphens w:val="0"/>
              <w:overflowPunct/>
              <w:spacing w:after="0" w:line="240" w:lineRule="auto"/>
              <w:rPr>
                <w:rFonts w:eastAsia="Times New Roman" w:cs="Calibri"/>
                <w:color w:val="222B35"/>
                <w:sz w:val="12"/>
                <w:szCs w:val="12"/>
                <w:lang w:val="pt-PT" w:eastAsia="es-MX"/>
              </w:rPr>
            </w:pPr>
            <w:r w:rsidRPr="008E01AB">
              <w:rPr>
                <w:rFonts w:eastAsia="Times New Roman" w:cs="Calibri"/>
                <w:color w:val="222B35"/>
                <w:sz w:val="12"/>
                <w:szCs w:val="12"/>
                <w:lang w:val="pt-PT" w:eastAsia="es-MX"/>
              </w:rPr>
              <w:t>Banobras S.N.C. 250 MDP</w:t>
            </w:r>
          </w:p>
        </w:tc>
        <w:tc>
          <w:tcPr>
            <w:tcW w:w="1071" w:type="dxa"/>
            <w:tcBorders>
              <w:top w:val="nil"/>
              <w:left w:val="nil"/>
              <w:bottom w:val="single" w:sz="4" w:space="0" w:color="auto"/>
              <w:right w:val="single" w:sz="4" w:space="0" w:color="auto"/>
            </w:tcBorders>
            <w:shd w:val="clear" w:color="auto" w:fill="auto"/>
            <w:noWrap/>
            <w:vAlign w:val="bottom"/>
            <w:hideMark/>
          </w:tcPr>
          <w:p w14:paraId="07460474"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P28-0314036</w:t>
            </w:r>
          </w:p>
        </w:tc>
        <w:tc>
          <w:tcPr>
            <w:tcW w:w="968" w:type="dxa"/>
            <w:tcBorders>
              <w:top w:val="nil"/>
              <w:left w:val="nil"/>
              <w:bottom w:val="single" w:sz="4" w:space="0" w:color="auto"/>
              <w:right w:val="single" w:sz="4" w:space="0" w:color="auto"/>
            </w:tcBorders>
            <w:shd w:val="clear" w:color="auto" w:fill="auto"/>
            <w:noWrap/>
            <w:vAlign w:val="bottom"/>
            <w:hideMark/>
          </w:tcPr>
          <w:p w14:paraId="242599CE"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14/03/2014</w:t>
            </w:r>
          </w:p>
        </w:tc>
        <w:tc>
          <w:tcPr>
            <w:tcW w:w="898" w:type="dxa"/>
            <w:tcBorders>
              <w:top w:val="nil"/>
              <w:left w:val="nil"/>
              <w:bottom w:val="single" w:sz="4" w:space="0" w:color="auto"/>
              <w:right w:val="single" w:sz="4" w:space="0" w:color="auto"/>
            </w:tcBorders>
            <w:shd w:val="clear" w:color="auto" w:fill="auto"/>
            <w:noWrap/>
            <w:vAlign w:val="bottom"/>
            <w:hideMark/>
          </w:tcPr>
          <w:p w14:paraId="518A2823"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LXII-57</w:t>
            </w:r>
          </w:p>
        </w:tc>
        <w:tc>
          <w:tcPr>
            <w:tcW w:w="898" w:type="dxa"/>
            <w:tcBorders>
              <w:top w:val="nil"/>
              <w:left w:val="nil"/>
              <w:bottom w:val="single" w:sz="4" w:space="0" w:color="auto"/>
              <w:right w:val="single" w:sz="4" w:space="0" w:color="auto"/>
            </w:tcBorders>
            <w:shd w:val="clear" w:color="auto" w:fill="auto"/>
            <w:noWrap/>
            <w:vAlign w:val="bottom"/>
            <w:hideMark/>
          </w:tcPr>
          <w:p w14:paraId="3C329850"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17/12/2013</w:t>
            </w:r>
          </w:p>
        </w:tc>
        <w:tc>
          <w:tcPr>
            <w:tcW w:w="903" w:type="dxa"/>
            <w:tcBorders>
              <w:top w:val="nil"/>
              <w:left w:val="nil"/>
              <w:bottom w:val="single" w:sz="4" w:space="0" w:color="auto"/>
              <w:right w:val="single" w:sz="4" w:space="0" w:color="auto"/>
            </w:tcBorders>
            <w:shd w:val="clear" w:color="auto" w:fill="auto"/>
            <w:noWrap/>
            <w:vAlign w:val="bottom"/>
            <w:hideMark/>
          </w:tcPr>
          <w:p w14:paraId="7C0A077B"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25/04/2024</w:t>
            </w:r>
          </w:p>
        </w:tc>
        <w:tc>
          <w:tcPr>
            <w:tcW w:w="1089" w:type="dxa"/>
            <w:tcBorders>
              <w:top w:val="nil"/>
              <w:left w:val="nil"/>
              <w:bottom w:val="single" w:sz="4" w:space="0" w:color="auto"/>
              <w:right w:val="single" w:sz="4" w:space="0" w:color="auto"/>
            </w:tcBorders>
            <w:shd w:val="clear" w:color="auto" w:fill="auto"/>
            <w:noWrap/>
            <w:vAlign w:val="bottom"/>
            <w:hideMark/>
          </w:tcPr>
          <w:p w14:paraId="27CDF265"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250,802,462</w:t>
            </w:r>
          </w:p>
        </w:tc>
        <w:tc>
          <w:tcPr>
            <w:tcW w:w="1158" w:type="dxa"/>
            <w:tcBorders>
              <w:top w:val="nil"/>
              <w:left w:val="nil"/>
              <w:bottom w:val="single" w:sz="4" w:space="0" w:color="auto"/>
              <w:right w:val="single" w:sz="4" w:space="0" w:color="auto"/>
            </w:tcBorders>
            <w:shd w:val="clear" w:color="auto" w:fill="auto"/>
            <w:noWrap/>
            <w:vAlign w:val="bottom"/>
            <w:hideMark/>
          </w:tcPr>
          <w:p w14:paraId="22D8D825"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234,553,668</w:t>
            </w:r>
          </w:p>
        </w:tc>
        <w:tc>
          <w:tcPr>
            <w:tcW w:w="1087" w:type="dxa"/>
            <w:tcBorders>
              <w:top w:val="nil"/>
              <w:left w:val="nil"/>
              <w:bottom w:val="single" w:sz="4" w:space="0" w:color="auto"/>
              <w:right w:val="single" w:sz="4" w:space="0" w:color="auto"/>
            </w:tcBorders>
            <w:shd w:val="clear" w:color="auto" w:fill="auto"/>
            <w:noWrap/>
            <w:vAlign w:val="bottom"/>
            <w:hideMark/>
          </w:tcPr>
          <w:p w14:paraId="73E8D9E8"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45FA51D9"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615FD566" w14:textId="77777777" w:rsidR="008E01AB" w:rsidRPr="008E01AB" w:rsidRDefault="008E01AB" w:rsidP="00EC7D22">
            <w:pPr>
              <w:suppressAutoHyphens w:val="0"/>
              <w:overflowPunct/>
              <w:spacing w:after="0" w:line="240" w:lineRule="auto"/>
              <w:rPr>
                <w:rFonts w:eastAsia="Times New Roman" w:cs="Calibri"/>
                <w:color w:val="222B35"/>
                <w:sz w:val="12"/>
                <w:szCs w:val="12"/>
                <w:lang w:val="pt-PT" w:eastAsia="es-MX"/>
              </w:rPr>
            </w:pPr>
            <w:r w:rsidRPr="008E01AB">
              <w:rPr>
                <w:rFonts w:eastAsia="Times New Roman" w:cs="Calibri"/>
                <w:color w:val="222B35"/>
                <w:sz w:val="12"/>
                <w:szCs w:val="12"/>
                <w:lang w:val="pt-PT" w:eastAsia="es-MX"/>
              </w:rPr>
              <w:t>Banobras S.N.C. 113 MDP</w:t>
            </w:r>
          </w:p>
        </w:tc>
        <w:tc>
          <w:tcPr>
            <w:tcW w:w="1071" w:type="dxa"/>
            <w:tcBorders>
              <w:top w:val="nil"/>
              <w:left w:val="nil"/>
              <w:bottom w:val="single" w:sz="4" w:space="0" w:color="auto"/>
              <w:right w:val="single" w:sz="4" w:space="0" w:color="auto"/>
            </w:tcBorders>
            <w:shd w:val="clear" w:color="auto" w:fill="auto"/>
            <w:noWrap/>
            <w:vAlign w:val="bottom"/>
            <w:hideMark/>
          </w:tcPr>
          <w:p w14:paraId="348A94C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P28-0315026</w:t>
            </w:r>
          </w:p>
        </w:tc>
        <w:tc>
          <w:tcPr>
            <w:tcW w:w="968" w:type="dxa"/>
            <w:tcBorders>
              <w:top w:val="nil"/>
              <w:left w:val="nil"/>
              <w:bottom w:val="single" w:sz="4" w:space="0" w:color="auto"/>
              <w:right w:val="single" w:sz="4" w:space="0" w:color="auto"/>
            </w:tcBorders>
            <w:shd w:val="clear" w:color="auto" w:fill="auto"/>
            <w:noWrap/>
            <w:vAlign w:val="bottom"/>
            <w:hideMark/>
          </w:tcPr>
          <w:p w14:paraId="43797CC4"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31/03/2015</w:t>
            </w:r>
          </w:p>
        </w:tc>
        <w:tc>
          <w:tcPr>
            <w:tcW w:w="898" w:type="dxa"/>
            <w:tcBorders>
              <w:top w:val="nil"/>
              <w:left w:val="nil"/>
              <w:bottom w:val="single" w:sz="4" w:space="0" w:color="auto"/>
              <w:right w:val="single" w:sz="4" w:space="0" w:color="auto"/>
            </w:tcBorders>
            <w:shd w:val="clear" w:color="auto" w:fill="auto"/>
            <w:noWrap/>
            <w:vAlign w:val="bottom"/>
            <w:hideMark/>
          </w:tcPr>
          <w:p w14:paraId="26B43E13"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LXII-392</w:t>
            </w:r>
          </w:p>
        </w:tc>
        <w:tc>
          <w:tcPr>
            <w:tcW w:w="898" w:type="dxa"/>
            <w:tcBorders>
              <w:top w:val="nil"/>
              <w:left w:val="nil"/>
              <w:bottom w:val="single" w:sz="4" w:space="0" w:color="auto"/>
              <w:right w:val="single" w:sz="4" w:space="0" w:color="auto"/>
            </w:tcBorders>
            <w:shd w:val="clear" w:color="auto" w:fill="auto"/>
            <w:noWrap/>
            <w:vAlign w:val="bottom"/>
            <w:hideMark/>
          </w:tcPr>
          <w:p w14:paraId="6BBE34B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17/12/2014</w:t>
            </w:r>
          </w:p>
        </w:tc>
        <w:tc>
          <w:tcPr>
            <w:tcW w:w="903" w:type="dxa"/>
            <w:tcBorders>
              <w:top w:val="nil"/>
              <w:left w:val="nil"/>
              <w:bottom w:val="single" w:sz="4" w:space="0" w:color="auto"/>
              <w:right w:val="single" w:sz="4" w:space="0" w:color="auto"/>
            </w:tcBorders>
            <w:shd w:val="clear" w:color="auto" w:fill="auto"/>
            <w:noWrap/>
            <w:vAlign w:val="bottom"/>
            <w:hideMark/>
          </w:tcPr>
          <w:p w14:paraId="7AF869AD"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28/03/2025</w:t>
            </w:r>
          </w:p>
        </w:tc>
        <w:tc>
          <w:tcPr>
            <w:tcW w:w="1089" w:type="dxa"/>
            <w:tcBorders>
              <w:top w:val="nil"/>
              <w:left w:val="nil"/>
              <w:bottom w:val="single" w:sz="4" w:space="0" w:color="auto"/>
              <w:right w:val="single" w:sz="4" w:space="0" w:color="auto"/>
            </w:tcBorders>
            <w:shd w:val="clear" w:color="auto" w:fill="auto"/>
            <w:noWrap/>
            <w:vAlign w:val="bottom"/>
            <w:hideMark/>
          </w:tcPr>
          <w:p w14:paraId="26FB09F6"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113,990,000</w:t>
            </w:r>
          </w:p>
        </w:tc>
        <w:tc>
          <w:tcPr>
            <w:tcW w:w="1158" w:type="dxa"/>
            <w:tcBorders>
              <w:top w:val="nil"/>
              <w:left w:val="nil"/>
              <w:bottom w:val="single" w:sz="4" w:space="0" w:color="auto"/>
              <w:right w:val="single" w:sz="4" w:space="0" w:color="auto"/>
            </w:tcBorders>
            <w:shd w:val="clear" w:color="auto" w:fill="auto"/>
            <w:noWrap/>
            <w:vAlign w:val="bottom"/>
            <w:hideMark/>
          </w:tcPr>
          <w:p w14:paraId="07B9DC71"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90,815,811</w:t>
            </w:r>
          </w:p>
        </w:tc>
        <w:tc>
          <w:tcPr>
            <w:tcW w:w="1087" w:type="dxa"/>
            <w:tcBorders>
              <w:top w:val="nil"/>
              <w:left w:val="nil"/>
              <w:bottom w:val="single" w:sz="4" w:space="0" w:color="auto"/>
              <w:right w:val="single" w:sz="4" w:space="0" w:color="auto"/>
            </w:tcBorders>
            <w:shd w:val="clear" w:color="auto" w:fill="auto"/>
            <w:noWrap/>
            <w:vAlign w:val="bottom"/>
            <w:hideMark/>
          </w:tcPr>
          <w:p w14:paraId="004A85C4"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2,425,438</w:t>
            </w:r>
          </w:p>
        </w:tc>
      </w:tr>
      <w:tr w:rsidR="008E01AB" w:rsidRPr="008E01AB" w14:paraId="7EC0C4B4"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2F22BAAA"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Banamex S.A. 1500 MDP</w:t>
            </w:r>
          </w:p>
        </w:tc>
        <w:tc>
          <w:tcPr>
            <w:tcW w:w="1071" w:type="dxa"/>
            <w:tcBorders>
              <w:top w:val="nil"/>
              <w:left w:val="nil"/>
              <w:bottom w:val="single" w:sz="4" w:space="0" w:color="auto"/>
              <w:right w:val="single" w:sz="4" w:space="0" w:color="auto"/>
            </w:tcBorders>
            <w:shd w:val="clear" w:color="auto" w:fill="auto"/>
            <w:noWrap/>
            <w:vAlign w:val="bottom"/>
            <w:hideMark/>
          </w:tcPr>
          <w:p w14:paraId="625FE2E6"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P28-1217126</w:t>
            </w:r>
          </w:p>
        </w:tc>
        <w:tc>
          <w:tcPr>
            <w:tcW w:w="968" w:type="dxa"/>
            <w:tcBorders>
              <w:top w:val="nil"/>
              <w:left w:val="nil"/>
              <w:bottom w:val="single" w:sz="4" w:space="0" w:color="auto"/>
              <w:right w:val="single" w:sz="4" w:space="0" w:color="auto"/>
            </w:tcBorders>
            <w:shd w:val="clear" w:color="auto" w:fill="auto"/>
            <w:noWrap/>
            <w:vAlign w:val="bottom"/>
            <w:hideMark/>
          </w:tcPr>
          <w:p w14:paraId="139074EA"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19/12/2017</w:t>
            </w:r>
          </w:p>
        </w:tc>
        <w:tc>
          <w:tcPr>
            <w:tcW w:w="898" w:type="dxa"/>
            <w:tcBorders>
              <w:top w:val="nil"/>
              <w:left w:val="nil"/>
              <w:bottom w:val="single" w:sz="4" w:space="0" w:color="auto"/>
              <w:right w:val="single" w:sz="4" w:space="0" w:color="auto"/>
            </w:tcBorders>
            <w:shd w:val="clear" w:color="auto" w:fill="auto"/>
            <w:noWrap/>
            <w:vAlign w:val="bottom"/>
            <w:hideMark/>
          </w:tcPr>
          <w:p w14:paraId="27E1E2F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LXIII-245</w:t>
            </w:r>
          </w:p>
        </w:tc>
        <w:tc>
          <w:tcPr>
            <w:tcW w:w="898" w:type="dxa"/>
            <w:tcBorders>
              <w:top w:val="nil"/>
              <w:left w:val="nil"/>
              <w:bottom w:val="single" w:sz="4" w:space="0" w:color="auto"/>
              <w:right w:val="single" w:sz="4" w:space="0" w:color="auto"/>
            </w:tcBorders>
            <w:shd w:val="clear" w:color="auto" w:fill="auto"/>
            <w:noWrap/>
            <w:vAlign w:val="bottom"/>
            <w:hideMark/>
          </w:tcPr>
          <w:p w14:paraId="1FCBF84B"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14/09/2017</w:t>
            </w:r>
          </w:p>
        </w:tc>
        <w:tc>
          <w:tcPr>
            <w:tcW w:w="903" w:type="dxa"/>
            <w:tcBorders>
              <w:top w:val="nil"/>
              <w:left w:val="nil"/>
              <w:bottom w:val="single" w:sz="4" w:space="0" w:color="auto"/>
              <w:right w:val="single" w:sz="4" w:space="0" w:color="auto"/>
            </w:tcBorders>
            <w:shd w:val="clear" w:color="auto" w:fill="auto"/>
            <w:noWrap/>
            <w:vAlign w:val="bottom"/>
            <w:hideMark/>
          </w:tcPr>
          <w:p w14:paraId="6F010652"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13/11/2037</w:t>
            </w:r>
          </w:p>
        </w:tc>
        <w:tc>
          <w:tcPr>
            <w:tcW w:w="1089" w:type="dxa"/>
            <w:tcBorders>
              <w:top w:val="nil"/>
              <w:left w:val="nil"/>
              <w:bottom w:val="single" w:sz="4" w:space="0" w:color="auto"/>
              <w:right w:val="single" w:sz="4" w:space="0" w:color="auto"/>
            </w:tcBorders>
            <w:shd w:val="clear" w:color="auto" w:fill="auto"/>
            <w:noWrap/>
            <w:vAlign w:val="bottom"/>
            <w:hideMark/>
          </w:tcPr>
          <w:p w14:paraId="155C7705"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1,500,000,000</w:t>
            </w:r>
          </w:p>
        </w:tc>
        <w:tc>
          <w:tcPr>
            <w:tcW w:w="1158" w:type="dxa"/>
            <w:tcBorders>
              <w:top w:val="nil"/>
              <w:left w:val="nil"/>
              <w:bottom w:val="single" w:sz="4" w:space="0" w:color="auto"/>
              <w:right w:val="single" w:sz="4" w:space="0" w:color="auto"/>
            </w:tcBorders>
            <w:shd w:val="clear" w:color="auto" w:fill="auto"/>
            <w:noWrap/>
            <w:vAlign w:val="bottom"/>
            <w:hideMark/>
          </w:tcPr>
          <w:p w14:paraId="174EBEC7"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1,500,000,000</w:t>
            </w:r>
          </w:p>
        </w:tc>
        <w:tc>
          <w:tcPr>
            <w:tcW w:w="1087" w:type="dxa"/>
            <w:tcBorders>
              <w:top w:val="nil"/>
              <w:left w:val="nil"/>
              <w:bottom w:val="single" w:sz="4" w:space="0" w:color="auto"/>
              <w:right w:val="single" w:sz="4" w:space="0" w:color="auto"/>
            </w:tcBorders>
            <w:shd w:val="clear" w:color="auto" w:fill="auto"/>
            <w:noWrap/>
            <w:vAlign w:val="bottom"/>
            <w:hideMark/>
          </w:tcPr>
          <w:p w14:paraId="42F9A877"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58660C93"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444727AC"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Banorte S.A.  1’539 MDP</w:t>
            </w:r>
          </w:p>
        </w:tc>
        <w:tc>
          <w:tcPr>
            <w:tcW w:w="1071" w:type="dxa"/>
            <w:tcBorders>
              <w:top w:val="nil"/>
              <w:left w:val="nil"/>
              <w:bottom w:val="single" w:sz="4" w:space="0" w:color="auto"/>
              <w:right w:val="single" w:sz="4" w:space="0" w:color="auto"/>
            </w:tcBorders>
            <w:shd w:val="clear" w:color="auto" w:fill="auto"/>
            <w:noWrap/>
            <w:vAlign w:val="bottom"/>
            <w:hideMark/>
          </w:tcPr>
          <w:p w14:paraId="78C9DC1B"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P28-1217130</w:t>
            </w:r>
          </w:p>
        </w:tc>
        <w:tc>
          <w:tcPr>
            <w:tcW w:w="968" w:type="dxa"/>
            <w:tcBorders>
              <w:top w:val="nil"/>
              <w:left w:val="nil"/>
              <w:bottom w:val="single" w:sz="4" w:space="0" w:color="auto"/>
              <w:right w:val="single" w:sz="4" w:space="0" w:color="auto"/>
            </w:tcBorders>
            <w:shd w:val="clear" w:color="auto" w:fill="auto"/>
            <w:noWrap/>
            <w:vAlign w:val="bottom"/>
            <w:hideMark/>
          </w:tcPr>
          <w:p w14:paraId="730DE3DA"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27/12/2017</w:t>
            </w:r>
          </w:p>
        </w:tc>
        <w:tc>
          <w:tcPr>
            <w:tcW w:w="898" w:type="dxa"/>
            <w:tcBorders>
              <w:top w:val="nil"/>
              <w:left w:val="nil"/>
              <w:bottom w:val="single" w:sz="4" w:space="0" w:color="auto"/>
              <w:right w:val="single" w:sz="4" w:space="0" w:color="auto"/>
            </w:tcBorders>
            <w:shd w:val="clear" w:color="auto" w:fill="auto"/>
            <w:noWrap/>
            <w:vAlign w:val="bottom"/>
            <w:hideMark/>
          </w:tcPr>
          <w:p w14:paraId="76EB1FB2"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LXIII-245</w:t>
            </w:r>
          </w:p>
        </w:tc>
        <w:tc>
          <w:tcPr>
            <w:tcW w:w="898" w:type="dxa"/>
            <w:tcBorders>
              <w:top w:val="nil"/>
              <w:left w:val="nil"/>
              <w:bottom w:val="single" w:sz="4" w:space="0" w:color="auto"/>
              <w:right w:val="single" w:sz="4" w:space="0" w:color="auto"/>
            </w:tcBorders>
            <w:shd w:val="clear" w:color="auto" w:fill="auto"/>
            <w:noWrap/>
            <w:vAlign w:val="bottom"/>
            <w:hideMark/>
          </w:tcPr>
          <w:p w14:paraId="352BF975"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14/09/2017</w:t>
            </w:r>
          </w:p>
        </w:tc>
        <w:tc>
          <w:tcPr>
            <w:tcW w:w="903" w:type="dxa"/>
            <w:tcBorders>
              <w:top w:val="nil"/>
              <w:left w:val="nil"/>
              <w:bottom w:val="single" w:sz="4" w:space="0" w:color="auto"/>
              <w:right w:val="single" w:sz="4" w:space="0" w:color="auto"/>
            </w:tcBorders>
            <w:shd w:val="clear" w:color="auto" w:fill="auto"/>
            <w:noWrap/>
            <w:vAlign w:val="bottom"/>
            <w:hideMark/>
          </w:tcPr>
          <w:p w14:paraId="730DD8D7"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01/11/2037</w:t>
            </w:r>
          </w:p>
        </w:tc>
        <w:tc>
          <w:tcPr>
            <w:tcW w:w="1089" w:type="dxa"/>
            <w:tcBorders>
              <w:top w:val="nil"/>
              <w:left w:val="nil"/>
              <w:bottom w:val="single" w:sz="4" w:space="0" w:color="auto"/>
              <w:right w:val="single" w:sz="4" w:space="0" w:color="auto"/>
            </w:tcBorders>
            <w:shd w:val="clear" w:color="auto" w:fill="auto"/>
            <w:noWrap/>
            <w:vAlign w:val="bottom"/>
            <w:hideMark/>
          </w:tcPr>
          <w:p w14:paraId="75449A0D"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1,539,000,000</w:t>
            </w:r>
          </w:p>
        </w:tc>
        <w:tc>
          <w:tcPr>
            <w:tcW w:w="1158" w:type="dxa"/>
            <w:tcBorders>
              <w:top w:val="nil"/>
              <w:left w:val="nil"/>
              <w:bottom w:val="single" w:sz="4" w:space="0" w:color="auto"/>
              <w:right w:val="single" w:sz="4" w:space="0" w:color="auto"/>
            </w:tcBorders>
            <w:shd w:val="clear" w:color="auto" w:fill="auto"/>
            <w:noWrap/>
            <w:vAlign w:val="bottom"/>
            <w:hideMark/>
          </w:tcPr>
          <w:p w14:paraId="63D6DEEE"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1,514,733,349</w:t>
            </w:r>
          </w:p>
        </w:tc>
        <w:tc>
          <w:tcPr>
            <w:tcW w:w="1087" w:type="dxa"/>
            <w:tcBorders>
              <w:top w:val="nil"/>
              <w:left w:val="nil"/>
              <w:bottom w:val="single" w:sz="4" w:space="0" w:color="auto"/>
              <w:right w:val="single" w:sz="4" w:space="0" w:color="auto"/>
            </w:tcBorders>
            <w:shd w:val="clear" w:color="auto" w:fill="auto"/>
            <w:noWrap/>
            <w:vAlign w:val="bottom"/>
            <w:hideMark/>
          </w:tcPr>
          <w:p w14:paraId="45333431"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14DF9193"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5DFD35E6"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Banorte S.A. 5’461 MDP</w:t>
            </w:r>
          </w:p>
        </w:tc>
        <w:tc>
          <w:tcPr>
            <w:tcW w:w="1071" w:type="dxa"/>
            <w:tcBorders>
              <w:top w:val="nil"/>
              <w:left w:val="nil"/>
              <w:bottom w:val="single" w:sz="4" w:space="0" w:color="auto"/>
              <w:right w:val="single" w:sz="4" w:space="0" w:color="auto"/>
            </w:tcBorders>
            <w:shd w:val="clear" w:color="auto" w:fill="auto"/>
            <w:noWrap/>
            <w:vAlign w:val="bottom"/>
            <w:hideMark/>
          </w:tcPr>
          <w:p w14:paraId="560991DE"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P28-1217129</w:t>
            </w:r>
          </w:p>
        </w:tc>
        <w:tc>
          <w:tcPr>
            <w:tcW w:w="968" w:type="dxa"/>
            <w:tcBorders>
              <w:top w:val="nil"/>
              <w:left w:val="nil"/>
              <w:bottom w:val="single" w:sz="4" w:space="0" w:color="auto"/>
              <w:right w:val="single" w:sz="4" w:space="0" w:color="auto"/>
            </w:tcBorders>
            <w:shd w:val="clear" w:color="auto" w:fill="auto"/>
            <w:noWrap/>
            <w:vAlign w:val="bottom"/>
            <w:hideMark/>
          </w:tcPr>
          <w:p w14:paraId="482DDF45"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21/12/2017</w:t>
            </w:r>
          </w:p>
        </w:tc>
        <w:tc>
          <w:tcPr>
            <w:tcW w:w="898" w:type="dxa"/>
            <w:tcBorders>
              <w:top w:val="nil"/>
              <w:left w:val="nil"/>
              <w:bottom w:val="single" w:sz="4" w:space="0" w:color="auto"/>
              <w:right w:val="single" w:sz="4" w:space="0" w:color="auto"/>
            </w:tcBorders>
            <w:shd w:val="clear" w:color="auto" w:fill="auto"/>
            <w:noWrap/>
            <w:vAlign w:val="bottom"/>
            <w:hideMark/>
          </w:tcPr>
          <w:p w14:paraId="22DB29F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LXIII-245</w:t>
            </w:r>
          </w:p>
        </w:tc>
        <w:tc>
          <w:tcPr>
            <w:tcW w:w="898" w:type="dxa"/>
            <w:tcBorders>
              <w:top w:val="nil"/>
              <w:left w:val="nil"/>
              <w:bottom w:val="single" w:sz="4" w:space="0" w:color="auto"/>
              <w:right w:val="single" w:sz="4" w:space="0" w:color="auto"/>
            </w:tcBorders>
            <w:shd w:val="clear" w:color="auto" w:fill="auto"/>
            <w:noWrap/>
            <w:vAlign w:val="bottom"/>
            <w:hideMark/>
          </w:tcPr>
          <w:p w14:paraId="4CE4CE27"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14/09/2017</w:t>
            </w:r>
          </w:p>
        </w:tc>
        <w:tc>
          <w:tcPr>
            <w:tcW w:w="903" w:type="dxa"/>
            <w:tcBorders>
              <w:top w:val="nil"/>
              <w:left w:val="nil"/>
              <w:bottom w:val="single" w:sz="4" w:space="0" w:color="auto"/>
              <w:right w:val="single" w:sz="4" w:space="0" w:color="auto"/>
            </w:tcBorders>
            <w:shd w:val="clear" w:color="auto" w:fill="auto"/>
            <w:noWrap/>
            <w:vAlign w:val="bottom"/>
            <w:hideMark/>
          </w:tcPr>
          <w:p w14:paraId="00C59293"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01/11/2037</w:t>
            </w:r>
          </w:p>
        </w:tc>
        <w:tc>
          <w:tcPr>
            <w:tcW w:w="1089" w:type="dxa"/>
            <w:tcBorders>
              <w:top w:val="nil"/>
              <w:left w:val="nil"/>
              <w:bottom w:val="single" w:sz="4" w:space="0" w:color="auto"/>
              <w:right w:val="single" w:sz="4" w:space="0" w:color="auto"/>
            </w:tcBorders>
            <w:shd w:val="clear" w:color="auto" w:fill="auto"/>
            <w:noWrap/>
            <w:vAlign w:val="bottom"/>
            <w:hideMark/>
          </w:tcPr>
          <w:p w14:paraId="3694D42A"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5,461,000,000</w:t>
            </w:r>
          </w:p>
        </w:tc>
        <w:tc>
          <w:tcPr>
            <w:tcW w:w="1158" w:type="dxa"/>
            <w:tcBorders>
              <w:top w:val="nil"/>
              <w:left w:val="nil"/>
              <w:bottom w:val="single" w:sz="4" w:space="0" w:color="auto"/>
              <w:right w:val="single" w:sz="4" w:space="0" w:color="auto"/>
            </w:tcBorders>
            <w:shd w:val="clear" w:color="auto" w:fill="auto"/>
            <w:noWrap/>
            <w:vAlign w:val="bottom"/>
            <w:hideMark/>
          </w:tcPr>
          <w:p w14:paraId="069C2308"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5,461,000,000</w:t>
            </w:r>
          </w:p>
        </w:tc>
        <w:tc>
          <w:tcPr>
            <w:tcW w:w="1087" w:type="dxa"/>
            <w:tcBorders>
              <w:top w:val="nil"/>
              <w:left w:val="nil"/>
              <w:bottom w:val="single" w:sz="4" w:space="0" w:color="auto"/>
              <w:right w:val="single" w:sz="4" w:space="0" w:color="auto"/>
            </w:tcBorders>
            <w:shd w:val="clear" w:color="auto" w:fill="auto"/>
            <w:noWrap/>
            <w:vAlign w:val="bottom"/>
            <w:hideMark/>
          </w:tcPr>
          <w:p w14:paraId="2EF8ABB2"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3F2126C3"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5FE079EF"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Santander S.A. 1’650 MDP</w:t>
            </w:r>
          </w:p>
        </w:tc>
        <w:tc>
          <w:tcPr>
            <w:tcW w:w="1071" w:type="dxa"/>
            <w:tcBorders>
              <w:top w:val="nil"/>
              <w:left w:val="nil"/>
              <w:bottom w:val="single" w:sz="4" w:space="0" w:color="auto"/>
              <w:right w:val="single" w:sz="4" w:space="0" w:color="auto"/>
            </w:tcBorders>
            <w:shd w:val="clear" w:color="auto" w:fill="auto"/>
            <w:noWrap/>
            <w:vAlign w:val="bottom"/>
            <w:hideMark/>
          </w:tcPr>
          <w:p w14:paraId="41B2B53E"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P28-0618061</w:t>
            </w:r>
          </w:p>
        </w:tc>
        <w:tc>
          <w:tcPr>
            <w:tcW w:w="968" w:type="dxa"/>
            <w:tcBorders>
              <w:top w:val="nil"/>
              <w:left w:val="nil"/>
              <w:bottom w:val="single" w:sz="4" w:space="0" w:color="auto"/>
              <w:right w:val="single" w:sz="4" w:space="0" w:color="auto"/>
            </w:tcBorders>
            <w:shd w:val="clear" w:color="auto" w:fill="auto"/>
            <w:noWrap/>
            <w:vAlign w:val="bottom"/>
            <w:hideMark/>
          </w:tcPr>
          <w:p w14:paraId="7FDFE92E"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25/06/2018</w:t>
            </w:r>
          </w:p>
        </w:tc>
        <w:tc>
          <w:tcPr>
            <w:tcW w:w="898" w:type="dxa"/>
            <w:tcBorders>
              <w:top w:val="nil"/>
              <w:left w:val="nil"/>
              <w:bottom w:val="single" w:sz="4" w:space="0" w:color="auto"/>
              <w:right w:val="single" w:sz="4" w:space="0" w:color="auto"/>
            </w:tcBorders>
            <w:shd w:val="clear" w:color="auto" w:fill="auto"/>
            <w:noWrap/>
            <w:vAlign w:val="bottom"/>
            <w:hideMark/>
          </w:tcPr>
          <w:p w14:paraId="4C018BDC"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LXIII-374</w:t>
            </w:r>
          </w:p>
        </w:tc>
        <w:tc>
          <w:tcPr>
            <w:tcW w:w="898" w:type="dxa"/>
            <w:tcBorders>
              <w:top w:val="nil"/>
              <w:left w:val="nil"/>
              <w:bottom w:val="single" w:sz="4" w:space="0" w:color="auto"/>
              <w:right w:val="single" w:sz="4" w:space="0" w:color="auto"/>
            </w:tcBorders>
            <w:shd w:val="clear" w:color="auto" w:fill="auto"/>
            <w:noWrap/>
            <w:vAlign w:val="bottom"/>
            <w:hideMark/>
          </w:tcPr>
          <w:p w14:paraId="725F6464"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18/12/2017</w:t>
            </w:r>
          </w:p>
        </w:tc>
        <w:tc>
          <w:tcPr>
            <w:tcW w:w="903" w:type="dxa"/>
            <w:tcBorders>
              <w:top w:val="nil"/>
              <w:left w:val="nil"/>
              <w:bottom w:val="single" w:sz="4" w:space="0" w:color="auto"/>
              <w:right w:val="single" w:sz="4" w:space="0" w:color="auto"/>
            </w:tcBorders>
            <w:shd w:val="clear" w:color="auto" w:fill="auto"/>
            <w:noWrap/>
            <w:vAlign w:val="bottom"/>
            <w:hideMark/>
          </w:tcPr>
          <w:p w14:paraId="509B38A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28/02/2038</w:t>
            </w:r>
          </w:p>
        </w:tc>
        <w:tc>
          <w:tcPr>
            <w:tcW w:w="1089" w:type="dxa"/>
            <w:tcBorders>
              <w:top w:val="nil"/>
              <w:left w:val="nil"/>
              <w:bottom w:val="single" w:sz="4" w:space="0" w:color="auto"/>
              <w:right w:val="single" w:sz="4" w:space="0" w:color="auto"/>
            </w:tcBorders>
            <w:shd w:val="clear" w:color="auto" w:fill="auto"/>
            <w:noWrap/>
            <w:vAlign w:val="bottom"/>
            <w:hideMark/>
          </w:tcPr>
          <w:p w14:paraId="6DD84C55"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1,650,000,000</w:t>
            </w:r>
          </w:p>
        </w:tc>
        <w:tc>
          <w:tcPr>
            <w:tcW w:w="1158" w:type="dxa"/>
            <w:tcBorders>
              <w:top w:val="nil"/>
              <w:left w:val="nil"/>
              <w:bottom w:val="single" w:sz="4" w:space="0" w:color="auto"/>
              <w:right w:val="single" w:sz="4" w:space="0" w:color="auto"/>
            </w:tcBorders>
            <w:shd w:val="clear" w:color="auto" w:fill="auto"/>
            <w:noWrap/>
            <w:vAlign w:val="bottom"/>
            <w:hideMark/>
          </w:tcPr>
          <w:p w14:paraId="1DF53C89"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1,650,000,000</w:t>
            </w:r>
          </w:p>
        </w:tc>
        <w:tc>
          <w:tcPr>
            <w:tcW w:w="1087" w:type="dxa"/>
            <w:tcBorders>
              <w:top w:val="nil"/>
              <w:left w:val="nil"/>
              <w:bottom w:val="single" w:sz="4" w:space="0" w:color="auto"/>
              <w:right w:val="single" w:sz="4" w:space="0" w:color="auto"/>
            </w:tcBorders>
            <w:shd w:val="clear" w:color="auto" w:fill="auto"/>
            <w:noWrap/>
            <w:vAlign w:val="bottom"/>
            <w:hideMark/>
          </w:tcPr>
          <w:p w14:paraId="64201DB9"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60726D73" w14:textId="77777777" w:rsidTr="00132EC0">
        <w:trPr>
          <w:trHeight w:val="275"/>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75D8D789"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Banamex S.A. 1’000 MDP</w:t>
            </w:r>
          </w:p>
        </w:tc>
        <w:tc>
          <w:tcPr>
            <w:tcW w:w="1071" w:type="dxa"/>
            <w:tcBorders>
              <w:top w:val="nil"/>
              <w:left w:val="nil"/>
              <w:bottom w:val="single" w:sz="4" w:space="0" w:color="auto"/>
              <w:right w:val="single" w:sz="4" w:space="0" w:color="auto"/>
            </w:tcBorders>
            <w:shd w:val="clear" w:color="auto" w:fill="auto"/>
            <w:noWrap/>
            <w:vAlign w:val="bottom"/>
            <w:hideMark/>
          </w:tcPr>
          <w:p w14:paraId="1AD194AA"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P28-0618060</w:t>
            </w:r>
          </w:p>
        </w:tc>
        <w:tc>
          <w:tcPr>
            <w:tcW w:w="968" w:type="dxa"/>
            <w:tcBorders>
              <w:top w:val="nil"/>
              <w:left w:val="nil"/>
              <w:bottom w:val="single" w:sz="4" w:space="0" w:color="auto"/>
              <w:right w:val="single" w:sz="4" w:space="0" w:color="auto"/>
            </w:tcBorders>
            <w:shd w:val="clear" w:color="auto" w:fill="auto"/>
            <w:noWrap/>
            <w:vAlign w:val="bottom"/>
            <w:hideMark/>
          </w:tcPr>
          <w:p w14:paraId="7540F4D4"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25/06/2018</w:t>
            </w:r>
          </w:p>
        </w:tc>
        <w:tc>
          <w:tcPr>
            <w:tcW w:w="898" w:type="dxa"/>
            <w:tcBorders>
              <w:top w:val="nil"/>
              <w:left w:val="nil"/>
              <w:bottom w:val="single" w:sz="4" w:space="0" w:color="auto"/>
              <w:right w:val="single" w:sz="4" w:space="0" w:color="auto"/>
            </w:tcBorders>
            <w:shd w:val="clear" w:color="auto" w:fill="auto"/>
            <w:noWrap/>
            <w:vAlign w:val="bottom"/>
            <w:hideMark/>
          </w:tcPr>
          <w:p w14:paraId="57FD5643"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LXIII-374</w:t>
            </w:r>
          </w:p>
        </w:tc>
        <w:tc>
          <w:tcPr>
            <w:tcW w:w="898" w:type="dxa"/>
            <w:tcBorders>
              <w:top w:val="nil"/>
              <w:left w:val="nil"/>
              <w:bottom w:val="single" w:sz="4" w:space="0" w:color="auto"/>
              <w:right w:val="single" w:sz="4" w:space="0" w:color="auto"/>
            </w:tcBorders>
            <w:shd w:val="clear" w:color="auto" w:fill="auto"/>
            <w:noWrap/>
            <w:vAlign w:val="bottom"/>
            <w:hideMark/>
          </w:tcPr>
          <w:p w14:paraId="2CE31BE3"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18/12/2017</w:t>
            </w:r>
          </w:p>
        </w:tc>
        <w:tc>
          <w:tcPr>
            <w:tcW w:w="903" w:type="dxa"/>
            <w:tcBorders>
              <w:top w:val="nil"/>
              <w:left w:val="nil"/>
              <w:bottom w:val="single" w:sz="4" w:space="0" w:color="auto"/>
              <w:right w:val="single" w:sz="4" w:space="0" w:color="auto"/>
            </w:tcBorders>
            <w:shd w:val="clear" w:color="auto" w:fill="auto"/>
            <w:noWrap/>
            <w:vAlign w:val="bottom"/>
            <w:hideMark/>
          </w:tcPr>
          <w:p w14:paraId="1FB19B40"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28/02/2038</w:t>
            </w:r>
          </w:p>
        </w:tc>
        <w:tc>
          <w:tcPr>
            <w:tcW w:w="1089" w:type="dxa"/>
            <w:tcBorders>
              <w:top w:val="nil"/>
              <w:left w:val="nil"/>
              <w:bottom w:val="single" w:sz="4" w:space="0" w:color="auto"/>
              <w:right w:val="single" w:sz="4" w:space="0" w:color="auto"/>
            </w:tcBorders>
            <w:shd w:val="clear" w:color="auto" w:fill="auto"/>
            <w:noWrap/>
            <w:vAlign w:val="bottom"/>
            <w:hideMark/>
          </w:tcPr>
          <w:p w14:paraId="7B9D9A2C"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1,000,000,000</w:t>
            </w:r>
          </w:p>
        </w:tc>
        <w:tc>
          <w:tcPr>
            <w:tcW w:w="1158" w:type="dxa"/>
            <w:tcBorders>
              <w:top w:val="nil"/>
              <w:left w:val="nil"/>
              <w:bottom w:val="single" w:sz="4" w:space="0" w:color="auto"/>
              <w:right w:val="single" w:sz="4" w:space="0" w:color="auto"/>
            </w:tcBorders>
            <w:shd w:val="clear" w:color="auto" w:fill="auto"/>
            <w:noWrap/>
            <w:vAlign w:val="bottom"/>
            <w:hideMark/>
          </w:tcPr>
          <w:p w14:paraId="68308577"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1,000,000,000</w:t>
            </w:r>
          </w:p>
        </w:tc>
        <w:tc>
          <w:tcPr>
            <w:tcW w:w="1087" w:type="dxa"/>
            <w:tcBorders>
              <w:top w:val="nil"/>
              <w:left w:val="nil"/>
              <w:bottom w:val="single" w:sz="4" w:space="0" w:color="auto"/>
              <w:right w:val="single" w:sz="4" w:space="0" w:color="auto"/>
            </w:tcBorders>
            <w:shd w:val="clear" w:color="auto" w:fill="auto"/>
            <w:noWrap/>
            <w:vAlign w:val="bottom"/>
            <w:hideMark/>
          </w:tcPr>
          <w:p w14:paraId="287D0D42"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5C78B3F2" w14:textId="77777777" w:rsidTr="00132EC0">
        <w:trPr>
          <w:trHeight w:val="275"/>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20DDB1C4"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BBVA México S.A. 500 MDP</w:t>
            </w:r>
          </w:p>
        </w:tc>
        <w:tc>
          <w:tcPr>
            <w:tcW w:w="1071" w:type="dxa"/>
            <w:tcBorders>
              <w:top w:val="nil"/>
              <w:left w:val="nil"/>
              <w:bottom w:val="single" w:sz="4" w:space="0" w:color="auto"/>
              <w:right w:val="single" w:sz="4" w:space="0" w:color="auto"/>
            </w:tcBorders>
            <w:shd w:val="clear" w:color="auto" w:fill="auto"/>
            <w:noWrap/>
            <w:vAlign w:val="bottom"/>
            <w:hideMark/>
          </w:tcPr>
          <w:p w14:paraId="73F96FA3"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P28-0618059</w:t>
            </w:r>
          </w:p>
        </w:tc>
        <w:tc>
          <w:tcPr>
            <w:tcW w:w="968" w:type="dxa"/>
            <w:tcBorders>
              <w:top w:val="nil"/>
              <w:left w:val="nil"/>
              <w:bottom w:val="single" w:sz="4" w:space="0" w:color="auto"/>
              <w:right w:val="single" w:sz="4" w:space="0" w:color="auto"/>
            </w:tcBorders>
            <w:shd w:val="clear" w:color="auto" w:fill="auto"/>
            <w:noWrap/>
            <w:vAlign w:val="bottom"/>
            <w:hideMark/>
          </w:tcPr>
          <w:p w14:paraId="433CAC56"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25/06/2018</w:t>
            </w:r>
          </w:p>
        </w:tc>
        <w:tc>
          <w:tcPr>
            <w:tcW w:w="898" w:type="dxa"/>
            <w:tcBorders>
              <w:top w:val="nil"/>
              <w:left w:val="nil"/>
              <w:bottom w:val="single" w:sz="4" w:space="0" w:color="auto"/>
              <w:right w:val="single" w:sz="4" w:space="0" w:color="auto"/>
            </w:tcBorders>
            <w:shd w:val="clear" w:color="auto" w:fill="auto"/>
            <w:noWrap/>
            <w:vAlign w:val="bottom"/>
            <w:hideMark/>
          </w:tcPr>
          <w:p w14:paraId="09AC3D48"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LXIII-374</w:t>
            </w:r>
          </w:p>
        </w:tc>
        <w:tc>
          <w:tcPr>
            <w:tcW w:w="898" w:type="dxa"/>
            <w:tcBorders>
              <w:top w:val="nil"/>
              <w:left w:val="nil"/>
              <w:bottom w:val="single" w:sz="4" w:space="0" w:color="auto"/>
              <w:right w:val="single" w:sz="4" w:space="0" w:color="auto"/>
            </w:tcBorders>
            <w:shd w:val="clear" w:color="auto" w:fill="auto"/>
            <w:noWrap/>
            <w:vAlign w:val="bottom"/>
            <w:hideMark/>
          </w:tcPr>
          <w:p w14:paraId="2FB7A50F"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18/12/2017</w:t>
            </w:r>
          </w:p>
        </w:tc>
        <w:tc>
          <w:tcPr>
            <w:tcW w:w="903" w:type="dxa"/>
            <w:tcBorders>
              <w:top w:val="nil"/>
              <w:left w:val="nil"/>
              <w:bottom w:val="single" w:sz="4" w:space="0" w:color="auto"/>
              <w:right w:val="single" w:sz="4" w:space="0" w:color="auto"/>
            </w:tcBorders>
            <w:shd w:val="clear" w:color="auto" w:fill="auto"/>
            <w:noWrap/>
            <w:vAlign w:val="bottom"/>
            <w:hideMark/>
          </w:tcPr>
          <w:p w14:paraId="3344093E"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28/02/2038</w:t>
            </w:r>
          </w:p>
        </w:tc>
        <w:tc>
          <w:tcPr>
            <w:tcW w:w="1089" w:type="dxa"/>
            <w:tcBorders>
              <w:top w:val="nil"/>
              <w:left w:val="nil"/>
              <w:bottom w:val="single" w:sz="4" w:space="0" w:color="auto"/>
              <w:right w:val="single" w:sz="4" w:space="0" w:color="auto"/>
            </w:tcBorders>
            <w:shd w:val="clear" w:color="auto" w:fill="auto"/>
            <w:noWrap/>
            <w:vAlign w:val="bottom"/>
            <w:hideMark/>
          </w:tcPr>
          <w:p w14:paraId="54234C5D"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500,000,000</w:t>
            </w:r>
          </w:p>
        </w:tc>
        <w:tc>
          <w:tcPr>
            <w:tcW w:w="1158" w:type="dxa"/>
            <w:tcBorders>
              <w:top w:val="nil"/>
              <w:left w:val="nil"/>
              <w:bottom w:val="single" w:sz="4" w:space="0" w:color="auto"/>
              <w:right w:val="single" w:sz="4" w:space="0" w:color="auto"/>
            </w:tcBorders>
            <w:shd w:val="clear" w:color="auto" w:fill="auto"/>
            <w:noWrap/>
            <w:vAlign w:val="bottom"/>
            <w:hideMark/>
          </w:tcPr>
          <w:p w14:paraId="69357881"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497,341,556</w:t>
            </w:r>
          </w:p>
        </w:tc>
        <w:tc>
          <w:tcPr>
            <w:tcW w:w="1087" w:type="dxa"/>
            <w:tcBorders>
              <w:top w:val="nil"/>
              <w:left w:val="nil"/>
              <w:bottom w:val="single" w:sz="4" w:space="0" w:color="auto"/>
              <w:right w:val="single" w:sz="4" w:space="0" w:color="auto"/>
            </w:tcBorders>
            <w:shd w:val="clear" w:color="auto" w:fill="auto"/>
            <w:noWrap/>
            <w:vAlign w:val="bottom"/>
            <w:hideMark/>
          </w:tcPr>
          <w:p w14:paraId="435CDC35"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182BD455" w14:textId="77777777" w:rsidTr="00132EC0">
        <w:trPr>
          <w:trHeight w:val="275"/>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1D9C2AD3"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BBVA México S.A. 968 MDP</w:t>
            </w:r>
          </w:p>
        </w:tc>
        <w:tc>
          <w:tcPr>
            <w:tcW w:w="1071" w:type="dxa"/>
            <w:tcBorders>
              <w:top w:val="nil"/>
              <w:left w:val="nil"/>
              <w:bottom w:val="single" w:sz="4" w:space="0" w:color="auto"/>
              <w:right w:val="single" w:sz="4" w:space="0" w:color="auto"/>
            </w:tcBorders>
            <w:shd w:val="clear" w:color="auto" w:fill="auto"/>
            <w:noWrap/>
            <w:vAlign w:val="bottom"/>
            <w:hideMark/>
          </w:tcPr>
          <w:p w14:paraId="0B23A750"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P28-1018096</w:t>
            </w:r>
          </w:p>
        </w:tc>
        <w:tc>
          <w:tcPr>
            <w:tcW w:w="968" w:type="dxa"/>
            <w:tcBorders>
              <w:top w:val="nil"/>
              <w:left w:val="nil"/>
              <w:bottom w:val="single" w:sz="4" w:space="0" w:color="auto"/>
              <w:right w:val="single" w:sz="4" w:space="0" w:color="auto"/>
            </w:tcBorders>
            <w:shd w:val="clear" w:color="auto" w:fill="auto"/>
            <w:noWrap/>
            <w:vAlign w:val="bottom"/>
            <w:hideMark/>
          </w:tcPr>
          <w:p w14:paraId="71D6668D"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31/10/2018</w:t>
            </w:r>
          </w:p>
        </w:tc>
        <w:tc>
          <w:tcPr>
            <w:tcW w:w="898" w:type="dxa"/>
            <w:tcBorders>
              <w:top w:val="nil"/>
              <w:left w:val="nil"/>
              <w:bottom w:val="single" w:sz="4" w:space="0" w:color="auto"/>
              <w:right w:val="single" w:sz="4" w:space="0" w:color="auto"/>
            </w:tcBorders>
            <w:shd w:val="clear" w:color="auto" w:fill="auto"/>
            <w:noWrap/>
            <w:vAlign w:val="bottom"/>
            <w:hideMark/>
          </w:tcPr>
          <w:p w14:paraId="49291BCB"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LXII-735</w:t>
            </w:r>
          </w:p>
        </w:tc>
        <w:tc>
          <w:tcPr>
            <w:tcW w:w="898" w:type="dxa"/>
            <w:tcBorders>
              <w:top w:val="nil"/>
              <w:left w:val="nil"/>
              <w:bottom w:val="single" w:sz="4" w:space="0" w:color="auto"/>
              <w:right w:val="single" w:sz="4" w:space="0" w:color="auto"/>
            </w:tcBorders>
            <w:shd w:val="clear" w:color="auto" w:fill="auto"/>
            <w:noWrap/>
            <w:vAlign w:val="bottom"/>
            <w:hideMark/>
          </w:tcPr>
          <w:p w14:paraId="491C1C3A"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17/12/2015</w:t>
            </w:r>
          </w:p>
        </w:tc>
        <w:tc>
          <w:tcPr>
            <w:tcW w:w="903" w:type="dxa"/>
            <w:tcBorders>
              <w:top w:val="nil"/>
              <w:left w:val="nil"/>
              <w:bottom w:val="single" w:sz="4" w:space="0" w:color="auto"/>
              <w:right w:val="single" w:sz="4" w:space="0" w:color="auto"/>
            </w:tcBorders>
            <w:shd w:val="clear" w:color="auto" w:fill="auto"/>
            <w:noWrap/>
            <w:vAlign w:val="bottom"/>
            <w:hideMark/>
          </w:tcPr>
          <w:p w14:paraId="5673C2F9"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14/03/2031</w:t>
            </w:r>
          </w:p>
        </w:tc>
        <w:tc>
          <w:tcPr>
            <w:tcW w:w="1089" w:type="dxa"/>
            <w:tcBorders>
              <w:top w:val="nil"/>
              <w:left w:val="nil"/>
              <w:bottom w:val="single" w:sz="4" w:space="0" w:color="auto"/>
              <w:right w:val="single" w:sz="4" w:space="0" w:color="auto"/>
            </w:tcBorders>
            <w:shd w:val="clear" w:color="auto" w:fill="auto"/>
            <w:noWrap/>
            <w:vAlign w:val="bottom"/>
            <w:hideMark/>
          </w:tcPr>
          <w:p w14:paraId="320BA57F"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968,347,530</w:t>
            </w:r>
          </w:p>
        </w:tc>
        <w:tc>
          <w:tcPr>
            <w:tcW w:w="1158" w:type="dxa"/>
            <w:tcBorders>
              <w:top w:val="nil"/>
              <w:left w:val="nil"/>
              <w:bottom w:val="single" w:sz="4" w:space="0" w:color="auto"/>
              <w:right w:val="single" w:sz="4" w:space="0" w:color="auto"/>
            </w:tcBorders>
            <w:shd w:val="clear" w:color="auto" w:fill="auto"/>
            <w:noWrap/>
            <w:vAlign w:val="bottom"/>
            <w:hideMark/>
          </w:tcPr>
          <w:p w14:paraId="03D8C737"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962,004,023</w:t>
            </w:r>
          </w:p>
        </w:tc>
        <w:tc>
          <w:tcPr>
            <w:tcW w:w="1087" w:type="dxa"/>
            <w:tcBorders>
              <w:top w:val="nil"/>
              <w:left w:val="nil"/>
              <w:bottom w:val="single" w:sz="4" w:space="0" w:color="auto"/>
              <w:right w:val="single" w:sz="4" w:space="0" w:color="auto"/>
            </w:tcBorders>
            <w:shd w:val="clear" w:color="auto" w:fill="auto"/>
            <w:noWrap/>
            <w:vAlign w:val="bottom"/>
            <w:hideMark/>
          </w:tcPr>
          <w:p w14:paraId="2E5F46CC"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7604AEEE" w14:textId="77777777" w:rsidTr="00132EC0">
        <w:trPr>
          <w:trHeight w:val="275"/>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647D7AA6"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BBVA México S.A. 994 MDP</w:t>
            </w:r>
          </w:p>
        </w:tc>
        <w:tc>
          <w:tcPr>
            <w:tcW w:w="1071" w:type="dxa"/>
            <w:tcBorders>
              <w:top w:val="nil"/>
              <w:left w:val="nil"/>
              <w:bottom w:val="single" w:sz="4" w:space="0" w:color="auto"/>
              <w:right w:val="single" w:sz="4" w:space="0" w:color="auto"/>
            </w:tcBorders>
            <w:shd w:val="clear" w:color="auto" w:fill="auto"/>
            <w:noWrap/>
            <w:vAlign w:val="bottom"/>
            <w:hideMark/>
          </w:tcPr>
          <w:p w14:paraId="3CD70DDE"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P28-1118117</w:t>
            </w:r>
          </w:p>
        </w:tc>
        <w:tc>
          <w:tcPr>
            <w:tcW w:w="968" w:type="dxa"/>
            <w:tcBorders>
              <w:top w:val="nil"/>
              <w:left w:val="nil"/>
              <w:bottom w:val="single" w:sz="4" w:space="0" w:color="auto"/>
              <w:right w:val="single" w:sz="4" w:space="0" w:color="auto"/>
            </w:tcBorders>
            <w:shd w:val="clear" w:color="auto" w:fill="auto"/>
            <w:noWrap/>
            <w:vAlign w:val="bottom"/>
            <w:hideMark/>
          </w:tcPr>
          <w:p w14:paraId="213BD624"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29/11/2018</w:t>
            </w:r>
          </w:p>
        </w:tc>
        <w:tc>
          <w:tcPr>
            <w:tcW w:w="898" w:type="dxa"/>
            <w:tcBorders>
              <w:top w:val="nil"/>
              <w:left w:val="nil"/>
              <w:bottom w:val="single" w:sz="4" w:space="0" w:color="auto"/>
              <w:right w:val="single" w:sz="4" w:space="0" w:color="auto"/>
            </w:tcBorders>
            <w:shd w:val="clear" w:color="auto" w:fill="auto"/>
            <w:noWrap/>
            <w:vAlign w:val="bottom"/>
            <w:hideMark/>
          </w:tcPr>
          <w:p w14:paraId="0F92EA6A"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LXIII-245</w:t>
            </w:r>
          </w:p>
        </w:tc>
        <w:tc>
          <w:tcPr>
            <w:tcW w:w="898" w:type="dxa"/>
            <w:tcBorders>
              <w:top w:val="nil"/>
              <w:left w:val="nil"/>
              <w:bottom w:val="single" w:sz="4" w:space="0" w:color="auto"/>
              <w:right w:val="single" w:sz="4" w:space="0" w:color="auto"/>
            </w:tcBorders>
            <w:shd w:val="clear" w:color="auto" w:fill="auto"/>
            <w:noWrap/>
            <w:vAlign w:val="bottom"/>
            <w:hideMark/>
          </w:tcPr>
          <w:p w14:paraId="123794FD"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14/09/2017</w:t>
            </w:r>
          </w:p>
        </w:tc>
        <w:tc>
          <w:tcPr>
            <w:tcW w:w="903" w:type="dxa"/>
            <w:tcBorders>
              <w:top w:val="nil"/>
              <w:left w:val="nil"/>
              <w:bottom w:val="single" w:sz="4" w:space="0" w:color="auto"/>
              <w:right w:val="single" w:sz="4" w:space="0" w:color="auto"/>
            </w:tcBorders>
            <w:shd w:val="clear" w:color="auto" w:fill="auto"/>
            <w:noWrap/>
            <w:vAlign w:val="bottom"/>
            <w:hideMark/>
          </w:tcPr>
          <w:p w14:paraId="795B7563"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13/11/2037</w:t>
            </w:r>
          </w:p>
        </w:tc>
        <w:tc>
          <w:tcPr>
            <w:tcW w:w="1089" w:type="dxa"/>
            <w:tcBorders>
              <w:top w:val="nil"/>
              <w:left w:val="nil"/>
              <w:bottom w:val="single" w:sz="4" w:space="0" w:color="auto"/>
              <w:right w:val="single" w:sz="4" w:space="0" w:color="auto"/>
            </w:tcBorders>
            <w:shd w:val="clear" w:color="auto" w:fill="auto"/>
            <w:noWrap/>
            <w:vAlign w:val="bottom"/>
            <w:hideMark/>
          </w:tcPr>
          <w:p w14:paraId="44B3621B"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994,864,167</w:t>
            </w:r>
          </w:p>
        </w:tc>
        <w:tc>
          <w:tcPr>
            <w:tcW w:w="1158" w:type="dxa"/>
            <w:tcBorders>
              <w:top w:val="nil"/>
              <w:left w:val="nil"/>
              <w:bottom w:val="single" w:sz="4" w:space="0" w:color="auto"/>
              <w:right w:val="single" w:sz="4" w:space="0" w:color="auto"/>
            </w:tcBorders>
            <w:shd w:val="clear" w:color="auto" w:fill="auto"/>
            <w:noWrap/>
            <w:vAlign w:val="bottom"/>
            <w:hideMark/>
          </w:tcPr>
          <w:p w14:paraId="30C78B7D"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993,495,125</w:t>
            </w:r>
          </w:p>
        </w:tc>
        <w:tc>
          <w:tcPr>
            <w:tcW w:w="1087" w:type="dxa"/>
            <w:tcBorders>
              <w:top w:val="nil"/>
              <w:left w:val="nil"/>
              <w:bottom w:val="single" w:sz="4" w:space="0" w:color="auto"/>
              <w:right w:val="single" w:sz="4" w:space="0" w:color="auto"/>
            </w:tcBorders>
            <w:shd w:val="clear" w:color="auto" w:fill="auto"/>
            <w:noWrap/>
            <w:vAlign w:val="bottom"/>
            <w:hideMark/>
          </w:tcPr>
          <w:p w14:paraId="723F008A"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0</w:t>
            </w:r>
          </w:p>
        </w:tc>
      </w:tr>
      <w:tr w:rsidR="008E01AB" w:rsidRPr="008E01AB" w14:paraId="28EDE86F" w14:textId="77777777" w:rsidTr="00132EC0">
        <w:trPr>
          <w:trHeight w:val="275"/>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2CB7E9F5"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Banorte S.A. 1’500 MDP</w:t>
            </w:r>
          </w:p>
        </w:tc>
        <w:tc>
          <w:tcPr>
            <w:tcW w:w="1071" w:type="dxa"/>
            <w:tcBorders>
              <w:top w:val="nil"/>
              <w:left w:val="nil"/>
              <w:bottom w:val="single" w:sz="4" w:space="0" w:color="auto"/>
              <w:right w:val="single" w:sz="4" w:space="0" w:color="auto"/>
            </w:tcBorders>
            <w:shd w:val="clear" w:color="auto" w:fill="auto"/>
            <w:noWrap/>
            <w:vAlign w:val="bottom"/>
            <w:hideMark/>
          </w:tcPr>
          <w:p w14:paraId="26971B78"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P28-1220101</w:t>
            </w:r>
          </w:p>
        </w:tc>
        <w:tc>
          <w:tcPr>
            <w:tcW w:w="968" w:type="dxa"/>
            <w:tcBorders>
              <w:top w:val="nil"/>
              <w:left w:val="nil"/>
              <w:bottom w:val="single" w:sz="4" w:space="0" w:color="auto"/>
              <w:right w:val="single" w:sz="4" w:space="0" w:color="auto"/>
            </w:tcBorders>
            <w:shd w:val="clear" w:color="auto" w:fill="auto"/>
            <w:noWrap/>
            <w:vAlign w:val="bottom"/>
            <w:hideMark/>
          </w:tcPr>
          <w:p w14:paraId="0E059EAB"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17/12/2020</w:t>
            </w:r>
          </w:p>
        </w:tc>
        <w:tc>
          <w:tcPr>
            <w:tcW w:w="898" w:type="dxa"/>
            <w:tcBorders>
              <w:top w:val="nil"/>
              <w:left w:val="nil"/>
              <w:bottom w:val="single" w:sz="4" w:space="0" w:color="auto"/>
              <w:right w:val="single" w:sz="4" w:space="0" w:color="auto"/>
            </w:tcBorders>
            <w:shd w:val="clear" w:color="auto" w:fill="auto"/>
            <w:noWrap/>
            <w:vAlign w:val="bottom"/>
            <w:hideMark/>
          </w:tcPr>
          <w:p w14:paraId="08A4B1F5"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LXIV-92</w:t>
            </w:r>
          </w:p>
        </w:tc>
        <w:tc>
          <w:tcPr>
            <w:tcW w:w="898" w:type="dxa"/>
            <w:tcBorders>
              <w:top w:val="nil"/>
              <w:left w:val="nil"/>
              <w:bottom w:val="single" w:sz="4" w:space="0" w:color="auto"/>
              <w:right w:val="single" w:sz="4" w:space="0" w:color="auto"/>
            </w:tcBorders>
            <w:shd w:val="clear" w:color="auto" w:fill="auto"/>
            <w:noWrap/>
            <w:vAlign w:val="bottom"/>
            <w:hideMark/>
          </w:tcPr>
          <w:p w14:paraId="314BC172"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14/04/2020</w:t>
            </w:r>
          </w:p>
        </w:tc>
        <w:tc>
          <w:tcPr>
            <w:tcW w:w="903" w:type="dxa"/>
            <w:tcBorders>
              <w:top w:val="nil"/>
              <w:left w:val="nil"/>
              <w:bottom w:val="single" w:sz="4" w:space="0" w:color="auto"/>
              <w:right w:val="single" w:sz="4" w:space="0" w:color="auto"/>
            </w:tcBorders>
            <w:shd w:val="clear" w:color="auto" w:fill="auto"/>
            <w:noWrap/>
            <w:vAlign w:val="bottom"/>
            <w:hideMark/>
          </w:tcPr>
          <w:p w14:paraId="42490A28"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05/11/2040</w:t>
            </w:r>
          </w:p>
        </w:tc>
        <w:tc>
          <w:tcPr>
            <w:tcW w:w="1089" w:type="dxa"/>
            <w:tcBorders>
              <w:top w:val="nil"/>
              <w:left w:val="nil"/>
              <w:bottom w:val="single" w:sz="4" w:space="0" w:color="auto"/>
              <w:right w:val="single" w:sz="4" w:space="0" w:color="auto"/>
            </w:tcBorders>
            <w:shd w:val="clear" w:color="auto" w:fill="auto"/>
            <w:noWrap/>
            <w:vAlign w:val="bottom"/>
            <w:hideMark/>
          </w:tcPr>
          <w:p w14:paraId="07176EE9"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1,500,000,000</w:t>
            </w:r>
          </w:p>
        </w:tc>
        <w:tc>
          <w:tcPr>
            <w:tcW w:w="1158" w:type="dxa"/>
            <w:tcBorders>
              <w:top w:val="nil"/>
              <w:left w:val="nil"/>
              <w:bottom w:val="single" w:sz="4" w:space="0" w:color="auto"/>
              <w:right w:val="single" w:sz="4" w:space="0" w:color="auto"/>
            </w:tcBorders>
            <w:shd w:val="clear" w:color="auto" w:fill="auto"/>
            <w:noWrap/>
            <w:vAlign w:val="bottom"/>
            <w:hideMark/>
          </w:tcPr>
          <w:p w14:paraId="290693F9"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1,500,000,000</w:t>
            </w:r>
          </w:p>
        </w:tc>
        <w:tc>
          <w:tcPr>
            <w:tcW w:w="1087" w:type="dxa"/>
            <w:tcBorders>
              <w:top w:val="nil"/>
              <w:left w:val="nil"/>
              <w:bottom w:val="single" w:sz="4" w:space="0" w:color="auto"/>
              <w:right w:val="single" w:sz="4" w:space="0" w:color="auto"/>
            </w:tcBorders>
            <w:shd w:val="clear" w:color="auto" w:fill="auto"/>
            <w:noWrap/>
            <w:vAlign w:val="bottom"/>
            <w:hideMark/>
          </w:tcPr>
          <w:p w14:paraId="7C677B30"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1,450,403,541</w:t>
            </w:r>
          </w:p>
        </w:tc>
      </w:tr>
      <w:tr w:rsidR="008E01AB" w:rsidRPr="008E01AB" w14:paraId="20880F38"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49FAB7E0"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Banorte S.A. 1’200 MDP</w:t>
            </w:r>
          </w:p>
        </w:tc>
        <w:tc>
          <w:tcPr>
            <w:tcW w:w="1071" w:type="dxa"/>
            <w:tcBorders>
              <w:top w:val="nil"/>
              <w:left w:val="nil"/>
              <w:bottom w:val="single" w:sz="4" w:space="0" w:color="auto"/>
              <w:right w:val="single" w:sz="4" w:space="0" w:color="auto"/>
            </w:tcBorders>
            <w:shd w:val="clear" w:color="auto" w:fill="auto"/>
            <w:noWrap/>
            <w:vAlign w:val="bottom"/>
            <w:hideMark/>
          </w:tcPr>
          <w:p w14:paraId="326CE624"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 1021042</w:t>
            </w:r>
          </w:p>
        </w:tc>
        <w:tc>
          <w:tcPr>
            <w:tcW w:w="968" w:type="dxa"/>
            <w:tcBorders>
              <w:top w:val="nil"/>
              <w:left w:val="nil"/>
              <w:bottom w:val="single" w:sz="4" w:space="0" w:color="auto"/>
              <w:right w:val="single" w:sz="4" w:space="0" w:color="auto"/>
            </w:tcBorders>
            <w:shd w:val="clear" w:color="auto" w:fill="auto"/>
            <w:noWrap/>
            <w:vAlign w:val="bottom"/>
            <w:hideMark/>
          </w:tcPr>
          <w:p w14:paraId="16C5BDC9"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18/10/2021</w:t>
            </w:r>
          </w:p>
        </w:tc>
        <w:tc>
          <w:tcPr>
            <w:tcW w:w="898" w:type="dxa"/>
            <w:tcBorders>
              <w:top w:val="nil"/>
              <w:left w:val="nil"/>
              <w:bottom w:val="single" w:sz="4" w:space="0" w:color="auto"/>
              <w:right w:val="single" w:sz="4" w:space="0" w:color="auto"/>
            </w:tcBorders>
            <w:shd w:val="clear" w:color="auto" w:fill="auto"/>
            <w:noWrap/>
            <w:vAlign w:val="bottom"/>
            <w:hideMark/>
          </w:tcPr>
          <w:p w14:paraId="3B0E7F2B"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LXIV-92</w:t>
            </w:r>
          </w:p>
        </w:tc>
        <w:tc>
          <w:tcPr>
            <w:tcW w:w="898" w:type="dxa"/>
            <w:tcBorders>
              <w:top w:val="nil"/>
              <w:left w:val="nil"/>
              <w:bottom w:val="single" w:sz="4" w:space="0" w:color="auto"/>
              <w:right w:val="single" w:sz="4" w:space="0" w:color="auto"/>
            </w:tcBorders>
            <w:shd w:val="clear" w:color="auto" w:fill="auto"/>
            <w:noWrap/>
            <w:vAlign w:val="bottom"/>
            <w:hideMark/>
          </w:tcPr>
          <w:p w14:paraId="36316279"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14/04/2020</w:t>
            </w:r>
          </w:p>
        </w:tc>
        <w:tc>
          <w:tcPr>
            <w:tcW w:w="903" w:type="dxa"/>
            <w:tcBorders>
              <w:top w:val="nil"/>
              <w:left w:val="nil"/>
              <w:bottom w:val="single" w:sz="4" w:space="0" w:color="auto"/>
              <w:right w:val="single" w:sz="4" w:space="0" w:color="auto"/>
            </w:tcBorders>
            <w:shd w:val="clear" w:color="auto" w:fill="auto"/>
            <w:noWrap/>
            <w:vAlign w:val="bottom"/>
            <w:hideMark/>
          </w:tcPr>
          <w:p w14:paraId="1F9B8B3C"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17/09/2041</w:t>
            </w:r>
          </w:p>
        </w:tc>
        <w:tc>
          <w:tcPr>
            <w:tcW w:w="1089" w:type="dxa"/>
            <w:tcBorders>
              <w:top w:val="nil"/>
              <w:left w:val="nil"/>
              <w:bottom w:val="nil"/>
              <w:right w:val="single" w:sz="4" w:space="0" w:color="auto"/>
            </w:tcBorders>
            <w:shd w:val="clear" w:color="auto" w:fill="auto"/>
            <w:noWrap/>
            <w:vAlign w:val="bottom"/>
            <w:hideMark/>
          </w:tcPr>
          <w:p w14:paraId="2D393705"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1,200,000,000</w:t>
            </w:r>
          </w:p>
        </w:tc>
        <w:tc>
          <w:tcPr>
            <w:tcW w:w="1158" w:type="dxa"/>
            <w:tcBorders>
              <w:top w:val="nil"/>
              <w:left w:val="nil"/>
              <w:bottom w:val="nil"/>
              <w:right w:val="single" w:sz="4" w:space="0" w:color="auto"/>
            </w:tcBorders>
            <w:shd w:val="clear" w:color="auto" w:fill="auto"/>
            <w:noWrap/>
            <w:vAlign w:val="bottom"/>
            <w:hideMark/>
          </w:tcPr>
          <w:p w14:paraId="07007377"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985,000,000</w:t>
            </w:r>
          </w:p>
        </w:tc>
        <w:tc>
          <w:tcPr>
            <w:tcW w:w="1087" w:type="dxa"/>
            <w:tcBorders>
              <w:top w:val="nil"/>
              <w:left w:val="nil"/>
              <w:bottom w:val="single" w:sz="4" w:space="0" w:color="auto"/>
              <w:right w:val="single" w:sz="4" w:space="0" w:color="auto"/>
            </w:tcBorders>
            <w:shd w:val="clear" w:color="auto" w:fill="auto"/>
            <w:noWrap/>
            <w:vAlign w:val="bottom"/>
            <w:hideMark/>
          </w:tcPr>
          <w:p w14:paraId="375A5BFF"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962,176,789</w:t>
            </w:r>
          </w:p>
        </w:tc>
      </w:tr>
      <w:tr w:rsidR="008E01AB" w:rsidRPr="008E01AB" w14:paraId="202FB71E"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1EBC990F"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Banamex S.A. 2’506 MDP</w:t>
            </w:r>
          </w:p>
        </w:tc>
        <w:tc>
          <w:tcPr>
            <w:tcW w:w="1071" w:type="dxa"/>
            <w:tcBorders>
              <w:top w:val="nil"/>
              <w:left w:val="nil"/>
              <w:bottom w:val="single" w:sz="4" w:space="0" w:color="auto"/>
              <w:right w:val="single" w:sz="4" w:space="0" w:color="auto"/>
            </w:tcBorders>
            <w:shd w:val="clear" w:color="auto" w:fill="auto"/>
            <w:noWrap/>
            <w:vAlign w:val="bottom"/>
            <w:hideMark/>
          </w:tcPr>
          <w:p w14:paraId="44489364"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P28-0324018</w:t>
            </w:r>
          </w:p>
        </w:tc>
        <w:tc>
          <w:tcPr>
            <w:tcW w:w="968" w:type="dxa"/>
            <w:tcBorders>
              <w:top w:val="nil"/>
              <w:left w:val="nil"/>
              <w:bottom w:val="single" w:sz="4" w:space="0" w:color="auto"/>
              <w:right w:val="single" w:sz="4" w:space="0" w:color="auto"/>
            </w:tcBorders>
            <w:shd w:val="clear" w:color="auto" w:fill="auto"/>
            <w:noWrap/>
            <w:vAlign w:val="bottom"/>
            <w:hideMark/>
          </w:tcPr>
          <w:p w14:paraId="2F4B2CFC"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26/03/2024</w:t>
            </w:r>
          </w:p>
        </w:tc>
        <w:tc>
          <w:tcPr>
            <w:tcW w:w="898" w:type="dxa"/>
            <w:tcBorders>
              <w:top w:val="nil"/>
              <w:left w:val="nil"/>
              <w:bottom w:val="single" w:sz="4" w:space="0" w:color="auto"/>
              <w:right w:val="single" w:sz="4" w:space="0" w:color="auto"/>
            </w:tcBorders>
            <w:shd w:val="clear" w:color="auto" w:fill="auto"/>
            <w:noWrap/>
            <w:vAlign w:val="bottom"/>
            <w:hideMark/>
          </w:tcPr>
          <w:p w14:paraId="72098839"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65-600</w:t>
            </w:r>
          </w:p>
        </w:tc>
        <w:tc>
          <w:tcPr>
            <w:tcW w:w="898" w:type="dxa"/>
            <w:tcBorders>
              <w:top w:val="nil"/>
              <w:left w:val="nil"/>
              <w:bottom w:val="single" w:sz="4" w:space="0" w:color="auto"/>
              <w:right w:val="single" w:sz="4" w:space="0" w:color="auto"/>
            </w:tcBorders>
            <w:shd w:val="clear" w:color="auto" w:fill="auto"/>
            <w:noWrap/>
            <w:vAlign w:val="bottom"/>
            <w:hideMark/>
          </w:tcPr>
          <w:p w14:paraId="72BBFA40"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18/07/2023</w:t>
            </w:r>
          </w:p>
        </w:tc>
        <w:tc>
          <w:tcPr>
            <w:tcW w:w="903" w:type="dxa"/>
            <w:tcBorders>
              <w:top w:val="nil"/>
              <w:left w:val="nil"/>
              <w:bottom w:val="single" w:sz="4" w:space="0" w:color="auto"/>
              <w:right w:val="single" w:sz="4" w:space="0" w:color="auto"/>
            </w:tcBorders>
            <w:shd w:val="clear" w:color="auto" w:fill="auto"/>
            <w:noWrap/>
            <w:vAlign w:val="bottom"/>
            <w:hideMark/>
          </w:tcPr>
          <w:p w14:paraId="307C59B8"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15/11/2043</w:t>
            </w:r>
          </w:p>
        </w:tc>
        <w:tc>
          <w:tcPr>
            <w:tcW w:w="1089" w:type="dxa"/>
            <w:tcBorders>
              <w:top w:val="single" w:sz="4" w:space="0" w:color="auto"/>
              <w:left w:val="nil"/>
              <w:bottom w:val="nil"/>
              <w:right w:val="single" w:sz="4" w:space="0" w:color="auto"/>
            </w:tcBorders>
            <w:shd w:val="clear" w:color="auto" w:fill="auto"/>
            <w:noWrap/>
            <w:vAlign w:val="bottom"/>
            <w:hideMark/>
          </w:tcPr>
          <w:p w14:paraId="2D8AB40C"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2,506,794,049</w:t>
            </w:r>
          </w:p>
        </w:tc>
        <w:tc>
          <w:tcPr>
            <w:tcW w:w="1158" w:type="dxa"/>
            <w:tcBorders>
              <w:top w:val="single" w:sz="4" w:space="0" w:color="auto"/>
              <w:left w:val="nil"/>
              <w:bottom w:val="nil"/>
              <w:right w:val="single" w:sz="4" w:space="0" w:color="auto"/>
            </w:tcBorders>
            <w:shd w:val="clear" w:color="auto" w:fill="auto"/>
            <w:noWrap/>
            <w:vAlign w:val="bottom"/>
            <w:hideMark/>
          </w:tcPr>
          <w:p w14:paraId="3D29FFC9"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2,506,794,049</w:t>
            </w:r>
          </w:p>
        </w:tc>
        <w:tc>
          <w:tcPr>
            <w:tcW w:w="1087" w:type="dxa"/>
            <w:tcBorders>
              <w:top w:val="nil"/>
              <w:left w:val="nil"/>
              <w:bottom w:val="single" w:sz="4" w:space="0" w:color="auto"/>
              <w:right w:val="single" w:sz="4" w:space="0" w:color="auto"/>
            </w:tcBorders>
            <w:shd w:val="clear" w:color="auto" w:fill="auto"/>
            <w:noWrap/>
            <w:vAlign w:val="bottom"/>
            <w:hideMark/>
          </w:tcPr>
          <w:p w14:paraId="0F468A2E"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2,493,017,330</w:t>
            </w:r>
          </w:p>
        </w:tc>
      </w:tr>
      <w:tr w:rsidR="008E01AB" w:rsidRPr="008E01AB" w14:paraId="04057D17"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6190BA69"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BBVA México S.A. 3’000 MDP</w:t>
            </w:r>
          </w:p>
        </w:tc>
        <w:tc>
          <w:tcPr>
            <w:tcW w:w="1071" w:type="dxa"/>
            <w:tcBorders>
              <w:top w:val="nil"/>
              <w:left w:val="nil"/>
              <w:bottom w:val="single" w:sz="4" w:space="0" w:color="auto"/>
              <w:right w:val="single" w:sz="4" w:space="0" w:color="auto"/>
            </w:tcBorders>
            <w:shd w:val="clear" w:color="auto" w:fill="auto"/>
            <w:noWrap/>
            <w:vAlign w:val="bottom"/>
            <w:hideMark/>
          </w:tcPr>
          <w:p w14:paraId="084C370C"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P28-0324019</w:t>
            </w:r>
          </w:p>
        </w:tc>
        <w:tc>
          <w:tcPr>
            <w:tcW w:w="968" w:type="dxa"/>
            <w:tcBorders>
              <w:top w:val="nil"/>
              <w:left w:val="nil"/>
              <w:bottom w:val="single" w:sz="4" w:space="0" w:color="auto"/>
              <w:right w:val="single" w:sz="4" w:space="0" w:color="auto"/>
            </w:tcBorders>
            <w:shd w:val="clear" w:color="auto" w:fill="auto"/>
            <w:noWrap/>
            <w:vAlign w:val="bottom"/>
            <w:hideMark/>
          </w:tcPr>
          <w:p w14:paraId="6EE88639"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26/03/2024</w:t>
            </w:r>
          </w:p>
        </w:tc>
        <w:tc>
          <w:tcPr>
            <w:tcW w:w="898" w:type="dxa"/>
            <w:tcBorders>
              <w:top w:val="nil"/>
              <w:left w:val="nil"/>
              <w:bottom w:val="single" w:sz="4" w:space="0" w:color="auto"/>
              <w:right w:val="single" w:sz="4" w:space="0" w:color="auto"/>
            </w:tcBorders>
            <w:shd w:val="clear" w:color="auto" w:fill="auto"/>
            <w:noWrap/>
            <w:vAlign w:val="bottom"/>
            <w:hideMark/>
          </w:tcPr>
          <w:p w14:paraId="697221C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65-600</w:t>
            </w:r>
          </w:p>
        </w:tc>
        <w:tc>
          <w:tcPr>
            <w:tcW w:w="898" w:type="dxa"/>
            <w:tcBorders>
              <w:top w:val="nil"/>
              <w:left w:val="nil"/>
              <w:bottom w:val="single" w:sz="4" w:space="0" w:color="auto"/>
              <w:right w:val="single" w:sz="4" w:space="0" w:color="auto"/>
            </w:tcBorders>
            <w:shd w:val="clear" w:color="auto" w:fill="auto"/>
            <w:noWrap/>
            <w:vAlign w:val="bottom"/>
            <w:hideMark/>
          </w:tcPr>
          <w:p w14:paraId="5A85DC6D"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18/07/2023</w:t>
            </w:r>
          </w:p>
        </w:tc>
        <w:tc>
          <w:tcPr>
            <w:tcW w:w="903" w:type="dxa"/>
            <w:tcBorders>
              <w:top w:val="nil"/>
              <w:left w:val="nil"/>
              <w:bottom w:val="single" w:sz="4" w:space="0" w:color="auto"/>
              <w:right w:val="single" w:sz="4" w:space="0" w:color="auto"/>
            </w:tcBorders>
            <w:shd w:val="clear" w:color="auto" w:fill="auto"/>
            <w:noWrap/>
            <w:vAlign w:val="bottom"/>
            <w:hideMark/>
          </w:tcPr>
          <w:p w14:paraId="5C663057"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15/11/2048</w:t>
            </w:r>
          </w:p>
        </w:tc>
        <w:tc>
          <w:tcPr>
            <w:tcW w:w="1089" w:type="dxa"/>
            <w:tcBorders>
              <w:top w:val="single" w:sz="4" w:space="0" w:color="auto"/>
              <w:left w:val="nil"/>
              <w:bottom w:val="nil"/>
              <w:right w:val="single" w:sz="4" w:space="0" w:color="auto"/>
            </w:tcBorders>
            <w:shd w:val="clear" w:color="auto" w:fill="auto"/>
            <w:noWrap/>
            <w:vAlign w:val="bottom"/>
            <w:hideMark/>
          </w:tcPr>
          <w:p w14:paraId="57596547"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3,000,000,000</w:t>
            </w:r>
          </w:p>
        </w:tc>
        <w:tc>
          <w:tcPr>
            <w:tcW w:w="1158" w:type="dxa"/>
            <w:tcBorders>
              <w:top w:val="single" w:sz="4" w:space="0" w:color="auto"/>
              <w:left w:val="nil"/>
              <w:bottom w:val="nil"/>
              <w:right w:val="single" w:sz="4" w:space="0" w:color="auto"/>
            </w:tcBorders>
            <w:shd w:val="clear" w:color="auto" w:fill="auto"/>
            <w:noWrap/>
            <w:vAlign w:val="bottom"/>
            <w:hideMark/>
          </w:tcPr>
          <w:p w14:paraId="1B8F2F4F"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3,000,000,000</w:t>
            </w:r>
          </w:p>
        </w:tc>
        <w:tc>
          <w:tcPr>
            <w:tcW w:w="1087" w:type="dxa"/>
            <w:tcBorders>
              <w:top w:val="nil"/>
              <w:left w:val="nil"/>
              <w:bottom w:val="single" w:sz="4" w:space="0" w:color="auto"/>
              <w:right w:val="single" w:sz="4" w:space="0" w:color="auto"/>
            </w:tcBorders>
            <w:shd w:val="clear" w:color="auto" w:fill="auto"/>
            <w:noWrap/>
            <w:vAlign w:val="bottom"/>
            <w:hideMark/>
          </w:tcPr>
          <w:p w14:paraId="5F16AD5C"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2,992,507,049</w:t>
            </w:r>
          </w:p>
        </w:tc>
      </w:tr>
      <w:tr w:rsidR="008E01AB" w:rsidRPr="008E01AB" w14:paraId="13D96E34"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619C8696"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Banorte S.A 4’500 MDP</w:t>
            </w:r>
          </w:p>
        </w:tc>
        <w:tc>
          <w:tcPr>
            <w:tcW w:w="1071" w:type="dxa"/>
            <w:tcBorders>
              <w:top w:val="nil"/>
              <w:left w:val="nil"/>
              <w:bottom w:val="single" w:sz="4" w:space="0" w:color="auto"/>
              <w:right w:val="single" w:sz="4" w:space="0" w:color="auto"/>
            </w:tcBorders>
            <w:shd w:val="clear" w:color="auto" w:fill="auto"/>
            <w:noWrap/>
            <w:vAlign w:val="bottom"/>
            <w:hideMark/>
          </w:tcPr>
          <w:p w14:paraId="4CE42147"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P28-0324020</w:t>
            </w:r>
          </w:p>
        </w:tc>
        <w:tc>
          <w:tcPr>
            <w:tcW w:w="968" w:type="dxa"/>
            <w:tcBorders>
              <w:top w:val="nil"/>
              <w:left w:val="nil"/>
              <w:bottom w:val="single" w:sz="4" w:space="0" w:color="auto"/>
              <w:right w:val="single" w:sz="4" w:space="0" w:color="auto"/>
            </w:tcBorders>
            <w:shd w:val="clear" w:color="auto" w:fill="auto"/>
            <w:noWrap/>
            <w:vAlign w:val="bottom"/>
            <w:hideMark/>
          </w:tcPr>
          <w:p w14:paraId="66DD7323"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26/03/2024</w:t>
            </w:r>
          </w:p>
        </w:tc>
        <w:tc>
          <w:tcPr>
            <w:tcW w:w="898" w:type="dxa"/>
            <w:tcBorders>
              <w:top w:val="nil"/>
              <w:left w:val="nil"/>
              <w:bottom w:val="single" w:sz="4" w:space="0" w:color="auto"/>
              <w:right w:val="single" w:sz="4" w:space="0" w:color="auto"/>
            </w:tcBorders>
            <w:shd w:val="clear" w:color="auto" w:fill="auto"/>
            <w:noWrap/>
            <w:vAlign w:val="bottom"/>
            <w:hideMark/>
          </w:tcPr>
          <w:p w14:paraId="5896F774"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65-600</w:t>
            </w:r>
          </w:p>
        </w:tc>
        <w:tc>
          <w:tcPr>
            <w:tcW w:w="898" w:type="dxa"/>
            <w:tcBorders>
              <w:top w:val="nil"/>
              <w:left w:val="nil"/>
              <w:bottom w:val="single" w:sz="4" w:space="0" w:color="auto"/>
              <w:right w:val="single" w:sz="4" w:space="0" w:color="auto"/>
            </w:tcBorders>
            <w:shd w:val="clear" w:color="auto" w:fill="auto"/>
            <w:noWrap/>
            <w:vAlign w:val="bottom"/>
            <w:hideMark/>
          </w:tcPr>
          <w:p w14:paraId="32A0130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18/07/2023</w:t>
            </w:r>
          </w:p>
        </w:tc>
        <w:tc>
          <w:tcPr>
            <w:tcW w:w="903" w:type="dxa"/>
            <w:tcBorders>
              <w:top w:val="nil"/>
              <w:left w:val="nil"/>
              <w:bottom w:val="single" w:sz="4" w:space="0" w:color="auto"/>
              <w:right w:val="single" w:sz="4" w:space="0" w:color="auto"/>
            </w:tcBorders>
            <w:shd w:val="clear" w:color="auto" w:fill="auto"/>
            <w:noWrap/>
            <w:vAlign w:val="bottom"/>
            <w:hideMark/>
          </w:tcPr>
          <w:p w14:paraId="4205DC7D"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15/11/2048</w:t>
            </w:r>
          </w:p>
        </w:tc>
        <w:tc>
          <w:tcPr>
            <w:tcW w:w="1089" w:type="dxa"/>
            <w:tcBorders>
              <w:top w:val="single" w:sz="4" w:space="0" w:color="auto"/>
              <w:left w:val="nil"/>
              <w:bottom w:val="nil"/>
              <w:right w:val="single" w:sz="4" w:space="0" w:color="auto"/>
            </w:tcBorders>
            <w:shd w:val="clear" w:color="auto" w:fill="auto"/>
            <w:noWrap/>
            <w:vAlign w:val="bottom"/>
            <w:hideMark/>
          </w:tcPr>
          <w:p w14:paraId="75E87A0E"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4,500,000,000</w:t>
            </w:r>
          </w:p>
        </w:tc>
        <w:tc>
          <w:tcPr>
            <w:tcW w:w="1158" w:type="dxa"/>
            <w:tcBorders>
              <w:top w:val="single" w:sz="4" w:space="0" w:color="auto"/>
              <w:left w:val="nil"/>
              <w:bottom w:val="nil"/>
              <w:right w:val="single" w:sz="4" w:space="0" w:color="auto"/>
            </w:tcBorders>
            <w:shd w:val="clear" w:color="auto" w:fill="auto"/>
            <w:noWrap/>
            <w:vAlign w:val="bottom"/>
            <w:hideMark/>
          </w:tcPr>
          <w:p w14:paraId="729F5256"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4,500,000,000</w:t>
            </w:r>
          </w:p>
        </w:tc>
        <w:tc>
          <w:tcPr>
            <w:tcW w:w="1087" w:type="dxa"/>
            <w:tcBorders>
              <w:top w:val="nil"/>
              <w:left w:val="nil"/>
              <w:bottom w:val="single" w:sz="4" w:space="0" w:color="auto"/>
              <w:right w:val="single" w:sz="4" w:space="0" w:color="auto"/>
            </w:tcBorders>
            <w:shd w:val="clear" w:color="auto" w:fill="auto"/>
            <w:noWrap/>
            <w:vAlign w:val="bottom"/>
            <w:hideMark/>
          </w:tcPr>
          <w:p w14:paraId="652692C5"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4,488,908,081</w:t>
            </w:r>
          </w:p>
        </w:tc>
      </w:tr>
      <w:tr w:rsidR="008E01AB" w:rsidRPr="008E01AB" w14:paraId="1A737EE3"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1765842E"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Banorte S.A. 2’000 MDP</w:t>
            </w:r>
          </w:p>
        </w:tc>
        <w:tc>
          <w:tcPr>
            <w:tcW w:w="1071" w:type="dxa"/>
            <w:tcBorders>
              <w:top w:val="nil"/>
              <w:left w:val="nil"/>
              <w:bottom w:val="single" w:sz="4" w:space="0" w:color="auto"/>
              <w:right w:val="single" w:sz="4" w:space="0" w:color="auto"/>
            </w:tcBorders>
            <w:shd w:val="clear" w:color="auto" w:fill="auto"/>
            <w:noWrap/>
            <w:vAlign w:val="bottom"/>
            <w:hideMark/>
          </w:tcPr>
          <w:p w14:paraId="2C8C9089"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P28-0324021</w:t>
            </w:r>
          </w:p>
        </w:tc>
        <w:tc>
          <w:tcPr>
            <w:tcW w:w="968" w:type="dxa"/>
            <w:tcBorders>
              <w:top w:val="nil"/>
              <w:left w:val="nil"/>
              <w:bottom w:val="single" w:sz="4" w:space="0" w:color="auto"/>
              <w:right w:val="single" w:sz="4" w:space="0" w:color="auto"/>
            </w:tcBorders>
            <w:shd w:val="clear" w:color="auto" w:fill="auto"/>
            <w:noWrap/>
            <w:vAlign w:val="bottom"/>
            <w:hideMark/>
          </w:tcPr>
          <w:p w14:paraId="2791979C"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26/03/2024</w:t>
            </w:r>
          </w:p>
        </w:tc>
        <w:tc>
          <w:tcPr>
            <w:tcW w:w="898" w:type="dxa"/>
            <w:tcBorders>
              <w:top w:val="nil"/>
              <w:left w:val="nil"/>
              <w:bottom w:val="single" w:sz="4" w:space="0" w:color="auto"/>
              <w:right w:val="single" w:sz="4" w:space="0" w:color="auto"/>
            </w:tcBorders>
            <w:shd w:val="clear" w:color="auto" w:fill="auto"/>
            <w:noWrap/>
            <w:vAlign w:val="bottom"/>
            <w:hideMark/>
          </w:tcPr>
          <w:p w14:paraId="17720C39"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65-600</w:t>
            </w:r>
          </w:p>
        </w:tc>
        <w:tc>
          <w:tcPr>
            <w:tcW w:w="898" w:type="dxa"/>
            <w:tcBorders>
              <w:top w:val="nil"/>
              <w:left w:val="nil"/>
              <w:bottom w:val="single" w:sz="4" w:space="0" w:color="auto"/>
              <w:right w:val="single" w:sz="4" w:space="0" w:color="auto"/>
            </w:tcBorders>
            <w:shd w:val="clear" w:color="auto" w:fill="auto"/>
            <w:noWrap/>
            <w:vAlign w:val="bottom"/>
            <w:hideMark/>
          </w:tcPr>
          <w:p w14:paraId="0D4BA44D"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18/07/2023</w:t>
            </w:r>
          </w:p>
        </w:tc>
        <w:tc>
          <w:tcPr>
            <w:tcW w:w="903" w:type="dxa"/>
            <w:tcBorders>
              <w:top w:val="nil"/>
              <w:left w:val="nil"/>
              <w:bottom w:val="single" w:sz="4" w:space="0" w:color="auto"/>
              <w:right w:val="single" w:sz="4" w:space="0" w:color="auto"/>
            </w:tcBorders>
            <w:shd w:val="clear" w:color="auto" w:fill="auto"/>
            <w:noWrap/>
            <w:vAlign w:val="bottom"/>
            <w:hideMark/>
          </w:tcPr>
          <w:p w14:paraId="29EADD4A"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15/11/2048</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32382604"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2,000,000,000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14:paraId="2F1741E5"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1,977,281,680</w:t>
            </w:r>
          </w:p>
        </w:tc>
        <w:tc>
          <w:tcPr>
            <w:tcW w:w="1087" w:type="dxa"/>
            <w:tcBorders>
              <w:top w:val="nil"/>
              <w:left w:val="nil"/>
              <w:bottom w:val="single" w:sz="4" w:space="0" w:color="auto"/>
              <w:right w:val="single" w:sz="4" w:space="0" w:color="auto"/>
            </w:tcBorders>
            <w:shd w:val="clear" w:color="auto" w:fill="auto"/>
            <w:noWrap/>
            <w:vAlign w:val="bottom"/>
            <w:hideMark/>
          </w:tcPr>
          <w:p w14:paraId="2A47AAE3"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1,972,407,939</w:t>
            </w:r>
          </w:p>
        </w:tc>
      </w:tr>
      <w:tr w:rsidR="008E01AB" w:rsidRPr="008E01AB" w14:paraId="123E8467" w14:textId="77777777" w:rsidTr="00132EC0">
        <w:trPr>
          <w:trHeight w:val="272"/>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5BD79BB0" w14:textId="77777777" w:rsidR="008E01AB" w:rsidRPr="008E01AB" w:rsidRDefault="008E01AB" w:rsidP="00EC7D22">
            <w:pPr>
              <w:suppressAutoHyphens w:val="0"/>
              <w:overflowPunct/>
              <w:spacing w:after="0" w:line="240" w:lineRule="auto"/>
              <w:rPr>
                <w:rFonts w:eastAsia="Times New Roman" w:cs="Calibri"/>
                <w:color w:val="222B35"/>
                <w:sz w:val="12"/>
                <w:szCs w:val="12"/>
                <w:lang w:eastAsia="es-MX"/>
              </w:rPr>
            </w:pPr>
            <w:r w:rsidRPr="008E01AB">
              <w:rPr>
                <w:rFonts w:eastAsia="Times New Roman" w:cs="Calibri"/>
                <w:color w:val="222B35"/>
                <w:sz w:val="12"/>
                <w:szCs w:val="12"/>
                <w:lang w:eastAsia="es-MX"/>
              </w:rPr>
              <w:t>Banorte S.A 746 MDP</w:t>
            </w:r>
          </w:p>
        </w:tc>
        <w:tc>
          <w:tcPr>
            <w:tcW w:w="1071" w:type="dxa"/>
            <w:tcBorders>
              <w:top w:val="nil"/>
              <w:left w:val="nil"/>
              <w:bottom w:val="single" w:sz="4" w:space="0" w:color="auto"/>
              <w:right w:val="single" w:sz="4" w:space="0" w:color="auto"/>
            </w:tcBorders>
            <w:shd w:val="clear" w:color="auto" w:fill="auto"/>
            <w:noWrap/>
            <w:vAlign w:val="bottom"/>
            <w:hideMark/>
          </w:tcPr>
          <w:p w14:paraId="797C84E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P28-0324022</w:t>
            </w:r>
          </w:p>
        </w:tc>
        <w:tc>
          <w:tcPr>
            <w:tcW w:w="968" w:type="dxa"/>
            <w:tcBorders>
              <w:top w:val="nil"/>
              <w:left w:val="nil"/>
              <w:bottom w:val="single" w:sz="4" w:space="0" w:color="auto"/>
              <w:right w:val="single" w:sz="4" w:space="0" w:color="auto"/>
            </w:tcBorders>
            <w:shd w:val="clear" w:color="auto" w:fill="auto"/>
            <w:noWrap/>
            <w:vAlign w:val="bottom"/>
            <w:hideMark/>
          </w:tcPr>
          <w:p w14:paraId="390292B1"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26/03/2024</w:t>
            </w:r>
          </w:p>
        </w:tc>
        <w:tc>
          <w:tcPr>
            <w:tcW w:w="898" w:type="dxa"/>
            <w:tcBorders>
              <w:top w:val="nil"/>
              <w:left w:val="nil"/>
              <w:bottom w:val="single" w:sz="4" w:space="0" w:color="auto"/>
              <w:right w:val="single" w:sz="4" w:space="0" w:color="auto"/>
            </w:tcBorders>
            <w:shd w:val="clear" w:color="auto" w:fill="auto"/>
            <w:noWrap/>
            <w:vAlign w:val="bottom"/>
            <w:hideMark/>
          </w:tcPr>
          <w:p w14:paraId="32C259F5"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65-600</w:t>
            </w:r>
          </w:p>
        </w:tc>
        <w:tc>
          <w:tcPr>
            <w:tcW w:w="898" w:type="dxa"/>
            <w:tcBorders>
              <w:top w:val="nil"/>
              <w:left w:val="nil"/>
              <w:bottom w:val="single" w:sz="4" w:space="0" w:color="auto"/>
              <w:right w:val="single" w:sz="4" w:space="0" w:color="auto"/>
            </w:tcBorders>
            <w:shd w:val="clear" w:color="auto" w:fill="auto"/>
            <w:noWrap/>
            <w:vAlign w:val="bottom"/>
            <w:hideMark/>
          </w:tcPr>
          <w:p w14:paraId="6501D4AF"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18/07/2023</w:t>
            </w:r>
          </w:p>
        </w:tc>
        <w:tc>
          <w:tcPr>
            <w:tcW w:w="903" w:type="dxa"/>
            <w:tcBorders>
              <w:top w:val="nil"/>
              <w:left w:val="nil"/>
              <w:bottom w:val="single" w:sz="4" w:space="0" w:color="auto"/>
              <w:right w:val="single" w:sz="4" w:space="0" w:color="auto"/>
            </w:tcBorders>
            <w:shd w:val="clear" w:color="auto" w:fill="auto"/>
            <w:noWrap/>
            <w:vAlign w:val="bottom"/>
            <w:hideMark/>
          </w:tcPr>
          <w:p w14:paraId="12491EC2" w14:textId="77777777" w:rsidR="008E01AB" w:rsidRPr="008E01AB" w:rsidRDefault="008E01AB" w:rsidP="00EC7D22">
            <w:pPr>
              <w:suppressAutoHyphens w:val="0"/>
              <w:overflowPunct/>
              <w:spacing w:after="0" w:line="240" w:lineRule="auto"/>
              <w:jc w:val="center"/>
              <w:rPr>
                <w:rFonts w:eastAsia="Times New Roman" w:cs="Calibri"/>
                <w:color w:val="222B35"/>
                <w:sz w:val="12"/>
                <w:szCs w:val="12"/>
                <w:lang w:eastAsia="es-MX"/>
              </w:rPr>
            </w:pPr>
            <w:r w:rsidRPr="008E01AB">
              <w:rPr>
                <w:rFonts w:eastAsia="Times New Roman" w:cs="Calibri"/>
                <w:color w:val="222B35"/>
                <w:sz w:val="12"/>
                <w:szCs w:val="12"/>
                <w:lang w:eastAsia="es-MX"/>
              </w:rPr>
              <w:t>15/11/2048</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1A2DC282"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746,000,000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14:paraId="688BBA62"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715,003,933</w:t>
            </w:r>
          </w:p>
        </w:tc>
        <w:tc>
          <w:tcPr>
            <w:tcW w:w="1087" w:type="dxa"/>
            <w:tcBorders>
              <w:top w:val="nil"/>
              <w:left w:val="nil"/>
              <w:bottom w:val="single" w:sz="4" w:space="0" w:color="auto"/>
              <w:right w:val="single" w:sz="4" w:space="0" w:color="auto"/>
            </w:tcBorders>
            <w:shd w:val="clear" w:color="auto" w:fill="auto"/>
            <w:noWrap/>
            <w:vAlign w:val="bottom"/>
            <w:hideMark/>
          </w:tcPr>
          <w:p w14:paraId="537A348A" w14:textId="77777777" w:rsidR="008E01AB" w:rsidRPr="008E01AB" w:rsidRDefault="008E01AB" w:rsidP="00EC7D22">
            <w:pPr>
              <w:suppressAutoHyphens w:val="0"/>
              <w:overflowPunct/>
              <w:spacing w:after="0" w:line="240" w:lineRule="auto"/>
              <w:jc w:val="right"/>
              <w:rPr>
                <w:rFonts w:eastAsia="Times New Roman" w:cs="Calibri"/>
                <w:color w:val="222B35"/>
                <w:sz w:val="12"/>
                <w:szCs w:val="12"/>
                <w:lang w:eastAsia="es-MX"/>
              </w:rPr>
            </w:pPr>
            <w:r w:rsidRPr="008E01AB">
              <w:rPr>
                <w:rFonts w:eastAsia="Times New Roman" w:cs="Calibri"/>
                <w:color w:val="222B35"/>
                <w:sz w:val="12"/>
                <w:szCs w:val="12"/>
                <w:lang w:eastAsia="es-MX"/>
              </w:rPr>
              <w:t>713,241,544</w:t>
            </w:r>
          </w:p>
        </w:tc>
      </w:tr>
      <w:tr w:rsidR="008E01AB" w:rsidRPr="009962F3" w14:paraId="66E7FA06" w14:textId="77777777" w:rsidTr="00132EC0">
        <w:trPr>
          <w:trHeight w:val="244"/>
        </w:trPr>
        <w:tc>
          <w:tcPr>
            <w:tcW w:w="6017" w:type="dxa"/>
            <w:gridSpan w:val="6"/>
            <w:tcBorders>
              <w:top w:val="single" w:sz="4" w:space="0" w:color="auto"/>
              <w:left w:val="single" w:sz="4" w:space="0" w:color="auto"/>
              <w:bottom w:val="single" w:sz="4" w:space="0" w:color="auto"/>
              <w:right w:val="single" w:sz="4" w:space="0" w:color="auto"/>
            </w:tcBorders>
            <w:shd w:val="clear" w:color="F8CBAD" w:fill="DDC9A3"/>
            <w:vAlign w:val="center"/>
            <w:hideMark/>
          </w:tcPr>
          <w:p w14:paraId="036A16F9" w14:textId="77777777" w:rsidR="008E01AB" w:rsidRPr="009962F3" w:rsidRDefault="008E01AB" w:rsidP="00EC7D22">
            <w:pPr>
              <w:suppressAutoHyphens w:val="0"/>
              <w:overflowPunct/>
              <w:spacing w:after="0" w:line="240" w:lineRule="auto"/>
              <w:jc w:val="center"/>
              <w:rPr>
                <w:rFonts w:eastAsia="Times New Roman" w:cs="Calibri"/>
                <w:b/>
                <w:bCs/>
                <w:sz w:val="14"/>
                <w:szCs w:val="14"/>
                <w:lang w:eastAsia="es-MX"/>
              </w:rPr>
            </w:pPr>
            <w:r w:rsidRPr="009962F3">
              <w:rPr>
                <w:rFonts w:eastAsia="Times New Roman" w:cs="Calibri"/>
                <w:b/>
                <w:bCs/>
                <w:sz w:val="14"/>
                <w:szCs w:val="14"/>
                <w:lang w:eastAsia="es-MX"/>
              </w:rPr>
              <w:t>TOTAL:</w:t>
            </w:r>
          </w:p>
        </w:tc>
        <w:tc>
          <w:tcPr>
            <w:tcW w:w="1089" w:type="dxa"/>
            <w:tcBorders>
              <w:top w:val="single" w:sz="4" w:space="0" w:color="auto"/>
              <w:left w:val="single" w:sz="4" w:space="0" w:color="auto"/>
              <w:bottom w:val="single" w:sz="4" w:space="0" w:color="auto"/>
              <w:right w:val="single" w:sz="4" w:space="0" w:color="auto"/>
            </w:tcBorders>
            <w:shd w:val="clear" w:color="F8CBAD" w:fill="DDC9A3"/>
            <w:vAlign w:val="center"/>
            <w:hideMark/>
          </w:tcPr>
          <w:p w14:paraId="180000BD" w14:textId="77777777" w:rsidR="008E01AB" w:rsidRPr="009962F3" w:rsidRDefault="008E01AB" w:rsidP="00EC7D22">
            <w:pPr>
              <w:suppressAutoHyphens w:val="0"/>
              <w:overflowPunct/>
              <w:spacing w:after="0" w:line="240" w:lineRule="auto"/>
              <w:jc w:val="right"/>
              <w:rPr>
                <w:rFonts w:eastAsia="Times New Roman" w:cs="Calibri"/>
                <w:b/>
                <w:bCs/>
                <w:sz w:val="14"/>
                <w:szCs w:val="14"/>
                <w:lang w:eastAsia="es-MX"/>
              </w:rPr>
            </w:pPr>
            <w:r w:rsidRPr="009962F3">
              <w:rPr>
                <w:rFonts w:eastAsia="Times New Roman" w:cs="Calibri"/>
                <w:b/>
                <w:bCs/>
                <w:sz w:val="14"/>
                <w:szCs w:val="14"/>
                <w:lang w:eastAsia="es-MX"/>
              </w:rPr>
              <w:t>30,801,294,416</w:t>
            </w:r>
          </w:p>
        </w:tc>
        <w:tc>
          <w:tcPr>
            <w:tcW w:w="1158" w:type="dxa"/>
            <w:tcBorders>
              <w:top w:val="single" w:sz="4" w:space="0" w:color="auto"/>
              <w:left w:val="single" w:sz="4" w:space="0" w:color="auto"/>
              <w:bottom w:val="single" w:sz="4" w:space="0" w:color="auto"/>
              <w:right w:val="single" w:sz="4" w:space="0" w:color="auto"/>
            </w:tcBorders>
            <w:shd w:val="clear" w:color="F8CBAD" w:fill="DDC9A3"/>
            <w:vAlign w:val="center"/>
            <w:hideMark/>
          </w:tcPr>
          <w:p w14:paraId="53290190" w14:textId="77777777" w:rsidR="008E01AB" w:rsidRPr="009962F3" w:rsidRDefault="008E01AB" w:rsidP="00EC7D22">
            <w:pPr>
              <w:suppressAutoHyphens w:val="0"/>
              <w:overflowPunct/>
              <w:spacing w:after="0" w:line="240" w:lineRule="auto"/>
              <w:jc w:val="right"/>
              <w:rPr>
                <w:rFonts w:eastAsia="Times New Roman" w:cs="Calibri"/>
                <w:b/>
                <w:bCs/>
                <w:sz w:val="14"/>
                <w:szCs w:val="14"/>
                <w:lang w:eastAsia="es-MX"/>
              </w:rPr>
            </w:pPr>
            <w:r w:rsidRPr="009962F3">
              <w:rPr>
                <w:rFonts w:eastAsia="Times New Roman" w:cs="Calibri"/>
                <w:b/>
                <w:bCs/>
                <w:sz w:val="14"/>
                <w:szCs w:val="14"/>
                <w:lang w:eastAsia="es-MX"/>
              </w:rPr>
              <w:t>30,439,295,097</w:t>
            </w:r>
          </w:p>
        </w:tc>
        <w:tc>
          <w:tcPr>
            <w:tcW w:w="1087" w:type="dxa"/>
            <w:tcBorders>
              <w:top w:val="single" w:sz="4" w:space="0" w:color="auto"/>
              <w:left w:val="single" w:sz="4" w:space="0" w:color="auto"/>
              <w:bottom w:val="single" w:sz="4" w:space="0" w:color="auto"/>
              <w:right w:val="single" w:sz="4" w:space="0" w:color="auto"/>
            </w:tcBorders>
            <w:shd w:val="clear" w:color="F8CBAD" w:fill="DDC9A3"/>
            <w:vAlign w:val="center"/>
            <w:hideMark/>
          </w:tcPr>
          <w:p w14:paraId="672DE646" w14:textId="77777777" w:rsidR="008E01AB" w:rsidRPr="009962F3" w:rsidRDefault="008E01AB" w:rsidP="00EC7D22">
            <w:pPr>
              <w:suppressAutoHyphens w:val="0"/>
              <w:overflowPunct/>
              <w:spacing w:after="0" w:line="240" w:lineRule="auto"/>
              <w:jc w:val="right"/>
              <w:rPr>
                <w:rFonts w:eastAsia="Times New Roman" w:cs="Calibri"/>
                <w:b/>
                <w:bCs/>
                <w:sz w:val="14"/>
                <w:szCs w:val="14"/>
                <w:lang w:eastAsia="es-MX"/>
              </w:rPr>
            </w:pPr>
            <w:r w:rsidRPr="009962F3">
              <w:rPr>
                <w:rFonts w:eastAsia="Times New Roman" w:cs="Calibri"/>
                <w:b/>
                <w:bCs/>
                <w:sz w:val="14"/>
                <w:szCs w:val="14"/>
                <w:lang w:eastAsia="es-MX"/>
              </w:rPr>
              <w:t>15,227,044,582</w:t>
            </w:r>
          </w:p>
        </w:tc>
      </w:tr>
    </w:tbl>
    <w:p w14:paraId="343E3C95" w14:textId="77777777" w:rsidR="00AC277D" w:rsidRDefault="00AC277D" w:rsidP="00EC7D22">
      <w:pPr>
        <w:pStyle w:val="Texto"/>
        <w:tabs>
          <w:tab w:val="left" w:pos="680"/>
        </w:tabs>
        <w:spacing w:after="0" w:line="240" w:lineRule="exact"/>
        <w:ind w:firstLine="0"/>
        <w:rPr>
          <w:rFonts w:ascii="Calibri" w:hAnsi="Calibri" w:cs="Calibri"/>
          <w:sz w:val="14"/>
          <w:szCs w:val="18"/>
        </w:rPr>
      </w:pPr>
    </w:p>
    <w:p w14:paraId="52A6FE9D" w14:textId="77777777" w:rsidR="00AC277D" w:rsidRPr="006B5B65" w:rsidRDefault="00AC277D" w:rsidP="00EC7D22">
      <w:pPr>
        <w:pStyle w:val="Texto"/>
        <w:tabs>
          <w:tab w:val="left" w:pos="680"/>
        </w:tabs>
        <w:spacing w:after="0" w:line="240" w:lineRule="exact"/>
        <w:ind w:firstLine="0"/>
        <w:rPr>
          <w:rFonts w:ascii="Calibri" w:hAnsi="Calibri" w:cs="Calibri"/>
          <w:b/>
          <w:sz w:val="14"/>
          <w:szCs w:val="18"/>
        </w:rPr>
      </w:pPr>
    </w:p>
    <w:p w14:paraId="6B82A8BF" w14:textId="77777777" w:rsidR="007745EB" w:rsidRPr="006B5B65" w:rsidRDefault="00C87FDA" w:rsidP="00EC7D22">
      <w:pPr>
        <w:pStyle w:val="Texto"/>
        <w:numPr>
          <w:ilvl w:val="0"/>
          <w:numId w:val="2"/>
        </w:numPr>
        <w:tabs>
          <w:tab w:val="left" w:pos="142"/>
        </w:tabs>
        <w:spacing w:after="0" w:line="240" w:lineRule="exact"/>
        <w:ind w:left="0" w:firstLine="0"/>
        <w:jc w:val="left"/>
        <w:rPr>
          <w:rFonts w:ascii="Calibri" w:hAnsi="Calibri" w:cs="Calibri"/>
          <w:b/>
          <w:szCs w:val="18"/>
        </w:rPr>
      </w:pPr>
      <w:r w:rsidRPr="006B5B65">
        <w:rPr>
          <w:rFonts w:ascii="Calibri" w:hAnsi="Calibri" w:cs="Calibri"/>
          <w:b/>
          <w:szCs w:val="18"/>
        </w:rPr>
        <w:t>Deuda por Instrumento Financiero, Vencimiento y Tasas de Interés.</w:t>
      </w:r>
    </w:p>
    <w:p w14:paraId="0E908DD1" w14:textId="77777777" w:rsidR="003F20EF" w:rsidRDefault="003F20EF" w:rsidP="00EC7D22">
      <w:pPr>
        <w:pStyle w:val="Texto"/>
        <w:tabs>
          <w:tab w:val="left" w:pos="142"/>
        </w:tabs>
        <w:spacing w:after="0" w:line="240" w:lineRule="exact"/>
        <w:ind w:firstLine="0"/>
        <w:jc w:val="left"/>
        <w:rPr>
          <w:rFonts w:ascii="Calibri" w:hAnsi="Calibri" w:cs="Calibri"/>
          <w:b/>
          <w:bCs/>
          <w:szCs w:val="18"/>
        </w:rPr>
      </w:pPr>
    </w:p>
    <w:tbl>
      <w:tblPr>
        <w:tblW w:w="9351" w:type="dxa"/>
        <w:tblCellMar>
          <w:left w:w="70" w:type="dxa"/>
          <w:right w:w="70" w:type="dxa"/>
        </w:tblCellMar>
        <w:tblLook w:val="04A0" w:firstRow="1" w:lastRow="0" w:firstColumn="1" w:lastColumn="0" w:noHBand="0" w:noVBand="1"/>
      </w:tblPr>
      <w:tblGrid>
        <w:gridCol w:w="1698"/>
        <w:gridCol w:w="1407"/>
        <w:gridCol w:w="1385"/>
        <w:gridCol w:w="1385"/>
        <w:gridCol w:w="1050"/>
        <w:gridCol w:w="759"/>
        <w:gridCol w:w="1667"/>
      </w:tblGrid>
      <w:tr w:rsidR="00BD1A51" w:rsidRPr="00BD1A51" w14:paraId="087CD731" w14:textId="77777777" w:rsidTr="00132EC0">
        <w:trPr>
          <w:trHeight w:val="594"/>
        </w:trPr>
        <w:tc>
          <w:tcPr>
            <w:tcW w:w="1698" w:type="dxa"/>
            <w:tcBorders>
              <w:top w:val="single" w:sz="4" w:space="0" w:color="auto"/>
              <w:left w:val="single" w:sz="4" w:space="0" w:color="auto"/>
              <w:bottom w:val="single" w:sz="4" w:space="0" w:color="auto"/>
              <w:right w:val="single" w:sz="4" w:space="0" w:color="auto"/>
            </w:tcBorders>
            <w:shd w:val="clear" w:color="9C0006" w:fill="AB0033"/>
            <w:vAlign w:val="center"/>
            <w:hideMark/>
          </w:tcPr>
          <w:p w14:paraId="72AF51EB"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Acreedor</w:t>
            </w:r>
          </w:p>
        </w:tc>
        <w:tc>
          <w:tcPr>
            <w:tcW w:w="1407" w:type="dxa"/>
            <w:tcBorders>
              <w:top w:val="single" w:sz="4" w:space="0" w:color="auto"/>
              <w:left w:val="nil"/>
              <w:bottom w:val="single" w:sz="4" w:space="0" w:color="auto"/>
              <w:right w:val="single" w:sz="4" w:space="0" w:color="auto"/>
            </w:tcBorders>
            <w:shd w:val="clear" w:color="9C0006" w:fill="AB0033"/>
            <w:vAlign w:val="center"/>
            <w:hideMark/>
          </w:tcPr>
          <w:p w14:paraId="4AE68A59"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Importe Original Contratado</w:t>
            </w:r>
          </w:p>
        </w:tc>
        <w:tc>
          <w:tcPr>
            <w:tcW w:w="1385" w:type="dxa"/>
            <w:tcBorders>
              <w:top w:val="single" w:sz="4" w:space="0" w:color="auto"/>
              <w:left w:val="nil"/>
              <w:bottom w:val="single" w:sz="4" w:space="0" w:color="auto"/>
              <w:right w:val="single" w:sz="4" w:space="0" w:color="auto"/>
            </w:tcBorders>
            <w:shd w:val="clear" w:color="9C0006" w:fill="AB0033"/>
            <w:vAlign w:val="center"/>
            <w:hideMark/>
          </w:tcPr>
          <w:p w14:paraId="09565A6B"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Saldo al 31de Diciembre de 2024</w:t>
            </w:r>
          </w:p>
        </w:tc>
        <w:tc>
          <w:tcPr>
            <w:tcW w:w="1385" w:type="dxa"/>
            <w:tcBorders>
              <w:top w:val="single" w:sz="4" w:space="0" w:color="auto"/>
              <w:left w:val="nil"/>
              <w:bottom w:val="single" w:sz="4" w:space="0" w:color="auto"/>
              <w:right w:val="single" w:sz="4" w:space="0" w:color="auto"/>
            </w:tcBorders>
            <w:shd w:val="clear" w:color="9C0006" w:fill="AB0033"/>
            <w:vAlign w:val="center"/>
            <w:hideMark/>
          </w:tcPr>
          <w:p w14:paraId="50D7656E"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Fecha de Vencimiento</w:t>
            </w:r>
          </w:p>
        </w:tc>
        <w:tc>
          <w:tcPr>
            <w:tcW w:w="1050" w:type="dxa"/>
            <w:tcBorders>
              <w:top w:val="single" w:sz="4" w:space="0" w:color="auto"/>
              <w:left w:val="nil"/>
              <w:bottom w:val="single" w:sz="4" w:space="0" w:color="auto"/>
              <w:right w:val="single" w:sz="4" w:space="0" w:color="auto"/>
            </w:tcBorders>
            <w:shd w:val="clear" w:color="9C0006" w:fill="AB0033"/>
            <w:vAlign w:val="center"/>
            <w:hideMark/>
          </w:tcPr>
          <w:p w14:paraId="725B0D64"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Tasa de Interés de Referencia</w:t>
            </w:r>
          </w:p>
        </w:tc>
        <w:tc>
          <w:tcPr>
            <w:tcW w:w="759" w:type="dxa"/>
            <w:tcBorders>
              <w:top w:val="single" w:sz="4" w:space="0" w:color="auto"/>
              <w:left w:val="nil"/>
              <w:bottom w:val="single" w:sz="4" w:space="0" w:color="auto"/>
              <w:right w:val="single" w:sz="4" w:space="0" w:color="auto"/>
            </w:tcBorders>
            <w:shd w:val="clear" w:color="9C0006" w:fill="AB0033"/>
            <w:vAlign w:val="center"/>
            <w:hideMark/>
          </w:tcPr>
          <w:p w14:paraId="2A1DACC4"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Sobre tasa</w:t>
            </w:r>
          </w:p>
        </w:tc>
        <w:tc>
          <w:tcPr>
            <w:tcW w:w="1667" w:type="dxa"/>
            <w:tcBorders>
              <w:top w:val="single" w:sz="4" w:space="0" w:color="auto"/>
              <w:left w:val="nil"/>
              <w:bottom w:val="single" w:sz="4" w:space="0" w:color="auto"/>
              <w:right w:val="single" w:sz="4" w:space="0" w:color="auto"/>
            </w:tcBorders>
            <w:shd w:val="clear" w:color="9C0006" w:fill="AB0033"/>
            <w:vAlign w:val="center"/>
            <w:hideMark/>
          </w:tcPr>
          <w:p w14:paraId="4F79A35C"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Destino</w:t>
            </w:r>
          </w:p>
        </w:tc>
      </w:tr>
      <w:tr w:rsidR="00BD1A51" w:rsidRPr="00BD1A51" w14:paraId="22692CBE" w14:textId="77777777" w:rsidTr="00132EC0">
        <w:trPr>
          <w:trHeight w:val="397"/>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38583351"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BBVA México S.A. 1000 MDP</w:t>
            </w:r>
          </w:p>
        </w:tc>
        <w:tc>
          <w:tcPr>
            <w:tcW w:w="1407" w:type="dxa"/>
            <w:tcBorders>
              <w:top w:val="nil"/>
              <w:left w:val="nil"/>
              <w:bottom w:val="single" w:sz="4" w:space="0" w:color="auto"/>
              <w:right w:val="single" w:sz="4" w:space="0" w:color="auto"/>
            </w:tcBorders>
            <w:shd w:val="clear" w:color="FFFFCC" w:fill="FFFFFF"/>
            <w:noWrap/>
            <w:vAlign w:val="center"/>
            <w:hideMark/>
          </w:tcPr>
          <w:p w14:paraId="2AB56CF7"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1,000,000,000</w:t>
            </w:r>
          </w:p>
        </w:tc>
        <w:tc>
          <w:tcPr>
            <w:tcW w:w="1385" w:type="dxa"/>
            <w:tcBorders>
              <w:top w:val="nil"/>
              <w:left w:val="nil"/>
              <w:bottom w:val="single" w:sz="4" w:space="0" w:color="auto"/>
              <w:right w:val="single" w:sz="4" w:space="0" w:color="auto"/>
            </w:tcBorders>
            <w:shd w:val="clear" w:color="FFFFCC" w:fill="FFFFFF"/>
            <w:noWrap/>
            <w:vAlign w:val="center"/>
            <w:hideMark/>
          </w:tcPr>
          <w:p w14:paraId="0D21FE99"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nil"/>
              <w:left w:val="nil"/>
              <w:bottom w:val="single" w:sz="4" w:space="0" w:color="auto"/>
              <w:right w:val="single" w:sz="4" w:space="0" w:color="auto"/>
            </w:tcBorders>
            <w:shd w:val="clear" w:color="FFFFCC" w:fill="FFFFFF"/>
            <w:noWrap/>
            <w:vAlign w:val="center"/>
            <w:hideMark/>
          </w:tcPr>
          <w:p w14:paraId="6C30F644"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31/01/2030</w:t>
            </w:r>
          </w:p>
        </w:tc>
        <w:tc>
          <w:tcPr>
            <w:tcW w:w="1050" w:type="dxa"/>
            <w:tcBorders>
              <w:top w:val="nil"/>
              <w:left w:val="nil"/>
              <w:bottom w:val="single" w:sz="4" w:space="0" w:color="auto"/>
              <w:right w:val="single" w:sz="4" w:space="0" w:color="auto"/>
            </w:tcBorders>
            <w:shd w:val="clear" w:color="FFFFCC" w:fill="FFFFFF"/>
            <w:vAlign w:val="center"/>
            <w:hideMark/>
          </w:tcPr>
          <w:p w14:paraId="2D6481DF"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nil"/>
              <w:left w:val="nil"/>
              <w:bottom w:val="single" w:sz="4" w:space="0" w:color="auto"/>
              <w:right w:val="single" w:sz="4" w:space="0" w:color="auto"/>
            </w:tcBorders>
            <w:shd w:val="clear" w:color="FFFFCC" w:fill="FFFFFF"/>
            <w:vAlign w:val="center"/>
            <w:hideMark/>
          </w:tcPr>
          <w:p w14:paraId="03D70289"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0.55</w:t>
            </w:r>
          </w:p>
        </w:tc>
        <w:tc>
          <w:tcPr>
            <w:tcW w:w="1667" w:type="dxa"/>
            <w:tcBorders>
              <w:top w:val="nil"/>
              <w:left w:val="nil"/>
              <w:bottom w:val="single" w:sz="4" w:space="0" w:color="auto"/>
              <w:right w:val="single" w:sz="4" w:space="0" w:color="auto"/>
            </w:tcBorders>
            <w:shd w:val="clear" w:color="FFFFCC" w:fill="FFFFFF"/>
            <w:vAlign w:val="center"/>
            <w:hideMark/>
          </w:tcPr>
          <w:p w14:paraId="6A88EFEC"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w:t>
            </w:r>
          </w:p>
        </w:tc>
      </w:tr>
      <w:tr w:rsidR="00BD1A51" w:rsidRPr="00BD1A51" w14:paraId="129AC6B0" w14:textId="77777777" w:rsidTr="00132EC0">
        <w:trPr>
          <w:trHeight w:val="397"/>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37E6401A" w14:textId="77777777" w:rsidR="00BD1A51" w:rsidRPr="00BD1A51" w:rsidRDefault="00BD1A51" w:rsidP="00EC7D22">
            <w:pPr>
              <w:suppressAutoHyphens w:val="0"/>
              <w:overflowPunct/>
              <w:spacing w:after="0" w:line="240" w:lineRule="auto"/>
              <w:rPr>
                <w:rFonts w:eastAsia="Times New Roman" w:cs="Calibri"/>
                <w:color w:val="222B35"/>
                <w:sz w:val="12"/>
                <w:szCs w:val="12"/>
                <w:lang w:val="pt-PT" w:eastAsia="es-MX"/>
              </w:rPr>
            </w:pPr>
            <w:r w:rsidRPr="00BD1A51">
              <w:rPr>
                <w:rFonts w:eastAsia="Times New Roman" w:cs="Calibri"/>
                <w:color w:val="222B35"/>
                <w:sz w:val="12"/>
                <w:szCs w:val="12"/>
                <w:lang w:val="pt-PT" w:eastAsia="es-MX"/>
              </w:rPr>
              <w:t>Banobras S.N.C. 183 MDP</w:t>
            </w:r>
          </w:p>
        </w:tc>
        <w:tc>
          <w:tcPr>
            <w:tcW w:w="1407" w:type="dxa"/>
            <w:tcBorders>
              <w:top w:val="nil"/>
              <w:left w:val="nil"/>
              <w:bottom w:val="single" w:sz="4" w:space="0" w:color="auto"/>
              <w:right w:val="single" w:sz="4" w:space="0" w:color="auto"/>
            </w:tcBorders>
            <w:shd w:val="clear" w:color="FFFFCC" w:fill="FFFFFF"/>
            <w:noWrap/>
            <w:vAlign w:val="center"/>
            <w:hideMark/>
          </w:tcPr>
          <w:p w14:paraId="1735FF70"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183,383,570</w:t>
            </w:r>
          </w:p>
        </w:tc>
        <w:tc>
          <w:tcPr>
            <w:tcW w:w="1385" w:type="dxa"/>
            <w:tcBorders>
              <w:top w:val="nil"/>
              <w:left w:val="nil"/>
              <w:bottom w:val="single" w:sz="4" w:space="0" w:color="auto"/>
              <w:right w:val="single" w:sz="4" w:space="0" w:color="auto"/>
            </w:tcBorders>
            <w:shd w:val="clear" w:color="auto" w:fill="auto"/>
            <w:noWrap/>
            <w:vAlign w:val="center"/>
            <w:hideMark/>
          </w:tcPr>
          <w:p w14:paraId="0D9524F0"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71,013,731</w:t>
            </w:r>
          </w:p>
        </w:tc>
        <w:tc>
          <w:tcPr>
            <w:tcW w:w="1385" w:type="dxa"/>
            <w:tcBorders>
              <w:top w:val="nil"/>
              <w:left w:val="nil"/>
              <w:bottom w:val="single" w:sz="4" w:space="0" w:color="auto"/>
              <w:right w:val="single" w:sz="4" w:space="0" w:color="auto"/>
            </w:tcBorders>
            <w:shd w:val="clear" w:color="FFFFCC" w:fill="FFFFFF"/>
            <w:noWrap/>
            <w:vAlign w:val="center"/>
            <w:hideMark/>
          </w:tcPr>
          <w:p w14:paraId="2DB6B5F9"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29/07/2031</w:t>
            </w:r>
          </w:p>
        </w:tc>
        <w:tc>
          <w:tcPr>
            <w:tcW w:w="1050" w:type="dxa"/>
            <w:tcBorders>
              <w:top w:val="nil"/>
              <w:left w:val="nil"/>
              <w:bottom w:val="single" w:sz="4" w:space="0" w:color="auto"/>
              <w:right w:val="single" w:sz="4" w:space="0" w:color="auto"/>
            </w:tcBorders>
            <w:shd w:val="clear" w:color="FFFFCC" w:fill="FFFFFF"/>
            <w:vAlign w:val="center"/>
            <w:hideMark/>
          </w:tcPr>
          <w:p w14:paraId="556FE06E"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TASA BASE fija variable</w:t>
            </w:r>
          </w:p>
        </w:tc>
        <w:tc>
          <w:tcPr>
            <w:tcW w:w="759" w:type="dxa"/>
            <w:tcBorders>
              <w:top w:val="nil"/>
              <w:left w:val="nil"/>
              <w:bottom w:val="single" w:sz="4" w:space="0" w:color="auto"/>
              <w:right w:val="single" w:sz="4" w:space="0" w:color="auto"/>
            </w:tcBorders>
            <w:shd w:val="clear" w:color="FFFFCC" w:fill="FFFFFF"/>
            <w:vAlign w:val="center"/>
            <w:hideMark/>
          </w:tcPr>
          <w:p w14:paraId="4001C709"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0.75</w:t>
            </w:r>
          </w:p>
        </w:tc>
        <w:tc>
          <w:tcPr>
            <w:tcW w:w="1667" w:type="dxa"/>
            <w:tcBorders>
              <w:top w:val="nil"/>
              <w:left w:val="nil"/>
              <w:bottom w:val="single" w:sz="4" w:space="0" w:color="auto"/>
              <w:right w:val="single" w:sz="4" w:space="0" w:color="auto"/>
            </w:tcBorders>
            <w:shd w:val="clear" w:color="FFFFCC" w:fill="FFFFFF"/>
            <w:vAlign w:val="center"/>
            <w:hideMark/>
          </w:tcPr>
          <w:p w14:paraId="1F3D6D67"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Productiva/FONDEN</w:t>
            </w:r>
          </w:p>
        </w:tc>
      </w:tr>
      <w:tr w:rsidR="00BD1A51" w:rsidRPr="00BD1A51" w14:paraId="71C26A54" w14:textId="77777777" w:rsidTr="00132EC0">
        <w:trPr>
          <w:trHeight w:val="397"/>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56C4FF3D" w14:textId="77777777" w:rsidR="00BD1A51" w:rsidRPr="00BD1A51" w:rsidRDefault="00BD1A51" w:rsidP="00EC7D22">
            <w:pPr>
              <w:suppressAutoHyphens w:val="0"/>
              <w:overflowPunct/>
              <w:spacing w:after="0" w:line="240" w:lineRule="auto"/>
              <w:rPr>
                <w:rFonts w:eastAsia="Times New Roman" w:cs="Calibri"/>
                <w:color w:val="222B35"/>
                <w:sz w:val="12"/>
                <w:szCs w:val="12"/>
                <w:lang w:val="pt-PT" w:eastAsia="es-MX"/>
              </w:rPr>
            </w:pPr>
            <w:r w:rsidRPr="00BD1A51">
              <w:rPr>
                <w:rFonts w:eastAsia="Times New Roman" w:cs="Calibri"/>
                <w:color w:val="222B35"/>
                <w:sz w:val="12"/>
                <w:szCs w:val="12"/>
                <w:lang w:val="pt-PT" w:eastAsia="es-MX"/>
              </w:rPr>
              <w:t>Banobras S.N.C. 187 MDP</w:t>
            </w:r>
          </w:p>
        </w:tc>
        <w:tc>
          <w:tcPr>
            <w:tcW w:w="1407" w:type="dxa"/>
            <w:tcBorders>
              <w:top w:val="nil"/>
              <w:left w:val="nil"/>
              <w:bottom w:val="single" w:sz="4" w:space="0" w:color="auto"/>
              <w:right w:val="single" w:sz="4" w:space="0" w:color="auto"/>
            </w:tcBorders>
            <w:shd w:val="clear" w:color="FFFFCC" w:fill="FFFFFF"/>
            <w:noWrap/>
            <w:vAlign w:val="center"/>
            <w:hideMark/>
          </w:tcPr>
          <w:p w14:paraId="5E80B4EE"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187,112,637</w:t>
            </w:r>
          </w:p>
        </w:tc>
        <w:tc>
          <w:tcPr>
            <w:tcW w:w="1385" w:type="dxa"/>
            <w:tcBorders>
              <w:top w:val="nil"/>
              <w:left w:val="nil"/>
              <w:bottom w:val="single" w:sz="4" w:space="0" w:color="auto"/>
              <w:right w:val="single" w:sz="4" w:space="0" w:color="auto"/>
            </w:tcBorders>
            <w:shd w:val="clear" w:color="auto" w:fill="auto"/>
            <w:noWrap/>
            <w:vAlign w:val="center"/>
            <w:hideMark/>
          </w:tcPr>
          <w:p w14:paraId="0AA9EC46"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80,943,141</w:t>
            </w:r>
          </w:p>
        </w:tc>
        <w:tc>
          <w:tcPr>
            <w:tcW w:w="1385" w:type="dxa"/>
            <w:tcBorders>
              <w:top w:val="nil"/>
              <w:left w:val="nil"/>
              <w:bottom w:val="single" w:sz="4" w:space="0" w:color="auto"/>
              <w:right w:val="single" w:sz="4" w:space="0" w:color="auto"/>
            </w:tcBorders>
            <w:shd w:val="clear" w:color="FFFFCC" w:fill="FFFFFF"/>
            <w:noWrap/>
            <w:vAlign w:val="center"/>
            <w:hideMark/>
          </w:tcPr>
          <w:p w14:paraId="33D9FCCB"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25/05/2032</w:t>
            </w:r>
          </w:p>
        </w:tc>
        <w:tc>
          <w:tcPr>
            <w:tcW w:w="1050" w:type="dxa"/>
            <w:tcBorders>
              <w:top w:val="nil"/>
              <w:left w:val="nil"/>
              <w:bottom w:val="single" w:sz="4" w:space="0" w:color="auto"/>
              <w:right w:val="single" w:sz="4" w:space="0" w:color="auto"/>
            </w:tcBorders>
            <w:shd w:val="clear" w:color="FFFFCC" w:fill="FFFFFF"/>
            <w:vAlign w:val="center"/>
            <w:hideMark/>
          </w:tcPr>
          <w:p w14:paraId="4CC3B689"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TASA BASE 7.67 %</w:t>
            </w:r>
          </w:p>
        </w:tc>
        <w:tc>
          <w:tcPr>
            <w:tcW w:w="759" w:type="dxa"/>
            <w:tcBorders>
              <w:top w:val="nil"/>
              <w:left w:val="nil"/>
              <w:bottom w:val="single" w:sz="4" w:space="0" w:color="auto"/>
              <w:right w:val="single" w:sz="4" w:space="0" w:color="auto"/>
            </w:tcBorders>
            <w:shd w:val="clear" w:color="FFFFCC" w:fill="FFFFFF"/>
            <w:vAlign w:val="center"/>
            <w:hideMark/>
          </w:tcPr>
          <w:p w14:paraId="0B3E87DB"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0.81</w:t>
            </w:r>
          </w:p>
        </w:tc>
        <w:tc>
          <w:tcPr>
            <w:tcW w:w="1667" w:type="dxa"/>
            <w:tcBorders>
              <w:top w:val="nil"/>
              <w:left w:val="nil"/>
              <w:bottom w:val="single" w:sz="4" w:space="0" w:color="auto"/>
              <w:right w:val="single" w:sz="4" w:space="0" w:color="auto"/>
            </w:tcBorders>
            <w:shd w:val="clear" w:color="FFFFCC" w:fill="FFFFFF"/>
            <w:vAlign w:val="center"/>
            <w:hideMark/>
          </w:tcPr>
          <w:p w14:paraId="78EE871D"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Productiva/FONDEN</w:t>
            </w:r>
          </w:p>
        </w:tc>
      </w:tr>
      <w:tr w:rsidR="00BD1A51" w:rsidRPr="00BD1A51" w14:paraId="333B6193" w14:textId="77777777" w:rsidTr="00132EC0">
        <w:trPr>
          <w:trHeight w:val="397"/>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4A761007" w14:textId="77777777" w:rsidR="00BD1A51" w:rsidRPr="00BD1A51" w:rsidRDefault="00BD1A51" w:rsidP="00EC7D22">
            <w:pPr>
              <w:suppressAutoHyphens w:val="0"/>
              <w:overflowPunct/>
              <w:spacing w:after="0" w:line="240" w:lineRule="auto"/>
              <w:rPr>
                <w:rFonts w:eastAsia="Times New Roman" w:cs="Calibri"/>
                <w:color w:val="222B35"/>
                <w:sz w:val="12"/>
                <w:szCs w:val="12"/>
                <w:lang w:val="pt-PT" w:eastAsia="es-MX"/>
              </w:rPr>
            </w:pPr>
            <w:r w:rsidRPr="00BD1A51">
              <w:rPr>
                <w:rFonts w:eastAsia="Times New Roman" w:cs="Calibri"/>
                <w:color w:val="222B35"/>
                <w:sz w:val="12"/>
                <w:szCs w:val="12"/>
                <w:lang w:val="pt-PT" w:eastAsia="es-MX"/>
              </w:rPr>
              <w:t>Banobras S.N.C. 250 MDP</w:t>
            </w:r>
          </w:p>
        </w:tc>
        <w:tc>
          <w:tcPr>
            <w:tcW w:w="1407" w:type="dxa"/>
            <w:tcBorders>
              <w:top w:val="nil"/>
              <w:left w:val="nil"/>
              <w:bottom w:val="single" w:sz="4" w:space="0" w:color="auto"/>
              <w:right w:val="single" w:sz="4" w:space="0" w:color="auto"/>
            </w:tcBorders>
            <w:shd w:val="clear" w:color="FFFFCC" w:fill="FFFFFF"/>
            <w:noWrap/>
            <w:vAlign w:val="center"/>
            <w:hideMark/>
          </w:tcPr>
          <w:p w14:paraId="2E51AB98"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250,802,462</w:t>
            </w:r>
          </w:p>
        </w:tc>
        <w:tc>
          <w:tcPr>
            <w:tcW w:w="1385" w:type="dxa"/>
            <w:tcBorders>
              <w:top w:val="nil"/>
              <w:left w:val="nil"/>
              <w:bottom w:val="single" w:sz="4" w:space="0" w:color="auto"/>
              <w:right w:val="single" w:sz="4" w:space="0" w:color="auto"/>
            </w:tcBorders>
            <w:shd w:val="clear" w:color="FFFFCC" w:fill="FFFFFF"/>
            <w:noWrap/>
            <w:vAlign w:val="center"/>
            <w:hideMark/>
          </w:tcPr>
          <w:p w14:paraId="0E30B1E6"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nil"/>
              <w:left w:val="nil"/>
              <w:bottom w:val="single" w:sz="4" w:space="0" w:color="auto"/>
              <w:right w:val="single" w:sz="4" w:space="0" w:color="auto"/>
            </w:tcBorders>
            <w:shd w:val="clear" w:color="FFFFCC" w:fill="FFFFFF"/>
            <w:noWrap/>
            <w:vAlign w:val="center"/>
            <w:hideMark/>
          </w:tcPr>
          <w:p w14:paraId="7D25898F"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25/04/2024</w:t>
            </w:r>
          </w:p>
        </w:tc>
        <w:tc>
          <w:tcPr>
            <w:tcW w:w="1050" w:type="dxa"/>
            <w:tcBorders>
              <w:top w:val="nil"/>
              <w:left w:val="nil"/>
              <w:bottom w:val="single" w:sz="4" w:space="0" w:color="auto"/>
              <w:right w:val="single" w:sz="4" w:space="0" w:color="auto"/>
            </w:tcBorders>
            <w:shd w:val="clear" w:color="FFFFCC" w:fill="FFFFFF"/>
            <w:vAlign w:val="center"/>
            <w:hideMark/>
          </w:tcPr>
          <w:p w14:paraId="241B3E51"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 xml:space="preserve">TIIE </w:t>
            </w:r>
          </w:p>
        </w:tc>
        <w:tc>
          <w:tcPr>
            <w:tcW w:w="759" w:type="dxa"/>
            <w:tcBorders>
              <w:top w:val="nil"/>
              <w:left w:val="nil"/>
              <w:bottom w:val="single" w:sz="4" w:space="0" w:color="auto"/>
              <w:right w:val="single" w:sz="4" w:space="0" w:color="auto"/>
            </w:tcBorders>
            <w:shd w:val="clear" w:color="FFFFCC" w:fill="FFFFFF"/>
            <w:vAlign w:val="center"/>
            <w:hideMark/>
          </w:tcPr>
          <w:p w14:paraId="44327D92"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0.77</w:t>
            </w:r>
          </w:p>
        </w:tc>
        <w:tc>
          <w:tcPr>
            <w:tcW w:w="1667" w:type="dxa"/>
            <w:tcBorders>
              <w:top w:val="nil"/>
              <w:left w:val="nil"/>
              <w:bottom w:val="single" w:sz="4" w:space="0" w:color="auto"/>
              <w:right w:val="single" w:sz="4" w:space="0" w:color="auto"/>
            </w:tcBorders>
            <w:shd w:val="clear" w:color="FFFFCC" w:fill="FFFFFF"/>
            <w:vAlign w:val="center"/>
            <w:hideMark/>
          </w:tcPr>
          <w:p w14:paraId="60082334"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w:t>
            </w:r>
          </w:p>
        </w:tc>
      </w:tr>
      <w:tr w:rsidR="00BD1A51" w:rsidRPr="00BD1A51" w14:paraId="31164143" w14:textId="77777777" w:rsidTr="00132EC0">
        <w:trPr>
          <w:trHeight w:val="397"/>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081B1C86" w14:textId="77777777" w:rsidR="00BD1A51" w:rsidRPr="00BD1A51" w:rsidRDefault="00BD1A51" w:rsidP="00EC7D22">
            <w:pPr>
              <w:suppressAutoHyphens w:val="0"/>
              <w:overflowPunct/>
              <w:spacing w:after="0" w:line="240" w:lineRule="auto"/>
              <w:rPr>
                <w:rFonts w:eastAsia="Times New Roman" w:cs="Calibri"/>
                <w:color w:val="222B35"/>
                <w:sz w:val="12"/>
                <w:szCs w:val="12"/>
                <w:lang w:val="pt-PT" w:eastAsia="es-MX"/>
              </w:rPr>
            </w:pPr>
            <w:r w:rsidRPr="00BD1A51">
              <w:rPr>
                <w:rFonts w:eastAsia="Times New Roman" w:cs="Calibri"/>
                <w:color w:val="222B35"/>
                <w:sz w:val="12"/>
                <w:szCs w:val="12"/>
                <w:lang w:val="pt-PT" w:eastAsia="es-MX"/>
              </w:rPr>
              <w:t>Banobras S.N.C. 113 MDP</w:t>
            </w:r>
          </w:p>
        </w:tc>
        <w:tc>
          <w:tcPr>
            <w:tcW w:w="1407" w:type="dxa"/>
            <w:tcBorders>
              <w:top w:val="nil"/>
              <w:left w:val="nil"/>
              <w:bottom w:val="single" w:sz="4" w:space="0" w:color="auto"/>
              <w:right w:val="single" w:sz="4" w:space="0" w:color="auto"/>
            </w:tcBorders>
            <w:shd w:val="clear" w:color="FFFFCC" w:fill="FFFFFF"/>
            <w:noWrap/>
            <w:vAlign w:val="center"/>
            <w:hideMark/>
          </w:tcPr>
          <w:p w14:paraId="1321E52C"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113,990,000</w:t>
            </w:r>
          </w:p>
        </w:tc>
        <w:tc>
          <w:tcPr>
            <w:tcW w:w="1385" w:type="dxa"/>
            <w:tcBorders>
              <w:top w:val="nil"/>
              <w:left w:val="nil"/>
              <w:bottom w:val="single" w:sz="4" w:space="0" w:color="auto"/>
              <w:right w:val="single" w:sz="4" w:space="0" w:color="auto"/>
            </w:tcBorders>
            <w:shd w:val="clear" w:color="FFFFCC" w:fill="FFFFFF"/>
            <w:noWrap/>
            <w:vAlign w:val="center"/>
            <w:hideMark/>
          </w:tcPr>
          <w:p w14:paraId="16618E12"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2,425,438</w:t>
            </w:r>
          </w:p>
        </w:tc>
        <w:tc>
          <w:tcPr>
            <w:tcW w:w="1385" w:type="dxa"/>
            <w:tcBorders>
              <w:top w:val="nil"/>
              <w:left w:val="nil"/>
              <w:bottom w:val="single" w:sz="4" w:space="0" w:color="auto"/>
              <w:right w:val="single" w:sz="4" w:space="0" w:color="auto"/>
            </w:tcBorders>
            <w:shd w:val="clear" w:color="FFFFCC" w:fill="FFFFFF"/>
            <w:noWrap/>
            <w:vAlign w:val="center"/>
            <w:hideMark/>
          </w:tcPr>
          <w:p w14:paraId="37940E26"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28/03/2025</w:t>
            </w:r>
          </w:p>
        </w:tc>
        <w:tc>
          <w:tcPr>
            <w:tcW w:w="1050" w:type="dxa"/>
            <w:tcBorders>
              <w:top w:val="nil"/>
              <w:left w:val="nil"/>
              <w:bottom w:val="single" w:sz="4" w:space="0" w:color="auto"/>
              <w:right w:val="single" w:sz="4" w:space="0" w:color="auto"/>
            </w:tcBorders>
            <w:shd w:val="clear" w:color="FFFFCC" w:fill="FFFFFF"/>
            <w:vAlign w:val="center"/>
            <w:hideMark/>
          </w:tcPr>
          <w:p w14:paraId="45EF97D4"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 xml:space="preserve">TIIE </w:t>
            </w:r>
          </w:p>
        </w:tc>
        <w:tc>
          <w:tcPr>
            <w:tcW w:w="759" w:type="dxa"/>
            <w:tcBorders>
              <w:top w:val="nil"/>
              <w:left w:val="nil"/>
              <w:bottom w:val="single" w:sz="4" w:space="0" w:color="auto"/>
              <w:right w:val="single" w:sz="4" w:space="0" w:color="auto"/>
            </w:tcBorders>
            <w:shd w:val="clear" w:color="FFFFCC" w:fill="FFFFFF"/>
            <w:vAlign w:val="center"/>
            <w:hideMark/>
          </w:tcPr>
          <w:p w14:paraId="13A0798F"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0.89</w:t>
            </w:r>
          </w:p>
        </w:tc>
        <w:tc>
          <w:tcPr>
            <w:tcW w:w="1667" w:type="dxa"/>
            <w:tcBorders>
              <w:top w:val="nil"/>
              <w:left w:val="nil"/>
              <w:bottom w:val="single" w:sz="4" w:space="0" w:color="auto"/>
              <w:right w:val="single" w:sz="4" w:space="0" w:color="auto"/>
            </w:tcBorders>
            <w:shd w:val="clear" w:color="FFFFCC" w:fill="FFFFFF"/>
            <w:vAlign w:val="center"/>
            <w:hideMark/>
          </w:tcPr>
          <w:p w14:paraId="0E6418C0"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w:t>
            </w:r>
          </w:p>
        </w:tc>
      </w:tr>
      <w:tr w:rsidR="00BD1A51" w:rsidRPr="00BD1A51" w14:paraId="075AC2A4" w14:textId="77777777" w:rsidTr="00132EC0">
        <w:trPr>
          <w:trHeight w:val="340"/>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27411"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lastRenderedPageBreak/>
              <w:t>Banamex S.A. 1500 MDP</w:t>
            </w:r>
          </w:p>
        </w:tc>
        <w:tc>
          <w:tcPr>
            <w:tcW w:w="1407" w:type="dxa"/>
            <w:tcBorders>
              <w:top w:val="single" w:sz="4" w:space="0" w:color="auto"/>
              <w:left w:val="nil"/>
              <w:bottom w:val="single" w:sz="4" w:space="0" w:color="auto"/>
              <w:right w:val="single" w:sz="4" w:space="0" w:color="auto"/>
            </w:tcBorders>
            <w:shd w:val="clear" w:color="FFFFCC" w:fill="FFFFFF"/>
            <w:noWrap/>
            <w:vAlign w:val="center"/>
            <w:hideMark/>
          </w:tcPr>
          <w:p w14:paraId="4DBB8A04"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1,500,000,000</w:t>
            </w:r>
          </w:p>
        </w:tc>
        <w:tc>
          <w:tcPr>
            <w:tcW w:w="1385" w:type="dxa"/>
            <w:tcBorders>
              <w:top w:val="single" w:sz="4" w:space="0" w:color="auto"/>
              <w:left w:val="nil"/>
              <w:bottom w:val="single" w:sz="4" w:space="0" w:color="auto"/>
              <w:right w:val="single" w:sz="4" w:space="0" w:color="auto"/>
            </w:tcBorders>
            <w:shd w:val="clear" w:color="FFFFCC" w:fill="FFFFFF"/>
            <w:noWrap/>
            <w:vAlign w:val="center"/>
            <w:hideMark/>
          </w:tcPr>
          <w:p w14:paraId="2EAA8D20"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single" w:sz="4" w:space="0" w:color="auto"/>
              <w:left w:val="nil"/>
              <w:bottom w:val="single" w:sz="4" w:space="0" w:color="auto"/>
              <w:right w:val="single" w:sz="4" w:space="0" w:color="auto"/>
            </w:tcBorders>
            <w:shd w:val="clear" w:color="FFFFCC" w:fill="FFFFFF"/>
            <w:noWrap/>
            <w:vAlign w:val="center"/>
            <w:hideMark/>
          </w:tcPr>
          <w:p w14:paraId="5FF4DE03"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13/11/2037</w:t>
            </w:r>
          </w:p>
        </w:tc>
        <w:tc>
          <w:tcPr>
            <w:tcW w:w="1050" w:type="dxa"/>
            <w:tcBorders>
              <w:top w:val="single" w:sz="4" w:space="0" w:color="auto"/>
              <w:left w:val="nil"/>
              <w:bottom w:val="single" w:sz="4" w:space="0" w:color="auto"/>
              <w:right w:val="single" w:sz="4" w:space="0" w:color="auto"/>
            </w:tcBorders>
            <w:shd w:val="clear" w:color="FFFFCC" w:fill="FFFFFF"/>
            <w:vAlign w:val="center"/>
            <w:hideMark/>
          </w:tcPr>
          <w:p w14:paraId="4FF60DAD"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single" w:sz="4" w:space="0" w:color="auto"/>
              <w:left w:val="nil"/>
              <w:bottom w:val="single" w:sz="4" w:space="0" w:color="auto"/>
              <w:right w:val="single" w:sz="4" w:space="0" w:color="auto"/>
            </w:tcBorders>
            <w:shd w:val="clear" w:color="FFFFCC" w:fill="FFFFFF"/>
            <w:vAlign w:val="center"/>
            <w:hideMark/>
          </w:tcPr>
          <w:p w14:paraId="2D7797F7"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0.62</w:t>
            </w:r>
          </w:p>
        </w:tc>
        <w:tc>
          <w:tcPr>
            <w:tcW w:w="1667" w:type="dxa"/>
            <w:tcBorders>
              <w:top w:val="single" w:sz="4" w:space="0" w:color="auto"/>
              <w:left w:val="nil"/>
              <w:bottom w:val="single" w:sz="4" w:space="0" w:color="auto"/>
              <w:right w:val="single" w:sz="4" w:space="0" w:color="auto"/>
            </w:tcBorders>
            <w:shd w:val="clear" w:color="FFFFCC" w:fill="FFFFFF"/>
            <w:vAlign w:val="center"/>
            <w:hideMark/>
          </w:tcPr>
          <w:p w14:paraId="600DAAB5"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Reestructura de Deuda</w:t>
            </w:r>
          </w:p>
        </w:tc>
      </w:tr>
      <w:tr w:rsidR="00BD1A51" w:rsidRPr="00BD1A51" w14:paraId="2E5A3FE3" w14:textId="77777777" w:rsidTr="00132EC0">
        <w:trPr>
          <w:trHeight w:val="340"/>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9BBBC"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Banorte S.A.  1’539 MDP</w:t>
            </w:r>
          </w:p>
        </w:tc>
        <w:tc>
          <w:tcPr>
            <w:tcW w:w="1407" w:type="dxa"/>
            <w:tcBorders>
              <w:top w:val="single" w:sz="4" w:space="0" w:color="auto"/>
              <w:left w:val="nil"/>
              <w:bottom w:val="single" w:sz="4" w:space="0" w:color="auto"/>
              <w:right w:val="single" w:sz="4" w:space="0" w:color="auto"/>
            </w:tcBorders>
            <w:shd w:val="clear" w:color="FFFFCC" w:fill="FFFFFF"/>
            <w:noWrap/>
            <w:vAlign w:val="center"/>
            <w:hideMark/>
          </w:tcPr>
          <w:p w14:paraId="04D3F0F2"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1,539,000,000</w:t>
            </w:r>
          </w:p>
        </w:tc>
        <w:tc>
          <w:tcPr>
            <w:tcW w:w="1385" w:type="dxa"/>
            <w:tcBorders>
              <w:top w:val="single" w:sz="4" w:space="0" w:color="auto"/>
              <w:left w:val="nil"/>
              <w:bottom w:val="single" w:sz="4" w:space="0" w:color="auto"/>
              <w:right w:val="single" w:sz="4" w:space="0" w:color="auto"/>
            </w:tcBorders>
            <w:shd w:val="clear" w:color="FFFFCC" w:fill="FFFFFF"/>
            <w:noWrap/>
            <w:vAlign w:val="center"/>
            <w:hideMark/>
          </w:tcPr>
          <w:p w14:paraId="51CF18A1"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single" w:sz="4" w:space="0" w:color="auto"/>
              <w:left w:val="nil"/>
              <w:bottom w:val="single" w:sz="4" w:space="0" w:color="auto"/>
              <w:right w:val="single" w:sz="4" w:space="0" w:color="auto"/>
            </w:tcBorders>
            <w:shd w:val="clear" w:color="FFFFCC" w:fill="FFFFFF"/>
            <w:noWrap/>
            <w:vAlign w:val="center"/>
            <w:hideMark/>
          </w:tcPr>
          <w:p w14:paraId="10F0B27B"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01/11/2037</w:t>
            </w:r>
          </w:p>
        </w:tc>
        <w:tc>
          <w:tcPr>
            <w:tcW w:w="1050" w:type="dxa"/>
            <w:tcBorders>
              <w:top w:val="single" w:sz="4" w:space="0" w:color="auto"/>
              <w:left w:val="nil"/>
              <w:bottom w:val="single" w:sz="4" w:space="0" w:color="auto"/>
              <w:right w:val="single" w:sz="4" w:space="0" w:color="auto"/>
            </w:tcBorders>
            <w:shd w:val="clear" w:color="FFFFCC" w:fill="FFFFFF"/>
            <w:vAlign w:val="center"/>
            <w:hideMark/>
          </w:tcPr>
          <w:p w14:paraId="7CFBD1ED"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single" w:sz="4" w:space="0" w:color="auto"/>
              <w:left w:val="nil"/>
              <w:bottom w:val="single" w:sz="4" w:space="0" w:color="auto"/>
              <w:right w:val="single" w:sz="4" w:space="0" w:color="auto"/>
            </w:tcBorders>
            <w:shd w:val="clear" w:color="FFFFCC" w:fill="FFFFFF"/>
            <w:vAlign w:val="center"/>
            <w:hideMark/>
          </w:tcPr>
          <w:p w14:paraId="63B1689B"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0.51</w:t>
            </w:r>
          </w:p>
        </w:tc>
        <w:tc>
          <w:tcPr>
            <w:tcW w:w="1667" w:type="dxa"/>
            <w:tcBorders>
              <w:top w:val="single" w:sz="4" w:space="0" w:color="auto"/>
              <w:left w:val="nil"/>
              <w:bottom w:val="single" w:sz="4" w:space="0" w:color="auto"/>
              <w:right w:val="single" w:sz="4" w:space="0" w:color="auto"/>
            </w:tcBorders>
            <w:shd w:val="clear" w:color="FFFFCC" w:fill="FFFFFF"/>
            <w:vAlign w:val="center"/>
            <w:hideMark/>
          </w:tcPr>
          <w:p w14:paraId="2806F7B9"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Reestructura de Deuda</w:t>
            </w:r>
          </w:p>
        </w:tc>
      </w:tr>
      <w:tr w:rsidR="00BD1A51" w:rsidRPr="00BD1A51" w14:paraId="66E7298C" w14:textId="77777777" w:rsidTr="00132EC0">
        <w:trPr>
          <w:trHeight w:val="340"/>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1AC79"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Banorte S.A. 5’461 MDP</w:t>
            </w:r>
          </w:p>
        </w:tc>
        <w:tc>
          <w:tcPr>
            <w:tcW w:w="140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735282F5"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5,461,000,000</w:t>
            </w:r>
          </w:p>
        </w:tc>
        <w:tc>
          <w:tcPr>
            <w:tcW w:w="138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F76EB83"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035D9D4"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01/11/2037</w:t>
            </w:r>
          </w:p>
        </w:tc>
        <w:tc>
          <w:tcPr>
            <w:tcW w:w="1050"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CF280AB"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E3EF41E"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0.61</w:t>
            </w:r>
          </w:p>
        </w:tc>
        <w:tc>
          <w:tcPr>
            <w:tcW w:w="16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027EE21"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Reestructura de Deuda</w:t>
            </w:r>
          </w:p>
        </w:tc>
      </w:tr>
      <w:tr w:rsidR="00BD1A51" w:rsidRPr="00BD1A51" w14:paraId="7E273441" w14:textId="77777777" w:rsidTr="00132EC0">
        <w:trPr>
          <w:trHeight w:val="340"/>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1DD97"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Santander S.A. 1’650 MDP</w:t>
            </w:r>
          </w:p>
        </w:tc>
        <w:tc>
          <w:tcPr>
            <w:tcW w:w="140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D0EBBC1"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1,650,000,000</w:t>
            </w:r>
          </w:p>
        </w:tc>
        <w:tc>
          <w:tcPr>
            <w:tcW w:w="138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945A30C"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4F8CC539"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28/02/2038</w:t>
            </w:r>
          </w:p>
        </w:tc>
        <w:tc>
          <w:tcPr>
            <w:tcW w:w="1050"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676E895"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AC583E7"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0.71</w:t>
            </w:r>
          </w:p>
        </w:tc>
        <w:tc>
          <w:tcPr>
            <w:tcW w:w="16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66224B7"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w:t>
            </w:r>
          </w:p>
        </w:tc>
      </w:tr>
      <w:tr w:rsidR="00BD1A51" w:rsidRPr="00BD1A51" w14:paraId="6B534101" w14:textId="77777777" w:rsidTr="00132EC0">
        <w:trPr>
          <w:trHeight w:val="340"/>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C8F29"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Banamex S.A. 1’000 MDP</w:t>
            </w:r>
          </w:p>
        </w:tc>
        <w:tc>
          <w:tcPr>
            <w:tcW w:w="140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9DCE0F4"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1,000,000,000</w:t>
            </w:r>
          </w:p>
        </w:tc>
        <w:tc>
          <w:tcPr>
            <w:tcW w:w="138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49AEA7F0"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4C6D7DF9"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28/02/2038</w:t>
            </w:r>
          </w:p>
        </w:tc>
        <w:tc>
          <w:tcPr>
            <w:tcW w:w="1050"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F86A6DB"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BBBDA88"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0.62</w:t>
            </w:r>
          </w:p>
        </w:tc>
        <w:tc>
          <w:tcPr>
            <w:tcW w:w="16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0BB4502"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w:t>
            </w:r>
          </w:p>
        </w:tc>
      </w:tr>
      <w:tr w:rsidR="00BD1A51" w:rsidRPr="00BD1A51" w14:paraId="4ACB6C0C" w14:textId="77777777" w:rsidTr="00132EC0">
        <w:trPr>
          <w:trHeight w:val="340"/>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1B70D"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BBVA México S.A. 500 MDP</w:t>
            </w:r>
          </w:p>
        </w:tc>
        <w:tc>
          <w:tcPr>
            <w:tcW w:w="1407" w:type="dxa"/>
            <w:tcBorders>
              <w:top w:val="single" w:sz="4" w:space="0" w:color="auto"/>
              <w:left w:val="nil"/>
              <w:bottom w:val="single" w:sz="4" w:space="0" w:color="auto"/>
              <w:right w:val="single" w:sz="4" w:space="0" w:color="auto"/>
            </w:tcBorders>
            <w:shd w:val="clear" w:color="FFFFCC" w:fill="FFFFFF"/>
            <w:noWrap/>
            <w:vAlign w:val="center"/>
            <w:hideMark/>
          </w:tcPr>
          <w:p w14:paraId="1B0858F3"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500,000,000</w:t>
            </w:r>
          </w:p>
        </w:tc>
        <w:tc>
          <w:tcPr>
            <w:tcW w:w="1385" w:type="dxa"/>
            <w:tcBorders>
              <w:top w:val="single" w:sz="4" w:space="0" w:color="auto"/>
              <w:left w:val="nil"/>
              <w:bottom w:val="single" w:sz="4" w:space="0" w:color="auto"/>
              <w:right w:val="single" w:sz="4" w:space="0" w:color="auto"/>
            </w:tcBorders>
            <w:shd w:val="clear" w:color="FFFFCC" w:fill="FFFFFF"/>
            <w:noWrap/>
            <w:vAlign w:val="center"/>
            <w:hideMark/>
          </w:tcPr>
          <w:p w14:paraId="2A49130F"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single" w:sz="4" w:space="0" w:color="auto"/>
              <w:left w:val="nil"/>
              <w:bottom w:val="single" w:sz="4" w:space="0" w:color="auto"/>
              <w:right w:val="single" w:sz="4" w:space="0" w:color="auto"/>
            </w:tcBorders>
            <w:shd w:val="clear" w:color="FFFFCC" w:fill="FFFFFF"/>
            <w:noWrap/>
            <w:vAlign w:val="center"/>
            <w:hideMark/>
          </w:tcPr>
          <w:p w14:paraId="506CE371"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28/02/2038</w:t>
            </w:r>
          </w:p>
        </w:tc>
        <w:tc>
          <w:tcPr>
            <w:tcW w:w="1050" w:type="dxa"/>
            <w:tcBorders>
              <w:top w:val="single" w:sz="4" w:space="0" w:color="auto"/>
              <w:left w:val="nil"/>
              <w:bottom w:val="single" w:sz="4" w:space="0" w:color="auto"/>
              <w:right w:val="single" w:sz="4" w:space="0" w:color="auto"/>
            </w:tcBorders>
            <w:shd w:val="clear" w:color="FFFFCC" w:fill="FFFFFF"/>
            <w:vAlign w:val="center"/>
            <w:hideMark/>
          </w:tcPr>
          <w:p w14:paraId="7C5E3A57"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single" w:sz="4" w:space="0" w:color="auto"/>
              <w:left w:val="nil"/>
              <w:bottom w:val="single" w:sz="4" w:space="0" w:color="auto"/>
              <w:right w:val="single" w:sz="4" w:space="0" w:color="auto"/>
            </w:tcBorders>
            <w:shd w:val="clear" w:color="FFFFCC" w:fill="FFFFFF"/>
            <w:vAlign w:val="center"/>
            <w:hideMark/>
          </w:tcPr>
          <w:p w14:paraId="45F12912"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0.48</w:t>
            </w:r>
          </w:p>
        </w:tc>
        <w:tc>
          <w:tcPr>
            <w:tcW w:w="1667" w:type="dxa"/>
            <w:tcBorders>
              <w:top w:val="single" w:sz="4" w:space="0" w:color="auto"/>
              <w:left w:val="nil"/>
              <w:bottom w:val="single" w:sz="4" w:space="0" w:color="auto"/>
              <w:right w:val="single" w:sz="4" w:space="0" w:color="auto"/>
            </w:tcBorders>
            <w:shd w:val="clear" w:color="FFFFCC" w:fill="FFFFFF"/>
            <w:vAlign w:val="center"/>
            <w:hideMark/>
          </w:tcPr>
          <w:p w14:paraId="4FC16EFB"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w:t>
            </w:r>
          </w:p>
        </w:tc>
      </w:tr>
      <w:tr w:rsidR="00BD1A51" w:rsidRPr="00BD1A51" w14:paraId="0055B9E8" w14:textId="77777777" w:rsidTr="00132EC0">
        <w:trPr>
          <w:trHeight w:val="34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78FCF288"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BBVA México S.A. 968 MDP</w:t>
            </w:r>
          </w:p>
        </w:tc>
        <w:tc>
          <w:tcPr>
            <w:tcW w:w="1407" w:type="dxa"/>
            <w:tcBorders>
              <w:top w:val="nil"/>
              <w:left w:val="nil"/>
              <w:bottom w:val="single" w:sz="4" w:space="0" w:color="auto"/>
              <w:right w:val="single" w:sz="4" w:space="0" w:color="auto"/>
            </w:tcBorders>
            <w:shd w:val="clear" w:color="FFFFCC" w:fill="FFFFFF"/>
            <w:noWrap/>
            <w:vAlign w:val="center"/>
            <w:hideMark/>
          </w:tcPr>
          <w:p w14:paraId="1AF13402"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968,347,530</w:t>
            </w:r>
          </w:p>
        </w:tc>
        <w:tc>
          <w:tcPr>
            <w:tcW w:w="1385" w:type="dxa"/>
            <w:tcBorders>
              <w:top w:val="nil"/>
              <w:left w:val="nil"/>
              <w:bottom w:val="single" w:sz="4" w:space="0" w:color="auto"/>
              <w:right w:val="single" w:sz="4" w:space="0" w:color="auto"/>
            </w:tcBorders>
            <w:shd w:val="clear" w:color="FFFFCC" w:fill="FFFFFF"/>
            <w:noWrap/>
            <w:vAlign w:val="bottom"/>
            <w:hideMark/>
          </w:tcPr>
          <w:p w14:paraId="3264FA15"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nil"/>
              <w:left w:val="nil"/>
              <w:bottom w:val="single" w:sz="4" w:space="0" w:color="auto"/>
              <w:right w:val="single" w:sz="4" w:space="0" w:color="auto"/>
            </w:tcBorders>
            <w:shd w:val="clear" w:color="FFFFCC" w:fill="FFFFFF"/>
            <w:noWrap/>
            <w:vAlign w:val="center"/>
            <w:hideMark/>
          </w:tcPr>
          <w:p w14:paraId="66DACACC"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14/03/2031</w:t>
            </w:r>
          </w:p>
        </w:tc>
        <w:tc>
          <w:tcPr>
            <w:tcW w:w="1050" w:type="dxa"/>
            <w:tcBorders>
              <w:top w:val="nil"/>
              <w:left w:val="nil"/>
              <w:bottom w:val="single" w:sz="4" w:space="0" w:color="auto"/>
              <w:right w:val="single" w:sz="4" w:space="0" w:color="auto"/>
            </w:tcBorders>
            <w:shd w:val="clear" w:color="FFFFCC" w:fill="FFFFFF"/>
            <w:vAlign w:val="center"/>
            <w:hideMark/>
          </w:tcPr>
          <w:p w14:paraId="72A2E5C6"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nil"/>
              <w:left w:val="nil"/>
              <w:bottom w:val="single" w:sz="4" w:space="0" w:color="auto"/>
              <w:right w:val="single" w:sz="4" w:space="0" w:color="auto"/>
            </w:tcBorders>
            <w:shd w:val="clear" w:color="FFFFCC" w:fill="FFFFFF"/>
            <w:vAlign w:val="center"/>
            <w:hideMark/>
          </w:tcPr>
          <w:p w14:paraId="6E55CBD2"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0.52</w:t>
            </w:r>
          </w:p>
        </w:tc>
        <w:tc>
          <w:tcPr>
            <w:tcW w:w="1667" w:type="dxa"/>
            <w:tcBorders>
              <w:top w:val="nil"/>
              <w:left w:val="nil"/>
              <w:bottom w:val="single" w:sz="4" w:space="0" w:color="auto"/>
              <w:right w:val="single" w:sz="4" w:space="0" w:color="auto"/>
            </w:tcBorders>
            <w:shd w:val="clear" w:color="FFFFCC" w:fill="FFFFFF"/>
            <w:vAlign w:val="center"/>
            <w:hideMark/>
          </w:tcPr>
          <w:p w14:paraId="6C7930E5"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Refinanciamiento</w:t>
            </w:r>
          </w:p>
        </w:tc>
      </w:tr>
      <w:tr w:rsidR="00BD1A51" w:rsidRPr="00BD1A51" w14:paraId="09BBB420" w14:textId="77777777" w:rsidTr="00132EC0">
        <w:trPr>
          <w:trHeight w:val="34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73C99E5E"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BBVA México S.A. 994 MDP</w:t>
            </w:r>
          </w:p>
        </w:tc>
        <w:tc>
          <w:tcPr>
            <w:tcW w:w="1407" w:type="dxa"/>
            <w:tcBorders>
              <w:top w:val="nil"/>
              <w:left w:val="nil"/>
              <w:bottom w:val="single" w:sz="4" w:space="0" w:color="auto"/>
              <w:right w:val="single" w:sz="4" w:space="0" w:color="auto"/>
            </w:tcBorders>
            <w:shd w:val="clear" w:color="FFFFCC" w:fill="FFFFFF"/>
            <w:noWrap/>
            <w:vAlign w:val="center"/>
            <w:hideMark/>
          </w:tcPr>
          <w:p w14:paraId="18CD78FC"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994,864,167</w:t>
            </w:r>
          </w:p>
        </w:tc>
        <w:tc>
          <w:tcPr>
            <w:tcW w:w="1385" w:type="dxa"/>
            <w:tcBorders>
              <w:top w:val="nil"/>
              <w:left w:val="nil"/>
              <w:bottom w:val="single" w:sz="4" w:space="0" w:color="auto"/>
              <w:right w:val="single" w:sz="4" w:space="0" w:color="auto"/>
            </w:tcBorders>
            <w:shd w:val="clear" w:color="FFFFCC" w:fill="FFFFFF"/>
            <w:noWrap/>
            <w:vAlign w:val="bottom"/>
            <w:hideMark/>
          </w:tcPr>
          <w:p w14:paraId="1DA70E93"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85" w:type="dxa"/>
            <w:tcBorders>
              <w:top w:val="nil"/>
              <w:left w:val="nil"/>
              <w:bottom w:val="single" w:sz="4" w:space="0" w:color="auto"/>
              <w:right w:val="single" w:sz="4" w:space="0" w:color="auto"/>
            </w:tcBorders>
            <w:shd w:val="clear" w:color="FFFFCC" w:fill="FFFFFF"/>
            <w:noWrap/>
            <w:vAlign w:val="center"/>
            <w:hideMark/>
          </w:tcPr>
          <w:p w14:paraId="2CE6EBA1"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13/11/2037</w:t>
            </w:r>
          </w:p>
        </w:tc>
        <w:tc>
          <w:tcPr>
            <w:tcW w:w="1050" w:type="dxa"/>
            <w:tcBorders>
              <w:top w:val="nil"/>
              <w:left w:val="nil"/>
              <w:bottom w:val="single" w:sz="4" w:space="0" w:color="auto"/>
              <w:right w:val="single" w:sz="4" w:space="0" w:color="auto"/>
            </w:tcBorders>
            <w:shd w:val="clear" w:color="FFFFCC" w:fill="FFFFFF"/>
            <w:vAlign w:val="center"/>
            <w:hideMark/>
          </w:tcPr>
          <w:p w14:paraId="31EA4B3E"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nil"/>
              <w:left w:val="nil"/>
              <w:bottom w:val="single" w:sz="4" w:space="0" w:color="auto"/>
              <w:right w:val="single" w:sz="4" w:space="0" w:color="auto"/>
            </w:tcBorders>
            <w:shd w:val="clear" w:color="FFFFCC" w:fill="FFFFFF"/>
            <w:vAlign w:val="center"/>
            <w:hideMark/>
          </w:tcPr>
          <w:p w14:paraId="04555581"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0.52</w:t>
            </w:r>
          </w:p>
        </w:tc>
        <w:tc>
          <w:tcPr>
            <w:tcW w:w="1667" w:type="dxa"/>
            <w:tcBorders>
              <w:top w:val="nil"/>
              <w:left w:val="nil"/>
              <w:bottom w:val="single" w:sz="4" w:space="0" w:color="auto"/>
              <w:right w:val="single" w:sz="4" w:space="0" w:color="auto"/>
            </w:tcBorders>
            <w:shd w:val="clear" w:color="FFFFCC" w:fill="FFFFFF"/>
            <w:vAlign w:val="center"/>
            <w:hideMark/>
          </w:tcPr>
          <w:p w14:paraId="58BDF062"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Refinanciamiento</w:t>
            </w:r>
          </w:p>
        </w:tc>
      </w:tr>
      <w:tr w:rsidR="00BD1A51" w:rsidRPr="00BD1A51" w14:paraId="0EE1FBE3" w14:textId="77777777" w:rsidTr="00132EC0">
        <w:trPr>
          <w:trHeight w:val="34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00F9DEE9"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Banorte S.A. 1’500 MDP</w:t>
            </w:r>
          </w:p>
        </w:tc>
        <w:tc>
          <w:tcPr>
            <w:tcW w:w="1407" w:type="dxa"/>
            <w:tcBorders>
              <w:top w:val="nil"/>
              <w:left w:val="nil"/>
              <w:bottom w:val="single" w:sz="4" w:space="0" w:color="auto"/>
              <w:right w:val="single" w:sz="4" w:space="0" w:color="auto"/>
            </w:tcBorders>
            <w:shd w:val="clear" w:color="FFFFCC" w:fill="FFFFFF"/>
            <w:noWrap/>
            <w:vAlign w:val="center"/>
            <w:hideMark/>
          </w:tcPr>
          <w:p w14:paraId="0CE9355D"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1,500,000,000</w:t>
            </w:r>
          </w:p>
        </w:tc>
        <w:tc>
          <w:tcPr>
            <w:tcW w:w="1385" w:type="dxa"/>
            <w:tcBorders>
              <w:top w:val="nil"/>
              <w:left w:val="nil"/>
              <w:bottom w:val="single" w:sz="4" w:space="0" w:color="auto"/>
              <w:right w:val="single" w:sz="4" w:space="0" w:color="auto"/>
            </w:tcBorders>
            <w:shd w:val="clear" w:color="FFFFCC" w:fill="FFFFFF"/>
            <w:noWrap/>
            <w:vAlign w:val="bottom"/>
            <w:hideMark/>
          </w:tcPr>
          <w:p w14:paraId="69B0E469"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1,450,403,541</w:t>
            </w:r>
          </w:p>
        </w:tc>
        <w:tc>
          <w:tcPr>
            <w:tcW w:w="1385" w:type="dxa"/>
            <w:tcBorders>
              <w:top w:val="nil"/>
              <w:left w:val="nil"/>
              <w:bottom w:val="single" w:sz="4" w:space="0" w:color="auto"/>
              <w:right w:val="single" w:sz="4" w:space="0" w:color="auto"/>
            </w:tcBorders>
            <w:shd w:val="clear" w:color="FFFFCC" w:fill="FFFFFF"/>
            <w:noWrap/>
            <w:vAlign w:val="center"/>
            <w:hideMark/>
          </w:tcPr>
          <w:p w14:paraId="42377B41"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17/12/2040</w:t>
            </w:r>
          </w:p>
        </w:tc>
        <w:tc>
          <w:tcPr>
            <w:tcW w:w="1050" w:type="dxa"/>
            <w:tcBorders>
              <w:top w:val="nil"/>
              <w:left w:val="nil"/>
              <w:bottom w:val="single" w:sz="4" w:space="0" w:color="auto"/>
              <w:right w:val="single" w:sz="4" w:space="0" w:color="auto"/>
            </w:tcBorders>
            <w:shd w:val="clear" w:color="FFFFCC" w:fill="FFFFFF"/>
            <w:vAlign w:val="center"/>
            <w:hideMark/>
          </w:tcPr>
          <w:p w14:paraId="65804C5F"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nil"/>
              <w:left w:val="nil"/>
              <w:bottom w:val="single" w:sz="4" w:space="0" w:color="auto"/>
              <w:right w:val="single" w:sz="4" w:space="0" w:color="auto"/>
            </w:tcBorders>
            <w:shd w:val="clear" w:color="FFFFCC" w:fill="FFFFFF"/>
            <w:vAlign w:val="center"/>
            <w:hideMark/>
          </w:tcPr>
          <w:p w14:paraId="05FEB799"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0.43</w:t>
            </w:r>
          </w:p>
        </w:tc>
        <w:tc>
          <w:tcPr>
            <w:tcW w:w="1667" w:type="dxa"/>
            <w:tcBorders>
              <w:top w:val="nil"/>
              <w:left w:val="nil"/>
              <w:bottom w:val="single" w:sz="4" w:space="0" w:color="auto"/>
              <w:right w:val="single" w:sz="4" w:space="0" w:color="auto"/>
            </w:tcBorders>
            <w:shd w:val="clear" w:color="FFFFCC" w:fill="FFFFFF"/>
            <w:vAlign w:val="center"/>
            <w:hideMark/>
          </w:tcPr>
          <w:p w14:paraId="17D62F51"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w:t>
            </w:r>
          </w:p>
        </w:tc>
      </w:tr>
      <w:tr w:rsidR="00BD1A51" w:rsidRPr="00BD1A51" w14:paraId="08E0362F" w14:textId="77777777" w:rsidTr="00132EC0">
        <w:trPr>
          <w:trHeight w:val="34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0E88F58E"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Banorte S.A. 1’200 MDP</w:t>
            </w:r>
          </w:p>
        </w:tc>
        <w:tc>
          <w:tcPr>
            <w:tcW w:w="1407" w:type="dxa"/>
            <w:tcBorders>
              <w:top w:val="nil"/>
              <w:left w:val="nil"/>
              <w:bottom w:val="nil"/>
              <w:right w:val="single" w:sz="4" w:space="0" w:color="auto"/>
            </w:tcBorders>
            <w:shd w:val="clear" w:color="FFFFCC" w:fill="FFFFFF"/>
            <w:noWrap/>
            <w:vAlign w:val="center"/>
            <w:hideMark/>
          </w:tcPr>
          <w:p w14:paraId="37410401"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1,200,000,000</w:t>
            </w:r>
          </w:p>
        </w:tc>
        <w:tc>
          <w:tcPr>
            <w:tcW w:w="1385" w:type="dxa"/>
            <w:tcBorders>
              <w:top w:val="nil"/>
              <w:left w:val="nil"/>
              <w:bottom w:val="nil"/>
              <w:right w:val="single" w:sz="4" w:space="0" w:color="auto"/>
            </w:tcBorders>
            <w:shd w:val="clear" w:color="FFFFCC" w:fill="FFFFFF"/>
            <w:noWrap/>
            <w:vAlign w:val="bottom"/>
            <w:hideMark/>
          </w:tcPr>
          <w:p w14:paraId="544375C6"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962,176,789</w:t>
            </w:r>
          </w:p>
        </w:tc>
        <w:tc>
          <w:tcPr>
            <w:tcW w:w="1385" w:type="dxa"/>
            <w:tcBorders>
              <w:top w:val="nil"/>
              <w:left w:val="nil"/>
              <w:bottom w:val="nil"/>
              <w:right w:val="single" w:sz="4" w:space="0" w:color="auto"/>
            </w:tcBorders>
            <w:shd w:val="clear" w:color="FFFFCC" w:fill="FFFFFF"/>
            <w:noWrap/>
            <w:vAlign w:val="center"/>
            <w:hideMark/>
          </w:tcPr>
          <w:p w14:paraId="3B0A1DD9"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17/09/2041</w:t>
            </w:r>
          </w:p>
        </w:tc>
        <w:tc>
          <w:tcPr>
            <w:tcW w:w="1050" w:type="dxa"/>
            <w:tcBorders>
              <w:top w:val="nil"/>
              <w:left w:val="nil"/>
              <w:bottom w:val="nil"/>
              <w:right w:val="single" w:sz="4" w:space="0" w:color="auto"/>
            </w:tcBorders>
            <w:shd w:val="clear" w:color="FFFFCC" w:fill="FFFFFF"/>
            <w:vAlign w:val="center"/>
            <w:hideMark/>
          </w:tcPr>
          <w:p w14:paraId="0E27DD69"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nil"/>
              <w:left w:val="nil"/>
              <w:bottom w:val="nil"/>
              <w:right w:val="single" w:sz="4" w:space="0" w:color="auto"/>
            </w:tcBorders>
            <w:shd w:val="clear" w:color="FFFFCC" w:fill="FFFFFF"/>
            <w:vAlign w:val="center"/>
            <w:hideMark/>
          </w:tcPr>
          <w:p w14:paraId="2A65B4E0"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0.43</w:t>
            </w:r>
          </w:p>
        </w:tc>
        <w:tc>
          <w:tcPr>
            <w:tcW w:w="1667" w:type="dxa"/>
            <w:tcBorders>
              <w:top w:val="nil"/>
              <w:left w:val="nil"/>
              <w:bottom w:val="nil"/>
              <w:right w:val="single" w:sz="4" w:space="0" w:color="auto"/>
            </w:tcBorders>
            <w:shd w:val="clear" w:color="FFFFCC" w:fill="FFFFFF"/>
            <w:vAlign w:val="center"/>
            <w:hideMark/>
          </w:tcPr>
          <w:p w14:paraId="1AD8C3E7"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Inversión Pública Productiva</w:t>
            </w:r>
          </w:p>
        </w:tc>
      </w:tr>
      <w:tr w:rsidR="00BD1A51" w:rsidRPr="00BD1A51" w14:paraId="6DFB8EBE" w14:textId="77777777" w:rsidTr="00132EC0">
        <w:trPr>
          <w:trHeight w:val="34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1C8B6492"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Banamex S.A. 2’506 MDP</w:t>
            </w:r>
          </w:p>
        </w:tc>
        <w:tc>
          <w:tcPr>
            <w:tcW w:w="1407" w:type="dxa"/>
            <w:tcBorders>
              <w:top w:val="single" w:sz="4" w:space="0" w:color="auto"/>
              <w:left w:val="nil"/>
              <w:bottom w:val="single" w:sz="4" w:space="0" w:color="auto"/>
              <w:right w:val="single" w:sz="4" w:space="0" w:color="auto"/>
            </w:tcBorders>
            <w:shd w:val="clear" w:color="FFFFCC" w:fill="FFFFFF"/>
            <w:noWrap/>
            <w:vAlign w:val="center"/>
            <w:hideMark/>
          </w:tcPr>
          <w:p w14:paraId="2A9DF10F"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2,506,794,049</w:t>
            </w:r>
          </w:p>
        </w:tc>
        <w:tc>
          <w:tcPr>
            <w:tcW w:w="1385" w:type="dxa"/>
            <w:tcBorders>
              <w:top w:val="single" w:sz="4" w:space="0" w:color="auto"/>
              <w:left w:val="nil"/>
              <w:bottom w:val="single" w:sz="4" w:space="0" w:color="auto"/>
              <w:right w:val="single" w:sz="4" w:space="0" w:color="auto"/>
            </w:tcBorders>
            <w:shd w:val="clear" w:color="FFFFCC" w:fill="FFFFFF"/>
            <w:noWrap/>
            <w:vAlign w:val="bottom"/>
            <w:hideMark/>
          </w:tcPr>
          <w:p w14:paraId="083592E3"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2,493,017,330</w:t>
            </w:r>
          </w:p>
        </w:tc>
        <w:tc>
          <w:tcPr>
            <w:tcW w:w="1385" w:type="dxa"/>
            <w:tcBorders>
              <w:top w:val="single" w:sz="4" w:space="0" w:color="auto"/>
              <w:left w:val="nil"/>
              <w:bottom w:val="single" w:sz="4" w:space="0" w:color="auto"/>
              <w:right w:val="single" w:sz="4" w:space="0" w:color="auto"/>
            </w:tcBorders>
            <w:shd w:val="clear" w:color="FFFFCC" w:fill="FFFFFF"/>
            <w:noWrap/>
            <w:vAlign w:val="center"/>
            <w:hideMark/>
          </w:tcPr>
          <w:p w14:paraId="0A50B80E"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15/11/2043</w:t>
            </w:r>
          </w:p>
        </w:tc>
        <w:tc>
          <w:tcPr>
            <w:tcW w:w="1050" w:type="dxa"/>
            <w:tcBorders>
              <w:top w:val="single" w:sz="4" w:space="0" w:color="auto"/>
              <w:left w:val="nil"/>
              <w:bottom w:val="single" w:sz="4" w:space="0" w:color="auto"/>
              <w:right w:val="single" w:sz="4" w:space="0" w:color="auto"/>
            </w:tcBorders>
            <w:shd w:val="clear" w:color="FFFFCC" w:fill="FFFFFF"/>
            <w:vAlign w:val="center"/>
            <w:hideMark/>
          </w:tcPr>
          <w:p w14:paraId="55B19D4B"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single" w:sz="4" w:space="0" w:color="auto"/>
              <w:left w:val="nil"/>
              <w:bottom w:val="single" w:sz="4" w:space="0" w:color="auto"/>
              <w:right w:val="single" w:sz="4" w:space="0" w:color="auto"/>
            </w:tcBorders>
            <w:shd w:val="clear" w:color="FFFFCC" w:fill="FFFFFF"/>
            <w:vAlign w:val="center"/>
            <w:hideMark/>
          </w:tcPr>
          <w:p w14:paraId="19EC2688"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0.21</w:t>
            </w:r>
          </w:p>
        </w:tc>
        <w:tc>
          <w:tcPr>
            <w:tcW w:w="1667" w:type="dxa"/>
            <w:tcBorders>
              <w:top w:val="single" w:sz="4" w:space="0" w:color="auto"/>
              <w:left w:val="nil"/>
              <w:bottom w:val="single" w:sz="4" w:space="0" w:color="auto"/>
              <w:right w:val="single" w:sz="4" w:space="0" w:color="auto"/>
            </w:tcBorders>
            <w:shd w:val="clear" w:color="FFFFCC" w:fill="FFFFFF"/>
            <w:vAlign w:val="center"/>
            <w:hideMark/>
          </w:tcPr>
          <w:p w14:paraId="138EF28C"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 xml:space="preserve">Refinanciamiento </w:t>
            </w:r>
          </w:p>
        </w:tc>
      </w:tr>
      <w:tr w:rsidR="00BD1A51" w:rsidRPr="00BD1A51" w14:paraId="7AFD76CA" w14:textId="77777777" w:rsidTr="00132EC0">
        <w:trPr>
          <w:trHeight w:val="34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669FFD77"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BBVA México S.A. 3’000 MDP</w:t>
            </w:r>
          </w:p>
        </w:tc>
        <w:tc>
          <w:tcPr>
            <w:tcW w:w="1407" w:type="dxa"/>
            <w:tcBorders>
              <w:top w:val="nil"/>
              <w:left w:val="nil"/>
              <w:bottom w:val="single" w:sz="4" w:space="0" w:color="auto"/>
              <w:right w:val="single" w:sz="4" w:space="0" w:color="auto"/>
            </w:tcBorders>
            <w:shd w:val="clear" w:color="FFFFCC" w:fill="FFFFFF"/>
            <w:noWrap/>
            <w:vAlign w:val="center"/>
            <w:hideMark/>
          </w:tcPr>
          <w:p w14:paraId="22CBB48B"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3,000,000,000</w:t>
            </w:r>
          </w:p>
        </w:tc>
        <w:tc>
          <w:tcPr>
            <w:tcW w:w="1385" w:type="dxa"/>
            <w:tcBorders>
              <w:top w:val="nil"/>
              <w:left w:val="nil"/>
              <w:bottom w:val="single" w:sz="4" w:space="0" w:color="auto"/>
              <w:right w:val="single" w:sz="4" w:space="0" w:color="auto"/>
            </w:tcBorders>
            <w:shd w:val="clear" w:color="FFFFCC" w:fill="FFFFFF"/>
            <w:noWrap/>
            <w:vAlign w:val="bottom"/>
            <w:hideMark/>
          </w:tcPr>
          <w:p w14:paraId="7BDA0B10"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2,992,507,049</w:t>
            </w:r>
          </w:p>
        </w:tc>
        <w:tc>
          <w:tcPr>
            <w:tcW w:w="1385" w:type="dxa"/>
            <w:tcBorders>
              <w:top w:val="nil"/>
              <w:left w:val="nil"/>
              <w:bottom w:val="single" w:sz="4" w:space="0" w:color="auto"/>
              <w:right w:val="single" w:sz="4" w:space="0" w:color="auto"/>
            </w:tcBorders>
            <w:shd w:val="clear" w:color="FFFFCC" w:fill="FFFFFF"/>
            <w:noWrap/>
            <w:vAlign w:val="center"/>
            <w:hideMark/>
          </w:tcPr>
          <w:p w14:paraId="76E76B75"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15/11/2048</w:t>
            </w:r>
          </w:p>
        </w:tc>
        <w:tc>
          <w:tcPr>
            <w:tcW w:w="1050" w:type="dxa"/>
            <w:tcBorders>
              <w:top w:val="nil"/>
              <w:left w:val="nil"/>
              <w:bottom w:val="single" w:sz="4" w:space="0" w:color="auto"/>
              <w:right w:val="single" w:sz="4" w:space="0" w:color="auto"/>
            </w:tcBorders>
            <w:shd w:val="clear" w:color="FFFFCC" w:fill="FFFFFF"/>
            <w:vAlign w:val="center"/>
            <w:hideMark/>
          </w:tcPr>
          <w:p w14:paraId="27125114"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nil"/>
              <w:left w:val="nil"/>
              <w:bottom w:val="single" w:sz="4" w:space="0" w:color="auto"/>
              <w:right w:val="single" w:sz="4" w:space="0" w:color="auto"/>
            </w:tcBorders>
            <w:shd w:val="clear" w:color="FFFFCC" w:fill="FFFFFF"/>
            <w:vAlign w:val="center"/>
            <w:hideMark/>
          </w:tcPr>
          <w:p w14:paraId="04BD4390"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0.43</w:t>
            </w:r>
          </w:p>
        </w:tc>
        <w:tc>
          <w:tcPr>
            <w:tcW w:w="1667" w:type="dxa"/>
            <w:tcBorders>
              <w:top w:val="nil"/>
              <w:left w:val="nil"/>
              <w:bottom w:val="single" w:sz="4" w:space="0" w:color="auto"/>
              <w:right w:val="single" w:sz="4" w:space="0" w:color="auto"/>
            </w:tcBorders>
            <w:shd w:val="clear" w:color="FFFFCC" w:fill="FFFFFF"/>
            <w:vAlign w:val="center"/>
            <w:hideMark/>
          </w:tcPr>
          <w:p w14:paraId="6BD58FE0"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 xml:space="preserve">Refinanciamiento </w:t>
            </w:r>
          </w:p>
        </w:tc>
      </w:tr>
      <w:tr w:rsidR="00BD1A51" w:rsidRPr="00BD1A51" w14:paraId="762B47C7" w14:textId="77777777" w:rsidTr="00132EC0">
        <w:trPr>
          <w:trHeight w:val="34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68C30B4E"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Banorte S.A 4’500 MDP</w:t>
            </w:r>
          </w:p>
        </w:tc>
        <w:tc>
          <w:tcPr>
            <w:tcW w:w="1407" w:type="dxa"/>
            <w:tcBorders>
              <w:top w:val="nil"/>
              <w:left w:val="nil"/>
              <w:bottom w:val="single" w:sz="4" w:space="0" w:color="auto"/>
              <w:right w:val="single" w:sz="4" w:space="0" w:color="auto"/>
            </w:tcBorders>
            <w:shd w:val="clear" w:color="FFFFCC" w:fill="FFFFFF"/>
            <w:noWrap/>
            <w:vAlign w:val="center"/>
            <w:hideMark/>
          </w:tcPr>
          <w:p w14:paraId="1D95AD25"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4,500,000,000</w:t>
            </w:r>
          </w:p>
        </w:tc>
        <w:tc>
          <w:tcPr>
            <w:tcW w:w="1385" w:type="dxa"/>
            <w:tcBorders>
              <w:top w:val="nil"/>
              <w:left w:val="nil"/>
              <w:bottom w:val="single" w:sz="4" w:space="0" w:color="auto"/>
              <w:right w:val="single" w:sz="4" w:space="0" w:color="auto"/>
            </w:tcBorders>
            <w:shd w:val="clear" w:color="FFFFCC" w:fill="FFFFFF"/>
            <w:noWrap/>
            <w:vAlign w:val="bottom"/>
            <w:hideMark/>
          </w:tcPr>
          <w:p w14:paraId="122016F2"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4,488,908,081</w:t>
            </w:r>
          </w:p>
        </w:tc>
        <w:tc>
          <w:tcPr>
            <w:tcW w:w="1385" w:type="dxa"/>
            <w:tcBorders>
              <w:top w:val="nil"/>
              <w:left w:val="nil"/>
              <w:bottom w:val="single" w:sz="4" w:space="0" w:color="auto"/>
              <w:right w:val="single" w:sz="4" w:space="0" w:color="auto"/>
            </w:tcBorders>
            <w:shd w:val="clear" w:color="FFFFCC" w:fill="FFFFFF"/>
            <w:noWrap/>
            <w:vAlign w:val="center"/>
            <w:hideMark/>
          </w:tcPr>
          <w:p w14:paraId="741D05B9"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15/11/2048</w:t>
            </w:r>
          </w:p>
        </w:tc>
        <w:tc>
          <w:tcPr>
            <w:tcW w:w="1050" w:type="dxa"/>
            <w:tcBorders>
              <w:top w:val="nil"/>
              <w:left w:val="nil"/>
              <w:bottom w:val="single" w:sz="4" w:space="0" w:color="auto"/>
              <w:right w:val="single" w:sz="4" w:space="0" w:color="auto"/>
            </w:tcBorders>
            <w:shd w:val="clear" w:color="FFFFCC" w:fill="FFFFFF"/>
            <w:vAlign w:val="center"/>
            <w:hideMark/>
          </w:tcPr>
          <w:p w14:paraId="187172CF"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nil"/>
              <w:left w:val="nil"/>
              <w:bottom w:val="single" w:sz="4" w:space="0" w:color="auto"/>
              <w:right w:val="single" w:sz="4" w:space="0" w:color="auto"/>
            </w:tcBorders>
            <w:shd w:val="clear" w:color="FFFFCC" w:fill="FFFFFF"/>
            <w:vAlign w:val="center"/>
            <w:hideMark/>
          </w:tcPr>
          <w:p w14:paraId="534E388E"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0.40</w:t>
            </w:r>
          </w:p>
        </w:tc>
        <w:tc>
          <w:tcPr>
            <w:tcW w:w="1667" w:type="dxa"/>
            <w:tcBorders>
              <w:top w:val="nil"/>
              <w:left w:val="nil"/>
              <w:bottom w:val="single" w:sz="4" w:space="0" w:color="auto"/>
              <w:right w:val="single" w:sz="4" w:space="0" w:color="auto"/>
            </w:tcBorders>
            <w:shd w:val="clear" w:color="FFFFCC" w:fill="FFFFFF"/>
            <w:vAlign w:val="center"/>
            <w:hideMark/>
          </w:tcPr>
          <w:p w14:paraId="7ADC72C1"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 xml:space="preserve">Refinanciamiento </w:t>
            </w:r>
          </w:p>
        </w:tc>
      </w:tr>
      <w:tr w:rsidR="00BD1A51" w:rsidRPr="00BD1A51" w14:paraId="27B73A56" w14:textId="77777777" w:rsidTr="00132EC0">
        <w:trPr>
          <w:trHeight w:val="34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756D8C42"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Banorte S.A. 2’000 MDP</w:t>
            </w:r>
          </w:p>
        </w:tc>
        <w:tc>
          <w:tcPr>
            <w:tcW w:w="1407" w:type="dxa"/>
            <w:tcBorders>
              <w:top w:val="nil"/>
              <w:left w:val="nil"/>
              <w:bottom w:val="single" w:sz="4" w:space="0" w:color="auto"/>
              <w:right w:val="single" w:sz="4" w:space="0" w:color="auto"/>
            </w:tcBorders>
            <w:shd w:val="clear" w:color="FFFFCC" w:fill="FFFFFF"/>
            <w:noWrap/>
            <w:vAlign w:val="center"/>
            <w:hideMark/>
          </w:tcPr>
          <w:p w14:paraId="06AAC0A2"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2,000,000,000</w:t>
            </w:r>
          </w:p>
        </w:tc>
        <w:tc>
          <w:tcPr>
            <w:tcW w:w="1385" w:type="dxa"/>
            <w:tcBorders>
              <w:top w:val="nil"/>
              <w:left w:val="nil"/>
              <w:bottom w:val="single" w:sz="4" w:space="0" w:color="auto"/>
              <w:right w:val="single" w:sz="4" w:space="0" w:color="auto"/>
            </w:tcBorders>
            <w:shd w:val="clear" w:color="FFFFCC" w:fill="FFFFFF"/>
            <w:noWrap/>
            <w:vAlign w:val="bottom"/>
            <w:hideMark/>
          </w:tcPr>
          <w:p w14:paraId="5FACB5AE"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1,972,407,939</w:t>
            </w:r>
          </w:p>
        </w:tc>
        <w:tc>
          <w:tcPr>
            <w:tcW w:w="1385" w:type="dxa"/>
            <w:tcBorders>
              <w:top w:val="nil"/>
              <w:left w:val="nil"/>
              <w:bottom w:val="single" w:sz="4" w:space="0" w:color="auto"/>
              <w:right w:val="single" w:sz="4" w:space="0" w:color="auto"/>
            </w:tcBorders>
            <w:shd w:val="clear" w:color="FFFFCC" w:fill="FFFFFF"/>
            <w:noWrap/>
            <w:vAlign w:val="center"/>
            <w:hideMark/>
          </w:tcPr>
          <w:p w14:paraId="7FC2C234"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15/11/2048</w:t>
            </w:r>
          </w:p>
        </w:tc>
        <w:tc>
          <w:tcPr>
            <w:tcW w:w="1050" w:type="dxa"/>
            <w:tcBorders>
              <w:top w:val="nil"/>
              <w:left w:val="nil"/>
              <w:bottom w:val="single" w:sz="4" w:space="0" w:color="auto"/>
              <w:right w:val="single" w:sz="4" w:space="0" w:color="auto"/>
            </w:tcBorders>
            <w:shd w:val="clear" w:color="FFFFCC" w:fill="FFFFFF"/>
            <w:vAlign w:val="center"/>
            <w:hideMark/>
          </w:tcPr>
          <w:p w14:paraId="6DA1379A"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nil"/>
              <w:left w:val="nil"/>
              <w:bottom w:val="single" w:sz="4" w:space="0" w:color="auto"/>
              <w:right w:val="single" w:sz="4" w:space="0" w:color="auto"/>
            </w:tcBorders>
            <w:shd w:val="clear" w:color="FFFFCC" w:fill="FFFFFF"/>
            <w:vAlign w:val="center"/>
            <w:hideMark/>
          </w:tcPr>
          <w:p w14:paraId="5CDF12BE"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0.43</w:t>
            </w:r>
          </w:p>
        </w:tc>
        <w:tc>
          <w:tcPr>
            <w:tcW w:w="1667" w:type="dxa"/>
            <w:tcBorders>
              <w:top w:val="nil"/>
              <w:left w:val="nil"/>
              <w:bottom w:val="single" w:sz="4" w:space="0" w:color="auto"/>
              <w:right w:val="single" w:sz="4" w:space="0" w:color="auto"/>
            </w:tcBorders>
            <w:shd w:val="clear" w:color="FFFFCC" w:fill="FFFFFF"/>
            <w:vAlign w:val="center"/>
            <w:hideMark/>
          </w:tcPr>
          <w:p w14:paraId="74DEF057"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 xml:space="preserve">Refinanciamiento </w:t>
            </w:r>
          </w:p>
        </w:tc>
      </w:tr>
      <w:tr w:rsidR="00BD1A51" w:rsidRPr="00BD1A51" w14:paraId="724E4168" w14:textId="77777777" w:rsidTr="00132EC0">
        <w:trPr>
          <w:trHeight w:val="34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3B45AB1E" w14:textId="77777777" w:rsidR="00BD1A51" w:rsidRPr="00BD1A51" w:rsidRDefault="00BD1A51" w:rsidP="00EC7D22">
            <w:pPr>
              <w:suppressAutoHyphens w:val="0"/>
              <w:overflowPunct/>
              <w:spacing w:after="0" w:line="240" w:lineRule="auto"/>
              <w:rPr>
                <w:rFonts w:eastAsia="Times New Roman" w:cs="Calibri"/>
                <w:color w:val="222B35"/>
                <w:sz w:val="12"/>
                <w:szCs w:val="12"/>
                <w:lang w:eastAsia="es-MX"/>
              </w:rPr>
            </w:pPr>
            <w:r w:rsidRPr="00BD1A51">
              <w:rPr>
                <w:rFonts w:eastAsia="Times New Roman" w:cs="Calibri"/>
                <w:color w:val="222B35"/>
                <w:sz w:val="12"/>
                <w:szCs w:val="12"/>
                <w:lang w:eastAsia="es-MX"/>
              </w:rPr>
              <w:t>Banorte S.A 746 MDP</w:t>
            </w:r>
          </w:p>
        </w:tc>
        <w:tc>
          <w:tcPr>
            <w:tcW w:w="1407" w:type="dxa"/>
            <w:tcBorders>
              <w:top w:val="nil"/>
              <w:left w:val="nil"/>
              <w:bottom w:val="single" w:sz="4" w:space="0" w:color="auto"/>
              <w:right w:val="single" w:sz="4" w:space="0" w:color="auto"/>
            </w:tcBorders>
            <w:shd w:val="clear" w:color="FFFFCC" w:fill="FFFFFF"/>
            <w:noWrap/>
            <w:vAlign w:val="center"/>
            <w:hideMark/>
          </w:tcPr>
          <w:p w14:paraId="7AC26860"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746,000,000</w:t>
            </w:r>
          </w:p>
        </w:tc>
        <w:tc>
          <w:tcPr>
            <w:tcW w:w="1385" w:type="dxa"/>
            <w:tcBorders>
              <w:top w:val="nil"/>
              <w:left w:val="nil"/>
              <w:bottom w:val="single" w:sz="4" w:space="0" w:color="auto"/>
              <w:right w:val="single" w:sz="4" w:space="0" w:color="auto"/>
            </w:tcBorders>
            <w:shd w:val="clear" w:color="FFFFCC" w:fill="FFFFFF"/>
            <w:noWrap/>
            <w:vAlign w:val="bottom"/>
            <w:hideMark/>
          </w:tcPr>
          <w:p w14:paraId="0F2B19D9"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713,241,544</w:t>
            </w:r>
          </w:p>
        </w:tc>
        <w:tc>
          <w:tcPr>
            <w:tcW w:w="1385" w:type="dxa"/>
            <w:tcBorders>
              <w:top w:val="nil"/>
              <w:left w:val="nil"/>
              <w:bottom w:val="single" w:sz="4" w:space="0" w:color="auto"/>
              <w:right w:val="single" w:sz="4" w:space="0" w:color="auto"/>
            </w:tcBorders>
            <w:shd w:val="clear" w:color="FFFFCC" w:fill="FFFFFF"/>
            <w:noWrap/>
            <w:vAlign w:val="center"/>
            <w:hideMark/>
          </w:tcPr>
          <w:p w14:paraId="038B4DC3"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15/11/2048</w:t>
            </w:r>
          </w:p>
        </w:tc>
        <w:tc>
          <w:tcPr>
            <w:tcW w:w="1050" w:type="dxa"/>
            <w:tcBorders>
              <w:top w:val="nil"/>
              <w:left w:val="nil"/>
              <w:bottom w:val="single" w:sz="4" w:space="0" w:color="auto"/>
              <w:right w:val="single" w:sz="4" w:space="0" w:color="auto"/>
            </w:tcBorders>
            <w:shd w:val="clear" w:color="FFFFCC" w:fill="FFFFFF"/>
            <w:vAlign w:val="center"/>
            <w:hideMark/>
          </w:tcPr>
          <w:p w14:paraId="1232E099"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TIIE</w:t>
            </w:r>
          </w:p>
        </w:tc>
        <w:tc>
          <w:tcPr>
            <w:tcW w:w="759" w:type="dxa"/>
            <w:tcBorders>
              <w:top w:val="nil"/>
              <w:left w:val="nil"/>
              <w:bottom w:val="single" w:sz="4" w:space="0" w:color="auto"/>
              <w:right w:val="single" w:sz="4" w:space="0" w:color="auto"/>
            </w:tcBorders>
            <w:shd w:val="clear" w:color="FFFFCC" w:fill="FFFFFF"/>
            <w:vAlign w:val="center"/>
            <w:hideMark/>
          </w:tcPr>
          <w:p w14:paraId="44DF0E3F" w14:textId="77777777" w:rsidR="00BD1A51" w:rsidRPr="00BD1A51" w:rsidRDefault="00BD1A51" w:rsidP="00EC7D22">
            <w:pPr>
              <w:suppressAutoHyphens w:val="0"/>
              <w:overflowPunct/>
              <w:spacing w:after="0" w:line="240" w:lineRule="auto"/>
              <w:jc w:val="center"/>
              <w:rPr>
                <w:rFonts w:eastAsia="Times New Roman" w:cs="Calibri"/>
                <w:color w:val="222B35"/>
                <w:sz w:val="14"/>
                <w:szCs w:val="14"/>
                <w:lang w:eastAsia="es-MX"/>
              </w:rPr>
            </w:pPr>
            <w:r w:rsidRPr="00BD1A51">
              <w:rPr>
                <w:rFonts w:eastAsia="Times New Roman" w:cs="Calibri"/>
                <w:color w:val="222B35"/>
                <w:sz w:val="14"/>
                <w:szCs w:val="14"/>
                <w:lang w:eastAsia="es-MX"/>
              </w:rPr>
              <w:t>0.55</w:t>
            </w:r>
          </w:p>
        </w:tc>
        <w:tc>
          <w:tcPr>
            <w:tcW w:w="1667" w:type="dxa"/>
            <w:tcBorders>
              <w:top w:val="nil"/>
              <w:left w:val="nil"/>
              <w:bottom w:val="single" w:sz="4" w:space="0" w:color="auto"/>
              <w:right w:val="single" w:sz="4" w:space="0" w:color="auto"/>
            </w:tcBorders>
            <w:shd w:val="clear" w:color="FFFFCC" w:fill="FFFFFF"/>
            <w:vAlign w:val="center"/>
            <w:hideMark/>
          </w:tcPr>
          <w:p w14:paraId="3C32575C"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 xml:space="preserve">Refinanciamiento </w:t>
            </w:r>
          </w:p>
        </w:tc>
      </w:tr>
      <w:tr w:rsidR="00BD1A51" w:rsidRPr="00BD1A51" w14:paraId="5AD5C71A" w14:textId="77777777" w:rsidTr="00132EC0">
        <w:trPr>
          <w:trHeight w:val="454"/>
        </w:trPr>
        <w:tc>
          <w:tcPr>
            <w:tcW w:w="1698" w:type="dxa"/>
            <w:tcBorders>
              <w:top w:val="single" w:sz="4" w:space="0" w:color="auto"/>
              <w:left w:val="single" w:sz="4" w:space="0" w:color="auto"/>
              <w:bottom w:val="single" w:sz="4" w:space="0" w:color="auto"/>
              <w:right w:val="single" w:sz="4" w:space="0" w:color="auto"/>
            </w:tcBorders>
            <w:shd w:val="clear" w:color="F8CBAD" w:fill="DDC9A3"/>
            <w:noWrap/>
            <w:vAlign w:val="center"/>
            <w:hideMark/>
          </w:tcPr>
          <w:p w14:paraId="3F301C95" w14:textId="77777777" w:rsidR="00BD1A51" w:rsidRPr="00BD1A51" w:rsidRDefault="00BD1A51" w:rsidP="00EC7D22">
            <w:pPr>
              <w:suppressAutoHyphens w:val="0"/>
              <w:overflowPunct/>
              <w:spacing w:after="0" w:line="240" w:lineRule="auto"/>
              <w:rPr>
                <w:rFonts w:eastAsia="Times New Roman" w:cs="Calibri"/>
                <w:b/>
                <w:bCs/>
                <w:color w:val="222B35"/>
                <w:sz w:val="14"/>
                <w:szCs w:val="14"/>
                <w:lang w:eastAsia="es-MX"/>
              </w:rPr>
            </w:pPr>
            <w:r w:rsidRPr="00BD1A51">
              <w:rPr>
                <w:rFonts w:eastAsia="Times New Roman" w:cs="Calibri"/>
                <w:b/>
                <w:bCs/>
                <w:color w:val="222B35"/>
                <w:sz w:val="14"/>
                <w:szCs w:val="14"/>
                <w:lang w:eastAsia="es-MX"/>
              </w:rPr>
              <w:t>TOTALES</w:t>
            </w:r>
          </w:p>
        </w:tc>
        <w:tc>
          <w:tcPr>
            <w:tcW w:w="1407" w:type="dxa"/>
            <w:tcBorders>
              <w:top w:val="single" w:sz="4" w:space="0" w:color="auto"/>
              <w:left w:val="nil"/>
              <w:bottom w:val="single" w:sz="4" w:space="0" w:color="auto"/>
              <w:right w:val="single" w:sz="4" w:space="0" w:color="auto"/>
            </w:tcBorders>
            <w:shd w:val="clear" w:color="F8CBAD" w:fill="DDC9A3"/>
            <w:noWrap/>
            <w:vAlign w:val="center"/>
            <w:hideMark/>
          </w:tcPr>
          <w:p w14:paraId="33C545E3" w14:textId="77777777" w:rsidR="00BD1A51" w:rsidRPr="00BD1A51" w:rsidRDefault="00BD1A51" w:rsidP="00EC7D22">
            <w:pPr>
              <w:suppressAutoHyphens w:val="0"/>
              <w:overflowPunct/>
              <w:spacing w:after="0" w:line="240" w:lineRule="auto"/>
              <w:jc w:val="right"/>
              <w:rPr>
                <w:rFonts w:eastAsia="Times New Roman" w:cs="Calibri"/>
                <w:b/>
                <w:bCs/>
                <w:color w:val="222B35"/>
                <w:sz w:val="14"/>
                <w:szCs w:val="14"/>
                <w:lang w:eastAsia="es-MX"/>
              </w:rPr>
            </w:pPr>
            <w:r w:rsidRPr="00BD1A51">
              <w:rPr>
                <w:rFonts w:eastAsia="Times New Roman" w:cs="Calibri"/>
                <w:b/>
                <w:bCs/>
                <w:color w:val="222B35"/>
                <w:sz w:val="14"/>
                <w:szCs w:val="14"/>
                <w:lang w:eastAsia="es-MX"/>
              </w:rPr>
              <w:t>30,801,294,415</w:t>
            </w:r>
          </w:p>
        </w:tc>
        <w:tc>
          <w:tcPr>
            <w:tcW w:w="1385" w:type="dxa"/>
            <w:tcBorders>
              <w:top w:val="single" w:sz="4" w:space="0" w:color="auto"/>
              <w:left w:val="nil"/>
              <w:bottom w:val="single" w:sz="4" w:space="0" w:color="auto"/>
              <w:right w:val="single" w:sz="4" w:space="0" w:color="auto"/>
            </w:tcBorders>
            <w:shd w:val="clear" w:color="F8CBAD" w:fill="DDC9A3"/>
            <w:noWrap/>
            <w:vAlign w:val="center"/>
            <w:hideMark/>
          </w:tcPr>
          <w:p w14:paraId="3216F36D" w14:textId="77777777" w:rsidR="00BD1A51" w:rsidRPr="00BD1A51" w:rsidRDefault="00BD1A51" w:rsidP="00EC7D22">
            <w:pPr>
              <w:suppressAutoHyphens w:val="0"/>
              <w:overflowPunct/>
              <w:spacing w:after="0" w:line="240" w:lineRule="auto"/>
              <w:jc w:val="right"/>
              <w:rPr>
                <w:rFonts w:eastAsia="Times New Roman" w:cs="Calibri"/>
                <w:b/>
                <w:bCs/>
                <w:color w:val="222B35"/>
                <w:sz w:val="14"/>
                <w:szCs w:val="14"/>
                <w:lang w:eastAsia="es-MX"/>
              </w:rPr>
            </w:pPr>
            <w:r w:rsidRPr="00BD1A51">
              <w:rPr>
                <w:rFonts w:eastAsia="Times New Roman" w:cs="Calibri"/>
                <w:b/>
                <w:bCs/>
                <w:color w:val="222B35"/>
                <w:sz w:val="14"/>
                <w:szCs w:val="14"/>
                <w:lang w:eastAsia="es-MX"/>
              </w:rPr>
              <w:t>15,227,044,582</w:t>
            </w:r>
          </w:p>
        </w:tc>
        <w:tc>
          <w:tcPr>
            <w:tcW w:w="4861" w:type="dxa"/>
            <w:gridSpan w:val="4"/>
            <w:tcBorders>
              <w:top w:val="single" w:sz="4" w:space="0" w:color="auto"/>
              <w:left w:val="nil"/>
              <w:bottom w:val="single" w:sz="4" w:space="0" w:color="auto"/>
              <w:right w:val="single" w:sz="4" w:space="0" w:color="auto"/>
            </w:tcBorders>
            <w:shd w:val="clear" w:color="F8CBAD" w:fill="DDC9A3"/>
            <w:noWrap/>
            <w:vAlign w:val="center"/>
            <w:hideMark/>
          </w:tcPr>
          <w:p w14:paraId="35856DE5" w14:textId="77777777" w:rsidR="00BD1A51" w:rsidRPr="00BD1A51" w:rsidRDefault="00BD1A51" w:rsidP="00EC7D22">
            <w:pPr>
              <w:suppressAutoHyphens w:val="0"/>
              <w:overflowPunct/>
              <w:spacing w:after="0" w:line="240" w:lineRule="auto"/>
              <w:jc w:val="center"/>
              <w:rPr>
                <w:rFonts w:eastAsia="Times New Roman" w:cs="Calibri"/>
                <w:b/>
                <w:bCs/>
                <w:i/>
                <w:iCs/>
                <w:color w:val="222B35"/>
                <w:sz w:val="14"/>
                <w:szCs w:val="14"/>
                <w:lang w:eastAsia="es-MX"/>
              </w:rPr>
            </w:pPr>
            <w:r w:rsidRPr="00BD1A51">
              <w:rPr>
                <w:rFonts w:eastAsia="Times New Roman" w:cs="Calibri"/>
                <w:b/>
                <w:bCs/>
                <w:i/>
                <w:iCs/>
                <w:color w:val="222B35"/>
                <w:sz w:val="14"/>
                <w:szCs w:val="14"/>
                <w:lang w:eastAsia="es-MX"/>
              </w:rPr>
              <w:t> </w:t>
            </w:r>
          </w:p>
        </w:tc>
      </w:tr>
    </w:tbl>
    <w:p w14:paraId="720F266C" w14:textId="77777777" w:rsidR="008E01AB" w:rsidRDefault="008E01AB" w:rsidP="00EC7D22">
      <w:pPr>
        <w:pStyle w:val="Texto"/>
        <w:tabs>
          <w:tab w:val="left" w:pos="142"/>
        </w:tabs>
        <w:spacing w:after="0" w:line="240" w:lineRule="exact"/>
        <w:ind w:firstLine="0"/>
        <w:jc w:val="left"/>
        <w:rPr>
          <w:rFonts w:ascii="Calibri" w:hAnsi="Calibri" w:cs="Calibri"/>
          <w:b/>
          <w:bCs/>
          <w:szCs w:val="18"/>
        </w:rPr>
      </w:pPr>
    </w:p>
    <w:p w14:paraId="0AAF2FFB" w14:textId="77777777" w:rsidR="003F20EF" w:rsidRPr="006B5B65" w:rsidRDefault="003F20EF" w:rsidP="00EC7D22">
      <w:pPr>
        <w:pStyle w:val="Texto"/>
        <w:tabs>
          <w:tab w:val="left" w:pos="360"/>
        </w:tabs>
        <w:spacing w:after="0" w:line="240" w:lineRule="auto"/>
        <w:ind w:firstLine="0"/>
        <w:rPr>
          <w:rFonts w:ascii="Calibri" w:hAnsi="Calibri" w:cs="Calibri"/>
          <w:b/>
          <w:szCs w:val="18"/>
        </w:rPr>
      </w:pPr>
    </w:p>
    <w:p w14:paraId="7DD070C5" w14:textId="77777777" w:rsidR="007745EB" w:rsidRPr="006B5B65" w:rsidRDefault="00C87FDA" w:rsidP="00EC7D22">
      <w:pPr>
        <w:pStyle w:val="Texto"/>
        <w:numPr>
          <w:ilvl w:val="0"/>
          <w:numId w:val="2"/>
        </w:numPr>
        <w:tabs>
          <w:tab w:val="left" w:pos="360"/>
        </w:tabs>
        <w:spacing w:after="0" w:line="240" w:lineRule="auto"/>
        <w:ind w:left="0" w:firstLine="0"/>
        <w:rPr>
          <w:rFonts w:ascii="Calibri" w:hAnsi="Calibri" w:cs="Calibri"/>
          <w:b/>
          <w:szCs w:val="18"/>
        </w:rPr>
      </w:pPr>
      <w:r w:rsidRPr="006B5B65">
        <w:rPr>
          <w:rFonts w:ascii="Calibri" w:hAnsi="Calibri" w:cs="Calibri"/>
          <w:b/>
          <w:szCs w:val="18"/>
        </w:rPr>
        <w:t>Pago de la Deuda Pública (Amortización, Intereses, Comisiones).</w:t>
      </w:r>
    </w:p>
    <w:p w14:paraId="4C988761" w14:textId="77777777" w:rsidR="00BD1A51" w:rsidRDefault="00BD1A51" w:rsidP="00EC7D22">
      <w:pPr>
        <w:pStyle w:val="Texto"/>
        <w:tabs>
          <w:tab w:val="left" w:pos="360"/>
        </w:tabs>
        <w:spacing w:after="0" w:line="240" w:lineRule="auto"/>
        <w:ind w:firstLine="0"/>
        <w:rPr>
          <w:rFonts w:ascii="Calibri" w:hAnsi="Calibri" w:cs="Calibri"/>
          <w:b/>
          <w:bCs/>
          <w:szCs w:val="18"/>
        </w:rPr>
      </w:pPr>
    </w:p>
    <w:tbl>
      <w:tblPr>
        <w:tblW w:w="9392" w:type="dxa"/>
        <w:tblCellMar>
          <w:left w:w="70" w:type="dxa"/>
          <w:right w:w="70" w:type="dxa"/>
        </w:tblCellMar>
        <w:tblLook w:val="04A0" w:firstRow="1" w:lastRow="0" w:firstColumn="1" w:lastColumn="0" w:noHBand="0" w:noVBand="1"/>
      </w:tblPr>
      <w:tblGrid>
        <w:gridCol w:w="1675"/>
        <w:gridCol w:w="1046"/>
        <w:gridCol w:w="1046"/>
        <w:gridCol w:w="1046"/>
        <w:gridCol w:w="1210"/>
        <w:gridCol w:w="1247"/>
        <w:gridCol w:w="1359"/>
        <w:gridCol w:w="763"/>
      </w:tblGrid>
      <w:tr w:rsidR="00BD1A51" w:rsidRPr="00BD1A51" w14:paraId="72B27368" w14:textId="77777777" w:rsidTr="003D78BA">
        <w:trPr>
          <w:trHeight w:val="624"/>
        </w:trPr>
        <w:tc>
          <w:tcPr>
            <w:tcW w:w="1675" w:type="dxa"/>
            <w:tcBorders>
              <w:top w:val="single" w:sz="4" w:space="0" w:color="auto"/>
              <w:left w:val="single" w:sz="4" w:space="0" w:color="auto"/>
              <w:bottom w:val="single" w:sz="4" w:space="0" w:color="auto"/>
              <w:right w:val="single" w:sz="4" w:space="0" w:color="auto"/>
            </w:tcBorders>
            <w:shd w:val="clear" w:color="9C0006" w:fill="AB0033"/>
            <w:vAlign w:val="center"/>
            <w:hideMark/>
          </w:tcPr>
          <w:p w14:paraId="451AD538" w14:textId="166055DE"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A</w:t>
            </w:r>
            <w:r w:rsidR="009962F3">
              <w:rPr>
                <w:rFonts w:eastAsia="Times New Roman" w:cs="Calibri"/>
                <w:b/>
                <w:bCs/>
                <w:color w:val="FFFFFF"/>
                <w:sz w:val="14"/>
                <w:szCs w:val="14"/>
                <w:lang w:eastAsia="es-MX"/>
              </w:rPr>
              <w:t>creedor</w:t>
            </w:r>
          </w:p>
        </w:tc>
        <w:tc>
          <w:tcPr>
            <w:tcW w:w="1046" w:type="dxa"/>
            <w:tcBorders>
              <w:top w:val="single" w:sz="4" w:space="0" w:color="auto"/>
              <w:left w:val="nil"/>
              <w:bottom w:val="single" w:sz="4" w:space="0" w:color="auto"/>
              <w:right w:val="single" w:sz="4" w:space="0" w:color="auto"/>
            </w:tcBorders>
            <w:shd w:val="clear" w:color="9C0006" w:fill="AB0033"/>
            <w:vAlign w:val="center"/>
            <w:hideMark/>
          </w:tcPr>
          <w:p w14:paraId="31729166"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Saldo al 31 de Diciembre  de 2023</w:t>
            </w:r>
          </w:p>
        </w:tc>
        <w:tc>
          <w:tcPr>
            <w:tcW w:w="1046" w:type="dxa"/>
            <w:tcBorders>
              <w:top w:val="single" w:sz="4" w:space="0" w:color="auto"/>
              <w:left w:val="nil"/>
              <w:bottom w:val="single" w:sz="4" w:space="0" w:color="auto"/>
              <w:right w:val="single" w:sz="4" w:space="0" w:color="auto"/>
            </w:tcBorders>
            <w:shd w:val="clear" w:color="9C0006" w:fill="AB0033"/>
            <w:vAlign w:val="center"/>
            <w:hideMark/>
          </w:tcPr>
          <w:p w14:paraId="1340B78C"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Disposiciones</w:t>
            </w:r>
          </w:p>
        </w:tc>
        <w:tc>
          <w:tcPr>
            <w:tcW w:w="1046" w:type="dxa"/>
            <w:tcBorders>
              <w:top w:val="single" w:sz="4" w:space="0" w:color="auto"/>
              <w:left w:val="nil"/>
              <w:bottom w:val="single" w:sz="4" w:space="0" w:color="auto"/>
              <w:right w:val="single" w:sz="4" w:space="0" w:color="auto"/>
            </w:tcBorders>
            <w:shd w:val="clear" w:color="9C0006" w:fill="AB0033"/>
            <w:vAlign w:val="center"/>
            <w:hideMark/>
          </w:tcPr>
          <w:p w14:paraId="34CE1FE5"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Amortizaciones</w:t>
            </w:r>
          </w:p>
        </w:tc>
        <w:tc>
          <w:tcPr>
            <w:tcW w:w="1210" w:type="dxa"/>
            <w:tcBorders>
              <w:top w:val="single" w:sz="4" w:space="0" w:color="auto"/>
              <w:left w:val="nil"/>
              <w:bottom w:val="single" w:sz="4" w:space="0" w:color="auto"/>
              <w:right w:val="single" w:sz="4" w:space="0" w:color="auto"/>
            </w:tcBorders>
            <w:shd w:val="clear" w:color="9C0006" w:fill="AB0033"/>
            <w:vAlign w:val="center"/>
            <w:hideMark/>
          </w:tcPr>
          <w:p w14:paraId="62AA6A35" w14:textId="6A1ECB53"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DIF. P</w:t>
            </w:r>
            <w:r w:rsidR="009962F3">
              <w:rPr>
                <w:rFonts w:eastAsia="Times New Roman" w:cs="Calibri"/>
                <w:b/>
                <w:bCs/>
                <w:color w:val="FFFFFF"/>
                <w:sz w:val="14"/>
                <w:szCs w:val="14"/>
                <w:lang w:eastAsia="es-MX"/>
              </w:rPr>
              <w:t>or</w:t>
            </w:r>
            <w:r w:rsidRPr="00BD1A51">
              <w:rPr>
                <w:rFonts w:eastAsia="Times New Roman" w:cs="Calibri"/>
                <w:b/>
                <w:bCs/>
                <w:color w:val="FFFFFF"/>
                <w:sz w:val="14"/>
                <w:szCs w:val="14"/>
                <w:lang w:eastAsia="es-MX"/>
              </w:rPr>
              <w:t xml:space="preserve"> R</w:t>
            </w:r>
            <w:r w:rsidR="009962F3">
              <w:rPr>
                <w:rFonts w:eastAsia="Times New Roman" w:cs="Calibri"/>
                <w:b/>
                <w:bCs/>
                <w:color w:val="FFFFFF"/>
                <w:sz w:val="14"/>
                <w:szCs w:val="14"/>
                <w:lang w:eastAsia="es-MX"/>
              </w:rPr>
              <w:t xml:space="preserve">efinanciamiento </w:t>
            </w:r>
            <w:r w:rsidRPr="00BD1A51">
              <w:rPr>
                <w:rFonts w:eastAsia="Times New Roman" w:cs="Calibri"/>
                <w:b/>
                <w:bCs/>
                <w:color w:val="FFFFFF"/>
                <w:sz w:val="14"/>
                <w:szCs w:val="14"/>
                <w:lang w:eastAsia="es-MX"/>
              </w:rPr>
              <w:t>D</w:t>
            </w:r>
            <w:r w:rsidR="009962F3">
              <w:rPr>
                <w:rFonts w:eastAsia="Times New Roman" w:cs="Calibri"/>
                <w:b/>
                <w:bCs/>
                <w:color w:val="FFFFFF"/>
                <w:sz w:val="14"/>
                <w:szCs w:val="14"/>
                <w:lang w:eastAsia="es-MX"/>
              </w:rPr>
              <w:t xml:space="preserve">euda </w:t>
            </w:r>
            <w:r w:rsidRPr="00BD1A51">
              <w:rPr>
                <w:rFonts w:eastAsia="Times New Roman" w:cs="Calibri"/>
                <w:b/>
                <w:bCs/>
                <w:color w:val="FFFFFF"/>
                <w:sz w:val="14"/>
                <w:szCs w:val="14"/>
                <w:lang w:eastAsia="es-MX"/>
              </w:rPr>
              <w:t>P</w:t>
            </w:r>
            <w:r w:rsidR="009962F3">
              <w:rPr>
                <w:rFonts w:eastAsia="Times New Roman" w:cs="Calibri"/>
                <w:b/>
                <w:bCs/>
                <w:color w:val="FFFFFF"/>
                <w:sz w:val="14"/>
                <w:szCs w:val="14"/>
                <w:lang w:eastAsia="es-MX"/>
              </w:rPr>
              <w:t>ub</w:t>
            </w:r>
            <w:r w:rsidRPr="00BD1A51">
              <w:rPr>
                <w:rFonts w:eastAsia="Times New Roman" w:cs="Calibri"/>
                <w:b/>
                <w:bCs/>
                <w:color w:val="FFFFFF"/>
                <w:sz w:val="14"/>
                <w:szCs w:val="14"/>
                <w:lang w:eastAsia="es-MX"/>
              </w:rPr>
              <w:t xml:space="preserve">. </w:t>
            </w:r>
            <w:r w:rsidR="009962F3">
              <w:rPr>
                <w:rFonts w:eastAsia="Times New Roman" w:cs="Calibri"/>
                <w:b/>
                <w:bCs/>
                <w:color w:val="FFFFFF"/>
                <w:sz w:val="14"/>
                <w:szCs w:val="14"/>
                <w:lang w:eastAsia="es-MX"/>
              </w:rPr>
              <w:t>a</w:t>
            </w:r>
            <w:r w:rsidRPr="00BD1A51">
              <w:rPr>
                <w:rFonts w:eastAsia="Times New Roman" w:cs="Calibri"/>
                <w:b/>
                <w:bCs/>
                <w:color w:val="FFFFFF"/>
                <w:sz w:val="14"/>
                <w:szCs w:val="14"/>
                <w:lang w:eastAsia="es-MX"/>
              </w:rPr>
              <w:t xml:space="preserve"> F</w:t>
            </w:r>
            <w:r w:rsidR="009962F3">
              <w:rPr>
                <w:rFonts w:eastAsia="Times New Roman" w:cs="Calibri"/>
                <w:b/>
                <w:bCs/>
                <w:color w:val="FFFFFF"/>
                <w:sz w:val="14"/>
                <w:szCs w:val="14"/>
                <w:lang w:eastAsia="es-MX"/>
              </w:rPr>
              <w:t>avor</w:t>
            </w:r>
          </w:p>
        </w:tc>
        <w:tc>
          <w:tcPr>
            <w:tcW w:w="1247" w:type="dxa"/>
            <w:tcBorders>
              <w:top w:val="single" w:sz="4" w:space="0" w:color="auto"/>
              <w:left w:val="nil"/>
              <w:bottom w:val="single" w:sz="4" w:space="0" w:color="auto"/>
              <w:right w:val="single" w:sz="4" w:space="0" w:color="auto"/>
            </w:tcBorders>
            <w:shd w:val="clear" w:color="9C0006" w:fill="AB0033"/>
            <w:vAlign w:val="center"/>
            <w:hideMark/>
          </w:tcPr>
          <w:p w14:paraId="3EB9612D"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Saldo al 31 de Diciembre de 2024</w:t>
            </w:r>
          </w:p>
        </w:tc>
        <w:tc>
          <w:tcPr>
            <w:tcW w:w="1359" w:type="dxa"/>
            <w:tcBorders>
              <w:top w:val="single" w:sz="4" w:space="0" w:color="auto"/>
              <w:left w:val="nil"/>
              <w:bottom w:val="single" w:sz="4" w:space="0" w:color="auto"/>
              <w:right w:val="single" w:sz="4" w:space="0" w:color="auto"/>
            </w:tcBorders>
            <w:shd w:val="clear" w:color="9C0006" w:fill="AB0033"/>
            <w:vAlign w:val="center"/>
            <w:hideMark/>
          </w:tcPr>
          <w:p w14:paraId="68D1C0BB"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Intereses</w:t>
            </w:r>
          </w:p>
        </w:tc>
        <w:tc>
          <w:tcPr>
            <w:tcW w:w="763" w:type="dxa"/>
            <w:tcBorders>
              <w:top w:val="single" w:sz="4" w:space="0" w:color="auto"/>
              <w:left w:val="nil"/>
              <w:bottom w:val="single" w:sz="4" w:space="0" w:color="auto"/>
              <w:right w:val="single" w:sz="4" w:space="0" w:color="auto"/>
            </w:tcBorders>
            <w:shd w:val="clear" w:color="9C0006" w:fill="AB0033"/>
            <w:vAlign w:val="center"/>
            <w:hideMark/>
          </w:tcPr>
          <w:p w14:paraId="51DBA76A" w14:textId="77777777" w:rsidR="00BD1A51" w:rsidRPr="00BD1A51" w:rsidRDefault="00BD1A51" w:rsidP="00EC7D22">
            <w:pPr>
              <w:suppressAutoHyphens w:val="0"/>
              <w:overflowPunct/>
              <w:spacing w:after="0" w:line="240" w:lineRule="auto"/>
              <w:jc w:val="center"/>
              <w:rPr>
                <w:rFonts w:eastAsia="Times New Roman" w:cs="Calibri"/>
                <w:b/>
                <w:bCs/>
                <w:color w:val="FFFFFF"/>
                <w:sz w:val="14"/>
                <w:szCs w:val="14"/>
                <w:lang w:eastAsia="es-MX"/>
              </w:rPr>
            </w:pPr>
            <w:r w:rsidRPr="00BD1A51">
              <w:rPr>
                <w:rFonts w:eastAsia="Times New Roman" w:cs="Calibri"/>
                <w:b/>
                <w:bCs/>
                <w:color w:val="FFFFFF"/>
                <w:sz w:val="14"/>
                <w:szCs w:val="14"/>
                <w:lang w:eastAsia="es-MX"/>
              </w:rPr>
              <w:t>Costo SWAP</w:t>
            </w:r>
          </w:p>
        </w:tc>
      </w:tr>
      <w:tr w:rsidR="00BD1A51" w:rsidRPr="00BD1A51" w14:paraId="27BC527D"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3025E2F"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BBVA México S.A. 1000 MDP</w:t>
            </w:r>
          </w:p>
        </w:tc>
        <w:tc>
          <w:tcPr>
            <w:tcW w:w="1046" w:type="dxa"/>
            <w:tcBorders>
              <w:top w:val="nil"/>
              <w:left w:val="nil"/>
              <w:bottom w:val="single" w:sz="4" w:space="0" w:color="auto"/>
              <w:right w:val="single" w:sz="4" w:space="0" w:color="auto"/>
            </w:tcBorders>
            <w:shd w:val="clear" w:color="auto" w:fill="auto"/>
            <w:noWrap/>
            <w:vAlign w:val="center"/>
            <w:hideMark/>
          </w:tcPr>
          <w:p w14:paraId="4CE3FF39"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334,249,095</w:t>
            </w:r>
          </w:p>
        </w:tc>
        <w:tc>
          <w:tcPr>
            <w:tcW w:w="1046" w:type="dxa"/>
            <w:tcBorders>
              <w:top w:val="nil"/>
              <w:left w:val="nil"/>
              <w:bottom w:val="single" w:sz="4" w:space="0" w:color="auto"/>
              <w:right w:val="single" w:sz="4" w:space="0" w:color="auto"/>
            </w:tcBorders>
            <w:shd w:val="clear" w:color="auto" w:fill="auto"/>
            <w:noWrap/>
            <w:vAlign w:val="center"/>
            <w:hideMark/>
          </w:tcPr>
          <w:p w14:paraId="61C318DA"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149D59A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334,249,095</w:t>
            </w:r>
          </w:p>
        </w:tc>
        <w:tc>
          <w:tcPr>
            <w:tcW w:w="1210" w:type="dxa"/>
            <w:tcBorders>
              <w:top w:val="nil"/>
              <w:left w:val="nil"/>
              <w:bottom w:val="single" w:sz="4" w:space="0" w:color="auto"/>
              <w:right w:val="single" w:sz="4" w:space="0" w:color="auto"/>
            </w:tcBorders>
            <w:shd w:val="clear" w:color="auto" w:fill="auto"/>
            <w:noWrap/>
            <w:vAlign w:val="center"/>
            <w:hideMark/>
          </w:tcPr>
          <w:p w14:paraId="7385628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5F22202C"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nil"/>
              <w:left w:val="nil"/>
              <w:bottom w:val="single" w:sz="4" w:space="0" w:color="auto"/>
              <w:right w:val="single" w:sz="4" w:space="0" w:color="auto"/>
            </w:tcBorders>
            <w:shd w:val="clear" w:color="auto" w:fill="auto"/>
            <w:noWrap/>
            <w:vAlign w:val="center"/>
            <w:hideMark/>
          </w:tcPr>
          <w:p w14:paraId="3B39224F"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12,865,004</w:t>
            </w:r>
          </w:p>
        </w:tc>
        <w:tc>
          <w:tcPr>
            <w:tcW w:w="763" w:type="dxa"/>
            <w:tcBorders>
              <w:top w:val="nil"/>
              <w:left w:val="nil"/>
              <w:bottom w:val="single" w:sz="4" w:space="0" w:color="auto"/>
              <w:right w:val="single" w:sz="4" w:space="0" w:color="auto"/>
            </w:tcBorders>
            <w:shd w:val="clear" w:color="auto" w:fill="auto"/>
            <w:noWrap/>
            <w:vAlign w:val="center"/>
            <w:hideMark/>
          </w:tcPr>
          <w:p w14:paraId="19E600E0"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5CEE1A17"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EB55954" w14:textId="77777777" w:rsidR="00BD1A51" w:rsidRPr="00BD1A51" w:rsidRDefault="00BD1A51" w:rsidP="00EC7D22">
            <w:pPr>
              <w:suppressAutoHyphens w:val="0"/>
              <w:overflowPunct/>
              <w:spacing w:after="0" w:line="240" w:lineRule="auto"/>
              <w:rPr>
                <w:rFonts w:eastAsia="Times New Roman" w:cs="Calibri"/>
                <w:color w:val="222B35"/>
                <w:sz w:val="14"/>
                <w:szCs w:val="14"/>
                <w:lang w:val="pt-PT" w:eastAsia="es-MX"/>
              </w:rPr>
            </w:pPr>
            <w:r w:rsidRPr="00BD1A51">
              <w:rPr>
                <w:rFonts w:eastAsia="Times New Roman" w:cs="Calibri"/>
                <w:color w:val="222B35"/>
                <w:sz w:val="14"/>
                <w:szCs w:val="14"/>
                <w:lang w:val="pt-PT" w:eastAsia="es-MX"/>
              </w:rPr>
              <w:t>Banobras S.N.C. 183 MDP</w:t>
            </w:r>
          </w:p>
        </w:tc>
        <w:tc>
          <w:tcPr>
            <w:tcW w:w="1046" w:type="dxa"/>
            <w:tcBorders>
              <w:top w:val="nil"/>
              <w:left w:val="nil"/>
              <w:bottom w:val="single" w:sz="4" w:space="0" w:color="auto"/>
              <w:right w:val="single" w:sz="4" w:space="0" w:color="auto"/>
            </w:tcBorders>
            <w:shd w:val="clear" w:color="auto" w:fill="auto"/>
            <w:noWrap/>
            <w:vAlign w:val="center"/>
            <w:hideMark/>
          </w:tcPr>
          <w:p w14:paraId="0E30D624"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78,262,479</w:t>
            </w:r>
          </w:p>
        </w:tc>
        <w:tc>
          <w:tcPr>
            <w:tcW w:w="1046" w:type="dxa"/>
            <w:tcBorders>
              <w:top w:val="nil"/>
              <w:left w:val="nil"/>
              <w:bottom w:val="single" w:sz="4" w:space="0" w:color="auto"/>
              <w:right w:val="single" w:sz="4" w:space="0" w:color="auto"/>
            </w:tcBorders>
            <w:shd w:val="clear" w:color="auto" w:fill="auto"/>
            <w:noWrap/>
            <w:vAlign w:val="center"/>
            <w:hideMark/>
          </w:tcPr>
          <w:p w14:paraId="0293E8D7"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7F5837B3"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7,248,748</w:t>
            </w:r>
          </w:p>
        </w:tc>
        <w:tc>
          <w:tcPr>
            <w:tcW w:w="1210" w:type="dxa"/>
            <w:tcBorders>
              <w:top w:val="nil"/>
              <w:left w:val="nil"/>
              <w:bottom w:val="single" w:sz="4" w:space="0" w:color="auto"/>
              <w:right w:val="single" w:sz="4" w:space="0" w:color="auto"/>
            </w:tcBorders>
            <w:shd w:val="clear" w:color="auto" w:fill="auto"/>
            <w:noWrap/>
            <w:vAlign w:val="center"/>
            <w:hideMark/>
          </w:tcPr>
          <w:p w14:paraId="765DC5B0"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0675E4DB"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71,013,731</w:t>
            </w:r>
          </w:p>
        </w:tc>
        <w:tc>
          <w:tcPr>
            <w:tcW w:w="1359" w:type="dxa"/>
            <w:tcBorders>
              <w:top w:val="nil"/>
              <w:left w:val="nil"/>
              <w:bottom w:val="single" w:sz="4" w:space="0" w:color="auto"/>
              <w:right w:val="single" w:sz="4" w:space="0" w:color="auto"/>
            </w:tcBorders>
            <w:shd w:val="clear" w:color="auto" w:fill="auto"/>
            <w:noWrap/>
            <w:vAlign w:val="center"/>
            <w:hideMark/>
          </w:tcPr>
          <w:p w14:paraId="73D95908"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14,158,096</w:t>
            </w:r>
          </w:p>
        </w:tc>
        <w:tc>
          <w:tcPr>
            <w:tcW w:w="763" w:type="dxa"/>
            <w:tcBorders>
              <w:top w:val="nil"/>
              <w:left w:val="nil"/>
              <w:bottom w:val="single" w:sz="4" w:space="0" w:color="auto"/>
              <w:right w:val="single" w:sz="4" w:space="0" w:color="auto"/>
            </w:tcBorders>
            <w:shd w:val="clear" w:color="auto" w:fill="auto"/>
            <w:noWrap/>
            <w:vAlign w:val="center"/>
            <w:hideMark/>
          </w:tcPr>
          <w:p w14:paraId="74397FF0"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7E591CB3"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56BC098" w14:textId="77777777" w:rsidR="00BD1A51" w:rsidRPr="00BD1A51" w:rsidRDefault="00BD1A51" w:rsidP="00EC7D22">
            <w:pPr>
              <w:suppressAutoHyphens w:val="0"/>
              <w:overflowPunct/>
              <w:spacing w:after="0" w:line="240" w:lineRule="auto"/>
              <w:rPr>
                <w:rFonts w:eastAsia="Times New Roman" w:cs="Calibri"/>
                <w:color w:val="222B35"/>
                <w:sz w:val="14"/>
                <w:szCs w:val="14"/>
                <w:lang w:val="pt-PT" w:eastAsia="es-MX"/>
              </w:rPr>
            </w:pPr>
            <w:r w:rsidRPr="00BD1A51">
              <w:rPr>
                <w:rFonts w:eastAsia="Times New Roman" w:cs="Calibri"/>
                <w:color w:val="222B35"/>
                <w:sz w:val="14"/>
                <w:szCs w:val="14"/>
                <w:lang w:val="pt-PT" w:eastAsia="es-MX"/>
              </w:rPr>
              <w:t>Banobras S.N.C. 187 MDP</w:t>
            </w:r>
          </w:p>
        </w:tc>
        <w:tc>
          <w:tcPr>
            <w:tcW w:w="1046" w:type="dxa"/>
            <w:tcBorders>
              <w:top w:val="nil"/>
              <w:left w:val="nil"/>
              <w:bottom w:val="single" w:sz="4" w:space="0" w:color="auto"/>
              <w:right w:val="single" w:sz="4" w:space="0" w:color="auto"/>
            </w:tcBorders>
            <w:shd w:val="clear" w:color="auto" w:fill="auto"/>
            <w:noWrap/>
            <w:vAlign w:val="center"/>
            <w:hideMark/>
          </w:tcPr>
          <w:p w14:paraId="01C851B4"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89,205,436</w:t>
            </w:r>
          </w:p>
        </w:tc>
        <w:tc>
          <w:tcPr>
            <w:tcW w:w="1046" w:type="dxa"/>
            <w:tcBorders>
              <w:top w:val="nil"/>
              <w:left w:val="nil"/>
              <w:bottom w:val="single" w:sz="4" w:space="0" w:color="auto"/>
              <w:right w:val="single" w:sz="4" w:space="0" w:color="auto"/>
            </w:tcBorders>
            <w:shd w:val="clear" w:color="auto" w:fill="auto"/>
            <w:noWrap/>
            <w:vAlign w:val="center"/>
            <w:hideMark/>
          </w:tcPr>
          <w:p w14:paraId="7CF308A1"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129F0912"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8,262,296</w:t>
            </w:r>
          </w:p>
        </w:tc>
        <w:tc>
          <w:tcPr>
            <w:tcW w:w="1210" w:type="dxa"/>
            <w:tcBorders>
              <w:top w:val="nil"/>
              <w:left w:val="nil"/>
              <w:bottom w:val="single" w:sz="4" w:space="0" w:color="auto"/>
              <w:right w:val="single" w:sz="4" w:space="0" w:color="auto"/>
            </w:tcBorders>
            <w:shd w:val="clear" w:color="auto" w:fill="auto"/>
            <w:noWrap/>
            <w:vAlign w:val="center"/>
            <w:hideMark/>
          </w:tcPr>
          <w:p w14:paraId="7A2BB667"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7A017677"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80,943,141</w:t>
            </w:r>
          </w:p>
        </w:tc>
        <w:tc>
          <w:tcPr>
            <w:tcW w:w="1359" w:type="dxa"/>
            <w:tcBorders>
              <w:top w:val="nil"/>
              <w:left w:val="nil"/>
              <w:bottom w:val="single" w:sz="4" w:space="0" w:color="auto"/>
              <w:right w:val="single" w:sz="4" w:space="0" w:color="auto"/>
            </w:tcBorders>
            <w:shd w:val="clear" w:color="auto" w:fill="auto"/>
            <w:noWrap/>
            <w:vAlign w:val="center"/>
            <w:hideMark/>
          </w:tcPr>
          <w:p w14:paraId="252AA68C"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16,131,604</w:t>
            </w:r>
          </w:p>
        </w:tc>
        <w:tc>
          <w:tcPr>
            <w:tcW w:w="763" w:type="dxa"/>
            <w:tcBorders>
              <w:top w:val="nil"/>
              <w:left w:val="nil"/>
              <w:bottom w:val="single" w:sz="4" w:space="0" w:color="auto"/>
              <w:right w:val="single" w:sz="4" w:space="0" w:color="auto"/>
            </w:tcBorders>
            <w:shd w:val="clear" w:color="auto" w:fill="auto"/>
            <w:noWrap/>
            <w:vAlign w:val="center"/>
            <w:hideMark/>
          </w:tcPr>
          <w:p w14:paraId="70441150"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1A0E3E6D"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BAEFBEF" w14:textId="77777777" w:rsidR="00BD1A51" w:rsidRPr="00BD1A51" w:rsidRDefault="00BD1A51" w:rsidP="00EC7D22">
            <w:pPr>
              <w:suppressAutoHyphens w:val="0"/>
              <w:overflowPunct/>
              <w:spacing w:after="0" w:line="240" w:lineRule="auto"/>
              <w:rPr>
                <w:rFonts w:eastAsia="Times New Roman" w:cs="Calibri"/>
                <w:color w:val="222B35"/>
                <w:sz w:val="14"/>
                <w:szCs w:val="14"/>
                <w:lang w:val="pt-PT" w:eastAsia="es-MX"/>
              </w:rPr>
            </w:pPr>
            <w:r w:rsidRPr="00BD1A51">
              <w:rPr>
                <w:rFonts w:eastAsia="Times New Roman" w:cs="Calibri"/>
                <w:color w:val="222B35"/>
                <w:sz w:val="14"/>
                <w:szCs w:val="14"/>
                <w:lang w:val="pt-PT" w:eastAsia="es-MX"/>
              </w:rPr>
              <w:t>Banobras S.N.C. 250 MDP</w:t>
            </w:r>
          </w:p>
        </w:tc>
        <w:tc>
          <w:tcPr>
            <w:tcW w:w="1046" w:type="dxa"/>
            <w:tcBorders>
              <w:top w:val="nil"/>
              <w:left w:val="nil"/>
              <w:bottom w:val="single" w:sz="4" w:space="0" w:color="auto"/>
              <w:right w:val="single" w:sz="4" w:space="0" w:color="auto"/>
            </w:tcBorders>
            <w:shd w:val="clear" w:color="auto" w:fill="auto"/>
            <w:noWrap/>
            <w:vAlign w:val="center"/>
            <w:hideMark/>
          </w:tcPr>
          <w:p w14:paraId="4303D1DF"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5,714,706</w:t>
            </w:r>
          </w:p>
        </w:tc>
        <w:tc>
          <w:tcPr>
            <w:tcW w:w="1046" w:type="dxa"/>
            <w:tcBorders>
              <w:top w:val="nil"/>
              <w:left w:val="nil"/>
              <w:bottom w:val="single" w:sz="4" w:space="0" w:color="auto"/>
              <w:right w:val="single" w:sz="4" w:space="0" w:color="auto"/>
            </w:tcBorders>
            <w:shd w:val="clear" w:color="auto" w:fill="auto"/>
            <w:noWrap/>
            <w:vAlign w:val="center"/>
            <w:hideMark/>
          </w:tcPr>
          <w:p w14:paraId="04972DE2"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36C7F0B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5,714,706</w:t>
            </w:r>
          </w:p>
        </w:tc>
        <w:tc>
          <w:tcPr>
            <w:tcW w:w="1210" w:type="dxa"/>
            <w:tcBorders>
              <w:top w:val="nil"/>
              <w:left w:val="nil"/>
              <w:bottom w:val="single" w:sz="4" w:space="0" w:color="auto"/>
              <w:right w:val="single" w:sz="4" w:space="0" w:color="auto"/>
            </w:tcBorders>
            <w:shd w:val="clear" w:color="auto" w:fill="auto"/>
            <w:noWrap/>
            <w:vAlign w:val="center"/>
            <w:hideMark/>
          </w:tcPr>
          <w:p w14:paraId="2F6AB6D6"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2BF4EA1D"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nil"/>
              <w:left w:val="nil"/>
              <w:bottom w:val="single" w:sz="4" w:space="0" w:color="auto"/>
              <w:right w:val="single" w:sz="4" w:space="0" w:color="auto"/>
            </w:tcBorders>
            <w:shd w:val="clear" w:color="auto" w:fill="auto"/>
            <w:noWrap/>
            <w:vAlign w:val="center"/>
            <w:hideMark/>
          </w:tcPr>
          <w:p w14:paraId="6DC6211D"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147,514</w:t>
            </w:r>
          </w:p>
        </w:tc>
        <w:tc>
          <w:tcPr>
            <w:tcW w:w="763" w:type="dxa"/>
            <w:tcBorders>
              <w:top w:val="nil"/>
              <w:left w:val="nil"/>
              <w:bottom w:val="single" w:sz="4" w:space="0" w:color="auto"/>
              <w:right w:val="single" w:sz="4" w:space="0" w:color="auto"/>
            </w:tcBorders>
            <w:shd w:val="clear" w:color="auto" w:fill="auto"/>
            <w:noWrap/>
            <w:vAlign w:val="center"/>
            <w:hideMark/>
          </w:tcPr>
          <w:p w14:paraId="64F159C8"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3D7D9EEB"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F7D9D3C" w14:textId="77777777" w:rsidR="00BD1A51" w:rsidRPr="00BD1A51" w:rsidRDefault="00BD1A51" w:rsidP="00EC7D22">
            <w:pPr>
              <w:suppressAutoHyphens w:val="0"/>
              <w:overflowPunct/>
              <w:spacing w:after="0" w:line="240" w:lineRule="auto"/>
              <w:rPr>
                <w:rFonts w:eastAsia="Times New Roman" w:cs="Calibri"/>
                <w:color w:val="222B35"/>
                <w:sz w:val="14"/>
                <w:szCs w:val="14"/>
                <w:lang w:val="pt-PT" w:eastAsia="es-MX"/>
              </w:rPr>
            </w:pPr>
            <w:r w:rsidRPr="00BD1A51">
              <w:rPr>
                <w:rFonts w:eastAsia="Times New Roman" w:cs="Calibri"/>
                <w:color w:val="222B35"/>
                <w:sz w:val="14"/>
                <w:szCs w:val="14"/>
                <w:lang w:val="pt-PT" w:eastAsia="es-MX"/>
              </w:rPr>
              <w:t>Banobras S.N.C. 113 MDP</w:t>
            </w:r>
          </w:p>
        </w:tc>
        <w:tc>
          <w:tcPr>
            <w:tcW w:w="1046" w:type="dxa"/>
            <w:tcBorders>
              <w:top w:val="nil"/>
              <w:left w:val="nil"/>
              <w:bottom w:val="single" w:sz="4" w:space="0" w:color="auto"/>
              <w:right w:val="single" w:sz="4" w:space="0" w:color="auto"/>
            </w:tcBorders>
            <w:shd w:val="clear" w:color="auto" w:fill="auto"/>
            <w:noWrap/>
            <w:vAlign w:val="center"/>
            <w:hideMark/>
          </w:tcPr>
          <w:p w14:paraId="0105E523"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12,127,188</w:t>
            </w:r>
          </w:p>
        </w:tc>
        <w:tc>
          <w:tcPr>
            <w:tcW w:w="1046" w:type="dxa"/>
            <w:tcBorders>
              <w:top w:val="nil"/>
              <w:left w:val="nil"/>
              <w:bottom w:val="single" w:sz="4" w:space="0" w:color="auto"/>
              <w:right w:val="single" w:sz="4" w:space="0" w:color="auto"/>
            </w:tcBorders>
            <w:shd w:val="clear" w:color="auto" w:fill="auto"/>
            <w:noWrap/>
            <w:vAlign w:val="center"/>
            <w:hideMark/>
          </w:tcPr>
          <w:p w14:paraId="5A341720"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1B68154C"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9,701,750</w:t>
            </w:r>
          </w:p>
        </w:tc>
        <w:tc>
          <w:tcPr>
            <w:tcW w:w="1210" w:type="dxa"/>
            <w:tcBorders>
              <w:top w:val="nil"/>
              <w:left w:val="nil"/>
              <w:bottom w:val="single" w:sz="4" w:space="0" w:color="auto"/>
              <w:right w:val="single" w:sz="4" w:space="0" w:color="auto"/>
            </w:tcBorders>
            <w:shd w:val="clear" w:color="auto" w:fill="auto"/>
            <w:noWrap/>
            <w:vAlign w:val="center"/>
            <w:hideMark/>
          </w:tcPr>
          <w:p w14:paraId="0305CE6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10CC8F21"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2,425,438</w:t>
            </w:r>
          </w:p>
        </w:tc>
        <w:tc>
          <w:tcPr>
            <w:tcW w:w="1359" w:type="dxa"/>
            <w:tcBorders>
              <w:top w:val="nil"/>
              <w:left w:val="nil"/>
              <w:bottom w:val="single" w:sz="4" w:space="0" w:color="auto"/>
              <w:right w:val="single" w:sz="4" w:space="0" w:color="auto"/>
            </w:tcBorders>
            <w:shd w:val="clear" w:color="auto" w:fill="auto"/>
            <w:noWrap/>
            <w:vAlign w:val="center"/>
            <w:hideMark/>
          </w:tcPr>
          <w:p w14:paraId="129B9792"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956,034</w:t>
            </w:r>
          </w:p>
        </w:tc>
        <w:tc>
          <w:tcPr>
            <w:tcW w:w="763" w:type="dxa"/>
            <w:tcBorders>
              <w:top w:val="nil"/>
              <w:left w:val="nil"/>
              <w:bottom w:val="single" w:sz="4" w:space="0" w:color="auto"/>
              <w:right w:val="single" w:sz="4" w:space="0" w:color="auto"/>
            </w:tcBorders>
            <w:shd w:val="clear" w:color="auto" w:fill="auto"/>
            <w:noWrap/>
            <w:vAlign w:val="center"/>
            <w:hideMark/>
          </w:tcPr>
          <w:p w14:paraId="76127774"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3F61DFEB" w14:textId="77777777" w:rsidTr="0068635B">
        <w:trPr>
          <w:trHeight w:val="369"/>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74667ED"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Banamex S.A. 1500 MDP</w:t>
            </w:r>
          </w:p>
        </w:tc>
        <w:tc>
          <w:tcPr>
            <w:tcW w:w="1046" w:type="dxa"/>
            <w:tcBorders>
              <w:top w:val="nil"/>
              <w:left w:val="nil"/>
              <w:bottom w:val="single" w:sz="4" w:space="0" w:color="auto"/>
              <w:right w:val="single" w:sz="4" w:space="0" w:color="auto"/>
            </w:tcBorders>
            <w:shd w:val="clear" w:color="auto" w:fill="auto"/>
            <w:noWrap/>
            <w:vAlign w:val="center"/>
            <w:hideMark/>
          </w:tcPr>
          <w:p w14:paraId="030DBEAD"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1,389,930,211</w:t>
            </w:r>
          </w:p>
        </w:tc>
        <w:tc>
          <w:tcPr>
            <w:tcW w:w="1046" w:type="dxa"/>
            <w:tcBorders>
              <w:top w:val="nil"/>
              <w:left w:val="nil"/>
              <w:bottom w:val="single" w:sz="4" w:space="0" w:color="auto"/>
              <w:right w:val="single" w:sz="4" w:space="0" w:color="auto"/>
            </w:tcBorders>
            <w:shd w:val="clear" w:color="auto" w:fill="auto"/>
            <w:noWrap/>
            <w:vAlign w:val="center"/>
            <w:hideMark/>
          </w:tcPr>
          <w:p w14:paraId="4158A294"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0061D64C"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1,389,930,211</w:t>
            </w:r>
          </w:p>
        </w:tc>
        <w:tc>
          <w:tcPr>
            <w:tcW w:w="1210" w:type="dxa"/>
            <w:tcBorders>
              <w:top w:val="nil"/>
              <w:left w:val="nil"/>
              <w:bottom w:val="single" w:sz="4" w:space="0" w:color="auto"/>
              <w:right w:val="single" w:sz="4" w:space="0" w:color="auto"/>
            </w:tcBorders>
            <w:shd w:val="clear" w:color="auto" w:fill="auto"/>
            <w:noWrap/>
            <w:vAlign w:val="center"/>
            <w:hideMark/>
          </w:tcPr>
          <w:p w14:paraId="4466D383"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37CD2162"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nil"/>
              <w:left w:val="nil"/>
              <w:bottom w:val="single" w:sz="4" w:space="0" w:color="auto"/>
              <w:right w:val="single" w:sz="4" w:space="0" w:color="auto"/>
            </w:tcBorders>
            <w:shd w:val="clear" w:color="auto" w:fill="auto"/>
            <w:noWrap/>
            <w:vAlign w:val="center"/>
            <w:hideMark/>
          </w:tcPr>
          <w:p w14:paraId="538677D4"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41,654,759</w:t>
            </w:r>
          </w:p>
        </w:tc>
        <w:tc>
          <w:tcPr>
            <w:tcW w:w="763" w:type="dxa"/>
            <w:tcBorders>
              <w:top w:val="nil"/>
              <w:left w:val="nil"/>
              <w:bottom w:val="single" w:sz="4" w:space="0" w:color="auto"/>
              <w:right w:val="single" w:sz="4" w:space="0" w:color="auto"/>
            </w:tcBorders>
            <w:shd w:val="clear" w:color="auto" w:fill="auto"/>
            <w:noWrap/>
            <w:vAlign w:val="center"/>
            <w:hideMark/>
          </w:tcPr>
          <w:p w14:paraId="68AFE7F0"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694BE3D0" w14:textId="77777777" w:rsidTr="0068635B">
        <w:trPr>
          <w:trHeight w:val="399"/>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8D80C45"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Banorte S.A.  1’539 MDP</w:t>
            </w:r>
          </w:p>
        </w:tc>
        <w:tc>
          <w:tcPr>
            <w:tcW w:w="1046" w:type="dxa"/>
            <w:tcBorders>
              <w:top w:val="nil"/>
              <w:left w:val="nil"/>
              <w:bottom w:val="single" w:sz="4" w:space="0" w:color="auto"/>
              <w:right w:val="single" w:sz="4" w:space="0" w:color="auto"/>
            </w:tcBorders>
            <w:shd w:val="clear" w:color="auto" w:fill="auto"/>
            <w:noWrap/>
            <w:vAlign w:val="center"/>
            <w:hideMark/>
          </w:tcPr>
          <w:p w14:paraId="035B7B00"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1,396,402,366</w:t>
            </w:r>
          </w:p>
        </w:tc>
        <w:tc>
          <w:tcPr>
            <w:tcW w:w="1046" w:type="dxa"/>
            <w:tcBorders>
              <w:top w:val="nil"/>
              <w:left w:val="nil"/>
              <w:bottom w:val="single" w:sz="4" w:space="0" w:color="auto"/>
              <w:right w:val="single" w:sz="4" w:space="0" w:color="auto"/>
            </w:tcBorders>
            <w:shd w:val="clear" w:color="auto" w:fill="auto"/>
            <w:noWrap/>
            <w:vAlign w:val="center"/>
            <w:hideMark/>
          </w:tcPr>
          <w:p w14:paraId="678A70DC"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45189B2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1,396,402,366</w:t>
            </w:r>
          </w:p>
        </w:tc>
        <w:tc>
          <w:tcPr>
            <w:tcW w:w="1210" w:type="dxa"/>
            <w:tcBorders>
              <w:top w:val="nil"/>
              <w:left w:val="nil"/>
              <w:bottom w:val="single" w:sz="4" w:space="0" w:color="auto"/>
              <w:right w:val="single" w:sz="4" w:space="0" w:color="auto"/>
            </w:tcBorders>
            <w:shd w:val="clear" w:color="auto" w:fill="auto"/>
            <w:noWrap/>
            <w:vAlign w:val="center"/>
            <w:hideMark/>
          </w:tcPr>
          <w:p w14:paraId="5C055BA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549A9EEA"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nil"/>
              <w:left w:val="nil"/>
              <w:bottom w:val="single" w:sz="4" w:space="0" w:color="auto"/>
              <w:right w:val="single" w:sz="4" w:space="0" w:color="auto"/>
            </w:tcBorders>
            <w:shd w:val="clear" w:color="auto" w:fill="auto"/>
            <w:noWrap/>
            <w:vAlign w:val="center"/>
            <w:hideMark/>
          </w:tcPr>
          <w:p w14:paraId="4ACF5125"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69,371,778</w:t>
            </w:r>
          </w:p>
        </w:tc>
        <w:tc>
          <w:tcPr>
            <w:tcW w:w="763" w:type="dxa"/>
            <w:tcBorders>
              <w:top w:val="nil"/>
              <w:left w:val="nil"/>
              <w:bottom w:val="single" w:sz="4" w:space="0" w:color="auto"/>
              <w:right w:val="single" w:sz="4" w:space="0" w:color="auto"/>
            </w:tcBorders>
            <w:shd w:val="clear" w:color="auto" w:fill="auto"/>
            <w:noWrap/>
            <w:vAlign w:val="center"/>
            <w:hideMark/>
          </w:tcPr>
          <w:p w14:paraId="0E68E5FD"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5DBC52FB" w14:textId="77777777" w:rsidTr="0068635B">
        <w:trPr>
          <w:trHeight w:val="355"/>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F6F98A7"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Banorte S.A. 5’461 MDP</w:t>
            </w:r>
          </w:p>
        </w:tc>
        <w:tc>
          <w:tcPr>
            <w:tcW w:w="1046" w:type="dxa"/>
            <w:tcBorders>
              <w:top w:val="nil"/>
              <w:left w:val="nil"/>
              <w:bottom w:val="single" w:sz="4" w:space="0" w:color="auto"/>
              <w:right w:val="single" w:sz="4" w:space="0" w:color="auto"/>
            </w:tcBorders>
            <w:shd w:val="clear" w:color="auto" w:fill="auto"/>
            <w:noWrap/>
            <w:vAlign w:val="center"/>
            <w:hideMark/>
          </w:tcPr>
          <w:p w14:paraId="173FFC56"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5,033,895,371</w:t>
            </w:r>
          </w:p>
        </w:tc>
        <w:tc>
          <w:tcPr>
            <w:tcW w:w="1046" w:type="dxa"/>
            <w:tcBorders>
              <w:top w:val="nil"/>
              <w:left w:val="nil"/>
              <w:bottom w:val="single" w:sz="4" w:space="0" w:color="auto"/>
              <w:right w:val="single" w:sz="4" w:space="0" w:color="auto"/>
            </w:tcBorders>
            <w:shd w:val="clear" w:color="auto" w:fill="auto"/>
            <w:noWrap/>
            <w:vAlign w:val="center"/>
            <w:hideMark/>
          </w:tcPr>
          <w:p w14:paraId="0CC03587"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44D23E0E"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5,033,895,371</w:t>
            </w:r>
          </w:p>
        </w:tc>
        <w:tc>
          <w:tcPr>
            <w:tcW w:w="1210" w:type="dxa"/>
            <w:tcBorders>
              <w:top w:val="nil"/>
              <w:left w:val="nil"/>
              <w:bottom w:val="single" w:sz="4" w:space="0" w:color="auto"/>
              <w:right w:val="single" w:sz="4" w:space="0" w:color="auto"/>
            </w:tcBorders>
            <w:shd w:val="clear" w:color="auto" w:fill="auto"/>
            <w:noWrap/>
            <w:vAlign w:val="center"/>
            <w:hideMark/>
          </w:tcPr>
          <w:p w14:paraId="50A379E6"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2A884C17"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nil"/>
              <w:left w:val="nil"/>
              <w:bottom w:val="single" w:sz="4" w:space="0" w:color="auto"/>
              <w:right w:val="single" w:sz="4" w:space="0" w:color="auto"/>
            </w:tcBorders>
            <w:shd w:val="clear" w:color="auto" w:fill="auto"/>
            <w:noWrap/>
            <w:vAlign w:val="center"/>
            <w:hideMark/>
          </w:tcPr>
          <w:p w14:paraId="49DBD88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252,168,797</w:t>
            </w:r>
          </w:p>
        </w:tc>
        <w:tc>
          <w:tcPr>
            <w:tcW w:w="763" w:type="dxa"/>
            <w:tcBorders>
              <w:top w:val="nil"/>
              <w:left w:val="nil"/>
              <w:bottom w:val="single" w:sz="4" w:space="0" w:color="auto"/>
              <w:right w:val="single" w:sz="4" w:space="0" w:color="auto"/>
            </w:tcBorders>
            <w:shd w:val="clear" w:color="auto" w:fill="auto"/>
            <w:noWrap/>
            <w:vAlign w:val="center"/>
            <w:hideMark/>
          </w:tcPr>
          <w:p w14:paraId="120ED2DE"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4DDC5545"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CC85A33"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Santander S.A. 1’650 MDP</w:t>
            </w:r>
          </w:p>
        </w:tc>
        <w:tc>
          <w:tcPr>
            <w:tcW w:w="1046" w:type="dxa"/>
            <w:tcBorders>
              <w:top w:val="nil"/>
              <w:left w:val="nil"/>
              <w:bottom w:val="single" w:sz="4" w:space="0" w:color="auto"/>
              <w:right w:val="single" w:sz="4" w:space="0" w:color="auto"/>
            </w:tcBorders>
            <w:shd w:val="clear" w:color="auto" w:fill="auto"/>
            <w:noWrap/>
            <w:vAlign w:val="center"/>
            <w:hideMark/>
          </w:tcPr>
          <w:p w14:paraId="4D392966"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1,555,053,266</w:t>
            </w:r>
          </w:p>
        </w:tc>
        <w:tc>
          <w:tcPr>
            <w:tcW w:w="1046" w:type="dxa"/>
            <w:tcBorders>
              <w:top w:val="nil"/>
              <w:left w:val="nil"/>
              <w:bottom w:val="single" w:sz="4" w:space="0" w:color="auto"/>
              <w:right w:val="single" w:sz="4" w:space="0" w:color="auto"/>
            </w:tcBorders>
            <w:shd w:val="clear" w:color="auto" w:fill="auto"/>
            <w:noWrap/>
            <w:vAlign w:val="center"/>
            <w:hideMark/>
          </w:tcPr>
          <w:p w14:paraId="24F603D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0CFE74DA"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1,555,053,266</w:t>
            </w:r>
          </w:p>
        </w:tc>
        <w:tc>
          <w:tcPr>
            <w:tcW w:w="1210" w:type="dxa"/>
            <w:tcBorders>
              <w:top w:val="nil"/>
              <w:left w:val="nil"/>
              <w:bottom w:val="single" w:sz="4" w:space="0" w:color="auto"/>
              <w:right w:val="single" w:sz="4" w:space="0" w:color="auto"/>
            </w:tcBorders>
            <w:shd w:val="clear" w:color="auto" w:fill="auto"/>
            <w:noWrap/>
            <w:vAlign w:val="center"/>
            <w:hideMark/>
          </w:tcPr>
          <w:p w14:paraId="18D57A95"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50CC601F"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nil"/>
              <w:left w:val="nil"/>
              <w:bottom w:val="single" w:sz="4" w:space="0" w:color="auto"/>
              <w:right w:val="single" w:sz="4" w:space="0" w:color="auto"/>
            </w:tcBorders>
            <w:shd w:val="clear" w:color="auto" w:fill="auto"/>
            <w:noWrap/>
            <w:vAlign w:val="center"/>
            <w:hideMark/>
          </w:tcPr>
          <w:p w14:paraId="4B9075B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66,422,693</w:t>
            </w:r>
          </w:p>
        </w:tc>
        <w:tc>
          <w:tcPr>
            <w:tcW w:w="763" w:type="dxa"/>
            <w:tcBorders>
              <w:top w:val="nil"/>
              <w:left w:val="nil"/>
              <w:bottom w:val="single" w:sz="4" w:space="0" w:color="auto"/>
              <w:right w:val="single" w:sz="4" w:space="0" w:color="auto"/>
            </w:tcBorders>
            <w:shd w:val="clear" w:color="auto" w:fill="auto"/>
            <w:noWrap/>
            <w:vAlign w:val="center"/>
            <w:hideMark/>
          </w:tcPr>
          <w:p w14:paraId="00015311"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5D7B82A1" w14:textId="77777777" w:rsidTr="001B28E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8C00459"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Banamex S.A. 1’000 MDP</w:t>
            </w:r>
          </w:p>
        </w:tc>
        <w:tc>
          <w:tcPr>
            <w:tcW w:w="1046" w:type="dxa"/>
            <w:tcBorders>
              <w:top w:val="nil"/>
              <w:left w:val="nil"/>
              <w:bottom w:val="single" w:sz="4" w:space="0" w:color="auto"/>
              <w:right w:val="single" w:sz="4" w:space="0" w:color="auto"/>
            </w:tcBorders>
            <w:shd w:val="clear" w:color="auto" w:fill="auto"/>
            <w:noWrap/>
            <w:vAlign w:val="center"/>
            <w:hideMark/>
          </w:tcPr>
          <w:p w14:paraId="1973883A"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942,291,764</w:t>
            </w:r>
          </w:p>
        </w:tc>
        <w:tc>
          <w:tcPr>
            <w:tcW w:w="1046" w:type="dxa"/>
            <w:tcBorders>
              <w:top w:val="nil"/>
              <w:left w:val="nil"/>
              <w:bottom w:val="single" w:sz="4" w:space="0" w:color="auto"/>
              <w:right w:val="single" w:sz="4" w:space="0" w:color="auto"/>
            </w:tcBorders>
            <w:shd w:val="clear" w:color="auto" w:fill="auto"/>
            <w:noWrap/>
            <w:vAlign w:val="center"/>
            <w:hideMark/>
          </w:tcPr>
          <w:p w14:paraId="003DCDE6"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5E10A634"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942,291,764</w:t>
            </w:r>
          </w:p>
        </w:tc>
        <w:tc>
          <w:tcPr>
            <w:tcW w:w="1210" w:type="dxa"/>
            <w:tcBorders>
              <w:top w:val="nil"/>
              <w:left w:val="nil"/>
              <w:bottom w:val="single" w:sz="4" w:space="0" w:color="auto"/>
              <w:right w:val="single" w:sz="4" w:space="0" w:color="auto"/>
            </w:tcBorders>
            <w:shd w:val="clear" w:color="auto" w:fill="auto"/>
            <w:noWrap/>
            <w:vAlign w:val="center"/>
            <w:hideMark/>
          </w:tcPr>
          <w:p w14:paraId="3FC4F4D4"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01F14C60"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nil"/>
              <w:left w:val="nil"/>
              <w:bottom w:val="single" w:sz="4" w:space="0" w:color="auto"/>
              <w:right w:val="single" w:sz="4" w:space="0" w:color="auto"/>
            </w:tcBorders>
            <w:shd w:val="clear" w:color="auto" w:fill="auto"/>
            <w:noWrap/>
            <w:vAlign w:val="center"/>
            <w:hideMark/>
          </w:tcPr>
          <w:p w14:paraId="210BACCF"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37,156,207</w:t>
            </w:r>
          </w:p>
        </w:tc>
        <w:tc>
          <w:tcPr>
            <w:tcW w:w="763" w:type="dxa"/>
            <w:tcBorders>
              <w:top w:val="nil"/>
              <w:left w:val="nil"/>
              <w:bottom w:val="single" w:sz="4" w:space="0" w:color="auto"/>
              <w:right w:val="single" w:sz="4" w:space="0" w:color="auto"/>
            </w:tcBorders>
            <w:shd w:val="clear" w:color="auto" w:fill="auto"/>
            <w:noWrap/>
            <w:vAlign w:val="center"/>
            <w:hideMark/>
          </w:tcPr>
          <w:p w14:paraId="57F141F0"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7060DCD4" w14:textId="77777777" w:rsidTr="001B28EB">
        <w:trPr>
          <w:trHeight w:val="414"/>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F50A6"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lastRenderedPageBreak/>
              <w:t>BBVA México S.A. 500 MDP</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BD5DB4E"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469,008,343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64B0180"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6854DE3"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469,008,343</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14:paraId="6309D4C1"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single" w:sz="4" w:space="0" w:color="auto"/>
              <w:left w:val="nil"/>
              <w:bottom w:val="single" w:sz="4" w:space="0" w:color="auto"/>
              <w:right w:val="single" w:sz="4" w:space="0" w:color="auto"/>
            </w:tcBorders>
            <w:shd w:val="clear" w:color="FFFFCC" w:fill="FFFFFF"/>
            <w:noWrap/>
            <w:vAlign w:val="center"/>
            <w:hideMark/>
          </w:tcPr>
          <w:p w14:paraId="0B33E169"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605B1ED5"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18,276,027</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22BAB93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5010091D" w14:textId="77777777" w:rsidTr="00AA4AEA">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F04AD65"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BBVA México S.A. 968 MDP</w:t>
            </w:r>
          </w:p>
        </w:tc>
        <w:tc>
          <w:tcPr>
            <w:tcW w:w="1046" w:type="dxa"/>
            <w:tcBorders>
              <w:top w:val="nil"/>
              <w:left w:val="nil"/>
              <w:bottom w:val="single" w:sz="4" w:space="0" w:color="auto"/>
              <w:right w:val="single" w:sz="4" w:space="0" w:color="auto"/>
            </w:tcBorders>
            <w:shd w:val="clear" w:color="auto" w:fill="auto"/>
            <w:noWrap/>
            <w:vAlign w:val="center"/>
            <w:hideMark/>
          </w:tcPr>
          <w:p w14:paraId="017CE99E"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761,930,884</w:t>
            </w:r>
          </w:p>
        </w:tc>
        <w:tc>
          <w:tcPr>
            <w:tcW w:w="1046" w:type="dxa"/>
            <w:tcBorders>
              <w:top w:val="nil"/>
              <w:left w:val="nil"/>
              <w:bottom w:val="single" w:sz="4" w:space="0" w:color="auto"/>
              <w:right w:val="single" w:sz="4" w:space="0" w:color="auto"/>
            </w:tcBorders>
            <w:shd w:val="clear" w:color="auto" w:fill="auto"/>
            <w:noWrap/>
            <w:vAlign w:val="center"/>
            <w:hideMark/>
          </w:tcPr>
          <w:p w14:paraId="301AF16C"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nil"/>
              <w:left w:val="nil"/>
              <w:bottom w:val="single" w:sz="4" w:space="0" w:color="auto"/>
              <w:right w:val="single" w:sz="4" w:space="0" w:color="auto"/>
            </w:tcBorders>
            <w:shd w:val="clear" w:color="auto" w:fill="auto"/>
            <w:noWrap/>
            <w:vAlign w:val="center"/>
            <w:hideMark/>
          </w:tcPr>
          <w:p w14:paraId="14AC775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761,915,734</w:t>
            </w:r>
          </w:p>
        </w:tc>
        <w:tc>
          <w:tcPr>
            <w:tcW w:w="1210" w:type="dxa"/>
            <w:tcBorders>
              <w:top w:val="nil"/>
              <w:left w:val="nil"/>
              <w:bottom w:val="single" w:sz="4" w:space="0" w:color="auto"/>
              <w:right w:val="single" w:sz="4" w:space="0" w:color="auto"/>
            </w:tcBorders>
            <w:shd w:val="clear" w:color="auto" w:fill="auto"/>
            <w:noWrap/>
            <w:vAlign w:val="center"/>
            <w:hideMark/>
          </w:tcPr>
          <w:p w14:paraId="376BA91A"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15,150</w:t>
            </w:r>
          </w:p>
        </w:tc>
        <w:tc>
          <w:tcPr>
            <w:tcW w:w="1247" w:type="dxa"/>
            <w:tcBorders>
              <w:top w:val="nil"/>
              <w:left w:val="nil"/>
              <w:bottom w:val="single" w:sz="4" w:space="0" w:color="auto"/>
              <w:right w:val="single" w:sz="4" w:space="0" w:color="auto"/>
            </w:tcBorders>
            <w:shd w:val="clear" w:color="FFFFCC" w:fill="FFFFFF"/>
            <w:noWrap/>
            <w:vAlign w:val="center"/>
            <w:hideMark/>
          </w:tcPr>
          <w:p w14:paraId="38430DC5"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nil"/>
              <w:left w:val="nil"/>
              <w:bottom w:val="single" w:sz="4" w:space="0" w:color="auto"/>
              <w:right w:val="single" w:sz="4" w:space="0" w:color="auto"/>
            </w:tcBorders>
            <w:shd w:val="clear" w:color="auto" w:fill="auto"/>
            <w:noWrap/>
            <w:vAlign w:val="center"/>
            <w:hideMark/>
          </w:tcPr>
          <w:p w14:paraId="7F740D16"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34,374,157</w:t>
            </w:r>
          </w:p>
        </w:tc>
        <w:tc>
          <w:tcPr>
            <w:tcW w:w="763" w:type="dxa"/>
            <w:tcBorders>
              <w:top w:val="nil"/>
              <w:left w:val="nil"/>
              <w:bottom w:val="single" w:sz="4" w:space="0" w:color="auto"/>
              <w:right w:val="single" w:sz="4" w:space="0" w:color="auto"/>
            </w:tcBorders>
            <w:shd w:val="clear" w:color="auto" w:fill="auto"/>
            <w:noWrap/>
            <w:vAlign w:val="center"/>
            <w:hideMark/>
          </w:tcPr>
          <w:p w14:paraId="222712FC"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191BB6C5" w14:textId="77777777" w:rsidTr="00AA4AEA">
        <w:trPr>
          <w:trHeight w:val="414"/>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A86E3"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BBVA México S.A. 994 MDP</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74C6"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929,140,770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DC69D"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6A72"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929,140,770</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5898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B19F276"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5A5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37,566,021</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33D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43A66F6C" w14:textId="77777777" w:rsidTr="00AA4AEA">
        <w:trPr>
          <w:trHeight w:val="414"/>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F5A1D"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Banorte S.A. 1’500 MDP</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0ED5E"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1,469,983,658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EF907"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5F21"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19,580,117</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249E2"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3C93539"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1,450,403,541</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A88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173,757,720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B85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1DB207A6" w14:textId="77777777" w:rsidTr="00AA4AEA">
        <w:trPr>
          <w:trHeight w:val="414"/>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5F71"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Banorte S.A. 1’200 MDP</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370C2" w14:textId="77777777" w:rsidR="00BD1A51" w:rsidRPr="00BD1A51" w:rsidRDefault="00BD1A51" w:rsidP="00EC7D22">
            <w:pPr>
              <w:suppressAutoHyphens w:val="0"/>
              <w:overflowPunct/>
              <w:spacing w:after="0" w:line="240" w:lineRule="auto"/>
              <w:jc w:val="right"/>
              <w:rPr>
                <w:rFonts w:eastAsia="Times New Roman" w:cs="Calibri"/>
                <w:color w:val="000000"/>
                <w:sz w:val="12"/>
                <w:szCs w:val="12"/>
                <w:lang w:eastAsia="es-MX"/>
              </w:rPr>
            </w:pPr>
            <w:r w:rsidRPr="00BD1A51">
              <w:rPr>
                <w:rFonts w:eastAsia="Times New Roman" w:cs="Calibri"/>
                <w:color w:val="000000"/>
                <w:sz w:val="12"/>
                <w:szCs w:val="12"/>
                <w:lang w:eastAsia="es-MX"/>
              </w:rPr>
              <w:t>973,306,943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97BDF"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1F91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11,130,154</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DFAE3"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23EC942"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962,176,789</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A6F1"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97,248,733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04DB5"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45644E44" w14:textId="77777777" w:rsidTr="00AA4AEA">
        <w:trPr>
          <w:trHeight w:val="414"/>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3E8D"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Banamex S.A. 2’506 MDP</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958797F"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239C18C"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2,506,794,049</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CC2EB7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13,776,720</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14:paraId="7CD09C6E"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single" w:sz="4" w:space="0" w:color="auto"/>
              <w:left w:val="nil"/>
              <w:bottom w:val="single" w:sz="4" w:space="0" w:color="auto"/>
              <w:right w:val="single" w:sz="4" w:space="0" w:color="auto"/>
            </w:tcBorders>
            <w:shd w:val="clear" w:color="FFFFCC" w:fill="FFFFFF"/>
            <w:noWrap/>
            <w:vAlign w:val="center"/>
            <w:hideMark/>
          </w:tcPr>
          <w:p w14:paraId="6A0E247D"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2,493,017,330</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3B9ACB6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178,082,653</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3C7A92F3"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05FBE25B"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41B6650"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BBVA México S.A. 3’000 MDP</w:t>
            </w:r>
          </w:p>
        </w:tc>
        <w:tc>
          <w:tcPr>
            <w:tcW w:w="1046" w:type="dxa"/>
            <w:tcBorders>
              <w:top w:val="nil"/>
              <w:left w:val="nil"/>
              <w:bottom w:val="single" w:sz="4" w:space="0" w:color="auto"/>
              <w:right w:val="single" w:sz="4" w:space="0" w:color="auto"/>
            </w:tcBorders>
            <w:shd w:val="clear" w:color="auto" w:fill="auto"/>
            <w:noWrap/>
            <w:vAlign w:val="center"/>
            <w:hideMark/>
          </w:tcPr>
          <w:p w14:paraId="1A30DC36"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 </w:t>
            </w:r>
          </w:p>
        </w:tc>
        <w:tc>
          <w:tcPr>
            <w:tcW w:w="1046" w:type="dxa"/>
            <w:tcBorders>
              <w:top w:val="nil"/>
              <w:left w:val="nil"/>
              <w:bottom w:val="single" w:sz="4" w:space="0" w:color="auto"/>
              <w:right w:val="single" w:sz="4" w:space="0" w:color="auto"/>
            </w:tcBorders>
            <w:shd w:val="clear" w:color="auto" w:fill="auto"/>
            <w:noWrap/>
            <w:vAlign w:val="center"/>
            <w:hideMark/>
          </w:tcPr>
          <w:p w14:paraId="5F7CD297"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3,000,000,000</w:t>
            </w:r>
          </w:p>
        </w:tc>
        <w:tc>
          <w:tcPr>
            <w:tcW w:w="1046" w:type="dxa"/>
            <w:tcBorders>
              <w:top w:val="nil"/>
              <w:left w:val="nil"/>
              <w:bottom w:val="single" w:sz="4" w:space="0" w:color="auto"/>
              <w:right w:val="single" w:sz="4" w:space="0" w:color="auto"/>
            </w:tcBorders>
            <w:shd w:val="clear" w:color="auto" w:fill="auto"/>
            <w:noWrap/>
            <w:vAlign w:val="center"/>
            <w:hideMark/>
          </w:tcPr>
          <w:p w14:paraId="52A7D5ED"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7,492,951</w:t>
            </w:r>
          </w:p>
        </w:tc>
        <w:tc>
          <w:tcPr>
            <w:tcW w:w="1210" w:type="dxa"/>
            <w:tcBorders>
              <w:top w:val="nil"/>
              <w:left w:val="nil"/>
              <w:bottom w:val="single" w:sz="4" w:space="0" w:color="auto"/>
              <w:right w:val="single" w:sz="4" w:space="0" w:color="auto"/>
            </w:tcBorders>
            <w:shd w:val="clear" w:color="auto" w:fill="auto"/>
            <w:noWrap/>
            <w:vAlign w:val="center"/>
            <w:hideMark/>
          </w:tcPr>
          <w:p w14:paraId="0BC6D498"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65D6897B"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2,992,507,049</w:t>
            </w:r>
          </w:p>
        </w:tc>
        <w:tc>
          <w:tcPr>
            <w:tcW w:w="1359" w:type="dxa"/>
            <w:tcBorders>
              <w:top w:val="nil"/>
              <w:left w:val="nil"/>
              <w:bottom w:val="single" w:sz="4" w:space="0" w:color="auto"/>
              <w:right w:val="single" w:sz="4" w:space="0" w:color="auto"/>
            </w:tcBorders>
            <w:shd w:val="clear" w:color="auto" w:fill="auto"/>
            <w:noWrap/>
            <w:vAlign w:val="center"/>
            <w:hideMark/>
          </w:tcPr>
          <w:p w14:paraId="726531B6"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219,500,741</w:t>
            </w:r>
          </w:p>
        </w:tc>
        <w:tc>
          <w:tcPr>
            <w:tcW w:w="763" w:type="dxa"/>
            <w:tcBorders>
              <w:top w:val="nil"/>
              <w:left w:val="nil"/>
              <w:bottom w:val="single" w:sz="4" w:space="0" w:color="auto"/>
              <w:right w:val="single" w:sz="4" w:space="0" w:color="auto"/>
            </w:tcBorders>
            <w:shd w:val="clear" w:color="auto" w:fill="auto"/>
            <w:noWrap/>
            <w:vAlign w:val="center"/>
            <w:hideMark/>
          </w:tcPr>
          <w:p w14:paraId="2F3100E3"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5DF04C00"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B276107"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Banorte S.A 4’500 MDP</w:t>
            </w:r>
          </w:p>
        </w:tc>
        <w:tc>
          <w:tcPr>
            <w:tcW w:w="1046" w:type="dxa"/>
            <w:tcBorders>
              <w:top w:val="nil"/>
              <w:left w:val="nil"/>
              <w:bottom w:val="single" w:sz="4" w:space="0" w:color="auto"/>
              <w:right w:val="single" w:sz="4" w:space="0" w:color="auto"/>
            </w:tcBorders>
            <w:shd w:val="clear" w:color="auto" w:fill="auto"/>
            <w:noWrap/>
            <w:vAlign w:val="center"/>
            <w:hideMark/>
          </w:tcPr>
          <w:p w14:paraId="20C20437"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 </w:t>
            </w:r>
          </w:p>
        </w:tc>
        <w:tc>
          <w:tcPr>
            <w:tcW w:w="1046" w:type="dxa"/>
            <w:tcBorders>
              <w:top w:val="nil"/>
              <w:left w:val="nil"/>
              <w:bottom w:val="single" w:sz="4" w:space="0" w:color="auto"/>
              <w:right w:val="single" w:sz="4" w:space="0" w:color="auto"/>
            </w:tcBorders>
            <w:shd w:val="clear" w:color="auto" w:fill="auto"/>
            <w:noWrap/>
            <w:vAlign w:val="center"/>
            <w:hideMark/>
          </w:tcPr>
          <w:p w14:paraId="4E286E13"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4,500,000,000</w:t>
            </w:r>
          </w:p>
        </w:tc>
        <w:tc>
          <w:tcPr>
            <w:tcW w:w="1046" w:type="dxa"/>
            <w:tcBorders>
              <w:top w:val="nil"/>
              <w:left w:val="nil"/>
              <w:bottom w:val="single" w:sz="4" w:space="0" w:color="auto"/>
              <w:right w:val="single" w:sz="4" w:space="0" w:color="auto"/>
            </w:tcBorders>
            <w:shd w:val="clear" w:color="auto" w:fill="auto"/>
            <w:noWrap/>
            <w:vAlign w:val="center"/>
            <w:hideMark/>
          </w:tcPr>
          <w:p w14:paraId="00139C4F"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11,091,919</w:t>
            </w:r>
          </w:p>
        </w:tc>
        <w:tc>
          <w:tcPr>
            <w:tcW w:w="1210" w:type="dxa"/>
            <w:tcBorders>
              <w:top w:val="nil"/>
              <w:left w:val="nil"/>
              <w:bottom w:val="single" w:sz="4" w:space="0" w:color="auto"/>
              <w:right w:val="single" w:sz="4" w:space="0" w:color="auto"/>
            </w:tcBorders>
            <w:shd w:val="clear" w:color="auto" w:fill="auto"/>
            <w:noWrap/>
            <w:vAlign w:val="center"/>
            <w:hideMark/>
          </w:tcPr>
          <w:p w14:paraId="0B60282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02F1A635"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4,488,908,081</w:t>
            </w:r>
          </w:p>
        </w:tc>
        <w:tc>
          <w:tcPr>
            <w:tcW w:w="1359" w:type="dxa"/>
            <w:tcBorders>
              <w:top w:val="nil"/>
              <w:left w:val="nil"/>
              <w:bottom w:val="single" w:sz="4" w:space="0" w:color="auto"/>
              <w:right w:val="single" w:sz="4" w:space="0" w:color="auto"/>
            </w:tcBorders>
            <w:shd w:val="clear" w:color="auto" w:fill="auto"/>
            <w:noWrap/>
            <w:vAlign w:val="center"/>
            <w:hideMark/>
          </w:tcPr>
          <w:p w14:paraId="0B820350"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331,588,858</w:t>
            </w:r>
          </w:p>
        </w:tc>
        <w:tc>
          <w:tcPr>
            <w:tcW w:w="763" w:type="dxa"/>
            <w:tcBorders>
              <w:top w:val="nil"/>
              <w:left w:val="nil"/>
              <w:bottom w:val="single" w:sz="4" w:space="0" w:color="auto"/>
              <w:right w:val="single" w:sz="4" w:space="0" w:color="auto"/>
            </w:tcBorders>
            <w:shd w:val="clear" w:color="auto" w:fill="auto"/>
            <w:noWrap/>
            <w:vAlign w:val="center"/>
            <w:hideMark/>
          </w:tcPr>
          <w:p w14:paraId="15C5BCFF"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39B30DD0"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6A07E6B"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Banorte S.A. 2’000 MDP</w:t>
            </w:r>
          </w:p>
        </w:tc>
        <w:tc>
          <w:tcPr>
            <w:tcW w:w="1046" w:type="dxa"/>
            <w:tcBorders>
              <w:top w:val="nil"/>
              <w:left w:val="nil"/>
              <w:bottom w:val="single" w:sz="4" w:space="0" w:color="auto"/>
              <w:right w:val="single" w:sz="4" w:space="0" w:color="auto"/>
            </w:tcBorders>
            <w:shd w:val="clear" w:color="auto" w:fill="auto"/>
            <w:noWrap/>
            <w:vAlign w:val="center"/>
            <w:hideMark/>
          </w:tcPr>
          <w:p w14:paraId="361EABEF"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 </w:t>
            </w:r>
          </w:p>
        </w:tc>
        <w:tc>
          <w:tcPr>
            <w:tcW w:w="1046" w:type="dxa"/>
            <w:tcBorders>
              <w:top w:val="nil"/>
              <w:left w:val="nil"/>
              <w:bottom w:val="single" w:sz="4" w:space="0" w:color="auto"/>
              <w:right w:val="single" w:sz="4" w:space="0" w:color="auto"/>
            </w:tcBorders>
            <w:shd w:val="clear" w:color="auto" w:fill="auto"/>
            <w:noWrap/>
            <w:vAlign w:val="center"/>
            <w:hideMark/>
          </w:tcPr>
          <w:p w14:paraId="51B6BA3A"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1,977,281,680</w:t>
            </w:r>
          </w:p>
        </w:tc>
        <w:tc>
          <w:tcPr>
            <w:tcW w:w="1046" w:type="dxa"/>
            <w:tcBorders>
              <w:top w:val="nil"/>
              <w:left w:val="nil"/>
              <w:bottom w:val="single" w:sz="4" w:space="0" w:color="auto"/>
              <w:right w:val="single" w:sz="4" w:space="0" w:color="auto"/>
            </w:tcBorders>
            <w:shd w:val="clear" w:color="auto" w:fill="auto"/>
            <w:noWrap/>
            <w:vAlign w:val="center"/>
            <w:hideMark/>
          </w:tcPr>
          <w:p w14:paraId="6A132B12"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4,873,741</w:t>
            </w:r>
          </w:p>
        </w:tc>
        <w:tc>
          <w:tcPr>
            <w:tcW w:w="1210" w:type="dxa"/>
            <w:tcBorders>
              <w:top w:val="nil"/>
              <w:left w:val="nil"/>
              <w:bottom w:val="single" w:sz="4" w:space="0" w:color="auto"/>
              <w:right w:val="single" w:sz="4" w:space="0" w:color="auto"/>
            </w:tcBorders>
            <w:shd w:val="clear" w:color="auto" w:fill="auto"/>
            <w:noWrap/>
            <w:vAlign w:val="center"/>
            <w:hideMark/>
          </w:tcPr>
          <w:p w14:paraId="7C682FDF"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44017227"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1,972,407,939</w:t>
            </w:r>
          </w:p>
        </w:tc>
        <w:tc>
          <w:tcPr>
            <w:tcW w:w="1359" w:type="dxa"/>
            <w:tcBorders>
              <w:top w:val="nil"/>
              <w:left w:val="nil"/>
              <w:bottom w:val="single" w:sz="4" w:space="0" w:color="auto"/>
              <w:right w:val="single" w:sz="4" w:space="0" w:color="auto"/>
            </w:tcBorders>
            <w:shd w:val="clear" w:color="auto" w:fill="auto"/>
            <w:noWrap/>
            <w:vAlign w:val="center"/>
            <w:hideMark/>
          </w:tcPr>
          <w:p w14:paraId="06850AA1"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146,084,931</w:t>
            </w:r>
          </w:p>
        </w:tc>
        <w:tc>
          <w:tcPr>
            <w:tcW w:w="763" w:type="dxa"/>
            <w:tcBorders>
              <w:top w:val="nil"/>
              <w:left w:val="nil"/>
              <w:bottom w:val="single" w:sz="4" w:space="0" w:color="auto"/>
              <w:right w:val="single" w:sz="4" w:space="0" w:color="auto"/>
            </w:tcBorders>
            <w:shd w:val="clear" w:color="auto" w:fill="auto"/>
            <w:noWrap/>
            <w:vAlign w:val="center"/>
            <w:hideMark/>
          </w:tcPr>
          <w:p w14:paraId="38F56867"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1CA43409" w14:textId="77777777" w:rsidTr="0068635B">
        <w:trPr>
          <w:trHeight w:val="41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525A899" w14:textId="77777777" w:rsidR="00BD1A51" w:rsidRPr="00BD1A51" w:rsidRDefault="00BD1A51" w:rsidP="00EC7D22">
            <w:pPr>
              <w:suppressAutoHyphens w:val="0"/>
              <w:overflowPunct/>
              <w:spacing w:after="0" w:line="240" w:lineRule="auto"/>
              <w:rPr>
                <w:rFonts w:eastAsia="Times New Roman" w:cs="Calibri"/>
                <w:color w:val="222B35"/>
                <w:sz w:val="14"/>
                <w:szCs w:val="14"/>
                <w:lang w:eastAsia="es-MX"/>
              </w:rPr>
            </w:pPr>
            <w:r w:rsidRPr="00BD1A51">
              <w:rPr>
                <w:rFonts w:eastAsia="Times New Roman" w:cs="Calibri"/>
                <w:color w:val="222B35"/>
                <w:sz w:val="14"/>
                <w:szCs w:val="14"/>
                <w:lang w:eastAsia="es-MX"/>
              </w:rPr>
              <w:t>Banorte S.A 746 MDP</w:t>
            </w:r>
          </w:p>
        </w:tc>
        <w:tc>
          <w:tcPr>
            <w:tcW w:w="1046" w:type="dxa"/>
            <w:tcBorders>
              <w:top w:val="nil"/>
              <w:left w:val="nil"/>
              <w:bottom w:val="single" w:sz="4" w:space="0" w:color="auto"/>
              <w:right w:val="single" w:sz="4" w:space="0" w:color="auto"/>
            </w:tcBorders>
            <w:shd w:val="clear" w:color="auto" w:fill="auto"/>
            <w:noWrap/>
            <w:vAlign w:val="center"/>
            <w:hideMark/>
          </w:tcPr>
          <w:p w14:paraId="30C1CCBA"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 </w:t>
            </w:r>
          </w:p>
        </w:tc>
        <w:tc>
          <w:tcPr>
            <w:tcW w:w="1046" w:type="dxa"/>
            <w:tcBorders>
              <w:top w:val="nil"/>
              <w:left w:val="nil"/>
              <w:bottom w:val="single" w:sz="4" w:space="0" w:color="auto"/>
              <w:right w:val="single" w:sz="4" w:space="0" w:color="auto"/>
            </w:tcBorders>
            <w:shd w:val="clear" w:color="auto" w:fill="auto"/>
            <w:noWrap/>
            <w:vAlign w:val="center"/>
            <w:hideMark/>
          </w:tcPr>
          <w:p w14:paraId="15D7B891"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715,003,933</w:t>
            </w:r>
          </w:p>
        </w:tc>
        <w:tc>
          <w:tcPr>
            <w:tcW w:w="1046" w:type="dxa"/>
            <w:tcBorders>
              <w:top w:val="nil"/>
              <w:left w:val="nil"/>
              <w:bottom w:val="single" w:sz="4" w:space="0" w:color="auto"/>
              <w:right w:val="single" w:sz="4" w:space="0" w:color="auto"/>
            </w:tcBorders>
            <w:shd w:val="clear" w:color="auto" w:fill="auto"/>
            <w:noWrap/>
            <w:vAlign w:val="center"/>
            <w:hideMark/>
          </w:tcPr>
          <w:p w14:paraId="0FD0409C"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1,762,389</w:t>
            </w:r>
          </w:p>
        </w:tc>
        <w:tc>
          <w:tcPr>
            <w:tcW w:w="1210" w:type="dxa"/>
            <w:tcBorders>
              <w:top w:val="nil"/>
              <w:left w:val="nil"/>
              <w:bottom w:val="single" w:sz="4" w:space="0" w:color="auto"/>
              <w:right w:val="single" w:sz="4" w:space="0" w:color="auto"/>
            </w:tcBorders>
            <w:shd w:val="clear" w:color="auto" w:fill="auto"/>
            <w:noWrap/>
            <w:vAlign w:val="center"/>
            <w:hideMark/>
          </w:tcPr>
          <w:p w14:paraId="434B6169"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c>
          <w:tcPr>
            <w:tcW w:w="1247" w:type="dxa"/>
            <w:tcBorders>
              <w:top w:val="nil"/>
              <w:left w:val="nil"/>
              <w:bottom w:val="single" w:sz="4" w:space="0" w:color="auto"/>
              <w:right w:val="single" w:sz="4" w:space="0" w:color="auto"/>
            </w:tcBorders>
            <w:shd w:val="clear" w:color="FFFFCC" w:fill="FFFFFF"/>
            <w:noWrap/>
            <w:vAlign w:val="center"/>
            <w:hideMark/>
          </w:tcPr>
          <w:p w14:paraId="3DE4D096" w14:textId="77777777" w:rsidR="00BD1A51" w:rsidRPr="00BD1A51" w:rsidRDefault="00BD1A51" w:rsidP="00EC7D22">
            <w:pPr>
              <w:suppressAutoHyphens w:val="0"/>
              <w:overflowPunct/>
              <w:spacing w:after="0" w:line="240" w:lineRule="auto"/>
              <w:jc w:val="right"/>
              <w:rPr>
                <w:rFonts w:eastAsia="Times New Roman" w:cs="Calibri"/>
                <w:color w:val="222B35"/>
                <w:sz w:val="14"/>
                <w:szCs w:val="14"/>
                <w:lang w:eastAsia="es-MX"/>
              </w:rPr>
            </w:pPr>
            <w:r w:rsidRPr="00BD1A51">
              <w:rPr>
                <w:rFonts w:eastAsia="Times New Roman" w:cs="Calibri"/>
                <w:color w:val="222B35"/>
                <w:sz w:val="14"/>
                <w:szCs w:val="14"/>
                <w:lang w:eastAsia="es-MX"/>
              </w:rPr>
              <w:t>713,241,544</w:t>
            </w:r>
          </w:p>
        </w:tc>
        <w:tc>
          <w:tcPr>
            <w:tcW w:w="1359" w:type="dxa"/>
            <w:tcBorders>
              <w:top w:val="nil"/>
              <w:left w:val="nil"/>
              <w:bottom w:val="single" w:sz="4" w:space="0" w:color="auto"/>
              <w:right w:val="single" w:sz="4" w:space="0" w:color="auto"/>
            </w:tcBorders>
            <w:shd w:val="clear" w:color="auto" w:fill="auto"/>
            <w:noWrap/>
            <w:vAlign w:val="center"/>
            <w:hideMark/>
          </w:tcPr>
          <w:p w14:paraId="0E22E35C"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53,354,195</w:t>
            </w:r>
          </w:p>
        </w:tc>
        <w:tc>
          <w:tcPr>
            <w:tcW w:w="763" w:type="dxa"/>
            <w:tcBorders>
              <w:top w:val="nil"/>
              <w:left w:val="nil"/>
              <w:bottom w:val="single" w:sz="4" w:space="0" w:color="auto"/>
              <w:right w:val="single" w:sz="4" w:space="0" w:color="auto"/>
            </w:tcBorders>
            <w:shd w:val="clear" w:color="auto" w:fill="auto"/>
            <w:noWrap/>
            <w:vAlign w:val="center"/>
            <w:hideMark/>
          </w:tcPr>
          <w:p w14:paraId="6B79043B" w14:textId="77777777" w:rsidR="00BD1A51" w:rsidRPr="00BD1A51" w:rsidRDefault="00BD1A51" w:rsidP="00EC7D22">
            <w:pPr>
              <w:suppressAutoHyphens w:val="0"/>
              <w:overflowPunct/>
              <w:spacing w:after="0" w:line="240" w:lineRule="auto"/>
              <w:jc w:val="right"/>
              <w:rPr>
                <w:rFonts w:eastAsia="Times New Roman" w:cs="Calibri"/>
                <w:color w:val="000000"/>
                <w:sz w:val="14"/>
                <w:szCs w:val="14"/>
                <w:lang w:eastAsia="es-MX"/>
              </w:rPr>
            </w:pPr>
            <w:r w:rsidRPr="00BD1A51">
              <w:rPr>
                <w:rFonts w:eastAsia="Times New Roman" w:cs="Calibri"/>
                <w:color w:val="000000"/>
                <w:sz w:val="14"/>
                <w:szCs w:val="14"/>
                <w:lang w:eastAsia="es-MX"/>
              </w:rPr>
              <w:t>0</w:t>
            </w:r>
          </w:p>
        </w:tc>
      </w:tr>
      <w:tr w:rsidR="00BD1A51" w:rsidRPr="00BD1A51" w14:paraId="1B7D6E06" w14:textId="77777777" w:rsidTr="0068635B">
        <w:trPr>
          <w:trHeight w:val="384"/>
        </w:trPr>
        <w:tc>
          <w:tcPr>
            <w:tcW w:w="1675" w:type="dxa"/>
            <w:tcBorders>
              <w:top w:val="nil"/>
              <w:left w:val="single" w:sz="4" w:space="0" w:color="auto"/>
              <w:bottom w:val="single" w:sz="4" w:space="0" w:color="auto"/>
              <w:right w:val="single" w:sz="4" w:space="0" w:color="auto"/>
            </w:tcBorders>
            <w:shd w:val="clear" w:color="F8CBAD" w:fill="DDC9A3"/>
            <w:noWrap/>
            <w:vAlign w:val="center"/>
            <w:hideMark/>
          </w:tcPr>
          <w:p w14:paraId="626D069F" w14:textId="77777777" w:rsidR="00BD1A51" w:rsidRPr="00BD1A51" w:rsidRDefault="00BD1A51" w:rsidP="00EC7D22">
            <w:pPr>
              <w:suppressAutoHyphens w:val="0"/>
              <w:overflowPunct/>
              <w:spacing w:after="0" w:line="240" w:lineRule="auto"/>
              <w:rPr>
                <w:rFonts w:eastAsia="Times New Roman" w:cs="Calibri"/>
                <w:b/>
                <w:bCs/>
                <w:color w:val="000000"/>
                <w:sz w:val="14"/>
                <w:szCs w:val="14"/>
                <w:lang w:eastAsia="es-MX"/>
              </w:rPr>
            </w:pPr>
            <w:r w:rsidRPr="00BD1A51">
              <w:rPr>
                <w:rFonts w:eastAsia="Times New Roman" w:cs="Calibri"/>
                <w:b/>
                <w:bCs/>
                <w:color w:val="000000"/>
                <w:sz w:val="14"/>
                <w:szCs w:val="14"/>
                <w:lang w:eastAsia="es-MX"/>
              </w:rPr>
              <w:t>TOTALES</w:t>
            </w:r>
          </w:p>
        </w:tc>
        <w:tc>
          <w:tcPr>
            <w:tcW w:w="1046" w:type="dxa"/>
            <w:tcBorders>
              <w:top w:val="nil"/>
              <w:left w:val="nil"/>
              <w:bottom w:val="single" w:sz="4" w:space="0" w:color="auto"/>
              <w:right w:val="single" w:sz="4" w:space="0" w:color="auto"/>
            </w:tcBorders>
            <w:shd w:val="clear" w:color="F8CBAD" w:fill="DDC9A3"/>
            <w:vAlign w:val="center"/>
            <w:hideMark/>
          </w:tcPr>
          <w:p w14:paraId="0BA3FB4D" w14:textId="77777777" w:rsidR="00BD1A51" w:rsidRPr="00BD1A51" w:rsidRDefault="00BD1A51" w:rsidP="00EC7D22">
            <w:pPr>
              <w:suppressAutoHyphens w:val="0"/>
              <w:overflowPunct/>
              <w:spacing w:after="0" w:line="240" w:lineRule="auto"/>
              <w:jc w:val="right"/>
              <w:rPr>
                <w:rFonts w:eastAsia="Times New Roman" w:cs="Calibri"/>
                <w:b/>
                <w:bCs/>
                <w:color w:val="000000"/>
                <w:sz w:val="14"/>
                <w:szCs w:val="14"/>
                <w:lang w:eastAsia="es-MX"/>
              </w:rPr>
            </w:pPr>
            <w:r w:rsidRPr="00BD1A51">
              <w:rPr>
                <w:rFonts w:eastAsia="Times New Roman" w:cs="Calibri"/>
                <w:b/>
                <w:bCs/>
                <w:color w:val="000000"/>
                <w:sz w:val="14"/>
                <w:szCs w:val="14"/>
                <w:lang w:eastAsia="es-MX"/>
              </w:rPr>
              <w:t>15,440,502,481</w:t>
            </w:r>
          </w:p>
        </w:tc>
        <w:tc>
          <w:tcPr>
            <w:tcW w:w="1046" w:type="dxa"/>
            <w:tcBorders>
              <w:top w:val="nil"/>
              <w:left w:val="nil"/>
              <w:bottom w:val="single" w:sz="4" w:space="0" w:color="auto"/>
              <w:right w:val="single" w:sz="4" w:space="0" w:color="auto"/>
            </w:tcBorders>
            <w:shd w:val="clear" w:color="F8CBAD" w:fill="DDC9A3"/>
            <w:vAlign w:val="center"/>
            <w:hideMark/>
          </w:tcPr>
          <w:p w14:paraId="2CEC5DEA" w14:textId="77777777" w:rsidR="00BD1A51" w:rsidRPr="00BD1A51" w:rsidRDefault="00BD1A51" w:rsidP="00EC7D22">
            <w:pPr>
              <w:suppressAutoHyphens w:val="0"/>
              <w:overflowPunct/>
              <w:spacing w:after="0" w:line="240" w:lineRule="auto"/>
              <w:jc w:val="right"/>
              <w:rPr>
                <w:rFonts w:eastAsia="Times New Roman" w:cs="Calibri"/>
                <w:b/>
                <w:bCs/>
                <w:color w:val="000000"/>
                <w:sz w:val="14"/>
                <w:szCs w:val="14"/>
                <w:lang w:eastAsia="es-MX"/>
              </w:rPr>
            </w:pPr>
            <w:r w:rsidRPr="00BD1A51">
              <w:rPr>
                <w:rFonts w:eastAsia="Times New Roman" w:cs="Calibri"/>
                <w:b/>
                <w:bCs/>
                <w:color w:val="000000"/>
                <w:sz w:val="14"/>
                <w:szCs w:val="14"/>
                <w:lang w:eastAsia="es-MX"/>
              </w:rPr>
              <w:t>12,699,079,662</w:t>
            </w:r>
          </w:p>
        </w:tc>
        <w:tc>
          <w:tcPr>
            <w:tcW w:w="1046" w:type="dxa"/>
            <w:tcBorders>
              <w:top w:val="nil"/>
              <w:left w:val="nil"/>
              <w:bottom w:val="single" w:sz="4" w:space="0" w:color="auto"/>
              <w:right w:val="single" w:sz="4" w:space="0" w:color="auto"/>
            </w:tcBorders>
            <w:shd w:val="clear" w:color="F8CBAD" w:fill="DDC9A3"/>
            <w:vAlign w:val="center"/>
            <w:hideMark/>
          </w:tcPr>
          <w:p w14:paraId="02DBA28B" w14:textId="77777777" w:rsidR="00BD1A51" w:rsidRPr="00BD1A51" w:rsidRDefault="00BD1A51" w:rsidP="00EC7D22">
            <w:pPr>
              <w:suppressAutoHyphens w:val="0"/>
              <w:overflowPunct/>
              <w:spacing w:after="0" w:line="240" w:lineRule="auto"/>
              <w:jc w:val="right"/>
              <w:rPr>
                <w:rFonts w:eastAsia="Times New Roman" w:cs="Calibri"/>
                <w:b/>
                <w:bCs/>
                <w:color w:val="000000"/>
                <w:sz w:val="14"/>
                <w:szCs w:val="14"/>
                <w:lang w:eastAsia="es-MX"/>
              </w:rPr>
            </w:pPr>
            <w:r w:rsidRPr="00BD1A51">
              <w:rPr>
                <w:rFonts w:eastAsia="Times New Roman" w:cs="Calibri"/>
                <w:b/>
                <w:bCs/>
                <w:color w:val="000000"/>
                <w:sz w:val="14"/>
                <w:szCs w:val="14"/>
                <w:lang w:eastAsia="es-MX"/>
              </w:rPr>
              <w:t>12,912,522,411</w:t>
            </w:r>
          </w:p>
        </w:tc>
        <w:tc>
          <w:tcPr>
            <w:tcW w:w="1210" w:type="dxa"/>
            <w:tcBorders>
              <w:top w:val="nil"/>
              <w:left w:val="nil"/>
              <w:bottom w:val="single" w:sz="4" w:space="0" w:color="auto"/>
              <w:right w:val="single" w:sz="4" w:space="0" w:color="auto"/>
            </w:tcBorders>
            <w:shd w:val="clear" w:color="F8CBAD" w:fill="DDC9A3"/>
            <w:vAlign w:val="center"/>
            <w:hideMark/>
          </w:tcPr>
          <w:p w14:paraId="3EF75B61" w14:textId="77777777" w:rsidR="00BD1A51" w:rsidRPr="00BD1A51" w:rsidRDefault="00BD1A51" w:rsidP="00EC7D22">
            <w:pPr>
              <w:suppressAutoHyphens w:val="0"/>
              <w:overflowPunct/>
              <w:spacing w:after="0" w:line="240" w:lineRule="auto"/>
              <w:jc w:val="right"/>
              <w:rPr>
                <w:rFonts w:eastAsia="Times New Roman" w:cs="Calibri"/>
                <w:b/>
                <w:bCs/>
                <w:color w:val="000000"/>
                <w:sz w:val="14"/>
                <w:szCs w:val="14"/>
                <w:lang w:eastAsia="es-MX"/>
              </w:rPr>
            </w:pPr>
            <w:r w:rsidRPr="00BD1A51">
              <w:rPr>
                <w:rFonts w:eastAsia="Times New Roman" w:cs="Calibri"/>
                <w:b/>
                <w:bCs/>
                <w:color w:val="000000"/>
                <w:sz w:val="14"/>
                <w:szCs w:val="14"/>
                <w:lang w:eastAsia="es-MX"/>
              </w:rPr>
              <w:t>15,150</w:t>
            </w:r>
          </w:p>
        </w:tc>
        <w:tc>
          <w:tcPr>
            <w:tcW w:w="1247" w:type="dxa"/>
            <w:tcBorders>
              <w:top w:val="nil"/>
              <w:left w:val="nil"/>
              <w:bottom w:val="single" w:sz="4" w:space="0" w:color="auto"/>
              <w:right w:val="single" w:sz="4" w:space="0" w:color="auto"/>
            </w:tcBorders>
            <w:shd w:val="clear" w:color="F8CBAD" w:fill="DDC9A3"/>
            <w:vAlign w:val="center"/>
            <w:hideMark/>
          </w:tcPr>
          <w:p w14:paraId="32796A83" w14:textId="77777777" w:rsidR="00BD1A51" w:rsidRPr="00BD1A51" w:rsidRDefault="00BD1A51" w:rsidP="00EC7D22">
            <w:pPr>
              <w:suppressAutoHyphens w:val="0"/>
              <w:overflowPunct/>
              <w:spacing w:after="0" w:line="240" w:lineRule="auto"/>
              <w:jc w:val="right"/>
              <w:rPr>
                <w:rFonts w:eastAsia="Times New Roman" w:cs="Calibri"/>
                <w:b/>
                <w:bCs/>
                <w:color w:val="000000"/>
                <w:sz w:val="14"/>
                <w:szCs w:val="14"/>
                <w:lang w:eastAsia="es-MX"/>
              </w:rPr>
            </w:pPr>
            <w:r w:rsidRPr="00BD1A51">
              <w:rPr>
                <w:rFonts w:eastAsia="Times New Roman" w:cs="Calibri"/>
                <w:b/>
                <w:bCs/>
                <w:color w:val="000000"/>
                <w:sz w:val="14"/>
                <w:szCs w:val="14"/>
                <w:lang w:eastAsia="es-MX"/>
              </w:rPr>
              <w:t>15,227,044,582</w:t>
            </w:r>
          </w:p>
        </w:tc>
        <w:tc>
          <w:tcPr>
            <w:tcW w:w="1359" w:type="dxa"/>
            <w:tcBorders>
              <w:top w:val="nil"/>
              <w:left w:val="nil"/>
              <w:bottom w:val="single" w:sz="4" w:space="0" w:color="auto"/>
              <w:right w:val="single" w:sz="4" w:space="0" w:color="auto"/>
            </w:tcBorders>
            <w:shd w:val="clear" w:color="F8CBAD" w:fill="DDC9A3"/>
            <w:vAlign w:val="center"/>
            <w:hideMark/>
          </w:tcPr>
          <w:p w14:paraId="76F7FF00" w14:textId="77777777" w:rsidR="00BD1A51" w:rsidRPr="00BD1A51" w:rsidRDefault="00BD1A51" w:rsidP="00EC7D22">
            <w:pPr>
              <w:suppressAutoHyphens w:val="0"/>
              <w:overflowPunct/>
              <w:spacing w:after="0" w:line="240" w:lineRule="auto"/>
              <w:jc w:val="right"/>
              <w:rPr>
                <w:rFonts w:eastAsia="Times New Roman" w:cs="Calibri"/>
                <w:b/>
                <w:bCs/>
                <w:color w:val="000000"/>
                <w:sz w:val="14"/>
                <w:szCs w:val="14"/>
                <w:lang w:eastAsia="es-MX"/>
              </w:rPr>
            </w:pPr>
            <w:r w:rsidRPr="00BD1A51">
              <w:rPr>
                <w:rFonts w:eastAsia="Times New Roman" w:cs="Calibri"/>
                <w:b/>
                <w:bCs/>
                <w:color w:val="000000"/>
                <w:sz w:val="14"/>
                <w:szCs w:val="14"/>
                <w:lang w:eastAsia="es-MX"/>
              </w:rPr>
              <w:t>1,800,866,522</w:t>
            </w:r>
          </w:p>
        </w:tc>
        <w:tc>
          <w:tcPr>
            <w:tcW w:w="763" w:type="dxa"/>
            <w:tcBorders>
              <w:top w:val="nil"/>
              <w:left w:val="nil"/>
              <w:bottom w:val="single" w:sz="4" w:space="0" w:color="auto"/>
              <w:right w:val="single" w:sz="4" w:space="0" w:color="auto"/>
            </w:tcBorders>
            <w:shd w:val="clear" w:color="F8CBAD" w:fill="DDC9A3"/>
            <w:vAlign w:val="center"/>
            <w:hideMark/>
          </w:tcPr>
          <w:p w14:paraId="22FE93EB" w14:textId="77777777" w:rsidR="00BD1A51" w:rsidRPr="00BD1A51" w:rsidRDefault="00BD1A51" w:rsidP="00EC7D22">
            <w:pPr>
              <w:suppressAutoHyphens w:val="0"/>
              <w:overflowPunct/>
              <w:spacing w:after="0" w:line="240" w:lineRule="auto"/>
              <w:jc w:val="right"/>
              <w:rPr>
                <w:rFonts w:eastAsia="Times New Roman" w:cs="Calibri"/>
                <w:b/>
                <w:bCs/>
                <w:color w:val="000000"/>
                <w:sz w:val="14"/>
                <w:szCs w:val="14"/>
                <w:lang w:eastAsia="es-MX"/>
              </w:rPr>
            </w:pPr>
            <w:r w:rsidRPr="00BD1A51">
              <w:rPr>
                <w:rFonts w:eastAsia="Times New Roman" w:cs="Calibri"/>
                <w:b/>
                <w:bCs/>
                <w:color w:val="000000"/>
                <w:sz w:val="14"/>
                <w:szCs w:val="14"/>
                <w:lang w:eastAsia="es-MX"/>
              </w:rPr>
              <w:t>0</w:t>
            </w:r>
          </w:p>
        </w:tc>
      </w:tr>
    </w:tbl>
    <w:p w14:paraId="614F8558" w14:textId="77777777" w:rsidR="00BD1A51" w:rsidRDefault="00BD1A51" w:rsidP="00EC7D22">
      <w:pPr>
        <w:pStyle w:val="Texto"/>
        <w:tabs>
          <w:tab w:val="left" w:pos="360"/>
        </w:tabs>
        <w:spacing w:after="0" w:line="240" w:lineRule="auto"/>
        <w:ind w:firstLine="0"/>
        <w:rPr>
          <w:rFonts w:ascii="Calibri" w:hAnsi="Calibri" w:cs="Calibri"/>
          <w:b/>
          <w:bCs/>
          <w:szCs w:val="18"/>
        </w:rPr>
      </w:pPr>
    </w:p>
    <w:p w14:paraId="1ED6505E" w14:textId="77777777" w:rsidR="00B0690B" w:rsidRDefault="00B0690B" w:rsidP="00EC7D22">
      <w:pPr>
        <w:pStyle w:val="Texto"/>
        <w:tabs>
          <w:tab w:val="left" w:pos="360"/>
        </w:tabs>
        <w:spacing w:after="0" w:line="240" w:lineRule="auto"/>
        <w:ind w:firstLine="0"/>
        <w:rPr>
          <w:rFonts w:ascii="Calibri" w:hAnsi="Calibri" w:cs="Calibri"/>
          <w:b/>
          <w:bCs/>
          <w:szCs w:val="18"/>
        </w:rPr>
      </w:pPr>
    </w:p>
    <w:p w14:paraId="1ED5E59D" w14:textId="77777777" w:rsidR="007745EB" w:rsidRPr="004054B6" w:rsidRDefault="00C87FDA" w:rsidP="00EC7D22">
      <w:pPr>
        <w:pStyle w:val="Prrafodelista"/>
        <w:numPr>
          <w:ilvl w:val="0"/>
          <w:numId w:val="2"/>
        </w:numPr>
        <w:tabs>
          <w:tab w:val="left" w:pos="829"/>
          <w:tab w:val="left" w:pos="945"/>
        </w:tabs>
        <w:spacing w:after="0"/>
        <w:ind w:left="0" w:firstLine="0"/>
        <w:rPr>
          <w:rFonts w:eastAsia="Times New Roman" w:cs="Calibri"/>
          <w:b/>
          <w:sz w:val="18"/>
          <w:szCs w:val="20"/>
          <w:lang w:val="es-ES" w:eastAsia="es-ES"/>
        </w:rPr>
      </w:pPr>
      <w:r w:rsidRPr="004054B6">
        <w:rPr>
          <w:rFonts w:eastAsia="Times New Roman" w:cs="Calibri"/>
          <w:b/>
          <w:sz w:val="18"/>
          <w:szCs w:val="20"/>
          <w:lang w:val="es-ES" w:eastAsia="es-ES"/>
        </w:rPr>
        <w:t>Resumen de pago de amortizaciones e intereses de la Deuda con Recurso FAFEF 2024</w:t>
      </w:r>
    </w:p>
    <w:p w14:paraId="0ED68C1C" w14:textId="77777777" w:rsidR="007745EB" w:rsidRDefault="007745EB" w:rsidP="00EC7D22">
      <w:pPr>
        <w:pStyle w:val="Prrafodelista"/>
        <w:tabs>
          <w:tab w:val="left" w:pos="829"/>
          <w:tab w:val="left" w:pos="945"/>
        </w:tabs>
        <w:spacing w:after="0"/>
        <w:ind w:left="0"/>
        <w:rPr>
          <w:rFonts w:eastAsia="Times New Roman" w:cs="Calibri"/>
          <w:b/>
          <w:sz w:val="12"/>
          <w:szCs w:val="20"/>
          <w:lang w:val="es-ES" w:eastAsia="es-ES"/>
        </w:rPr>
      </w:pPr>
    </w:p>
    <w:p w14:paraId="57C9BA01" w14:textId="64C24CC4" w:rsidR="00BE3323" w:rsidRDefault="00C87FDA" w:rsidP="00EC7D22">
      <w:pPr>
        <w:tabs>
          <w:tab w:val="left" w:pos="829"/>
          <w:tab w:val="left" w:pos="945"/>
        </w:tabs>
        <w:spacing w:after="0"/>
        <w:jc w:val="both"/>
        <w:rPr>
          <w:rFonts w:eastAsia="Times New Roman" w:cs="Calibri"/>
          <w:sz w:val="20"/>
          <w:szCs w:val="18"/>
          <w:lang w:val="es-ES" w:eastAsia="es-ES"/>
        </w:rPr>
      </w:pPr>
      <w:r w:rsidRPr="00410242">
        <w:rPr>
          <w:rFonts w:eastAsia="Times New Roman" w:cs="Calibri"/>
          <w:sz w:val="20"/>
          <w:szCs w:val="18"/>
          <w:lang w:val="es-ES" w:eastAsia="es-ES"/>
        </w:rPr>
        <w:t xml:space="preserve">La aplicación del recurso Fondo de Aportaciones para el Fortalecimiento de Entidades Federativas en el rubro de Saneamiento Financiero represento un </w:t>
      </w:r>
      <w:r w:rsidR="009962F3">
        <w:rPr>
          <w:rFonts w:eastAsia="Times New Roman" w:cs="Calibri"/>
          <w:sz w:val="20"/>
          <w:szCs w:val="18"/>
          <w:lang w:val="es-ES" w:eastAsia="es-ES"/>
        </w:rPr>
        <w:t>0</w:t>
      </w:r>
      <w:r w:rsidR="00AB4A80">
        <w:rPr>
          <w:rFonts w:eastAsia="Times New Roman" w:cs="Calibri"/>
          <w:sz w:val="20"/>
          <w:szCs w:val="18"/>
          <w:lang w:val="es-ES" w:eastAsia="es-ES"/>
        </w:rPr>
        <w:t>.</w:t>
      </w:r>
      <w:r w:rsidR="00AD0509">
        <w:rPr>
          <w:rFonts w:eastAsia="Times New Roman" w:cs="Calibri"/>
          <w:sz w:val="20"/>
          <w:szCs w:val="18"/>
          <w:lang w:val="es-ES" w:eastAsia="es-ES"/>
        </w:rPr>
        <w:t>31</w:t>
      </w:r>
      <w:r w:rsidR="00BE3323" w:rsidRPr="00410242">
        <w:rPr>
          <w:rFonts w:eastAsia="Times New Roman" w:cs="Calibri"/>
          <w:sz w:val="20"/>
          <w:szCs w:val="18"/>
          <w:lang w:val="es-ES" w:eastAsia="es-ES"/>
        </w:rPr>
        <w:t xml:space="preserve">% del total de las amortizaciones y un </w:t>
      </w:r>
      <w:r w:rsidR="00AD0509">
        <w:rPr>
          <w:rFonts w:eastAsia="Times New Roman" w:cs="Calibri"/>
          <w:sz w:val="20"/>
          <w:szCs w:val="18"/>
          <w:lang w:val="es-ES" w:eastAsia="es-ES"/>
        </w:rPr>
        <w:t>18.61</w:t>
      </w:r>
      <w:r w:rsidRPr="00410242">
        <w:rPr>
          <w:rFonts w:eastAsia="Times New Roman" w:cs="Calibri"/>
          <w:sz w:val="20"/>
          <w:szCs w:val="18"/>
          <w:lang w:val="es-ES" w:eastAsia="es-ES"/>
        </w:rPr>
        <w:t>% de los intereses del total del pago que fue cubierto p</w:t>
      </w:r>
      <w:r w:rsidR="00225690">
        <w:rPr>
          <w:rFonts w:eastAsia="Times New Roman" w:cs="Calibri"/>
          <w:sz w:val="20"/>
          <w:szCs w:val="18"/>
          <w:lang w:val="es-ES" w:eastAsia="es-ES"/>
        </w:rPr>
        <w:t xml:space="preserve">or el Gobierno del Estado </w:t>
      </w:r>
      <w:r w:rsidR="00BD1A51">
        <w:rPr>
          <w:rFonts w:eastAsia="Times New Roman" w:cs="Calibri"/>
          <w:sz w:val="20"/>
          <w:szCs w:val="18"/>
          <w:lang w:val="es-ES" w:eastAsia="es-ES"/>
        </w:rPr>
        <w:t>durante el ejercicio</w:t>
      </w:r>
      <w:r w:rsidRPr="00410242">
        <w:rPr>
          <w:rFonts w:eastAsia="Times New Roman" w:cs="Calibri"/>
          <w:sz w:val="20"/>
          <w:szCs w:val="18"/>
          <w:lang w:val="es-ES" w:eastAsia="es-ES"/>
        </w:rPr>
        <w:t xml:space="preserve"> 2024.</w:t>
      </w:r>
    </w:p>
    <w:p w14:paraId="0B42B6FB" w14:textId="77777777" w:rsidR="002B096A" w:rsidRDefault="002B096A" w:rsidP="00EC7D22">
      <w:pPr>
        <w:tabs>
          <w:tab w:val="left" w:pos="829"/>
          <w:tab w:val="left" w:pos="945"/>
        </w:tabs>
        <w:spacing w:after="0"/>
        <w:jc w:val="both"/>
        <w:rPr>
          <w:rFonts w:eastAsia="Times New Roman" w:cs="Calibri"/>
          <w:sz w:val="20"/>
          <w:szCs w:val="18"/>
          <w:lang w:val="es-ES" w:eastAsia="es-ES"/>
        </w:rPr>
      </w:pPr>
    </w:p>
    <w:tbl>
      <w:tblPr>
        <w:tblW w:w="9425" w:type="dxa"/>
        <w:tblCellMar>
          <w:left w:w="70" w:type="dxa"/>
          <w:right w:w="70" w:type="dxa"/>
        </w:tblCellMar>
        <w:tblLook w:val="04A0" w:firstRow="1" w:lastRow="0" w:firstColumn="1" w:lastColumn="0" w:noHBand="0" w:noVBand="1"/>
      </w:tblPr>
      <w:tblGrid>
        <w:gridCol w:w="1567"/>
        <w:gridCol w:w="1285"/>
        <w:gridCol w:w="1572"/>
        <w:gridCol w:w="1428"/>
        <w:gridCol w:w="999"/>
        <w:gridCol w:w="1082"/>
        <w:gridCol w:w="1492"/>
      </w:tblGrid>
      <w:tr w:rsidR="002B096A" w:rsidRPr="009962F3" w14:paraId="1B7A9AC9" w14:textId="77777777" w:rsidTr="00132EC0">
        <w:trPr>
          <w:trHeight w:val="680"/>
        </w:trPr>
        <w:tc>
          <w:tcPr>
            <w:tcW w:w="9425" w:type="dxa"/>
            <w:gridSpan w:val="7"/>
            <w:tcBorders>
              <w:top w:val="single" w:sz="4" w:space="0" w:color="auto"/>
              <w:left w:val="single" w:sz="4" w:space="0" w:color="auto"/>
              <w:bottom w:val="single" w:sz="4" w:space="0" w:color="auto"/>
              <w:right w:val="single" w:sz="4" w:space="0" w:color="auto"/>
            </w:tcBorders>
            <w:shd w:val="clear" w:color="9C0006" w:fill="AB0033"/>
            <w:vAlign w:val="center"/>
            <w:hideMark/>
          </w:tcPr>
          <w:p w14:paraId="1D85AA53" w14:textId="77777777" w:rsidR="009962F3" w:rsidRDefault="002B096A" w:rsidP="00EC7D22">
            <w:pPr>
              <w:suppressAutoHyphens w:val="0"/>
              <w:overflowPunct/>
              <w:spacing w:after="0" w:line="240" w:lineRule="auto"/>
              <w:jc w:val="center"/>
              <w:rPr>
                <w:rFonts w:eastAsia="Times New Roman" w:cs="Calibri"/>
                <w:b/>
                <w:bCs/>
                <w:color w:val="FFFFFF"/>
                <w:sz w:val="16"/>
                <w:szCs w:val="18"/>
                <w:lang w:eastAsia="es-MX"/>
              </w:rPr>
            </w:pPr>
            <w:proofErr w:type="gramStart"/>
            <w:r w:rsidRPr="009962F3">
              <w:rPr>
                <w:rFonts w:eastAsia="Times New Roman" w:cs="Calibri"/>
                <w:b/>
                <w:bCs/>
                <w:color w:val="FFFFFF"/>
                <w:sz w:val="16"/>
                <w:szCs w:val="18"/>
                <w:lang w:eastAsia="es-MX"/>
              </w:rPr>
              <w:t>Total</w:t>
            </w:r>
            <w:proofErr w:type="gramEnd"/>
            <w:r w:rsidRPr="009962F3">
              <w:rPr>
                <w:rFonts w:eastAsia="Times New Roman" w:cs="Calibri"/>
                <w:b/>
                <w:bCs/>
                <w:color w:val="FFFFFF"/>
                <w:sz w:val="16"/>
                <w:szCs w:val="18"/>
                <w:lang w:eastAsia="es-MX"/>
              </w:rPr>
              <w:t xml:space="preserve"> de Amortizaciones e Intereses a los Créditos con Recurso del Fondo de Aportaciones </w:t>
            </w:r>
          </w:p>
          <w:p w14:paraId="29B8394A" w14:textId="652A2977" w:rsidR="002B096A" w:rsidRPr="009962F3" w:rsidRDefault="002B096A" w:rsidP="00EC7D22">
            <w:pPr>
              <w:suppressAutoHyphens w:val="0"/>
              <w:overflowPunct/>
              <w:spacing w:after="0" w:line="240" w:lineRule="auto"/>
              <w:jc w:val="center"/>
              <w:rPr>
                <w:rFonts w:eastAsia="Times New Roman" w:cs="Calibri"/>
                <w:b/>
                <w:bCs/>
                <w:color w:val="FFFFFF"/>
                <w:sz w:val="16"/>
                <w:szCs w:val="18"/>
                <w:lang w:eastAsia="es-MX"/>
              </w:rPr>
            </w:pPr>
            <w:r w:rsidRPr="009962F3">
              <w:rPr>
                <w:rFonts w:eastAsia="Times New Roman" w:cs="Calibri"/>
                <w:b/>
                <w:bCs/>
                <w:color w:val="FFFFFF"/>
                <w:sz w:val="16"/>
                <w:szCs w:val="18"/>
                <w:lang w:eastAsia="es-MX"/>
              </w:rPr>
              <w:t>para el Fortalecimiento de las Entidades Federativas (</w:t>
            </w:r>
            <w:r w:rsidR="00524CB6" w:rsidRPr="009962F3">
              <w:rPr>
                <w:rFonts w:eastAsia="Times New Roman" w:cs="Calibri"/>
                <w:b/>
                <w:bCs/>
                <w:color w:val="FFFFFF"/>
                <w:sz w:val="16"/>
                <w:szCs w:val="18"/>
                <w:lang w:eastAsia="es-MX"/>
              </w:rPr>
              <w:t>FAFEF) y</w:t>
            </w:r>
            <w:r w:rsidRPr="009962F3">
              <w:rPr>
                <w:rFonts w:eastAsia="Times New Roman" w:cs="Calibri"/>
                <w:b/>
                <w:bCs/>
                <w:color w:val="FFFFFF"/>
                <w:sz w:val="16"/>
                <w:szCs w:val="18"/>
                <w:lang w:eastAsia="es-MX"/>
              </w:rPr>
              <w:t xml:space="preserve"> Recurso Estatal</w:t>
            </w:r>
          </w:p>
        </w:tc>
      </w:tr>
      <w:tr w:rsidR="00132EC0" w:rsidRPr="002B096A" w14:paraId="5157074A" w14:textId="77777777" w:rsidTr="00132EC0">
        <w:trPr>
          <w:trHeight w:val="852"/>
        </w:trPr>
        <w:tc>
          <w:tcPr>
            <w:tcW w:w="1567" w:type="dxa"/>
            <w:tcBorders>
              <w:top w:val="nil"/>
              <w:left w:val="single" w:sz="4" w:space="0" w:color="auto"/>
              <w:bottom w:val="single" w:sz="4" w:space="0" w:color="auto"/>
              <w:right w:val="single" w:sz="4" w:space="0" w:color="auto"/>
            </w:tcBorders>
            <w:shd w:val="clear" w:color="DBDBDB" w:fill="D9D9D9"/>
            <w:vAlign w:val="center"/>
            <w:hideMark/>
          </w:tcPr>
          <w:p w14:paraId="4990CEC3" w14:textId="77777777" w:rsidR="002B096A" w:rsidRPr="002B096A" w:rsidRDefault="002B096A" w:rsidP="00EC7D22">
            <w:pPr>
              <w:suppressAutoHyphens w:val="0"/>
              <w:overflowPunct/>
              <w:spacing w:after="0" w:line="240" w:lineRule="auto"/>
              <w:jc w:val="center"/>
              <w:rPr>
                <w:rFonts w:eastAsia="Times New Roman" w:cs="Calibri"/>
                <w:b/>
                <w:bCs/>
                <w:color w:val="000000"/>
                <w:sz w:val="16"/>
                <w:szCs w:val="16"/>
                <w:lang w:eastAsia="es-MX"/>
              </w:rPr>
            </w:pPr>
            <w:r w:rsidRPr="002B096A">
              <w:rPr>
                <w:rFonts w:eastAsia="Times New Roman" w:cs="Calibri"/>
                <w:b/>
                <w:bCs/>
                <w:color w:val="000000"/>
                <w:sz w:val="16"/>
                <w:szCs w:val="16"/>
                <w:lang w:eastAsia="es-MX"/>
              </w:rPr>
              <w:t>Concepto</w:t>
            </w:r>
          </w:p>
        </w:tc>
        <w:tc>
          <w:tcPr>
            <w:tcW w:w="1285" w:type="dxa"/>
            <w:tcBorders>
              <w:top w:val="nil"/>
              <w:left w:val="nil"/>
              <w:bottom w:val="single" w:sz="4" w:space="0" w:color="auto"/>
              <w:right w:val="single" w:sz="4" w:space="0" w:color="auto"/>
            </w:tcBorders>
            <w:shd w:val="clear" w:color="DBDBDB" w:fill="D9D9D9"/>
            <w:vAlign w:val="center"/>
            <w:hideMark/>
          </w:tcPr>
          <w:p w14:paraId="5358DC17" w14:textId="77777777" w:rsidR="002B096A" w:rsidRPr="002B096A" w:rsidRDefault="002B096A" w:rsidP="00EC7D22">
            <w:pPr>
              <w:suppressAutoHyphens w:val="0"/>
              <w:overflowPunct/>
              <w:spacing w:after="0" w:line="240" w:lineRule="auto"/>
              <w:jc w:val="center"/>
              <w:rPr>
                <w:rFonts w:eastAsia="Times New Roman" w:cs="Calibri"/>
                <w:b/>
                <w:bCs/>
                <w:color w:val="000000"/>
                <w:sz w:val="16"/>
                <w:szCs w:val="16"/>
                <w:lang w:eastAsia="es-MX"/>
              </w:rPr>
            </w:pPr>
            <w:r w:rsidRPr="002B096A">
              <w:rPr>
                <w:rFonts w:eastAsia="Times New Roman" w:cs="Calibri"/>
                <w:b/>
                <w:bCs/>
                <w:color w:val="000000"/>
                <w:sz w:val="16"/>
                <w:szCs w:val="16"/>
                <w:lang w:eastAsia="es-MX"/>
              </w:rPr>
              <w:t>Saldo al 31 de Diciembre de 2023</w:t>
            </w:r>
          </w:p>
        </w:tc>
        <w:tc>
          <w:tcPr>
            <w:tcW w:w="1572" w:type="dxa"/>
            <w:tcBorders>
              <w:top w:val="nil"/>
              <w:left w:val="nil"/>
              <w:bottom w:val="single" w:sz="4" w:space="0" w:color="auto"/>
              <w:right w:val="single" w:sz="4" w:space="0" w:color="auto"/>
            </w:tcBorders>
            <w:shd w:val="clear" w:color="DBDBDB" w:fill="D9D9D9"/>
            <w:vAlign w:val="center"/>
            <w:hideMark/>
          </w:tcPr>
          <w:p w14:paraId="1300429D" w14:textId="77777777" w:rsidR="002B096A" w:rsidRPr="002B096A" w:rsidRDefault="002B096A" w:rsidP="00EC7D22">
            <w:pPr>
              <w:suppressAutoHyphens w:val="0"/>
              <w:overflowPunct/>
              <w:spacing w:after="0" w:line="240" w:lineRule="auto"/>
              <w:jc w:val="center"/>
              <w:rPr>
                <w:rFonts w:eastAsia="Times New Roman" w:cs="Calibri"/>
                <w:b/>
                <w:bCs/>
                <w:color w:val="000000"/>
                <w:sz w:val="16"/>
                <w:szCs w:val="16"/>
                <w:lang w:eastAsia="es-MX"/>
              </w:rPr>
            </w:pPr>
            <w:r w:rsidRPr="002B096A">
              <w:rPr>
                <w:rFonts w:eastAsia="Times New Roman" w:cs="Calibri"/>
                <w:b/>
                <w:bCs/>
                <w:color w:val="000000"/>
                <w:sz w:val="16"/>
                <w:szCs w:val="16"/>
                <w:lang w:eastAsia="es-MX"/>
              </w:rPr>
              <w:t>Disposiciones</w:t>
            </w:r>
          </w:p>
        </w:tc>
        <w:tc>
          <w:tcPr>
            <w:tcW w:w="1428" w:type="dxa"/>
            <w:tcBorders>
              <w:top w:val="nil"/>
              <w:left w:val="nil"/>
              <w:bottom w:val="single" w:sz="4" w:space="0" w:color="auto"/>
              <w:right w:val="single" w:sz="4" w:space="0" w:color="auto"/>
            </w:tcBorders>
            <w:shd w:val="clear" w:color="DBDBDB" w:fill="D9D9D9"/>
            <w:vAlign w:val="center"/>
            <w:hideMark/>
          </w:tcPr>
          <w:p w14:paraId="0C0835DD" w14:textId="77777777" w:rsidR="002B096A" w:rsidRPr="002B096A" w:rsidRDefault="002B096A" w:rsidP="00EC7D22">
            <w:pPr>
              <w:suppressAutoHyphens w:val="0"/>
              <w:overflowPunct/>
              <w:spacing w:after="0" w:line="240" w:lineRule="auto"/>
              <w:jc w:val="center"/>
              <w:rPr>
                <w:rFonts w:eastAsia="Times New Roman" w:cs="Calibri"/>
                <w:b/>
                <w:bCs/>
                <w:color w:val="000000"/>
                <w:sz w:val="16"/>
                <w:szCs w:val="16"/>
                <w:lang w:eastAsia="es-MX"/>
              </w:rPr>
            </w:pPr>
            <w:r w:rsidRPr="002B096A">
              <w:rPr>
                <w:rFonts w:eastAsia="Times New Roman" w:cs="Calibri"/>
                <w:b/>
                <w:bCs/>
                <w:color w:val="000000"/>
                <w:sz w:val="16"/>
                <w:szCs w:val="16"/>
                <w:lang w:eastAsia="es-MX"/>
              </w:rPr>
              <w:t>Amortizaciones</w:t>
            </w:r>
          </w:p>
        </w:tc>
        <w:tc>
          <w:tcPr>
            <w:tcW w:w="999" w:type="dxa"/>
            <w:tcBorders>
              <w:top w:val="nil"/>
              <w:left w:val="nil"/>
              <w:bottom w:val="single" w:sz="4" w:space="0" w:color="auto"/>
              <w:right w:val="single" w:sz="4" w:space="0" w:color="auto"/>
            </w:tcBorders>
            <w:shd w:val="clear" w:color="DBDBDB" w:fill="D9D9D9"/>
            <w:vAlign w:val="center"/>
            <w:hideMark/>
          </w:tcPr>
          <w:p w14:paraId="320714EF" w14:textId="77777777" w:rsidR="002B096A" w:rsidRPr="002B096A" w:rsidRDefault="002B096A" w:rsidP="00EC7D22">
            <w:pPr>
              <w:suppressAutoHyphens w:val="0"/>
              <w:overflowPunct/>
              <w:spacing w:after="0" w:line="240" w:lineRule="auto"/>
              <w:jc w:val="center"/>
              <w:rPr>
                <w:rFonts w:eastAsia="Times New Roman" w:cs="Calibri"/>
                <w:b/>
                <w:bCs/>
                <w:color w:val="000000"/>
                <w:sz w:val="16"/>
                <w:szCs w:val="16"/>
                <w:lang w:eastAsia="es-MX"/>
              </w:rPr>
            </w:pPr>
            <w:r w:rsidRPr="002B096A">
              <w:rPr>
                <w:rFonts w:eastAsia="Times New Roman" w:cs="Calibri"/>
                <w:b/>
                <w:bCs/>
                <w:color w:val="000000"/>
                <w:sz w:val="16"/>
                <w:szCs w:val="16"/>
                <w:lang w:eastAsia="es-MX"/>
              </w:rPr>
              <w:t>Intereses</w:t>
            </w:r>
          </w:p>
        </w:tc>
        <w:tc>
          <w:tcPr>
            <w:tcW w:w="1082" w:type="dxa"/>
            <w:tcBorders>
              <w:top w:val="nil"/>
              <w:left w:val="nil"/>
              <w:bottom w:val="single" w:sz="4" w:space="0" w:color="auto"/>
              <w:right w:val="single" w:sz="4" w:space="0" w:color="auto"/>
            </w:tcBorders>
            <w:shd w:val="clear" w:color="DBDBDB" w:fill="D9D9D9"/>
            <w:vAlign w:val="center"/>
            <w:hideMark/>
          </w:tcPr>
          <w:p w14:paraId="54BAF0C3" w14:textId="77777777" w:rsidR="002B096A" w:rsidRPr="002B096A" w:rsidRDefault="002B096A" w:rsidP="00EC7D22">
            <w:pPr>
              <w:suppressAutoHyphens w:val="0"/>
              <w:overflowPunct/>
              <w:spacing w:after="0" w:line="240" w:lineRule="auto"/>
              <w:jc w:val="center"/>
              <w:rPr>
                <w:rFonts w:eastAsia="Times New Roman" w:cs="Calibri"/>
                <w:b/>
                <w:bCs/>
                <w:color w:val="000000"/>
                <w:sz w:val="16"/>
                <w:szCs w:val="16"/>
                <w:lang w:eastAsia="es-MX"/>
              </w:rPr>
            </w:pPr>
            <w:r w:rsidRPr="002B096A">
              <w:rPr>
                <w:rFonts w:eastAsia="Times New Roman" w:cs="Calibri"/>
                <w:b/>
                <w:bCs/>
                <w:color w:val="000000"/>
                <w:sz w:val="16"/>
                <w:szCs w:val="16"/>
                <w:lang w:eastAsia="es-MX"/>
              </w:rPr>
              <w:t>Saldo al 31 de Diciembre de 2024</w:t>
            </w:r>
          </w:p>
        </w:tc>
        <w:tc>
          <w:tcPr>
            <w:tcW w:w="1492" w:type="dxa"/>
            <w:tcBorders>
              <w:top w:val="nil"/>
              <w:left w:val="nil"/>
              <w:bottom w:val="single" w:sz="4" w:space="0" w:color="auto"/>
              <w:right w:val="single" w:sz="4" w:space="0" w:color="auto"/>
            </w:tcBorders>
            <w:shd w:val="clear" w:color="DBDBDB" w:fill="D9D9D9"/>
            <w:vAlign w:val="center"/>
            <w:hideMark/>
          </w:tcPr>
          <w:p w14:paraId="22B33DD0" w14:textId="77777777" w:rsidR="002B096A" w:rsidRPr="002B096A" w:rsidRDefault="002B096A" w:rsidP="00EC7D22">
            <w:pPr>
              <w:suppressAutoHyphens w:val="0"/>
              <w:overflowPunct/>
              <w:spacing w:after="0" w:line="240" w:lineRule="auto"/>
              <w:jc w:val="center"/>
              <w:rPr>
                <w:rFonts w:eastAsia="Times New Roman" w:cs="Calibri"/>
                <w:b/>
                <w:bCs/>
                <w:color w:val="000000"/>
                <w:sz w:val="16"/>
                <w:szCs w:val="16"/>
                <w:lang w:eastAsia="es-MX"/>
              </w:rPr>
            </w:pPr>
            <w:r w:rsidRPr="002B096A">
              <w:rPr>
                <w:rFonts w:eastAsia="Times New Roman" w:cs="Calibri"/>
                <w:b/>
                <w:bCs/>
                <w:color w:val="000000"/>
                <w:sz w:val="16"/>
                <w:szCs w:val="16"/>
                <w:lang w:eastAsia="es-MX"/>
              </w:rPr>
              <w:t>Porcentaje pagado con Recurso FAFEF de cada rubro</w:t>
            </w:r>
          </w:p>
        </w:tc>
      </w:tr>
      <w:tr w:rsidR="00132EC0" w:rsidRPr="002B096A" w14:paraId="126848BD" w14:textId="77777777" w:rsidTr="00132EC0">
        <w:trPr>
          <w:trHeight w:val="288"/>
        </w:trPr>
        <w:tc>
          <w:tcPr>
            <w:tcW w:w="1567" w:type="dxa"/>
            <w:tcBorders>
              <w:top w:val="nil"/>
              <w:left w:val="single" w:sz="4" w:space="0" w:color="auto"/>
              <w:bottom w:val="nil"/>
              <w:right w:val="single" w:sz="4" w:space="0" w:color="auto"/>
            </w:tcBorders>
            <w:shd w:val="clear" w:color="FFFFCC" w:fill="FFFFFF"/>
            <w:noWrap/>
            <w:vAlign w:val="center"/>
            <w:hideMark/>
          </w:tcPr>
          <w:p w14:paraId="12BF7A9A" w14:textId="77777777" w:rsidR="002B096A" w:rsidRPr="002B096A" w:rsidRDefault="002B096A" w:rsidP="00EC7D22">
            <w:pPr>
              <w:suppressAutoHyphens w:val="0"/>
              <w:overflowPunct/>
              <w:spacing w:after="0" w:line="240" w:lineRule="auto"/>
              <w:rPr>
                <w:rFonts w:eastAsia="Times New Roman" w:cs="Calibri"/>
                <w:b/>
                <w:bCs/>
                <w:color w:val="000000"/>
                <w:sz w:val="14"/>
                <w:szCs w:val="14"/>
                <w:lang w:eastAsia="es-MX"/>
              </w:rPr>
            </w:pPr>
            <w:r w:rsidRPr="002B096A">
              <w:rPr>
                <w:rFonts w:eastAsia="Times New Roman" w:cs="Calibri"/>
                <w:b/>
                <w:bCs/>
                <w:color w:val="000000"/>
                <w:sz w:val="14"/>
                <w:szCs w:val="14"/>
                <w:lang w:eastAsia="es-MX"/>
              </w:rPr>
              <w:t xml:space="preserve">Deuda Pública </w:t>
            </w:r>
          </w:p>
        </w:tc>
        <w:tc>
          <w:tcPr>
            <w:tcW w:w="1285" w:type="dxa"/>
            <w:tcBorders>
              <w:top w:val="nil"/>
              <w:left w:val="nil"/>
              <w:bottom w:val="nil"/>
              <w:right w:val="nil"/>
            </w:tcBorders>
            <w:shd w:val="clear" w:color="FFFFCC" w:fill="FFFFFF"/>
            <w:noWrap/>
            <w:vAlign w:val="center"/>
            <w:hideMark/>
          </w:tcPr>
          <w:p w14:paraId="56CF1BD1"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15,440,502,481</w:t>
            </w:r>
          </w:p>
        </w:tc>
        <w:tc>
          <w:tcPr>
            <w:tcW w:w="1572" w:type="dxa"/>
            <w:tcBorders>
              <w:top w:val="nil"/>
              <w:left w:val="single" w:sz="4" w:space="0" w:color="auto"/>
              <w:bottom w:val="nil"/>
              <w:right w:val="single" w:sz="4" w:space="0" w:color="auto"/>
            </w:tcBorders>
            <w:shd w:val="clear" w:color="FFFFCC" w:fill="FFFFFF"/>
            <w:noWrap/>
            <w:vAlign w:val="center"/>
            <w:hideMark/>
          </w:tcPr>
          <w:p w14:paraId="626B11C4"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0</w:t>
            </w:r>
          </w:p>
        </w:tc>
        <w:tc>
          <w:tcPr>
            <w:tcW w:w="1428" w:type="dxa"/>
            <w:tcBorders>
              <w:top w:val="nil"/>
              <w:left w:val="nil"/>
              <w:bottom w:val="nil"/>
              <w:right w:val="nil"/>
            </w:tcBorders>
            <w:shd w:val="clear" w:color="FFFFCC" w:fill="FFFFFF"/>
            <w:noWrap/>
            <w:vAlign w:val="center"/>
            <w:hideMark/>
          </w:tcPr>
          <w:p w14:paraId="40957B2C"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 </w:t>
            </w:r>
          </w:p>
        </w:tc>
        <w:tc>
          <w:tcPr>
            <w:tcW w:w="999" w:type="dxa"/>
            <w:tcBorders>
              <w:top w:val="nil"/>
              <w:left w:val="single" w:sz="4" w:space="0" w:color="auto"/>
              <w:bottom w:val="nil"/>
              <w:right w:val="single" w:sz="4" w:space="0" w:color="auto"/>
            </w:tcBorders>
            <w:shd w:val="clear" w:color="FFFFCC" w:fill="FFFFFF"/>
            <w:noWrap/>
            <w:vAlign w:val="center"/>
            <w:hideMark/>
          </w:tcPr>
          <w:p w14:paraId="41A32133"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 </w:t>
            </w:r>
          </w:p>
        </w:tc>
        <w:tc>
          <w:tcPr>
            <w:tcW w:w="1082" w:type="dxa"/>
            <w:tcBorders>
              <w:top w:val="nil"/>
              <w:left w:val="nil"/>
              <w:bottom w:val="nil"/>
              <w:right w:val="nil"/>
            </w:tcBorders>
            <w:shd w:val="clear" w:color="FFFFCC" w:fill="FFFFFF"/>
            <w:noWrap/>
            <w:vAlign w:val="center"/>
            <w:hideMark/>
          </w:tcPr>
          <w:p w14:paraId="2A3D6FAE"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15,440,502,481</w:t>
            </w:r>
          </w:p>
        </w:tc>
        <w:tc>
          <w:tcPr>
            <w:tcW w:w="1492" w:type="dxa"/>
            <w:tcBorders>
              <w:top w:val="nil"/>
              <w:left w:val="single" w:sz="4" w:space="0" w:color="auto"/>
              <w:bottom w:val="nil"/>
              <w:right w:val="single" w:sz="4" w:space="0" w:color="auto"/>
            </w:tcBorders>
            <w:shd w:val="clear" w:color="FFFFCC" w:fill="FFFFFF"/>
            <w:noWrap/>
            <w:vAlign w:val="center"/>
            <w:hideMark/>
          </w:tcPr>
          <w:p w14:paraId="11F22B00"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 </w:t>
            </w:r>
          </w:p>
        </w:tc>
      </w:tr>
      <w:tr w:rsidR="00132EC0" w:rsidRPr="002B096A" w14:paraId="1A7AE170" w14:textId="77777777" w:rsidTr="00132EC0">
        <w:trPr>
          <w:trHeight w:val="288"/>
        </w:trPr>
        <w:tc>
          <w:tcPr>
            <w:tcW w:w="1567" w:type="dxa"/>
            <w:tcBorders>
              <w:top w:val="nil"/>
              <w:left w:val="single" w:sz="4" w:space="0" w:color="auto"/>
              <w:bottom w:val="nil"/>
              <w:right w:val="single" w:sz="4" w:space="0" w:color="auto"/>
            </w:tcBorders>
            <w:shd w:val="clear" w:color="FFFFCC" w:fill="FFFFFF"/>
            <w:noWrap/>
            <w:vAlign w:val="center"/>
            <w:hideMark/>
          </w:tcPr>
          <w:p w14:paraId="45BB34CE" w14:textId="77777777" w:rsidR="002B096A" w:rsidRPr="002B096A" w:rsidRDefault="002B096A" w:rsidP="00EC7D22">
            <w:pPr>
              <w:suppressAutoHyphens w:val="0"/>
              <w:overflowPunct/>
              <w:spacing w:after="0" w:line="240" w:lineRule="auto"/>
              <w:rPr>
                <w:rFonts w:eastAsia="Times New Roman" w:cs="Calibri"/>
                <w:b/>
                <w:bCs/>
                <w:color w:val="000000"/>
                <w:sz w:val="14"/>
                <w:szCs w:val="14"/>
                <w:lang w:eastAsia="es-MX"/>
              </w:rPr>
            </w:pPr>
            <w:r w:rsidRPr="002B096A">
              <w:rPr>
                <w:rFonts w:eastAsia="Times New Roman" w:cs="Calibri"/>
                <w:b/>
                <w:bCs/>
                <w:color w:val="000000"/>
                <w:sz w:val="14"/>
                <w:szCs w:val="14"/>
                <w:lang w:eastAsia="es-MX"/>
              </w:rPr>
              <w:t>DISPOSICIONES</w:t>
            </w:r>
          </w:p>
        </w:tc>
        <w:tc>
          <w:tcPr>
            <w:tcW w:w="1285" w:type="dxa"/>
            <w:tcBorders>
              <w:top w:val="nil"/>
              <w:left w:val="nil"/>
              <w:bottom w:val="nil"/>
              <w:right w:val="nil"/>
            </w:tcBorders>
            <w:shd w:val="clear" w:color="FFFFCC" w:fill="FFFFFF"/>
            <w:noWrap/>
            <w:vAlign w:val="center"/>
            <w:hideMark/>
          </w:tcPr>
          <w:p w14:paraId="39E59AE1"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572" w:type="dxa"/>
            <w:tcBorders>
              <w:top w:val="nil"/>
              <w:left w:val="single" w:sz="4" w:space="0" w:color="auto"/>
              <w:bottom w:val="nil"/>
              <w:right w:val="single" w:sz="4" w:space="0" w:color="auto"/>
            </w:tcBorders>
            <w:shd w:val="clear" w:color="FFFFCC" w:fill="FFFFFF"/>
            <w:noWrap/>
            <w:vAlign w:val="center"/>
            <w:hideMark/>
          </w:tcPr>
          <w:p w14:paraId="38736DA0"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12,699,079,662</w:t>
            </w:r>
          </w:p>
        </w:tc>
        <w:tc>
          <w:tcPr>
            <w:tcW w:w="1428" w:type="dxa"/>
            <w:tcBorders>
              <w:top w:val="nil"/>
              <w:left w:val="nil"/>
              <w:bottom w:val="nil"/>
              <w:right w:val="nil"/>
            </w:tcBorders>
            <w:shd w:val="clear" w:color="auto" w:fill="auto"/>
            <w:noWrap/>
            <w:vAlign w:val="center"/>
            <w:hideMark/>
          </w:tcPr>
          <w:p w14:paraId="3F415C55"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p>
        </w:tc>
        <w:tc>
          <w:tcPr>
            <w:tcW w:w="999" w:type="dxa"/>
            <w:tcBorders>
              <w:top w:val="nil"/>
              <w:left w:val="single" w:sz="4" w:space="0" w:color="auto"/>
              <w:bottom w:val="nil"/>
              <w:right w:val="single" w:sz="4" w:space="0" w:color="auto"/>
            </w:tcBorders>
            <w:shd w:val="clear" w:color="auto" w:fill="auto"/>
            <w:noWrap/>
            <w:vAlign w:val="center"/>
            <w:hideMark/>
          </w:tcPr>
          <w:p w14:paraId="497FEE1D"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082" w:type="dxa"/>
            <w:tcBorders>
              <w:top w:val="nil"/>
              <w:left w:val="nil"/>
              <w:bottom w:val="nil"/>
              <w:right w:val="nil"/>
            </w:tcBorders>
            <w:shd w:val="clear" w:color="FFFFCC" w:fill="FFFFFF"/>
            <w:noWrap/>
            <w:vAlign w:val="center"/>
            <w:hideMark/>
          </w:tcPr>
          <w:p w14:paraId="4BDEA214"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12,699,079,662</w:t>
            </w:r>
          </w:p>
        </w:tc>
        <w:tc>
          <w:tcPr>
            <w:tcW w:w="1492" w:type="dxa"/>
            <w:tcBorders>
              <w:top w:val="nil"/>
              <w:left w:val="single" w:sz="4" w:space="0" w:color="auto"/>
              <w:bottom w:val="nil"/>
              <w:right w:val="single" w:sz="4" w:space="0" w:color="auto"/>
            </w:tcBorders>
            <w:shd w:val="clear" w:color="FFFFCC" w:fill="FFFFFF"/>
            <w:noWrap/>
            <w:vAlign w:val="center"/>
            <w:hideMark/>
          </w:tcPr>
          <w:p w14:paraId="36FCC769"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r>
      <w:tr w:rsidR="00132EC0" w:rsidRPr="002B096A" w14:paraId="5956889A" w14:textId="77777777" w:rsidTr="00132EC0">
        <w:trPr>
          <w:trHeight w:val="288"/>
        </w:trPr>
        <w:tc>
          <w:tcPr>
            <w:tcW w:w="1567" w:type="dxa"/>
            <w:tcBorders>
              <w:top w:val="nil"/>
              <w:left w:val="single" w:sz="4" w:space="0" w:color="auto"/>
              <w:bottom w:val="nil"/>
              <w:right w:val="single" w:sz="4" w:space="0" w:color="auto"/>
            </w:tcBorders>
            <w:shd w:val="clear" w:color="FFFFCC" w:fill="FFFFFF"/>
            <w:noWrap/>
            <w:vAlign w:val="center"/>
            <w:hideMark/>
          </w:tcPr>
          <w:p w14:paraId="77273471" w14:textId="77777777" w:rsidR="002B096A" w:rsidRPr="002B096A" w:rsidRDefault="002B096A" w:rsidP="00EC7D22">
            <w:pPr>
              <w:suppressAutoHyphens w:val="0"/>
              <w:overflowPunct/>
              <w:spacing w:after="0" w:line="240" w:lineRule="auto"/>
              <w:rPr>
                <w:rFonts w:eastAsia="Times New Roman" w:cs="Calibri"/>
                <w:b/>
                <w:bCs/>
                <w:color w:val="000000"/>
                <w:sz w:val="14"/>
                <w:szCs w:val="14"/>
                <w:lang w:eastAsia="es-MX"/>
              </w:rPr>
            </w:pPr>
            <w:r w:rsidRPr="002B096A">
              <w:rPr>
                <w:rFonts w:eastAsia="Times New Roman" w:cs="Calibri"/>
                <w:b/>
                <w:bCs/>
                <w:color w:val="000000"/>
                <w:sz w:val="14"/>
                <w:szCs w:val="14"/>
                <w:lang w:eastAsia="es-MX"/>
              </w:rPr>
              <w:t>AMORTIZACIONES:</w:t>
            </w:r>
          </w:p>
        </w:tc>
        <w:tc>
          <w:tcPr>
            <w:tcW w:w="1285" w:type="dxa"/>
            <w:tcBorders>
              <w:top w:val="nil"/>
              <w:left w:val="nil"/>
              <w:bottom w:val="nil"/>
              <w:right w:val="nil"/>
            </w:tcBorders>
            <w:shd w:val="clear" w:color="FFFFCC" w:fill="FFFFFF"/>
            <w:noWrap/>
            <w:vAlign w:val="center"/>
            <w:hideMark/>
          </w:tcPr>
          <w:p w14:paraId="3613BA14"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572" w:type="dxa"/>
            <w:tcBorders>
              <w:top w:val="nil"/>
              <w:left w:val="single" w:sz="4" w:space="0" w:color="auto"/>
              <w:bottom w:val="nil"/>
              <w:right w:val="single" w:sz="4" w:space="0" w:color="auto"/>
            </w:tcBorders>
            <w:shd w:val="clear" w:color="FFFFCC" w:fill="FFFFFF"/>
            <w:noWrap/>
            <w:vAlign w:val="center"/>
            <w:hideMark/>
          </w:tcPr>
          <w:p w14:paraId="2DD661D1"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428" w:type="dxa"/>
            <w:tcBorders>
              <w:top w:val="nil"/>
              <w:left w:val="nil"/>
              <w:bottom w:val="nil"/>
              <w:right w:val="single" w:sz="4" w:space="0" w:color="auto"/>
            </w:tcBorders>
            <w:shd w:val="clear" w:color="auto" w:fill="auto"/>
            <w:noWrap/>
            <w:vAlign w:val="center"/>
            <w:hideMark/>
          </w:tcPr>
          <w:p w14:paraId="14734C85"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999" w:type="dxa"/>
            <w:tcBorders>
              <w:top w:val="nil"/>
              <w:left w:val="nil"/>
              <w:bottom w:val="nil"/>
              <w:right w:val="single" w:sz="4" w:space="0" w:color="auto"/>
            </w:tcBorders>
            <w:shd w:val="clear" w:color="auto" w:fill="auto"/>
            <w:vAlign w:val="center"/>
            <w:hideMark/>
          </w:tcPr>
          <w:p w14:paraId="264B49A2"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082" w:type="dxa"/>
            <w:tcBorders>
              <w:top w:val="nil"/>
              <w:left w:val="nil"/>
              <w:bottom w:val="nil"/>
              <w:right w:val="nil"/>
            </w:tcBorders>
            <w:shd w:val="clear" w:color="FFFFCC" w:fill="FFFFFF"/>
            <w:noWrap/>
            <w:vAlign w:val="center"/>
            <w:hideMark/>
          </w:tcPr>
          <w:p w14:paraId="315491FC"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 </w:t>
            </w:r>
          </w:p>
        </w:tc>
        <w:tc>
          <w:tcPr>
            <w:tcW w:w="1492" w:type="dxa"/>
            <w:tcBorders>
              <w:top w:val="nil"/>
              <w:left w:val="single" w:sz="4" w:space="0" w:color="auto"/>
              <w:bottom w:val="nil"/>
              <w:right w:val="single" w:sz="4" w:space="0" w:color="auto"/>
            </w:tcBorders>
            <w:shd w:val="clear" w:color="FFFFCC" w:fill="FFFFFF"/>
            <w:noWrap/>
            <w:vAlign w:val="center"/>
            <w:hideMark/>
          </w:tcPr>
          <w:p w14:paraId="14714AFD"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r>
      <w:tr w:rsidR="00132EC0" w:rsidRPr="002B096A" w14:paraId="02403CB7" w14:textId="77777777" w:rsidTr="00132EC0">
        <w:trPr>
          <w:trHeight w:val="285"/>
        </w:trPr>
        <w:tc>
          <w:tcPr>
            <w:tcW w:w="1567" w:type="dxa"/>
            <w:tcBorders>
              <w:top w:val="nil"/>
              <w:left w:val="single" w:sz="4" w:space="0" w:color="auto"/>
              <w:bottom w:val="nil"/>
              <w:right w:val="single" w:sz="4" w:space="0" w:color="auto"/>
            </w:tcBorders>
            <w:shd w:val="clear" w:color="FFFFCC" w:fill="FFFFFF"/>
            <w:noWrap/>
            <w:vAlign w:val="center"/>
            <w:hideMark/>
          </w:tcPr>
          <w:p w14:paraId="67C35ABA" w14:textId="77777777" w:rsidR="002B096A" w:rsidRPr="002B096A" w:rsidRDefault="002B096A" w:rsidP="00EC7D22">
            <w:pPr>
              <w:suppressAutoHyphens w:val="0"/>
              <w:overflowPunct/>
              <w:spacing w:after="0" w:line="240" w:lineRule="auto"/>
              <w:rPr>
                <w:rFonts w:eastAsia="Times New Roman" w:cs="Calibri"/>
                <w:color w:val="000000"/>
                <w:sz w:val="14"/>
                <w:szCs w:val="14"/>
                <w:lang w:eastAsia="es-MX"/>
              </w:rPr>
            </w:pPr>
            <w:r w:rsidRPr="002B096A">
              <w:rPr>
                <w:rFonts w:eastAsia="Times New Roman" w:cs="Calibri"/>
                <w:color w:val="000000"/>
                <w:sz w:val="14"/>
                <w:szCs w:val="14"/>
                <w:lang w:eastAsia="es-MX"/>
              </w:rPr>
              <w:t>Recurso Federal FAFEF</w:t>
            </w:r>
          </w:p>
        </w:tc>
        <w:tc>
          <w:tcPr>
            <w:tcW w:w="1285" w:type="dxa"/>
            <w:tcBorders>
              <w:top w:val="nil"/>
              <w:left w:val="nil"/>
              <w:bottom w:val="nil"/>
              <w:right w:val="nil"/>
            </w:tcBorders>
            <w:shd w:val="clear" w:color="FFFFCC" w:fill="FFFFFF"/>
            <w:noWrap/>
            <w:vAlign w:val="center"/>
            <w:hideMark/>
          </w:tcPr>
          <w:p w14:paraId="4C7C8928"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572" w:type="dxa"/>
            <w:tcBorders>
              <w:top w:val="nil"/>
              <w:left w:val="single" w:sz="4" w:space="0" w:color="auto"/>
              <w:bottom w:val="nil"/>
              <w:right w:val="single" w:sz="4" w:space="0" w:color="auto"/>
            </w:tcBorders>
            <w:shd w:val="clear" w:color="FFFFCC" w:fill="FFFFFF"/>
            <w:noWrap/>
            <w:vAlign w:val="center"/>
            <w:hideMark/>
          </w:tcPr>
          <w:p w14:paraId="60A69979"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428" w:type="dxa"/>
            <w:tcBorders>
              <w:top w:val="nil"/>
              <w:left w:val="nil"/>
              <w:bottom w:val="nil"/>
              <w:right w:val="single" w:sz="4" w:space="0" w:color="auto"/>
            </w:tcBorders>
            <w:shd w:val="clear" w:color="auto" w:fill="auto"/>
            <w:noWrap/>
            <w:vAlign w:val="center"/>
            <w:hideMark/>
          </w:tcPr>
          <w:p w14:paraId="725A9DE8"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39,708,820</w:t>
            </w:r>
          </w:p>
        </w:tc>
        <w:tc>
          <w:tcPr>
            <w:tcW w:w="999" w:type="dxa"/>
            <w:tcBorders>
              <w:top w:val="nil"/>
              <w:left w:val="nil"/>
              <w:bottom w:val="nil"/>
              <w:right w:val="single" w:sz="4" w:space="0" w:color="auto"/>
            </w:tcBorders>
            <w:shd w:val="clear" w:color="auto" w:fill="auto"/>
            <w:noWrap/>
            <w:vAlign w:val="center"/>
            <w:hideMark/>
          </w:tcPr>
          <w:p w14:paraId="1968BD27"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082" w:type="dxa"/>
            <w:tcBorders>
              <w:top w:val="nil"/>
              <w:left w:val="nil"/>
              <w:bottom w:val="nil"/>
              <w:right w:val="nil"/>
            </w:tcBorders>
            <w:shd w:val="clear" w:color="FFFFCC" w:fill="FFFFFF"/>
            <w:noWrap/>
            <w:vAlign w:val="center"/>
            <w:hideMark/>
          </w:tcPr>
          <w:p w14:paraId="622D3BFC"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39,708,820</w:t>
            </w:r>
          </w:p>
        </w:tc>
        <w:tc>
          <w:tcPr>
            <w:tcW w:w="1492" w:type="dxa"/>
            <w:tcBorders>
              <w:top w:val="nil"/>
              <w:left w:val="single" w:sz="4" w:space="0" w:color="auto"/>
              <w:bottom w:val="nil"/>
              <w:right w:val="single" w:sz="4" w:space="0" w:color="auto"/>
            </w:tcBorders>
            <w:shd w:val="clear" w:color="FFFFCC" w:fill="FFFFFF"/>
            <w:noWrap/>
            <w:vAlign w:val="center"/>
            <w:hideMark/>
          </w:tcPr>
          <w:p w14:paraId="7C6322F0"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0.31%</w:t>
            </w:r>
          </w:p>
        </w:tc>
      </w:tr>
      <w:tr w:rsidR="00132EC0" w:rsidRPr="002B096A" w14:paraId="15252A1D" w14:textId="77777777" w:rsidTr="00132EC0">
        <w:trPr>
          <w:trHeight w:val="288"/>
        </w:trPr>
        <w:tc>
          <w:tcPr>
            <w:tcW w:w="1567" w:type="dxa"/>
            <w:tcBorders>
              <w:top w:val="nil"/>
              <w:left w:val="single" w:sz="4" w:space="0" w:color="auto"/>
              <w:bottom w:val="nil"/>
              <w:right w:val="single" w:sz="4" w:space="0" w:color="auto"/>
            </w:tcBorders>
            <w:shd w:val="clear" w:color="FFFFCC" w:fill="FFFFFF"/>
            <w:noWrap/>
            <w:vAlign w:val="center"/>
            <w:hideMark/>
          </w:tcPr>
          <w:p w14:paraId="7565DEC4" w14:textId="77777777" w:rsidR="002B096A" w:rsidRPr="002B096A" w:rsidRDefault="002B096A" w:rsidP="00EC7D22">
            <w:pPr>
              <w:suppressAutoHyphens w:val="0"/>
              <w:overflowPunct/>
              <w:spacing w:after="0" w:line="240" w:lineRule="auto"/>
              <w:rPr>
                <w:rFonts w:eastAsia="Times New Roman" w:cs="Calibri"/>
                <w:color w:val="000000"/>
                <w:sz w:val="14"/>
                <w:szCs w:val="14"/>
                <w:lang w:eastAsia="es-MX"/>
              </w:rPr>
            </w:pPr>
            <w:r w:rsidRPr="002B096A">
              <w:rPr>
                <w:rFonts w:eastAsia="Times New Roman" w:cs="Calibri"/>
                <w:color w:val="000000"/>
                <w:sz w:val="14"/>
                <w:szCs w:val="14"/>
                <w:lang w:eastAsia="es-MX"/>
              </w:rPr>
              <w:t>Recursos Estatales</w:t>
            </w:r>
          </w:p>
        </w:tc>
        <w:tc>
          <w:tcPr>
            <w:tcW w:w="1285" w:type="dxa"/>
            <w:tcBorders>
              <w:top w:val="nil"/>
              <w:left w:val="nil"/>
              <w:bottom w:val="nil"/>
              <w:right w:val="nil"/>
            </w:tcBorders>
            <w:shd w:val="clear" w:color="FFFFCC" w:fill="FFFFFF"/>
            <w:noWrap/>
            <w:vAlign w:val="center"/>
            <w:hideMark/>
          </w:tcPr>
          <w:p w14:paraId="601FFE70"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572" w:type="dxa"/>
            <w:tcBorders>
              <w:top w:val="nil"/>
              <w:left w:val="single" w:sz="4" w:space="0" w:color="auto"/>
              <w:bottom w:val="nil"/>
              <w:right w:val="single" w:sz="4" w:space="0" w:color="auto"/>
            </w:tcBorders>
            <w:shd w:val="clear" w:color="FFFFCC" w:fill="FFFFFF"/>
            <w:noWrap/>
            <w:vAlign w:val="center"/>
            <w:hideMark/>
          </w:tcPr>
          <w:p w14:paraId="4670FB8F"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428" w:type="dxa"/>
            <w:tcBorders>
              <w:top w:val="nil"/>
              <w:left w:val="nil"/>
              <w:bottom w:val="nil"/>
              <w:right w:val="nil"/>
            </w:tcBorders>
            <w:shd w:val="clear" w:color="auto" w:fill="auto"/>
            <w:noWrap/>
            <w:vAlign w:val="center"/>
            <w:hideMark/>
          </w:tcPr>
          <w:p w14:paraId="776F73DD"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12,872,828,741</w:t>
            </w:r>
          </w:p>
        </w:tc>
        <w:tc>
          <w:tcPr>
            <w:tcW w:w="999" w:type="dxa"/>
            <w:tcBorders>
              <w:top w:val="nil"/>
              <w:left w:val="single" w:sz="4" w:space="0" w:color="auto"/>
              <w:bottom w:val="nil"/>
              <w:right w:val="single" w:sz="4" w:space="0" w:color="auto"/>
            </w:tcBorders>
            <w:shd w:val="clear" w:color="auto" w:fill="auto"/>
            <w:noWrap/>
            <w:vAlign w:val="center"/>
            <w:hideMark/>
          </w:tcPr>
          <w:p w14:paraId="09BCDA1A"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082" w:type="dxa"/>
            <w:tcBorders>
              <w:top w:val="nil"/>
              <w:left w:val="nil"/>
              <w:bottom w:val="nil"/>
              <w:right w:val="nil"/>
            </w:tcBorders>
            <w:shd w:val="clear" w:color="FFFFCC" w:fill="FFFFFF"/>
            <w:noWrap/>
            <w:vAlign w:val="center"/>
            <w:hideMark/>
          </w:tcPr>
          <w:p w14:paraId="2D07D1D1"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12,872,828,741</w:t>
            </w:r>
          </w:p>
        </w:tc>
        <w:tc>
          <w:tcPr>
            <w:tcW w:w="1492" w:type="dxa"/>
            <w:tcBorders>
              <w:top w:val="nil"/>
              <w:left w:val="single" w:sz="4" w:space="0" w:color="auto"/>
              <w:bottom w:val="nil"/>
              <w:right w:val="single" w:sz="4" w:space="0" w:color="auto"/>
            </w:tcBorders>
            <w:shd w:val="clear" w:color="FFFFCC" w:fill="FFFFFF"/>
            <w:noWrap/>
            <w:vAlign w:val="center"/>
            <w:hideMark/>
          </w:tcPr>
          <w:p w14:paraId="20090583"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r>
      <w:tr w:rsidR="00132EC0" w:rsidRPr="002B096A" w14:paraId="01078634" w14:textId="77777777" w:rsidTr="00132EC0">
        <w:trPr>
          <w:trHeight w:val="288"/>
        </w:trPr>
        <w:tc>
          <w:tcPr>
            <w:tcW w:w="1567" w:type="dxa"/>
            <w:tcBorders>
              <w:top w:val="nil"/>
              <w:left w:val="single" w:sz="4" w:space="0" w:color="auto"/>
              <w:bottom w:val="nil"/>
              <w:right w:val="single" w:sz="4" w:space="0" w:color="auto"/>
            </w:tcBorders>
            <w:shd w:val="clear" w:color="FFFFCC" w:fill="FFFFFF"/>
            <w:noWrap/>
            <w:vAlign w:val="center"/>
            <w:hideMark/>
          </w:tcPr>
          <w:p w14:paraId="4DCD64DD" w14:textId="77777777" w:rsidR="002B096A" w:rsidRPr="002B096A" w:rsidRDefault="002B096A" w:rsidP="00EC7D22">
            <w:pPr>
              <w:suppressAutoHyphens w:val="0"/>
              <w:overflowPunct/>
              <w:spacing w:after="0" w:line="240" w:lineRule="auto"/>
              <w:rPr>
                <w:rFonts w:eastAsia="Times New Roman" w:cs="Calibri"/>
                <w:b/>
                <w:bCs/>
                <w:color w:val="000000"/>
                <w:sz w:val="14"/>
                <w:szCs w:val="14"/>
                <w:lang w:eastAsia="es-MX"/>
              </w:rPr>
            </w:pPr>
            <w:proofErr w:type="gramStart"/>
            <w:r w:rsidRPr="002B096A">
              <w:rPr>
                <w:rFonts w:eastAsia="Times New Roman" w:cs="Calibri"/>
                <w:b/>
                <w:bCs/>
                <w:color w:val="000000"/>
                <w:sz w:val="14"/>
                <w:szCs w:val="14"/>
                <w:lang w:eastAsia="es-MX"/>
              </w:rPr>
              <w:t>INTERESES,GASTOS</w:t>
            </w:r>
            <w:proofErr w:type="gramEnd"/>
            <w:r w:rsidRPr="002B096A">
              <w:rPr>
                <w:rFonts w:eastAsia="Times New Roman" w:cs="Calibri"/>
                <w:b/>
                <w:bCs/>
                <w:color w:val="000000"/>
                <w:sz w:val="14"/>
                <w:szCs w:val="14"/>
                <w:lang w:eastAsia="es-MX"/>
              </w:rPr>
              <w:t xml:space="preserve"> Y COMISIONES</w:t>
            </w:r>
          </w:p>
        </w:tc>
        <w:tc>
          <w:tcPr>
            <w:tcW w:w="1285" w:type="dxa"/>
            <w:tcBorders>
              <w:top w:val="nil"/>
              <w:left w:val="nil"/>
              <w:bottom w:val="nil"/>
              <w:right w:val="nil"/>
            </w:tcBorders>
            <w:shd w:val="clear" w:color="FFFFCC" w:fill="FFFFFF"/>
            <w:noWrap/>
            <w:vAlign w:val="center"/>
            <w:hideMark/>
          </w:tcPr>
          <w:p w14:paraId="5BA35351" w14:textId="77777777" w:rsidR="002B096A" w:rsidRPr="002B096A" w:rsidRDefault="002B096A" w:rsidP="00EC7D22">
            <w:pPr>
              <w:suppressAutoHyphens w:val="0"/>
              <w:overflowPunct/>
              <w:spacing w:after="0" w:line="240" w:lineRule="auto"/>
              <w:rPr>
                <w:rFonts w:eastAsia="Times New Roman" w:cs="Calibri"/>
                <w:b/>
                <w:bCs/>
                <w:color w:val="000000"/>
                <w:sz w:val="14"/>
                <w:szCs w:val="14"/>
                <w:lang w:eastAsia="es-MX"/>
              </w:rPr>
            </w:pPr>
            <w:r w:rsidRPr="002B096A">
              <w:rPr>
                <w:rFonts w:eastAsia="Times New Roman" w:cs="Calibri"/>
                <w:b/>
                <w:bCs/>
                <w:color w:val="000000"/>
                <w:sz w:val="14"/>
                <w:szCs w:val="14"/>
                <w:lang w:eastAsia="es-MX"/>
              </w:rPr>
              <w:t> </w:t>
            </w:r>
          </w:p>
        </w:tc>
        <w:tc>
          <w:tcPr>
            <w:tcW w:w="1572" w:type="dxa"/>
            <w:tcBorders>
              <w:top w:val="nil"/>
              <w:left w:val="single" w:sz="4" w:space="0" w:color="auto"/>
              <w:bottom w:val="nil"/>
              <w:right w:val="single" w:sz="4" w:space="0" w:color="auto"/>
            </w:tcBorders>
            <w:shd w:val="clear" w:color="FFFFCC" w:fill="FFFFFF"/>
            <w:noWrap/>
            <w:vAlign w:val="center"/>
            <w:hideMark/>
          </w:tcPr>
          <w:p w14:paraId="23C02CE2"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428" w:type="dxa"/>
            <w:tcBorders>
              <w:top w:val="nil"/>
              <w:left w:val="nil"/>
              <w:bottom w:val="nil"/>
              <w:right w:val="nil"/>
            </w:tcBorders>
            <w:shd w:val="clear" w:color="auto" w:fill="auto"/>
            <w:noWrap/>
            <w:vAlign w:val="center"/>
            <w:hideMark/>
          </w:tcPr>
          <w:p w14:paraId="1E86A781"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p>
        </w:tc>
        <w:tc>
          <w:tcPr>
            <w:tcW w:w="999" w:type="dxa"/>
            <w:tcBorders>
              <w:top w:val="nil"/>
              <w:left w:val="single" w:sz="4" w:space="0" w:color="auto"/>
              <w:bottom w:val="nil"/>
              <w:right w:val="single" w:sz="4" w:space="0" w:color="auto"/>
            </w:tcBorders>
            <w:shd w:val="clear" w:color="auto" w:fill="auto"/>
            <w:noWrap/>
            <w:vAlign w:val="center"/>
            <w:hideMark/>
          </w:tcPr>
          <w:p w14:paraId="2ED4CBB1"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082" w:type="dxa"/>
            <w:tcBorders>
              <w:top w:val="nil"/>
              <w:left w:val="nil"/>
              <w:bottom w:val="nil"/>
              <w:right w:val="nil"/>
            </w:tcBorders>
            <w:shd w:val="clear" w:color="FFFFCC" w:fill="FFFFFF"/>
            <w:noWrap/>
            <w:vAlign w:val="center"/>
            <w:hideMark/>
          </w:tcPr>
          <w:p w14:paraId="3497183F"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 </w:t>
            </w:r>
          </w:p>
        </w:tc>
        <w:tc>
          <w:tcPr>
            <w:tcW w:w="1492" w:type="dxa"/>
            <w:tcBorders>
              <w:top w:val="nil"/>
              <w:left w:val="single" w:sz="4" w:space="0" w:color="auto"/>
              <w:bottom w:val="nil"/>
              <w:right w:val="single" w:sz="4" w:space="0" w:color="auto"/>
            </w:tcBorders>
            <w:shd w:val="clear" w:color="FFFFCC" w:fill="FFFFFF"/>
            <w:noWrap/>
            <w:vAlign w:val="center"/>
            <w:hideMark/>
          </w:tcPr>
          <w:p w14:paraId="238A05A6"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r>
      <w:tr w:rsidR="00132EC0" w:rsidRPr="002B096A" w14:paraId="6A1AF290" w14:textId="77777777" w:rsidTr="00132EC0">
        <w:trPr>
          <w:trHeight w:val="288"/>
        </w:trPr>
        <w:tc>
          <w:tcPr>
            <w:tcW w:w="1567" w:type="dxa"/>
            <w:tcBorders>
              <w:top w:val="nil"/>
              <w:left w:val="single" w:sz="4" w:space="0" w:color="auto"/>
              <w:bottom w:val="nil"/>
              <w:right w:val="single" w:sz="4" w:space="0" w:color="auto"/>
            </w:tcBorders>
            <w:shd w:val="clear" w:color="FFFFCC" w:fill="FFFFFF"/>
            <w:noWrap/>
            <w:vAlign w:val="center"/>
            <w:hideMark/>
          </w:tcPr>
          <w:p w14:paraId="18B424A7" w14:textId="77777777" w:rsidR="002B096A" w:rsidRPr="002B096A" w:rsidRDefault="002B096A" w:rsidP="00EC7D22">
            <w:pPr>
              <w:suppressAutoHyphens w:val="0"/>
              <w:overflowPunct/>
              <w:spacing w:after="0" w:line="240" w:lineRule="auto"/>
              <w:rPr>
                <w:rFonts w:eastAsia="Times New Roman" w:cs="Calibri"/>
                <w:color w:val="000000"/>
                <w:sz w:val="14"/>
                <w:szCs w:val="14"/>
                <w:lang w:eastAsia="es-MX"/>
              </w:rPr>
            </w:pPr>
            <w:r w:rsidRPr="002B096A">
              <w:rPr>
                <w:rFonts w:eastAsia="Times New Roman" w:cs="Calibri"/>
                <w:color w:val="000000"/>
                <w:sz w:val="14"/>
                <w:szCs w:val="14"/>
                <w:lang w:eastAsia="es-MX"/>
              </w:rPr>
              <w:t xml:space="preserve">Intereses pagados con Recurso FAFEF </w:t>
            </w:r>
          </w:p>
        </w:tc>
        <w:tc>
          <w:tcPr>
            <w:tcW w:w="1285" w:type="dxa"/>
            <w:tcBorders>
              <w:top w:val="nil"/>
              <w:left w:val="nil"/>
              <w:bottom w:val="nil"/>
              <w:right w:val="nil"/>
            </w:tcBorders>
            <w:shd w:val="clear" w:color="FFFFCC" w:fill="FFFFFF"/>
            <w:noWrap/>
            <w:vAlign w:val="center"/>
            <w:hideMark/>
          </w:tcPr>
          <w:p w14:paraId="51EED124"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572" w:type="dxa"/>
            <w:tcBorders>
              <w:top w:val="nil"/>
              <w:left w:val="single" w:sz="4" w:space="0" w:color="auto"/>
              <w:bottom w:val="nil"/>
              <w:right w:val="single" w:sz="4" w:space="0" w:color="auto"/>
            </w:tcBorders>
            <w:shd w:val="clear" w:color="FFFFCC" w:fill="FFFFFF"/>
            <w:noWrap/>
            <w:vAlign w:val="center"/>
            <w:hideMark/>
          </w:tcPr>
          <w:p w14:paraId="51DA3971"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428" w:type="dxa"/>
            <w:tcBorders>
              <w:top w:val="nil"/>
              <w:left w:val="nil"/>
              <w:bottom w:val="nil"/>
              <w:right w:val="nil"/>
            </w:tcBorders>
            <w:shd w:val="clear" w:color="auto" w:fill="auto"/>
            <w:noWrap/>
            <w:vAlign w:val="center"/>
            <w:hideMark/>
          </w:tcPr>
          <w:p w14:paraId="3BDA80AA"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p>
        </w:tc>
        <w:tc>
          <w:tcPr>
            <w:tcW w:w="999" w:type="dxa"/>
            <w:tcBorders>
              <w:top w:val="nil"/>
              <w:left w:val="single" w:sz="4" w:space="0" w:color="auto"/>
              <w:bottom w:val="nil"/>
              <w:right w:val="single" w:sz="4" w:space="0" w:color="auto"/>
            </w:tcBorders>
            <w:shd w:val="clear" w:color="auto" w:fill="auto"/>
            <w:noWrap/>
            <w:vAlign w:val="center"/>
            <w:hideMark/>
          </w:tcPr>
          <w:p w14:paraId="4886C0B7"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335,091,256</w:t>
            </w:r>
          </w:p>
        </w:tc>
        <w:tc>
          <w:tcPr>
            <w:tcW w:w="1082" w:type="dxa"/>
            <w:tcBorders>
              <w:top w:val="nil"/>
              <w:left w:val="nil"/>
              <w:bottom w:val="nil"/>
              <w:right w:val="nil"/>
            </w:tcBorders>
            <w:shd w:val="clear" w:color="FFFFCC" w:fill="FFFFFF"/>
            <w:noWrap/>
            <w:vAlign w:val="center"/>
            <w:hideMark/>
          </w:tcPr>
          <w:p w14:paraId="749C06D7"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0</w:t>
            </w:r>
          </w:p>
        </w:tc>
        <w:tc>
          <w:tcPr>
            <w:tcW w:w="1492" w:type="dxa"/>
            <w:tcBorders>
              <w:top w:val="nil"/>
              <w:left w:val="single" w:sz="4" w:space="0" w:color="auto"/>
              <w:bottom w:val="nil"/>
              <w:right w:val="single" w:sz="4" w:space="0" w:color="auto"/>
            </w:tcBorders>
            <w:shd w:val="clear" w:color="FFFFCC" w:fill="FFFFFF"/>
            <w:noWrap/>
            <w:vAlign w:val="center"/>
            <w:hideMark/>
          </w:tcPr>
          <w:p w14:paraId="20BF688F"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18.61%</w:t>
            </w:r>
          </w:p>
        </w:tc>
      </w:tr>
      <w:tr w:rsidR="00132EC0" w:rsidRPr="002B096A" w14:paraId="128709BF" w14:textId="77777777" w:rsidTr="00132EC0">
        <w:trPr>
          <w:trHeight w:val="288"/>
        </w:trPr>
        <w:tc>
          <w:tcPr>
            <w:tcW w:w="1567" w:type="dxa"/>
            <w:tcBorders>
              <w:top w:val="nil"/>
              <w:left w:val="single" w:sz="4" w:space="0" w:color="auto"/>
              <w:bottom w:val="nil"/>
              <w:right w:val="single" w:sz="4" w:space="0" w:color="auto"/>
            </w:tcBorders>
            <w:shd w:val="clear" w:color="FFFFCC" w:fill="FFFFFF"/>
            <w:noWrap/>
            <w:vAlign w:val="center"/>
            <w:hideMark/>
          </w:tcPr>
          <w:p w14:paraId="26D87C7E" w14:textId="77777777" w:rsidR="002B096A" w:rsidRPr="002B096A" w:rsidRDefault="002B096A" w:rsidP="00EC7D22">
            <w:pPr>
              <w:suppressAutoHyphens w:val="0"/>
              <w:overflowPunct/>
              <w:spacing w:after="0" w:line="240" w:lineRule="auto"/>
              <w:rPr>
                <w:rFonts w:eastAsia="Times New Roman" w:cs="Calibri"/>
                <w:color w:val="000000"/>
                <w:sz w:val="14"/>
                <w:szCs w:val="14"/>
                <w:lang w:eastAsia="es-MX"/>
              </w:rPr>
            </w:pPr>
            <w:r w:rsidRPr="002B096A">
              <w:rPr>
                <w:rFonts w:eastAsia="Times New Roman" w:cs="Calibri"/>
                <w:color w:val="000000"/>
                <w:sz w:val="14"/>
                <w:szCs w:val="14"/>
                <w:lang w:eastAsia="es-MX"/>
              </w:rPr>
              <w:t xml:space="preserve">Intereses pagados </w:t>
            </w:r>
            <w:proofErr w:type="gramStart"/>
            <w:r w:rsidRPr="002B096A">
              <w:rPr>
                <w:rFonts w:eastAsia="Times New Roman" w:cs="Calibri"/>
                <w:color w:val="000000"/>
                <w:sz w:val="14"/>
                <w:szCs w:val="14"/>
                <w:lang w:eastAsia="es-MX"/>
              </w:rPr>
              <w:t>con  Recurso</w:t>
            </w:r>
            <w:proofErr w:type="gramEnd"/>
            <w:r w:rsidRPr="002B096A">
              <w:rPr>
                <w:rFonts w:eastAsia="Times New Roman" w:cs="Calibri"/>
                <w:color w:val="000000"/>
                <w:sz w:val="14"/>
                <w:szCs w:val="14"/>
                <w:lang w:eastAsia="es-MX"/>
              </w:rPr>
              <w:t xml:space="preserve"> Estatal</w:t>
            </w:r>
          </w:p>
        </w:tc>
        <w:tc>
          <w:tcPr>
            <w:tcW w:w="1285" w:type="dxa"/>
            <w:tcBorders>
              <w:top w:val="nil"/>
              <w:left w:val="nil"/>
              <w:bottom w:val="nil"/>
              <w:right w:val="nil"/>
            </w:tcBorders>
            <w:shd w:val="clear" w:color="FFFFCC" w:fill="FFFFFF"/>
            <w:noWrap/>
            <w:vAlign w:val="center"/>
            <w:hideMark/>
          </w:tcPr>
          <w:p w14:paraId="5A2CC31E"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572" w:type="dxa"/>
            <w:tcBorders>
              <w:top w:val="nil"/>
              <w:left w:val="single" w:sz="4" w:space="0" w:color="auto"/>
              <w:bottom w:val="nil"/>
              <w:right w:val="single" w:sz="4" w:space="0" w:color="auto"/>
            </w:tcBorders>
            <w:shd w:val="clear" w:color="FFFFCC" w:fill="FFFFFF"/>
            <w:noWrap/>
            <w:vAlign w:val="center"/>
            <w:hideMark/>
          </w:tcPr>
          <w:p w14:paraId="02462B78"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c>
          <w:tcPr>
            <w:tcW w:w="1428" w:type="dxa"/>
            <w:tcBorders>
              <w:top w:val="nil"/>
              <w:left w:val="nil"/>
              <w:bottom w:val="nil"/>
              <w:right w:val="nil"/>
            </w:tcBorders>
            <w:shd w:val="clear" w:color="auto" w:fill="auto"/>
            <w:noWrap/>
            <w:vAlign w:val="center"/>
            <w:hideMark/>
          </w:tcPr>
          <w:p w14:paraId="58FE5EB4"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p>
        </w:tc>
        <w:tc>
          <w:tcPr>
            <w:tcW w:w="999" w:type="dxa"/>
            <w:tcBorders>
              <w:top w:val="nil"/>
              <w:left w:val="single" w:sz="4" w:space="0" w:color="auto"/>
              <w:bottom w:val="nil"/>
              <w:right w:val="single" w:sz="4" w:space="0" w:color="auto"/>
            </w:tcBorders>
            <w:shd w:val="clear" w:color="auto" w:fill="auto"/>
            <w:noWrap/>
            <w:vAlign w:val="center"/>
            <w:hideMark/>
          </w:tcPr>
          <w:p w14:paraId="3183FD81"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1,465,775,266</w:t>
            </w:r>
          </w:p>
        </w:tc>
        <w:tc>
          <w:tcPr>
            <w:tcW w:w="1082" w:type="dxa"/>
            <w:tcBorders>
              <w:top w:val="nil"/>
              <w:left w:val="nil"/>
              <w:bottom w:val="nil"/>
              <w:right w:val="nil"/>
            </w:tcBorders>
            <w:shd w:val="clear" w:color="FFFFCC" w:fill="FFFFFF"/>
            <w:noWrap/>
            <w:vAlign w:val="center"/>
            <w:hideMark/>
          </w:tcPr>
          <w:p w14:paraId="2FA10DBD"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0</w:t>
            </w:r>
          </w:p>
        </w:tc>
        <w:tc>
          <w:tcPr>
            <w:tcW w:w="1492" w:type="dxa"/>
            <w:tcBorders>
              <w:top w:val="nil"/>
              <w:left w:val="single" w:sz="4" w:space="0" w:color="auto"/>
              <w:bottom w:val="nil"/>
              <w:right w:val="single" w:sz="4" w:space="0" w:color="auto"/>
            </w:tcBorders>
            <w:shd w:val="clear" w:color="FFFFCC" w:fill="FFFFFF"/>
            <w:noWrap/>
            <w:vAlign w:val="center"/>
            <w:hideMark/>
          </w:tcPr>
          <w:p w14:paraId="5098D743" w14:textId="77777777" w:rsidR="002B096A" w:rsidRPr="002B096A" w:rsidRDefault="002B096A" w:rsidP="00EC7D22">
            <w:pPr>
              <w:suppressAutoHyphens w:val="0"/>
              <w:overflowPunct/>
              <w:spacing w:after="0" w:line="240" w:lineRule="auto"/>
              <w:jc w:val="right"/>
              <w:rPr>
                <w:rFonts w:eastAsia="Times New Roman" w:cs="Calibri"/>
                <w:color w:val="000000"/>
                <w:sz w:val="14"/>
                <w:szCs w:val="14"/>
                <w:lang w:eastAsia="es-MX"/>
              </w:rPr>
            </w:pPr>
            <w:r w:rsidRPr="002B096A">
              <w:rPr>
                <w:rFonts w:eastAsia="Times New Roman" w:cs="Calibri"/>
                <w:color w:val="000000"/>
                <w:sz w:val="14"/>
                <w:szCs w:val="14"/>
                <w:lang w:eastAsia="es-MX"/>
              </w:rPr>
              <w:t> </w:t>
            </w:r>
          </w:p>
        </w:tc>
      </w:tr>
      <w:tr w:rsidR="00132EC0" w:rsidRPr="002B096A" w14:paraId="3068A1D9" w14:textId="77777777" w:rsidTr="00132EC0">
        <w:trPr>
          <w:trHeight w:val="397"/>
        </w:trPr>
        <w:tc>
          <w:tcPr>
            <w:tcW w:w="1567" w:type="dxa"/>
            <w:tcBorders>
              <w:top w:val="single" w:sz="4" w:space="0" w:color="auto"/>
              <w:left w:val="single" w:sz="4" w:space="0" w:color="auto"/>
              <w:bottom w:val="single" w:sz="4" w:space="0" w:color="auto"/>
              <w:right w:val="single" w:sz="4" w:space="0" w:color="auto"/>
            </w:tcBorders>
            <w:shd w:val="clear" w:color="F8CBAD" w:fill="DDC9A3"/>
            <w:noWrap/>
            <w:vAlign w:val="center"/>
            <w:hideMark/>
          </w:tcPr>
          <w:p w14:paraId="618DA725" w14:textId="77777777" w:rsidR="002B096A" w:rsidRPr="002B096A" w:rsidRDefault="002B096A" w:rsidP="00EC7D22">
            <w:pPr>
              <w:suppressAutoHyphens w:val="0"/>
              <w:overflowPunct/>
              <w:spacing w:after="0" w:line="240" w:lineRule="auto"/>
              <w:rPr>
                <w:rFonts w:eastAsia="Times New Roman" w:cs="Calibri"/>
                <w:b/>
                <w:bCs/>
                <w:color w:val="000000"/>
                <w:sz w:val="14"/>
                <w:szCs w:val="14"/>
                <w:lang w:eastAsia="es-MX"/>
              </w:rPr>
            </w:pPr>
            <w:r w:rsidRPr="002B096A">
              <w:rPr>
                <w:rFonts w:eastAsia="Times New Roman" w:cs="Calibri"/>
                <w:b/>
                <w:bCs/>
                <w:color w:val="000000"/>
                <w:sz w:val="14"/>
                <w:szCs w:val="14"/>
                <w:lang w:eastAsia="es-MX"/>
              </w:rPr>
              <w:t>Totales</w:t>
            </w:r>
          </w:p>
        </w:tc>
        <w:tc>
          <w:tcPr>
            <w:tcW w:w="1285" w:type="dxa"/>
            <w:tcBorders>
              <w:top w:val="single" w:sz="4" w:space="0" w:color="auto"/>
              <w:left w:val="nil"/>
              <w:bottom w:val="single" w:sz="4" w:space="0" w:color="auto"/>
              <w:right w:val="single" w:sz="4" w:space="0" w:color="auto"/>
            </w:tcBorders>
            <w:shd w:val="clear" w:color="F8CBAD" w:fill="DDC9A3"/>
            <w:noWrap/>
            <w:vAlign w:val="center"/>
            <w:hideMark/>
          </w:tcPr>
          <w:p w14:paraId="12523094"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15,440,502,481</w:t>
            </w:r>
          </w:p>
        </w:tc>
        <w:tc>
          <w:tcPr>
            <w:tcW w:w="1572" w:type="dxa"/>
            <w:tcBorders>
              <w:top w:val="single" w:sz="4" w:space="0" w:color="auto"/>
              <w:left w:val="nil"/>
              <w:bottom w:val="single" w:sz="4" w:space="0" w:color="auto"/>
              <w:right w:val="single" w:sz="4" w:space="0" w:color="auto"/>
            </w:tcBorders>
            <w:shd w:val="clear" w:color="F8CBAD" w:fill="DDC9A3"/>
            <w:noWrap/>
            <w:vAlign w:val="center"/>
            <w:hideMark/>
          </w:tcPr>
          <w:p w14:paraId="761E5416"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12,699,079,662</w:t>
            </w:r>
          </w:p>
        </w:tc>
        <w:tc>
          <w:tcPr>
            <w:tcW w:w="1428" w:type="dxa"/>
            <w:tcBorders>
              <w:top w:val="single" w:sz="4" w:space="0" w:color="auto"/>
              <w:left w:val="nil"/>
              <w:bottom w:val="single" w:sz="4" w:space="0" w:color="auto"/>
              <w:right w:val="single" w:sz="4" w:space="0" w:color="auto"/>
            </w:tcBorders>
            <w:shd w:val="clear" w:color="F8CBAD" w:fill="DDC9A3"/>
            <w:noWrap/>
            <w:vAlign w:val="center"/>
            <w:hideMark/>
          </w:tcPr>
          <w:p w14:paraId="048CC449"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12,912,537,561</w:t>
            </w:r>
          </w:p>
        </w:tc>
        <w:tc>
          <w:tcPr>
            <w:tcW w:w="999" w:type="dxa"/>
            <w:tcBorders>
              <w:top w:val="single" w:sz="4" w:space="0" w:color="auto"/>
              <w:left w:val="nil"/>
              <w:bottom w:val="single" w:sz="4" w:space="0" w:color="auto"/>
              <w:right w:val="single" w:sz="4" w:space="0" w:color="auto"/>
            </w:tcBorders>
            <w:shd w:val="clear" w:color="F8CBAD" w:fill="DDC9A3"/>
            <w:noWrap/>
            <w:vAlign w:val="center"/>
            <w:hideMark/>
          </w:tcPr>
          <w:p w14:paraId="2752D467"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1,800,866,522</w:t>
            </w:r>
          </w:p>
        </w:tc>
        <w:tc>
          <w:tcPr>
            <w:tcW w:w="1082" w:type="dxa"/>
            <w:tcBorders>
              <w:top w:val="single" w:sz="4" w:space="0" w:color="auto"/>
              <w:left w:val="nil"/>
              <w:bottom w:val="single" w:sz="4" w:space="0" w:color="auto"/>
              <w:right w:val="single" w:sz="4" w:space="0" w:color="auto"/>
            </w:tcBorders>
            <w:shd w:val="clear" w:color="F8CBAD" w:fill="DDC9A3"/>
            <w:noWrap/>
            <w:vAlign w:val="center"/>
            <w:hideMark/>
          </w:tcPr>
          <w:p w14:paraId="2FAB2984"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15,227,044,582</w:t>
            </w:r>
          </w:p>
        </w:tc>
        <w:tc>
          <w:tcPr>
            <w:tcW w:w="1492" w:type="dxa"/>
            <w:tcBorders>
              <w:top w:val="single" w:sz="4" w:space="0" w:color="auto"/>
              <w:left w:val="nil"/>
              <w:bottom w:val="single" w:sz="4" w:space="0" w:color="auto"/>
              <w:right w:val="single" w:sz="4" w:space="0" w:color="auto"/>
            </w:tcBorders>
            <w:shd w:val="clear" w:color="F8CBAD" w:fill="DDC9A3"/>
            <w:noWrap/>
            <w:vAlign w:val="center"/>
            <w:hideMark/>
          </w:tcPr>
          <w:p w14:paraId="54648C56" w14:textId="77777777" w:rsidR="002B096A" w:rsidRPr="002B096A" w:rsidRDefault="002B096A" w:rsidP="00EC7D22">
            <w:pPr>
              <w:suppressAutoHyphens w:val="0"/>
              <w:overflowPunct/>
              <w:spacing w:after="0" w:line="240" w:lineRule="auto"/>
              <w:jc w:val="right"/>
              <w:rPr>
                <w:rFonts w:eastAsia="Times New Roman" w:cs="Calibri"/>
                <w:b/>
                <w:bCs/>
                <w:color w:val="000000"/>
                <w:sz w:val="14"/>
                <w:szCs w:val="14"/>
                <w:lang w:eastAsia="es-MX"/>
              </w:rPr>
            </w:pPr>
            <w:r w:rsidRPr="002B096A">
              <w:rPr>
                <w:rFonts w:eastAsia="Times New Roman" w:cs="Calibri"/>
                <w:b/>
                <w:bCs/>
                <w:color w:val="000000"/>
                <w:sz w:val="14"/>
                <w:szCs w:val="14"/>
                <w:lang w:eastAsia="es-MX"/>
              </w:rPr>
              <w:t> </w:t>
            </w:r>
          </w:p>
        </w:tc>
      </w:tr>
    </w:tbl>
    <w:p w14:paraId="42FC975E" w14:textId="77777777" w:rsidR="001B28EB" w:rsidRDefault="001B28EB" w:rsidP="00EC7D22">
      <w:pPr>
        <w:pStyle w:val="Texto"/>
        <w:spacing w:after="0" w:line="240" w:lineRule="exact"/>
        <w:ind w:firstLine="0"/>
        <w:jc w:val="left"/>
        <w:rPr>
          <w:rFonts w:ascii="Calibri" w:hAnsi="Calibri" w:cs="Calibri"/>
          <w:b/>
          <w:sz w:val="20"/>
          <w:lang w:val="es-MX"/>
        </w:rPr>
      </w:pPr>
    </w:p>
    <w:p w14:paraId="0639898D" w14:textId="77777777" w:rsidR="001B28EB" w:rsidRDefault="001B28EB" w:rsidP="00EC7D22">
      <w:pPr>
        <w:pStyle w:val="Texto"/>
        <w:spacing w:after="0" w:line="240" w:lineRule="exact"/>
        <w:ind w:firstLine="0"/>
        <w:jc w:val="left"/>
        <w:rPr>
          <w:rFonts w:ascii="Calibri" w:hAnsi="Calibri" w:cs="Calibri"/>
          <w:b/>
          <w:sz w:val="20"/>
          <w:lang w:val="es-MX"/>
        </w:rPr>
      </w:pPr>
    </w:p>
    <w:p w14:paraId="0A372C9E" w14:textId="77777777" w:rsidR="001B28EB" w:rsidRDefault="001B28EB" w:rsidP="00EC7D22">
      <w:pPr>
        <w:pStyle w:val="Texto"/>
        <w:spacing w:after="0" w:line="240" w:lineRule="exact"/>
        <w:ind w:firstLine="0"/>
        <w:jc w:val="left"/>
        <w:rPr>
          <w:rFonts w:ascii="Calibri" w:hAnsi="Calibri" w:cs="Calibri"/>
          <w:b/>
          <w:sz w:val="20"/>
          <w:lang w:val="es-MX"/>
        </w:rPr>
      </w:pPr>
    </w:p>
    <w:p w14:paraId="66EC806C" w14:textId="7155F8D0" w:rsidR="007745EB" w:rsidRPr="00F26249" w:rsidRDefault="00C87FDA" w:rsidP="00EC7D22">
      <w:pPr>
        <w:pStyle w:val="Texto"/>
        <w:spacing w:after="0" w:line="240" w:lineRule="exact"/>
        <w:ind w:firstLine="0"/>
        <w:jc w:val="left"/>
        <w:rPr>
          <w:rFonts w:ascii="Calibri" w:hAnsi="Calibri" w:cs="Calibri"/>
          <w:b/>
          <w:sz w:val="20"/>
          <w:lang w:val="es-MX"/>
        </w:rPr>
      </w:pPr>
      <w:r w:rsidRPr="00F26249">
        <w:rPr>
          <w:rFonts w:ascii="Calibri" w:hAnsi="Calibri" w:cs="Calibri"/>
          <w:b/>
          <w:sz w:val="20"/>
          <w:lang w:val="es-MX"/>
        </w:rPr>
        <w:lastRenderedPageBreak/>
        <w:t>1</w:t>
      </w:r>
      <w:r w:rsidR="00F26249" w:rsidRPr="00F26249">
        <w:rPr>
          <w:rFonts w:ascii="Calibri" w:hAnsi="Calibri" w:cs="Calibri"/>
          <w:b/>
          <w:sz w:val="20"/>
          <w:lang w:val="es-MX"/>
        </w:rPr>
        <w:t>1</w:t>
      </w:r>
      <w:r w:rsidRPr="00F26249">
        <w:rPr>
          <w:rFonts w:ascii="Calibri" w:hAnsi="Calibri" w:cs="Calibri"/>
          <w:b/>
          <w:sz w:val="20"/>
          <w:lang w:val="es-MX"/>
        </w:rPr>
        <w:t>.  Calificaciones Otorgadas:</w:t>
      </w:r>
    </w:p>
    <w:p w14:paraId="1A07AB8B" w14:textId="7503FC1B" w:rsidR="00187D60" w:rsidRDefault="00C87FDA" w:rsidP="00EC7D22">
      <w:pPr>
        <w:pStyle w:val="Texto"/>
        <w:spacing w:after="0" w:line="240" w:lineRule="exact"/>
        <w:ind w:firstLine="0"/>
        <w:rPr>
          <w:rFonts w:ascii="Calibri" w:hAnsi="Calibri" w:cs="Calibri"/>
          <w:sz w:val="20"/>
          <w:lang w:val="es-MX"/>
        </w:rPr>
      </w:pPr>
      <w:r w:rsidRPr="00742CCD">
        <w:rPr>
          <w:rFonts w:ascii="Calibri" w:hAnsi="Calibri" w:cs="Calibri"/>
          <w:sz w:val="20"/>
          <w:lang w:val="es-MX"/>
        </w:rPr>
        <w:t xml:space="preserve">Las calificaciones otorgadas por las </w:t>
      </w:r>
      <w:r w:rsidR="002F50E5" w:rsidRPr="00742CCD">
        <w:rPr>
          <w:rFonts w:ascii="Calibri" w:hAnsi="Calibri" w:cs="Calibri"/>
          <w:sz w:val="20"/>
          <w:lang w:val="es-MX"/>
        </w:rPr>
        <w:t>calificadoras VERUM, MOODY´S y</w:t>
      </w:r>
      <w:r w:rsidRPr="00742CCD">
        <w:rPr>
          <w:rFonts w:ascii="Calibri" w:hAnsi="Calibri" w:cs="Calibri"/>
          <w:sz w:val="20"/>
          <w:lang w:val="es-MX"/>
        </w:rPr>
        <w:t xml:space="preserve"> </w:t>
      </w:r>
      <w:r w:rsidR="002F50E5" w:rsidRPr="00742CCD">
        <w:rPr>
          <w:rFonts w:ascii="Calibri" w:hAnsi="Calibri" w:cs="Calibri"/>
          <w:sz w:val="20"/>
          <w:lang w:val="es-MX"/>
        </w:rPr>
        <w:t>HR</w:t>
      </w:r>
      <w:r w:rsidRPr="00742CCD">
        <w:rPr>
          <w:rFonts w:ascii="Calibri" w:hAnsi="Calibri" w:cs="Calibri"/>
          <w:sz w:val="20"/>
          <w:lang w:val="es-MX"/>
        </w:rPr>
        <w:t xml:space="preserve"> RATINGS tanto al Gobierno del Estado como a diferentes créditos contratados </w:t>
      </w:r>
      <w:r w:rsidR="00225690">
        <w:rPr>
          <w:rFonts w:ascii="Calibri" w:hAnsi="Calibri" w:cs="Calibri"/>
          <w:sz w:val="20"/>
          <w:lang w:val="es-MX"/>
        </w:rPr>
        <w:t xml:space="preserve">al </w:t>
      </w:r>
      <w:r w:rsidR="002B096D">
        <w:rPr>
          <w:rFonts w:ascii="Calibri" w:hAnsi="Calibri" w:cs="Calibri"/>
          <w:sz w:val="20"/>
          <w:lang w:val="es-MX"/>
        </w:rPr>
        <w:t>cierre del ejercicio</w:t>
      </w:r>
      <w:r w:rsidR="002F50E5" w:rsidRPr="00742CCD">
        <w:rPr>
          <w:rFonts w:ascii="Calibri" w:hAnsi="Calibri" w:cs="Calibri"/>
          <w:sz w:val="20"/>
          <w:lang w:val="es-MX"/>
        </w:rPr>
        <w:t>,</w:t>
      </w:r>
      <w:r w:rsidRPr="00742CCD">
        <w:rPr>
          <w:rFonts w:ascii="Calibri" w:hAnsi="Calibri" w:cs="Calibri"/>
          <w:sz w:val="20"/>
          <w:lang w:val="es-MX"/>
        </w:rPr>
        <w:t xml:space="preserve"> son las siguientes:</w:t>
      </w:r>
    </w:p>
    <w:p w14:paraId="4390C494" w14:textId="77777777" w:rsidR="00C13B17" w:rsidRDefault="00C13B17" w:rsidP="00EC7D22">
      <w:pPr>
        <w:pStyle w:val="Texto"/>
        <w:spacing w:after="0" w:line="240" w:lineRule="exact"/>
        <w:ind w:firstLine="0"/>
        <w:rPr>
          <w:rFonts w:ascii="Calibri" w:hAnsi="Calibri" w:cs="Calibri"/>
          <w:sz w:val="20"/>
          <w:lang w:val="es-MX"/>
        </w:rPr>
      </w:pPr>
    </w:p>
    <w:tbl>
      <w:tblPr>
        <w:tblW w:w="7166" w:type="dxa"/>
        <w:tblCellMar>
          <w:left w:w="70" w:type="dxa"/>
          <w:right w:w="70" w:type="dxa"/>
        </w:tblCellMar>
        <w:tblLook w:val="04A0" w:firstRow="1" w:lastRow="0" w:firstColumn="1" w:lastColumn="0" w:noHBand="0" w:noVBand="1"/>
      </w:tblPr>
      <w:tblGrid>
        <w:gridCol w:w="1674"/>
        <w:gridCol w:w="2144"/>
        <w:gridCol w:w="1674"/>
        <w:gridCol w:w="1674"/>
      </w:tblGrid>
      <w:tr w:rsidR="00C13B17" w:rsidRPr="00020DD3" w14:paraId="423FE021" w14:textId="77777777" w:rsidTr="009962F3">
        <w:trPr>
          <w:trHeight w:val="340"/>
        </w:trPr>
        <w:tc>
          <w:tcPr>
            <w:tcW w:w="1674" w:type="dxa"/>
            <w:tcBorders>
              <w:top w:val="nil"/>
              <w:left w:val="single" w:sz="8" w:space="0" w:color="auto"/>
              <w:bottom w:val="single" w:sz="8" w:space="0" w:color="auto"/>
              <w:right w:val="single" w:sz="8" w:space="0" w:color="auto"/>
            </w:tcBorders>
            <w:shd w:val="clear" w:color="000000" w:fill="AB0033"/>
            <w:noWrap/>
            <w:vAlign w:val="center"/>
            <w:hideMark/>
          </w:tcPr>
          <w:p w14:paraId="59954347" w14:textId="77777777" w:rsidR="00C13B17" w:rsidRPr="00376A42" w:rsidRDefault="00C13B17" w:rsidP="00EC7D22">
            <w:pPr>
              <w:suppressAutoHyphens w:val="0"/>
              <w:overflowPunct/>
              <w:spacing w:after="0" w:line="240" w:lineRule="auto"/>
              <w:jc w:val="center"/>
              <w:rPr>
                <w:rFonts w:eastAsia="Times New Roman" w:cs="Calibri"/>
                <w:b/>
                <w:bCs/>
                <w:color w:val="FFFFFF"/>
                <w:sz w:val="18"/>
                <w:szCs w:val="18"/>
                <w:lang w:eastAsia="es-MX"/>
              </w:rPr>
            </w:pPr>
            <w:r w:rsidRPr="00376A42">
              <w:rPr>
                <w:rFonts w:eastAsia="Times New Roman" w:cs="Calibri"/>
                <w:b/>
                <w:bCs/>
                <w:color w:val="FFFFFF"/>
                <w:sz w:val="18"/>
                <w:szCs w:val="18"/>
                <w:lang w:eastAsia="es-MX"/>
              </w:rPr>
              <w:t>CALIFICADORA</w:t>
            </w:r>
          </w:p>
        </w:tc>
        <w:tc>
          <w:tcPr>
            <w:tcW w:w="2144" w:type="dxa"/>
            <w:tcBorders>
              <w:top w:val="nil"/>
              <w:left w:val="nil"/>
              <w:bottom w:val="single" w:sz="8" w:space="0" w:color="auto"/>
              <w:right w:val="single" w:sz="8" w:space="0" w:color="auto"/>
            </w:tcBorders>
            <w:shd w:val="clear" w:color="000000" w:fill="AB0033"/>
            <w:noWrap/>
            <w:vAlign w:val="center"/>
            <w:hideMark/>
          </w:tcPr>
          <w:p w14:paraId="4E42D3A8" w14:textId="77777777" w:rsidR="00C13B17" w:rsidRPr="00376A42" w:rsidRDefault="00C13B17" w:rsidP="00EC7D22">
            <w:pPr>
              <w:suppressAutoHyphens w:val="0"/>
              <w:overflowPunct/>
              <w:spacing w:after="0" w:line="240" w:lineRule="auto"/>
              <w:jc w:val="center"/>
              <w:rPr>
                <w:rFonts w:eastAsia="Times New Roman" w:cs="Calibri"/>
                <w:b/>
                <w:bCs/>
                <w:color w:val="FFFFFF"/>
                <w:sz w:val="18"/>
                <w:szCs w:val="18"/>
                <w:lang w:eastAsia="es-MX"/>
              </w:rPr>
            </w:pPr>
            <w:r w:rsidRPr="00376A42">
              <w:rPr>
                <w:rFonts w:eastAsia="Times New Roman" w:cs="Calibri"/>
                <w:b/>
                <w:bCs/>
                <w:color w:val="FFFFFF"/>
                <w:sz w:val="18"/>
                <w:szCs w:val="18"/>
                <w:lang w:eastAsia="es-MX"/>
              </w:rPr>
              <w:t>CONCEPTO</w:t>
            </w:r>
          </w:p>
        </w:tc>
        <w:tc>
          <w:tcPr>
            <w:tcW w:w="1674" w:type="dxa"/>
            <w:tcBorders>
              <w:top w:val="nil"/>
              <w:left w:val="nil"/>
              <w:bottom w:val="single" w:sz="8" w:space="0" w:color="auto"/>
              <w:right w:val="single" w:sz="8" w:space="0" w:color="auto"/>
            </w:tcBorders>
            <w:shd w:val="clear" w:color="000000" w:fill="AB0033"/>
            <w:noWrap/>
            <w:vAlign w:val="center"/>
            <w:hideMark/>
          </w:tcPr>
          <w:p w14:paraId="74BEBE34" w14:textId="303DB0EB" w:rsidR="00C13B17" w:rsidRPr="00376A42" w:rsidRDefault="009962F3" w:rsidP="00EC7D22">
            <w:pPr>
              <w:suppressAutoHyphens w:val="0"/>
              <w:overflowPunct/>
              <w:spacing w:after="0" w:line="240" w:lineRule="auto"/>
              <w:jc w:val="center"/>
              <w:rPr>
                <w:rFonts w:eastAsia="Times New Roman" w:cs="Calibri"/>
                <w:b/>
                <w:bCs/>
                <w:color w:val="FFFFFF"/>
                <w:sz w:val="18"/>
                <w:szCs w:val="18"/>
                <w:lang w:eastAsia="es-MX"/>
              </w:rPr>
            </w:pPr>
            <w:r w:rsidRPr="00376A42">
              <w:rPr>
                <w:rFonts w:eastAsia="Times New Roman" w:cs="Calibri"/>
                <w:b/>
                <w:bCs/>
                <w:color w:val="FFFFFF"/>
                <w:sz w:val="18"/>
                <w:szCs w:val="18"/>
                <w:lang w:eastAsia="es-MX"/>
              </w:rPr>
              <w:t>CALIFICACIÓN</w:t>
            </w:r>
          </w:p>
        </w:tc>
        <w:tc>
          <w:tcPr>
            <w:tcW w:w="1674" w:type="dxa"/>
            <w:tcBorders>
              <w:top w:val="nil"/>
              <w:left w:val="nil"/>
              <w:bottom w:val="single" w:sz="8" w:space="0" w:color="auto"/>
              <w:right w:val="single" w:sz="8" w:space="0" w:color="auto"/>
            </w:tcBorders>
            <w:shd w:val="clear" w:color="000000" w:fill="AB0033"/>
            <w:noWrap/>
            <w:vAlign w:val="center"/>
            <w:hideMark/>
          </w:tcPr>
          <w:p w14:paraId="5493B97D" w14:textId="77777777" w:rsidR="00C13B17" w:rsidRPr="00376A42" w:rsidRDefault="00C13B17" w:rsidP="00EC7D22">
            <w:pPr>
              <w:suppressAutoHyphens w:val="0"/>
              <w:overflowPunct/>
              <w:spacing w:after="0" w:line="240" w:lineRule="auto"/>
              <w:jc w:val="center"/>
              <w:rPr>
                <w:rFonts w:eastAsia="Times New Roman" w:cs="Calibri"/>
                <w:b/>
                <w:bCs/>
                <w:color w:val="FFFFFF"/>
                <w:sz w:val="18"/>
                <w:szCs w:val="18"/>
                <w:lang w:eastAsia="es-MX"/>
              </w:rPr>
            </w:pPr>
            <w:r w:rsidRPr="00376A42">
              <w:rPr>
                <w:rFonts w:eastAsia="Times New Roman" w:cs="Calibri"/>
                <w:b/>
                <w:bCs/>
                <w:color w:val="FFFFFF"/>
                <w:sz w:val="18"/>
                <w:szCs w:val="18"/>
                <w:lang w:eastAsia="es-MX"/>
              </w:rPr>
              <w:t>PERSPECTIVA</w:t>
            </w:r>
          </w:p>
        </w:tc>
      </w:tr>
      <w:tr w:rsidR="00C13B17" w:rsidRPr="00020DD3" w14:paraId="57158302" w14:textId="77777777" w:rsidTr="009962F3">
        <w:trPr>
          <w:trHeight w:val="284"/>
        </w:trPr>
        <w:tc>
          <w:tcPr>
            <w:tcW w:w="1674" w:type="dxa"/>
            <w:tcBorders>
              <w:top w:val="nil"/>
              <w:left w:val="single" w:sz="8" w:space="0" w:color="auto"/>
              <w:bottom w:val="nil"/>
              <w:right w:val="single" w:sz="8" w:space="0" w:color="auto"/>
            </w:tcBorders>
            <w:shd w:val="clear" w:color="auto" w:fill="auto"/>
            <w:vAlign w:val="center"/>
            <w:hideMark/>
          </w:tcPr>
          <w:p w14:paraId="27862529" w14:textId="77777777" w:rsidR="00C13B17" w:rsidRPr="00376A42" w:rsidRDefault="00C13B17" w:rsidP="00EC7D22">
            <w:pPr>
              <w:suppressAutoHyphens w:val="0"/>
              <w:overflowPunct/>
              <w:spacing w:after="0" w:line="240" w:lineRule="auto"/>
              <w:rPr>
                <w:rFonts w:eastAsia="Times New Roman" w:cs="Calibri"/>
                <w:color w:val="000000"/>
                <w:sz w:val="18"/>
                <w:szCs w:val="18"/>
                <w:lang w:eastAsia="es-MX"/>
              </w:rPr>
            </w:pPr>
            <w:r w:rsidRPr="00376A42">
              <w:rPr>
                <w:rFonts w:eastAsia="Times New Roman" w:cs="Calibri"/>
                <w:color w:val="000000"/>
                <w:sz w:val="18"/>
                <w:szCs w:val="18"/>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604C6132" w14:textId="77777777" w:rsidR="00C13B17" w:rsidRPr="00376A42" w:rsidRDefault="00C13B17" w:rsidP="00EC7D22">
            <w:pPr>
              <w:suppressAutoHyphens w:val="0"/>
              <w:overflowPunct/>
              <w:spacing w:after="0" w:line="240" w:lineRule="auto"/>
              <w:jc w:val="both"/>
              <w:rPr>
                <w:rFonts w:eastAsia="Times New Roman" w:cs="Calibri"/>
                <w:color w:val="000000"/>
                <w:sz w:val="18"/>
                <w:szCs w:val="18"/>
                <w:lang w:eastAsia="es-MX"/>
              </w:rPr>
            </w:pPr>
            <w:r w:rsidRPr="00376A42">
              <w:rPr>
                <w:rFonts w:eastAsia="Times New Roman" w:cs="Calibri"/>
                <w:color w:val="000000"/>
                <w:sz w:val="18"/>
                <w:szCs w:val="18"/>
                <w:lang w:eastAsia="es-MX"/>
              </w:rPr>
              <w:t>Estado de Tamaulipas</w:t>
            </w:r>
          </w:p>
        </w:tc>
        <w:tc>
          <w:tcPr>
            <w:tcW w:w="1674" w:type="dxa"/>
            <w:tcBorders>
              <w:top w:val="nil"/>
              <w:left w:val="nil"/>
              <w:bottom w:val="single" w:sz="8" w:space="0" w:color="auto"/>
              <w:right w:val="single" w:sz="8" w:space="0" w:color="auto"/>
            </w:tcBorders>
            <w:shd w:val="clear" w:color="auto" w:fill="auto"/>
            <w:noWrap/>
            <w:vAlign w:val="center"/>
            <w:hideMark/>
          </w:tcPr>
          <w:p w14:paraId="6D39AA0E"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A+</w:t>
            </w:r>
          </w:p>
        </w:tc>
        <w:tc>
          <w:tcPr>
            <w:tcW w:w="1674" w:type="dxa"/>
            <w:tcBorders>
              <w:top w:val="nil"/>
              <w:left w:val="nil"/>
              <w:bottom w:val="single" w:sz="8" w:space="0" w:color="auto"/>
              <w:right w:val="single" w:sz="8" w:space="0" w:color="auto"/>
            </w:tcBorders>
            <w:shd w:val="clear" w:color="auto" w:fill="auto"/>
            <w:noWrap/>
            <w:vAlign w:val="center"/>
            <w:hideMark/>
          </w:tcPr>
          <w:p w14:paraId="583DD4B2"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ESTABLE</w:t>
            </w:r>
          </w:p>
        </w:tc>
      </w:tr>
      <w:tr w:rsidR="00C13B17" w:rsidRPr="00020DD3" w14:paraId="590631AD" w14:textId="77777777" w:rsidTr="009962F3">
        <w:trPr>
          <w:trHeight w:val="284"/>
        </w:trPr>
        <w:tc>
          <w:tcPr>
            <w:tcW w:w="1674" w:type="dxa"/>
            <w:tcBorders>
              <w:top w:val="nil"/>
              <w:left w:val="single" w:sz="8" w:space="0" w:color="auto"/>
              <w:bottom w:val="nil"/>
              <w:right w:val="single" w:sz="8" w:space="0" w:color="auto"/>
            </w:tcBorders>
            <w:shd w:val="clear" w:color="auto" w:fill="auto"/>
            <w:vAlign w:val="center"/>
            <w:hideMark/>
          </w:tcPr>
          <w:p w14:paraId="6F4FD577" w14:textId="77777777" w:rsidR="00C13B17" w:rsidRPr="00376A42" w:rsidRDefault="00C13B17" w:rsidP="00EC7D22">
            <w:pPr>
              <w:suppressAutoHyphens w:val="0"/>
              <w:overflowPunct/>
              <w:spacing w:after="0" w:line="240" w:lineRule="auto"/>
              <w:rPr>
                <w:rFonts w:eastAsia="Times New Roman" w:cs="Calibri"/>
                <w:color w:val="000000"/>
                <w:sz w:val="18"/>
                <w:szCs w:val="18"/>
                <w:lang w:eastAsia="es-MX"/>
              </w:rPr>
            </w:pPr>
            <w:r w:rsidRPr="00376A42">
              <w:rPr>
                <w:rFonts w:eastAsia="Times New Roman" w:cs="Calibri"/>
                <w:color w:val="000000"/>
                <w:sz w:val="18"/>
                <w:szCs w:val="18"/>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64BD2C17" w14:textId="77777777" w:rsidR="00C13B17" w:rsidRPr="00376A42" w:rsidRDefault="00C13B17" w:rsidP="00EC7D22">
            <w:pPr>
              <w:suppressAutoHyphens w:val="0"/>
              <w:overflowPunct/>
              <w:spacing w:after="0" w:line="240" w:lineRule="auto"/>
              <w:jc w:val="both"/>
              <w:rPr>
                <w:rFonts w:eastAsia="Times New Roman" w:cs="Calibri"/>
                <w:color w:val="000000"/>
                <w:sz w:val="18"/>
                <w:szCs w:val="18"/>
                <w:lang w:eastAsia="es-MX"/>
              </w:rPr>
            </w:pPr>
            <w:r w:rsidRPr="00376A42">
              <w:rPr>
                <w:rFonts w:eastAsia="Times New Roman" w:cs="Calibri"/>
                <w:color w:val="000000"/>
                <w:sz w:val="18"/>
                <w:szCs w:val="18"/>
                <w:lang w:eastAsia="es-MX"/>
              </w:rPr>
              <w:t xml:space="preserve">BBVA 3,000 </w:t>
            </w:r>
            <w:proofErr w:type="spellStart"/>
            <w:r w:rsidRPr="00376A42">
              <w:rPr>
                <w:rFonts w:eastAsia="Times New Roman" w:cs="Calibri"/>
                <w:color w:val="000000"/>
                <w:sz w:val="18"/>
                <w:szCs w:val="18"/>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485163EB"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757307FB"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ESTABLE</w:t>
            </w:r>
          </w:p>
        </w:tc>
      </w:tr>
      <w:tr w:rsidR="00C13B17" w:rsidRPr="00020DD3" w14:paraId="7C2B4C6C" w14:textId="77777777" w:rsidTr="009962F3">
        <w:trPr>
          <w:trHeight w:val="284"/>
        </w:trPr>
        <w:tc>
          <w:tcPr>
            <w:tcW w:w="1674" w:type="dxa"/>
            <w:tcBorders>
              <w:top w:val="nil"/>
              <w:left w:val="single" w:sz="8" w:space="0" w:color="auto"/>
              <w:bottom w:val="nil"/>
              <w:right w:val="single" w:sz="8" w:space="0" w:color="auto"/>
            </w:tcBorders>
            <w:shd w:val="clear" w:color="auto" w:fill="auto"/>
            <w:vAlign w:val="center"/>
            <w:hideMark/>
          </w:tcPr>
          <w:p w14:paraId="5DAC9FAC" w14:textId="77777777" w:rsidR="00C13B17" w:rsidRPr="00376A42" w:rsidRDefault="00C13B17" w:rsidP="00EC7D22">
            <w:pPr>
              <w:suppressAutoHyphens w:val="0"/>
              <w:overflowPunct/>
              <w:spacing w:after="0" w:line="240" w:lineRule="auto"/>
              <w:rPr>
                <w:rFonts w:eastAsia="Times New Roman" w:cs="Calibri"/>
                <w:b/>
                <w:bCs/>
                <w:color w:val="000000"/>
                <w:sz w:val="18"/>
                <w:szCs w:val="18"/>
                <w:lang w:eastAsia="es-MX"/>
              </w:rPr>
            </w:pPr>
            <w:r w:rsidRPr="00376A42">
              <w:rPr>
                <w:rFonts w:eastAsia="Times New Roman" w:cs="Calibri"/>
                <w:b/>
                <w:bCs/>
                <w:color w:val="000000"/>
                <w:sz w:val="18"/>
                <w:szCs w:val="18"/>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427683EB" w14:textId="77777777" w:rsidR="00C13B17" w:rsidRPr="00376A42" w:rsidRDefault="00C13B17" w:rsidP="00EC7D22">
            <w:pPr>
              <w:suppressAutoHyphens w:val="0"/>
              <w:overflowPunct/>
              <w:spacing w:after="0" w:line="240" w:lineRule="auto"/>
              <w:jc w:val="both"/>
              <w:rPr>
                <w:rFonts w:eastAsia="Times New Roman" w:cs="Calibri"/>
                <w:color w:val="000000"/>
                <w:sz w:val="18"/>
                <w:szCs w:val="18"/>
                <w:lang w:eastAsia="es-MX"/>
              </w:rPr>
            </w:pPr>
            <w:r w:rsidRPr="00376A42">
              <w:rPr>
                <w:rFonts w:eastAsia="Times New Roman" w:cs="Calibri"/>
                <w:color w:val="000000"/>
                <w:sz w:val="18"/>
                <w:szCs w:val="18"/>
                <w:lang w:eastAsia="es-MX"/>
              </w:rPr>
              <w:t xml:space="preserve">Banorte 4,500 </w:t>
            </w:r>
            <w:proofErr w:type="spellStart"/>
            <w:r w:rsidRPr="00376A42">
              <w:rPr>
                <w:rFonts w:eastAsia="Times New Roman" w:cs="Calibri"/>
                <w:color w:val="000000"/>
                <w:sz w:val="18"/>
                <w:szCs w:val="18"/>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57AFA091"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07AFBE7C"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ESTABLE</w:t>
            </w:r>
          </w:p>
        </w:tc>
      </w:tr>
      <w:tr w:rsidR="00C13B17" w:rsidRPr="00020DD3" w14:paraId="1FA11DD4" w14:textId="77777777" w:rsidTr="009962F3">
        <w:trPr>
          <w:trHeight w:val="284"/>
        </w:trPr>
        <w:tc>
          <w:tcPr>
            <w:tcW w:w="1674" w:type="dxa"/>
            <w:tcBorders>
              <w:top w:val="nil"/>
              <w:left w:val="single" w:sz="8" w:space="0" w:color="auto"/>
              <w:bottom w:val="nil"/>
              <w:right w:val="single" w:sz="8" w:space="0" w:color="auto"/>
            </w:tcBorders>
            <w:shd w:val="clear" w:color="auto" w:fill="auto"/>
            <w:vAlign w:val="center"/>
            <w:hideMark/>
          </w:tcPr>
          <w:p w14:paraId="241FBFFA" w14:textId="77777777" w:rsidR="00C13B17" w:rsidRPr="00376A42" w:rsidRDefault="00C13B17" w:rsidP="00EC7D22">
            <w:pPr>
              <w:suppressAutoHyphens w:val="0"/>
              <w:overflowPunct/>
              <w:spacing w:after="0" w:line="240" w:lineRule="auto"/>
              <w:rPr>
                <w:rFonts w:eastAsia="Times New Roman" w:cs="Calibri"/>
                <w:b/>
                <w:bCs/>
                <w:color w:val="000000"/>
                <w:sz w:val="18"/>
                <w:szCs w:val="18"/>
                <w:lang w:eastAsia="es-MX"/>
              </w:rPr>
            </w:pPr>
            <w:proofErr w:type="spellStart"/>
            <w:r w:rsidRPr="00376A42">
              <w:rPr>
                <w:rFonts w:eastAsia="Times New Roman" w:cs="Calibri"/>
                <w:b/>
                <w:bCs/>
                <w:color w:val="000000"/>
                <w:sz w:val="18"/>
                <w:szCs w:val="18"/>
                <w:lang w:eastAsia="es-MX"/>
              </w:rPr>
              <w:t>Verum</w:t>
            </w:r>
            <w:proofErr w:type="spellEnd"/>
          </w:p>
        </w:tc>
        <w:tc>
          <w:tcPr>
            <w:tcW w:w="2144" w:type="dxa"/>
            <w:tcBorders>
              <w:top w:val="nil"/>
              <w:left w:val="nil"/>
              <w:bottom w:val="single" w:sz="8" w:space="0" w:color="auto"/>
              <w:right w:val="single" w:sz="8" w:space="0" w:color="auto"/>
            </w:tcBorders>
            <w:shd w:val="clear" w:color="auto" w:fill="auto"/>
            <w:noWrap/>
            <w:vAlign w:val="center"/>
            <w:hideMark/>
          </w:tcPr>
          <w:p w14:paraId="71148D4B" w14:textId="77777777" w:rsidR="00C13B17" w:rsidRPr="00376A42" w:rsidRDefault="00C13B17" w:rsidP="00EC7D22">
            <w:pPr>
              <w:suppressAutoHyphens w:val="0"/>
              <w:overflowPunct/>
              <w:spacing w:after="0" w:line="240" w:lineRule="auto"/>
              <w:jc w:val="both"/>
              <w:rPr>
                <w:rFonts w:eastAsia="Times New Roman" w:cs="Calibri"/>
                <w:color w:val="000000"/>
                <w:sz w:val="18"/>
                <w:szCs w:val="18"/>
                <w:lang w:eastAsia="es-MX"/>
              </w:rPr>
            </w:pPr>
            <w:r w:rsidRPr="00376A42">
              <w:rPr>
                <w:rFonts w:eastAsia="Times New Roman" w:cs="Calibri"/>
                <w:color w:val="000000"/>
                <w:sz w:val="18"/>
                <w:szCs w:val="18"/>
                <w:lang w:eastAsia="es-MX"/>
              </w:rPr>
              <w:t xml:space="preserve">Banorte 2,000 </w:t>
            </w:r>
            <w:proofErr w:type="spellStart"/>
            <w:r w:rsidRPr="00376A42">
              <w:rPr>
                <w:rFonts w:eastAsia="Times New Roman" w:cs="Calibri"/>
                <w:color w:val="000000"/>
                <w:sz w:val="18"/>
                <w:szCs w:val="18"/>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3C7D6E48"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32FC99B2"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ESTABLE</w:t>
            </w:r>
          </w:p>
        </w:tc>
      </w:tr>
      <w:tr w:rsidR="00C13B17" w:rsidRPr="00020DD3" w14:paraId="3037805C" w14:textId="77777777" w:rsidTr="009962F3">
        <w:trPr>
          <w:trHeight w:val="284"/>
        </w:trPr>
        <w:tc>
          <w:tcPr>
            <w:tcW w:w="1674" w:type="dxa"/>
            <w:tcBorders>
              <w:top w:val="nil"/>
              <w:left w:val="single" w:sz="8" w:space="0" w:color="auto"/>
              <w:bottom w:val="nil"/>
              <w:right w:val="single" w:sz="8" w:space="0" w:color="auto"/>
            </w:tcBorders>
            <w:shd w:val="clear" w:color="auto" w:fill="auto"/>
            <w:vAlign w:val="center"/>
            <w:hideMark/>
          </w:tcPr>
          <w:p w14:paraId="03021188" w14:textId="77777777" w:rsidR="00C13B17" w:rsidRPr="00376A42" w:rsidRDefault="00C13B17" w:rsidP="00EC7D22">
            <w:pPr>
              <w:suppressAutoHyphens w:val="0"/>
              <w:overflowPunct/>
              <w:spacing w:after="0" w:line="240" w:lineRule="auto"/>
              <w:rPr>
                <w:rFonts w:eastAsia="Times New Roman" w:cs="Calibri"/>
                <w:b/>
                <w:bCs/>
                <w:color w:val="000000"/>
                <w:sz w:val="18"/>
                <w:szCs w:val="18"/>
                <w:lang w:eastAsia="es-MX"/>
              </w:rPr>
            </w:pPr>
            <w:r w:rsidRPr="00376A42">
              <w:rPr>
                <w:rFonts w:eastAsia="Times New Roman" w:cs="Calibri"/>
                <w:b/>
                <w:bCs/>
                <w:color w:val="000000"/>
                <w:sz w:val="18"/>
                <w:szCs w:val="18"/>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016734C6" w14:textId="77777777" w:rsidR="00C13B17" w:rsidRPr="00376A42" w:rsidRDefault="00C13B17" w:rsidP="00EC7D22">
            <w:pPr>
              <w:suppressAutoHyphens w:val="0"/>
              <w:overflowPunct/>
              <w:spacing w:after="0" w:line="240" w:lineRule="auto"/>
              <w:jc w:val="both"/>
              <w:rPr>
                <w:rFonts w:eastAsia="Times New Roman" w:cs="Calibri"/>
                <w:color w:val="000000"/>
                <w:sz w:val="18"/>
                <w:szCs w:val="18"/>
                <w:lang w:eastAsia="es-MX"/>
              </w:rPr>
            </w:pPr>
            <w:r w:rsidRPr="00376A42">
              <w:rPr>
                <w:rFonts w:eastAsia="Times New Roman" w:cs="Calibri"/>
                <w:color w:val="000000"/>
                <w:sz w:val="18"/>
                <w:szCs w:val="18"/>
                <w:lang w:eastAsia="es-MX"/>
              </w:rPr>
              <w:t xml:space="preserve">Banorte 1000 </w:t>
            </w:r>
            <w:proofErr w:type="spellStart"/>
            <w:r w:rsidRPr="00376A42">
              <w:rPr>
                <w:rFonts w:eastAsia="Times New Roman" w:cs="Calibri"/>
                <w:color w:val="000000"/>
                <w:sz w:val="18"/>
                <w:szCs w:val="18"/>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6F604368"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5B06D573"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ESTABLE</w:t>
            </w:r>
          </w:p>
        </w:tc>
      </w:tr>
      <w:tr w:rsidR="00C13B17" w:rsidRPr="00020DD3" w14:paraId="3D22C731" w14:textId="77777777" w:rsidTr="009962F3">
        <w:trPr>
          <w:trHeight w:val="284"/>
        </w:trPr>
        <w:tc>
          <w:tcPr>
            <w:tcW w:w="1674" w:type="dxa"/>
            <w:tcBorders>
              <w:top w:val="nil"/>
              <w:left w:val="single" w:sz="8" w:space="0" w:color="auto"/>
              <w:bottom w:val="nil"/>
              <w:right w:val="single" w:sz="8" w:space="0" w:color="auto"/>
            </w:tcBorders>
            <w:shd w:val="clear" w:color="auto" w:fill="auto"/>
            <w:vAlign w:val="center"/>
            <w:hideMark/>
          </w:tcPr>
          <w:p w14:paraId="5C440C42" w14:textId="77777777" w:rsidR="00C13B17" w:rsidRPr="00376A42" w:rsidRDefault="00C13B17" w:rsidP="00EC7D22">
            <w:pPr>
              <w:suppressAutoHyphens w:val="0"/>
              <w:overflowPunct/>
              <w:spacing w:after="0" w:line="240" w:lineRule="auto"/>
              <w:rPr>
                <w:rFonts w:eastAsia="Times New Roman" w:cs="Calibri"/>
                <w:b/>
                <w:bCs/>
                <w:color w:val="000000"/>
                <w:sz w:val="18"/>
                <w:szCs w:val="18"/>
                <w:lang w:eastAsia="es-MX"/>
              </w:rPr>
            </w:pPr>
            <w:r w:rsidRPr="00376A42">
              <w:rPr>
                <w:rFonts w:eastAsia="Times New Roman" w:cs="Calibri"/>
                <w:b/>
                <w:bCs/>
                <w:color w:val="000000"/>
                <w:sz w:val="18"/>
                <w:szCs w:val="18"/>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39971AB7" w14:textId="77777777" w:rsidR="00C13B17" w:rsidRPr="00376A42" w:rsidRDefault="00C13B17" w:rsidP="00EC7D22">
            <w:pPr>
              <w:suppressAutoHyphens w:val="0"/>
              <w:overflowPunct/>
              <w:spacing w:after="0" w:line="240" w:lineRule="auto"/>
              <w:jc w:val="both"/>
              <w:rPr>
                <w:rFonts w:eastAsia="Times New Roman" w:cs="Calibri"/>
                <w:color w:val="000000"/>
                <w:sz w:val="18"/>
                <w:szCs w:val="18"/>
                <w:lang w:eastAsia="es-MX"/>
              </w:rPr>
            </w:pPr>
            <w:r w:rsidRPr="00376A42">
              <w:rPr>
                <w:rFonts w:eastAsia="Times New Roman" w:cs="Calibri"/>
                <w:color w:val="000000"/>
                <w:sz w:val="18"/>
                <w:szCs w:val="18"/>
                <w:lang w:eastAsia="es-MX"/>
              </w:rPr>
              <w:t xml:space="preserve">Banamex 2,506 </w:t>
            </w:r>
            <w:proofErr w:type="spellStart"/>
            <w:r w:rsidRPr="00376A42">
              <w:rPr>
                <w:rFonts w:eastAsia="Times New Roman" w:cs="Calibri"/>
                <w:color w:val="000000"/>
                <w:sz w:val="18"/>
                <w:szCs w:val="18"/>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74E8B70B"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 xml:space="preserve"> AAA</w:t>
            </w:r>
          </w:p>
        </w:tc>
        <w:tc>
          <w:tcPr>
            <w:tcW w:w="1674" w:type="dxa"/>
            <w:tcBorders>
              <w:top w:val="nil"/>
              <w:left w:val="nil"/>
              <w:bottom w:val="single" w:sz="8" w:space="0" w:color="auto"/>
              <w:right w:val="single" w:sz="8" w:space="0" w:color="auto"/>
            </w:tcBorders>
            <w:shd w:val="clear" w:color="auto" w:fill="auto"/>
            <w:noWrap/>
            <w:vAlign w:val="center"/>
            <w:hideMark/>
          </w:tcPr>
          <w:p w14:paraId="1EC315A9"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ESTABLE</w:t>
            </w:r>
          </w:p>
        </w:tc>
      </w:tr>
      <w:tr w:rsidR="00C13B17" w:rsidRPr="00020DD3" w14:paraId="478ACB3D" w14:textId="77777777" w:rsidTr="009962F3">
        <w:trPr>
          <w:trHeight w:val="284"/>
        </w:trPr>
        <w:tc>
          <w:tcPr>
            <w:tcW w:w="1674" w:type="dxa"/>
            <w:tcBorders>
              <w:top w:val="nil"/>
              <w:left w:val="single" w:sz="8" w:space="0" w:color="auto"/>
              <w:bottom w:val="nil"/>
              <w:right w:val="single" w:sz="8" w:space="0" w:color="auto"/>
            </w:tcBorders>
            <w:shd w:val="clear" w:color="auto" w:fill="auto"/>
            <w:vAlign w:val="center"/>
            <w:hideMark/>
          </w:tcPr>
          <w:p w14:paraId="7A40719F" w14:textId="77777777" w:rsidR="00C13B17" w:rsidRPr="00376A42" w:rsidRDefault="00C13B17" w:rsidP="00EC7D22">
            <w:pPr>
              <w:suppressAutoHyphens w:val="0"/>
              <w:overflowPunct/>
              <w:spacing w:after="0" w:line="240" w:lineRule="auto"/>
              <w:rPr>
                <w:rFonts w:eastAsia="Times New Roman" w:cs="Calibri"/>
                <w:b/>
                <w:bCs/>
                <w:color w:val="000000"/>
                <w:sz w:val="18"/>
                <w:szCs w:val="18"/>
                <w:lang w:eastAsia="es-MX"/>
              </w:rPr>
            </w:pPr>
            <w:r w:rsidRPr="00376A42">
              <w:rPr>
                <w:rFonts w:eastAsia="Times New Roman" w:cs="Calibri"/>
                <w:b/>
                <w:bCs/>
                <w:color w:val="000000"/>
                <w:sz w:val="18"/>
                <w:szCs w:val="18"/>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1553E444" w14:textId="77777777" w:rsidR="00C13B17" w:rsidRPr="00376A42" w:rsidRDefault="00C13B17" w:rsidP="00EC7D22">
            <w:pPr>
              <w:suppressAutoHyphens w:val="0"/>
              <w:overflowPunct/>
              <w:spacing w:after="0" w:line="240" w:lineRule="auto"/>
              <w:jc w:val="both"/>
              <w:rPr>
                <w:rFonts w:eastAsia="Times New Roman" w:cs="Calibri"/>
                <w:color w:val="000000"/>
                <w:sz w:val="18"/>
                <w:szCs w:val="18"/>
                <w:lang w:eastAsia="es-MX"/>
              </w:rPr>
            </w:pPr>
            <w:r w:rsidRPr="00376A42">
              <w:rPr>
                <w:rFonts w:eastAsia="Times New Roman" w:cs="Calibri"/>
                <w:color w:val="000000"/>
                <w:sz w:val="18"/>
                <w:szCs w:val="18"/>
                <w:lang w:eastAsia="es-MX"/>
              </w:rPr>
              <w:t xml:space="preserve">Banorte 1,500 </w:t>
            </w:r>
            <w:proofErr w:type="spellStart"/>
            <w:r w:rsidRPr="00376A42">
              <w:rPr>
                <w:rFonts w:eastAsia="Times New Roman" w:cs="Calibri"/>
                <w:color w:val="000000"/>
                <w:sz w:val="18"/>
                <w:szCs w:val="18"/>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4E68AFC9"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212C9CDF"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 xml:space="preserve"> ESTABLE</w:t>
            </w:r>
          </w:p>
        </w:tc>
      </w:tr>
      <w:tr w:rsidR="00C13B17" w:rsidRPr="00020DD3" w14:paraId="3781D3CB" w14:textId="77777777" w:rsidTr="009962F3">
        <w:trPr>
          <w:trHeight w:val="284"/>
        </w:trPr>
        <w:tc>
          <w:tcPr>
            <w:tcW w:w="1674" w:type="dxa"/>
            <w:tcBorders>
              <w:top w:val="nil"/>
              <w:left w:val="single" w:sz="8" w:space="0" w:color="auto"/>
              <w:bottom w:val="single" w:sz="8" w:space="0" w:color="auto"/>
              <w:right w:val="single" w:sz="8" w:space="0" w:color="auto"/>
            </w:tcBorders>
            <w:shd w:val="clear" w:color="auto" w:fill="auto"/>
            <w:vAlign w:val="center"/>
            <w:hideMark/>
          </w:tcPr>
          <w:p w14:paraId="32A3ADCA" w14:textId="77777777" w:rsidR="00C13B17" w:rsidRPr="00376A42" w:rsidRDefault="00C13B17" w:rsidP="00EC7D22">
            <w:pPr>
              <w:suppressAutoHyphens w:val="0"/>
              <w:overflowPunct/>
              <w:spacing w:after="0" w:line="240" w:lineRule="auto"/>
              <w:rPr>
                <w:rFonts w:eastAsia="Times New Roman" w:cs="Calibri"/>
                <w:b/>
                <w:bCs/>
                <w:color w:val="000000"/>
                <w:sz w:val="18"/>
                <w:szCs w:val="18"/>
                <w:lang w:eastAsia="es-MX"/>
              </w:rPr>
            </w:pPr>
            <w:r w:rsidRPr="00376A42">
              <w:rPr>
                <w:rFonts w:eastAsia="Times New Roman" w:cs="Calibri"/>
                <w:b/>
                <w:bCs/>
                <w:color w:val="000000"/>
                <w:sz w:val="18"/>
                <w:szCs w:val="18"/>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4C4EF4ED" w14:textId="77777777" w:rsidR="00C13B17" w:rsidRPr="00376A42" w:rsidRDefault="00C13B17" w:rsidP="00EC7D22">
            <w:pPr>
              <w:suppressAutoHyphens w:val="0"/>
              <w:overflowPunct/>
              <w:spacing w:after="0" w:line="240" w:lineRule="auto"/>
              <w:jc w:val="both"/>
              <w:rPr>
                <w:rFonts w:eastAsia="Times New Roman" w:cs="Calibri"/>
                <w:color w:val="000000"/>
                <w:sz w:val="18"/>
                <w:szCs w:val="18"/>
                <w:lang w:eastAsia="es-MX"/>
              </w:rPr>
            </w:pPr>
            <w:r w:rsidRPr="00376A42">
              <w:rPr>
                <w:rFonts w:eastAsia="Times New Roman" w:cs="Calibri"/>
                <w:color w:val="000000"/>
                <w:sz w:val="18"/>
                <w:szCs w:val="18"/>
                <w:lang w:eastAsia="es-MX"/>
              </w:rPr>
              <w:t xml:space="preserve">Banorte 1,200 </w:t>
            </w:r>
            <w:proofErr w:type="spellStart"/>
            <w:r w:rsidRPr="00376A42">
              <w:rPr>
                <w:rFonts w:eastAsia="Times New Roman" w:cs="Calibri"/>
                <w:color w:val="000000"/>
                <w:sz w:val="18"/>
                <w:szCs w:val="18"/>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0C16FA13"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68845370" w14:textId="77777777" w:rsidR="00C13B17" w:rsidRPr="00376A42" w:rsidRDefault="00C13B17" w:rsidP="00EC7D22">
            <w:pPr>
              <w:suppressAutoHyphens w:val="0"/>
              <w:overflowPunct/>
              <w:spacing w:after="0" w:line="240" w:lineRule="auto"/>
              <w:jc w:val="center"/>
              <w:rPr>
                <w:rFonts w:eastAsia="Times New Roman" w:cs="Calibri"/>
                <w:color w:val="000000"/>
                <w:sz w:val="18"/>
                <w:szCs w:val="18"/>
                <w:lang w:eastAsia="es-MX"/>
              </w:rPr>
            </w:pPr>
            <w:r w:rsidRPr="00376A42">
              <w:rPr>
                <w:rFonts w:eastAsia="Times New Roman" w:cs="Calibri"/>
                <w:color w:val="000000"/>
                <w:sz w:val="18"/>
                <w:szCs w:val="18"/>
                <w:lang w:eastAsia="es-MX"/>
              </w:rPr>
              <w:t>ESTABLE</w:t>
            </w:r>
          </w:p>
        </w:tc>
      </w:tr>
    </w:tbl>
    <w:p w14:paraId="0AA6E000" w14:textId="77777777" w:rsidR="00C13B17" w:rsidRDefault="00C13B17" w:rsidP="00EC7D22"/>
    <w:tbl>
      <w:tblPr>
        <w:tblW w:w="7166" w:type="dxa"/>
        <w:tblCellMar>
          <w:left w:w="70" w:type="dxa"/>
          <w:right w:w="70" w:type="dxa"/>
        </w:tblCellMar>
        <w:tblLook w:val="04A0" w:firstRow="1" w:lastRow="0" w:firstColumn="1" w:lastColumn="0" w:noHBand="0" w:noVBand="1"/>
      </w:tblPr>
      <w:tblGrid>
        <w:gridCol w:w="1674"/>
        <w:gridCol w:w="2144"/>
        <w:gridCol w:w="1674"/>
        <w:gridCol w:w="1674"/>
      </w:tblGrid>
      <w:tr w:rsidR="00C13B17" w:rsidRPr="00020DD3" w14:paraId="307B5298" w14:textId="77777777" w:rsidTr="009962F3">
        <w:trPr>
          <w:trHeight w:val="284"/>
        </w:trPr>
        <w:tc>
          <w:tcPr>
            <w:tcW w:w="1674" w:type="dxa"/>
            <w:tcBorders>
              <w:top w:val="single" w:sz="8" w:space="0" w:color="auto"/>
              <w:left w:val="single" w:sz="8" w:space="0" w:color="auto"/>
              <w:bottom w:val="nil"/>
              <w:right w:val="single" w:sz="8" w:space="0" w:color="auto"/>
            </w:tcBorders>
            <w:shd w:val="clear" w:color="auto" w:fill="auto"/>
            <w:noWrap/>
            <w:vAlign w:val="center"/>
            <w:hideMark/>
          </w:tcPr>
          <w:p w14:paraId="3EEC1DE4"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single" w:sz="8" w:space="0" w:color="auto"/>
              <w:left w:val="nil"/>
              <w:bottom w:val="single" w:sz="8" w:space="0" w:color="auto"/>
              <w:right w:val="single" w:sz="8" w:space="0" w:color="auto"/>
            </w:tcBorders>
            <w:shd w:val="clear" w:color="auto" w:fill="auto"/>
            <w:noWrap/>
            <w:vAlign w:val="center"/>
            <w:hideMark/>
          </w:tcPr>
          <w:p w14:paraId="03438F05"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Estado de Tamaulipas</w:t>
            </w:r>
          </w:p>
        </w:tc>
        <w:tc>
          <w:tcPr>
            <w:tcW w:w="1674" w:type="dxa"/>
            <w:tcBorders>
              <w:top w:val="single" w:sz="8" w:space="0" w:color="auto"/>
              <w:left w:val="nil"/>
              <w:bottom w:val="single" w:sz="8" w:space="0" w:color="auto"/>
              <w:right w:val="single" w:sz="8" w:space="0" w:color="auto"/>
            </w:tcBorders>
            <w:shd w:val="clear" w:color="auto" w:fill="auto"/>
            <w:noWrap/>
            <w:vAlign w:val="center"/>
            <w:hideMark/>
          </w:tcPr>
          <w:p w14:paraId="51D26877"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w:t>
            </w:r>
          </w:p>
        </w:tc>
        <w:tc>
          <w:tcPr>
            <w:tcW w:w="1674" w:type="dxa"/>
            <w:tcBorders>
              <w:top w:val="single" w:sz="8" w:space="0" w:color="auto"/>
              <w:left w:val="nil"/>
              <w:bottom w:val="single" w:sz="8" w:space="0" w:color="auto"/>
              <w:right w:val="single" w:sz="8" w:space="0" w:color="auto"/>
            </w:tcBorders>
            <w:shd w:val="clear" w:color="auto" w:fill="auto"/>
            <w:noWrap/>
            <w:vAlign w:val="center"/>
            <w:hideMark/>
          </w:tcPr>
          <w:p w14:paraId="0FFE792C"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ESTABLE</w:t>
            </w:r>
          </w:p>
        </w:tc>
      </w:tr>
      <w:tr w:rsidR="00C13B17" w:rsidRPr="00020DD3" w14:paraId="79AC899A" w14:textId="77777777" w:rsidTr="009962F3">
        <w:trPr>
          <w:trHeight w:val="284"/>
        </w:trPr>
        <w:tc>
          <w:tcPr>
            <w:tcW w:w="1674" w:type="dxa"/>
            <w:tcBorders>
              <w:top w:val="nil"/>
              <w:left w:val="single" w:sz="8" w:space="0" w:color="auto"/>
              <w:bottom w:val="nil"/>
              <w:right w:val="single" w:sz="8" w:space="0" w:color="auto"/>
            </w:tcBorders>
            <w:shd w:val="clear" w:color="auto" w:fill="auto"/>
            <w:noWrap/>
            <w:vAlign w:val="center"/>
            <w:hideMark/>
          </w:tcPr>
          <w:p w14:paraId="061C613F"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09CB6111"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BBVA 3,000 </w:t>
            </w:r>
            <w:proofErr w:type="spellStart"/>
            <w:r w:rsidRPr="00376A42">
              <w:rPr>
                <w:rFonts w:eastAsia="Times New Roman" w:cs="Calibri"/>
                <w:color w:val="000000"/>
                <w:sz w:val="18"/>
                <w:szCs w:val="14"/>
                <w:lang w:eastAsia="es-MX"/>
              </w:rPr>
              <w:t>mdp</w:t>
            </w:r>
            <w:proofErr w:type="spellEnd"/>
          </w:p>
        </w:tc>
        <w:tc>
          <w:tcPr>
            <w:tcW w:w="1674" w:type="dxa"/>
            <w:tcBorders>
              <w:top w:val="nil"/>
              <w:left w:val="nil"/>
              <w:bottom w:val="single" w:sz="8" w:space="0" w:color="auto"/>
              <w:right w:val="single" w:sz="8" w:space="0" w:color="auto"/>
            </w:tcBorders>
            <w:shd w:val="clear" w:color="auto" w:fill="auto"/>
            <w:noWrap/>
            <w:hideMark/>
          </w:tcPr>
          <w:p w14:paraId="5A577EF9"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69AF0054"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N/A</w:t>
            </w:r>
          </w:p>
        </w:tc>
      </w:tr>
      <w:tr w:rsidR="00C13B17" w:rsidRPr="00020DD3" w14:paraId="5D907AAF" w14:textId="77777777" w:rsidTr="009962F3">
        <w:trPr>
          <w:trHeight w:val="284"/>
        </w:trPr>
        <w:tc>
          <w:tcPr>
            <w:tcW w:w="1674" w:type="dxa"/>
            <w:tcBorders>
              <w:top w:val="nil"/>
              <w:left w:val="single" w:sz="8" w:space="0" w:color="auto"/>
              <w:bottom w:val="nil"/>
              <w:right w:val="single" w:sz="8" w:space="0" w:color="auto"/>
            </w:tcBorders>
            <w:shd w:val="clear" w:color="auto" w:fill="auto"/>
            <w:noWrap/>
            <w:vAlign w:val="center"/>
            <w:hideMark/>
          </w:tcPr>
          <w:p w14:paraId="6B27D925"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72C2588C"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4,500 </w:t>
            </w:r>
            <w:proofErr w:type="spellStart"/>
            <w:r w:rsidRPr="00376A42">
              <w:rPr>
                <w:rFonts w:eastAsia="Times New Roman" w:cs="Calibri"/>
                <w:color w:val="000000"/>
                <w:sz w:val="18"/>
                <w:szCs w:val="14"/>
                <w:lang w:eastAsia="es-MX"/>
              </w:rPr>
              <w:t>mdp</w:t>
            </w:r>
            <w:proofErr w:type="spellEnd"/>
          </w:p>
        </w:tc>
        <w:tc>
          <w:tcPr>
            <w:tcW w:w="1674" w:type="dxa"/>
            <w:tcBorders>
              <w:top w:val="nil"/>
              <w:left w:val="nil"/>
              <w:bottom w:val="single" w:sz="8" w:space="0" w:color="auto"/>
              <w:right w:val="single" w:sz="8" w:space="0" w:color="auto"/>
            </w:tcBorders>
            <w:shd w:val="clear" w:color="auto" w:fill="auto"/>
            <w:noWrap/>
            <w:hideMark/>
          </w:tcPr>
          <w:p w14:paraId="24CBF9A8"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4035732E"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N/A</w:t>
            </w:r>
          </w:p>
        </w:tc>
      </w:tr>
      <w:tr w:rsidR="00C13B17" w:rsidRPr="00020DD3" w14:paraId="2F281EFA" w14:textId="77777777" w:rsidTr="009962F3">
        <w:trPr>
          <w:trHeight w:val="284"/>
        </w:trPr>
        <w:tc>
          <w:tcPr>
            <w:tcW w:w="1674" w:type="dxa"/>
            <w:tcBorders>
              <w:top w:val="nil"/>
              <w:left w:val="single" w:sz="8" w:space="0" w:color="auto"/>
              <w:bottom w:val="nil"/>
              <w:right w:val="single" w:sz="8" w:space="0" w:color="auto"/>
            </w:tcBorders>
            <w:shd w:val="clear" w:color="auto" w:fill="auto"/>
            <w:noWrap/>
            <w:vAlign w:val="center"/>
            <w:hideMark/>
          </w:tcPr>
          <w:p w14:paraId="0ABF76A6"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Moody’s</w:t>
            </w:r>
          </w:p>
        </w:tc>
        <w:tc>
          <w:tcPr>
            <w:tcW w:w="2144" w:type="dxa"/>
            <w:tcBorders>
              <w:top w:val="nil"/>
              <w:left w:val="nil"/>
              <w:bottom w:val="single" w:sz="8" w:space="0" w:color="auto"/>
              <w:right w:val="single" w:sz="8" w:space="0" w:color="auto"/>
            </w:tcBorders>
            <w:shd w:val="clear" w:color="auto" w:fill="auto"/>
            <w:noWrap/>
            <w:vAlign w:val="center"/>
            <w:hideMark/>
          </w:tcPr>
          <w:p w14:paraId="6E37876F"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2,000 </w:t>
            </w:r>
            <w:proofErr w:type="spellStart"/>
            <w:r w:rsidRPr="00376A42">
              <w:rPr>
                <w:rFonts w:eastAsia="Times New Roman" w:cs="Calibri"/>
                <w:color w:val="000000"/>
                <w:sz w:val="18"/>
                <w:szCs w:val="14"/>
                <w:lang w:eastAsia="es-MX"/>
              </w:rPr>
              <w:t>mdp</w:t>
            </w:r>
            <w:proofErr w:type="spellEnd"/>
          </w:p>
        </w:tc>
        <w:tc>
          <w:tcPr>
            <w:tcW w:w="1674" w:type="dxa"/>
            <w:tcBorders>
              <w:top w:val="nil"/>
              <w:left w:val="nil"/>
              <w:bottom w:val="single" w:sz="8" w:space="0" w:color="auto"/>
              <w:right w:val="single" w:sz="8" w:space="0" w:color="auto"/>
            </w:tcBorders>
            <w:shd w:val="clear" w:color="auto" w:fill="auto"/>
            <w:noWrap/>
            <w:hideMark/>
          </w:tcPr>
          <w:p w14:paraId="635391F3"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18131562"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N/A</w:t>
            </w:r>
          </w:p>
        </w:tc>
      </w:tr>
      <w:tr w:rsidR="00C13B17" w:rsidRPr="00020DD3" w14:paraId="49691EE1" w14:textId="77777777" w:rsidTr="009962F3">
        <w:trPr>
          <w:trHeight w:val="284"/>
        </w:trPr>
        <w:tc>
          <w:tcPr>
            <w:tcW w:w="1674" w:type="dxa"/>
            <w:tcBorders>
              <w:top w:val="nil"/>
              <w:left w:val="single" w:sz="8" w:space="0" w:color="auto"/>
              <w:bottom w:val="nil"/>
              <w:right w:val="single" w:sz="8" w:space="0" w:color="auto"/>
            </w:tcBorders>
            <w:shd w:val="clear" w:color="auto" w:fill="auto"/>
            <w:noWrap/>
            <w:vAlign w:val="center"/>
            <w:hideMark/>
          </w:tcPr>
          <w:p w14:paraId="31393683"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7AED0352"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1,000 </w:t>
            </w:r>
            <w:proofErr w:type="spellStart"/>
            <w:r w:rsidRPr="00376A42">
              <w:rPr>
                <w:rFonts w:eastAsia="Times New Roman" w:cs="Calibri"/>
                <w:color w:val="000000"/>
                <w:sz w:val="18"/>
                <w:szCs w:val="14"/>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71A568C8"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71B1B491"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N/A</w:t>
            </w:r>
          </w:p>
        </w:tc>
      </w:tr>
      <w:tr w:rsidR="00C13B17" w:rsidRPr="00020DD3" w14:paraId="2AE99EAD" w14:textId="77777777" w:rsidTr="009962F3">
        <w:trPr>
          <w:trHeight w:val="284"/>
        </w:trPr>
        <w:tc>
          <w:tcPr>
            <w:tcW w:w="1674" w:type="dxa"/>
            <w:tcBorders>
              <w:top w:val="nil"/>
              <w:left w:val="single" w:sz="8" w:space="0" w:color="auto"/>
              <w:bottom w:val="nil"/>
              <w:right w:val="single" w:sz="8" w:space="0" w:color="auto"/>
            </w:tcBorders>
            <w:shd w:val="clear" w:color="auto" w:fill="auto"/>
            <w:noWrap/>
            <w:vAlign w:val="center"/>
            <w:hideMark/>
          </w:tcPr>
          <w:p w14:paraId="60D26F7C" w14:textId="77777777" w:rsidR="00C13B17" w:rsidRPr="00376A42" w:rsidRDefault="00C13B17" w:rsidP="00EC7D22">
            <w:pPr>
              <w:suppressAutoHyphens w:val="0"/>
              <w:overflowPunct/>
              <w:spacing w:after="0" w:line="240" w:lineRule="auto"/>
              <w:rPr>
                <w:rFonts w:eastAsia="Times New Roman" w:cs="Calibri"/>
                <w:color w:val="000000"/>
                <w:sz w:val="18"/>
                <w:szCs w:val="14"/>
                <w:lang w:eastAsia="es-MX"/>
              </w:rPr>
            </w:pPr>
            <w:r w:rsidRPr="00376A42">
              <w:rPr>
                <w:rFonts w:eastAsia="Times New Roman" w:cs="Calibri"/>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040BC869"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Banamex 2,506 </w:t>
            </w:r>
            <w:proofErr w:type="spellStart"/>
            <w:r w:rsidRPr="00376A42">
              <w:rPr>
                <w:rFonts w:eastAsia="Times New Roman" w:cs="Calibri"/>
                <w:color w:val="000000"/>
                <w:sz w:val="18"/>
                <w:szCs w:val="14"/>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531407E2"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 xml:space="preserve">AAA </w:t>
            </w:r>
          </w:p>
        </w:tc>
        <w:tc>
          <w:tcPr>
            <w:tcW w:w="1674" w:type="dxa"/>
            <w:tcBorders>
              <w:top w:val="nil"/>
              <w:left w:val="nil"/>
              <w:bottom w:val="single" w:sz="8" w:space="0" w:color="auto"/>
              <w:right w:val="single" w:sz="8" w:space="0" w:color="auto"/>
            </w:tcBorders>
            <w:shd w:val="clear" w:color="auto" w:fill="auto"/>
            <w:noWrap/>
            <w:vAlign w:val="center"/>
            <w:hideMark/>
          </w:tcPr>
          <w:p w14:paraId="427F5B98"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N/A</w:t>
            </w:r>
          </w:p>
        </w:tc>
      </w:tr>
      <w:tr w:rsidR="00C13B17" w:rsidRPr="00020DD3" w14:paraId="1184549A" w14:textId="77777777" w:rsidTr="009962F3">
        <w:trPr>
          <w:trHeight w:val="284"/>
        </w:trPr>
        <w:tc>
          <w:tcPr>
            <w:tcW w:w="1674" w:type="dxa"/>
            <w:tcBorders>
              <w:top w:val="nil"/>
              <w:left w:val="single" w:sz="8" w:space="0" w:color="auto"/>
              <w:bottom w:val="nil"/>
              <w:right w:val="single" w:sz="8" w:space="0" w:color="auto"/>
            </w:tcBorders>
            <w:shd w:val="clear" w:color="auto" w:fill="auto"/>
            <w:noWrap/>
            <w:vAlign w:val="center"/>
            <w:hideMark/>
          </w:tcPr>
          <w:p w14:paraId="5F791F20" w14:textId="77777777" w:rsidR="00C13B17" w:rsidRPr="00376A42" w:rsidRDefault="00C13B17" w:rsidP="00EC7D22">
            <w:pPr>
              <w:suppressAutoHyphens w:val="0"/>
              <w:overflowPunct/>
              <w:spacing w:after="0" w:line="240" w:lineRule="auto"/>
              <w:rPr>
                <w:rFonts w:eastAsia="Times New Roman" w:cs="Calibri"/>
                <w:color w:val="000000"/>
                <w:sz w:val="18"/>
                <w:szCs w:val="14"/>
                <w:lang w:eastAsia="es-MX"/>
              </w:rPr>
            </w:pPr>
            <w:r w:rsidRPr="00376A42">
              <w:rPr>
                <w:rFonts w:eastAsia="Times New Roman" w:cs="Calibri"/>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44ABE504"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1,500 </w:t>
            </w:r>
            <w:proofErr w:type="spellStart"/>
            <w:r w:rsidRPr="00376A42">
              <w:rPr>
                <w:rFonts w:eastAsia="Times New Roman" w:cs="Calibri"/>
                <w:color w:val="000000"/>
                <w:sz w:val="18"/>
                <w:szCs w:val="14"/>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117DB4DB"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w:t>
            </w:r>
          </w:p>
        </w:tc>
        <w:tc>
          <w:tcPr>
            <w:tcW w:w="1674" w:type="dxa"/>
            <w:tcBorders>
              <w:top w:val="nil"/>
              <w:left w:val="nil"/>
              <w:bottom w:val="single" w:sz="8" w:space="0" w:color="auto"/>
              <w:right w:val="single" w:sz="8" w:space="0" w:color="auto"/>
            </w:tcBorders>
            <w:shd w:val="clear" w:color="auto" w:fill="auto"/>
            <w:noWrap/>
            <w:vAlign w:val="center"/>
            <w:hideMark/>
          </w:tcPr>
          <w:p w14:paraId="1E8FE657"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N/A</w:t>
            </w:r>
          </w:p>
        </w:tc>
      </w:tr>
      <w:tr w:rsidR="00C13B17" w:rsidRPr="00020DD3" w14:paraId="03FA1491" w14:textId="77777777" w:rsidTr="009962F3">
        <w:trPr>
          <w:trHeight w:val="284"/>
        </w:trPr>
        <w:tc>
          <w:tcPr>
            <w:tcW w:w="1674" w:type="dxa"/>
            <w:tcBorders>
              <w:top w:val="nil"/>
              <w:left w:val="single" w:sz="8" w:space="0" w:color="auto"/>
              <w:bottom w:val="single" w:sz="8" w:space="0" w:color="auto"/>
              <w:right w:val="single" w:sz="8" w:space="0" w:color="auto"/>
            </w:tcBorders>
            <w:shd w:val="clear" w:color="auto" w:fill="auto"/>
            <w:noWrap/>
            <w:vAlign w:val="center"/>
            <w:hideMark/>
          </w:tcPr>
          <w:p w14:paraId="1CAE45E1" w14:textId="77777777" w:rsidR="00C13B17" w:rsidRPr="00376A42" w:rsidRDefault="00C13B17" w:rsidP="00EC7D22">
            <w:pPr>
              <w:suppressAutoHyphens w:val="0"/>
              <w:overflowPunct/>
              <w:spacing w:after="0" w:line="240" w:lineRule="auto"/>
              <w:rPr>
                <w:rFonts w:eastAsia="Times New Roman" w:cs="Calibri"/>
                <w:color w:val="000000"/>
                <w:sz w:val="18"/>
                <w:szCs w:val="14"/>
                <w:lang w:eastAsia="es-MX"/>
              </w:rPr>
            </w:pPr>
            <w:r w:rsidRPr="00376A42">
              <w:rPr>
                <w:rFonts w:eastAsia="Times New Roman" w:cs="Calibri"/>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64BB8979"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1,200 </w:t>
            </w:r>
            <w:proofErr w:type="spellStart"/>
            <w:r w:rsidRPr="00376A42">
              <w:rPr>
                <w:rFonts w:eastAsia="Times New Roman" w:cs="Calibri"/>
                <w:color w:val="000000"/>
                <w:sz w:val="18"/>
                <w:szCs w:val="14"/>
                <w:lang w:eastAsia="es-MX"/>
              </w:rPr>
              <w:t>mdp</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14:paraId="0995E4C4"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w:t>
            </w:r>
          </w:p>
        </w:tc>
        <w:tc>
          <w:tcPr>
            <w:tcW w:w="1674" w:type="dxa"/>
            <w:tcBorders>
              <w:top w:val="nil"/>
              <w:left w:val="nil"/>
              <w:bottom w:val="single" w:sz="8" w:space="0" w:color="auto"/>
              <w:right w:val="single" w:sz="8" w:space="0" w:color="auto"/>
            </w:tcBorders>
            <w:shd w:val="clear" w:color="auto" w:fill="auto"/>
            <w:noWrap/>
            <w:vAlign w:val="center"/>
            <w:hideMark/>
          </w:tcPr>
          <w:p w14:paraId="5675E5B4"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N/A</w:t>
            </w:r>
          </w:p>
        </w:tc>
      </w:tr>
    </w:tbl>
    <w:p w14:paraId="2BF3C0EA" w14:textId="77777777" w:rsidR="00C13B17" w:rsidRDefault="00C13B17" w:rsidP="00EC7D22"/>
    <w:tbl>
      <w:tblPr>
        <w:tblW w:w="7193" w:type="dxa"/>
        <w:tblCellMar>
          <w:left w:w="70" w:type="dxa"/>
          <w:right w:w="70" w:type="dxa"/>
        </w:tblCellMar>
        <w:tblLook w:val="04A0" w:firstRow="1" w:lastRow="0" w:firstColumn="1" w:lastColumn="0" w:noHBand="0" w:noVBand="1"/>
      </w:tblPr>
      <w:tblGrid>
        <w:gridCol w:w="1674"/>
        <w:gridCol w:w="2144"/>
        <w:gridCol w:w="1701"/>
        <w:gridCol w:w="1674"/>
      </w:tblGrid>
      <w:tr w:rsidR="00C13B17" w:rsidRPr="00020DD3" w14:paraId="390003AE" w14:textId="77777777" w:rsidTr="00F84089">
        <w:trPr>
          <w:trHeight w:val="240"/>
        </w:trPr>
        <w:tc>
          <w:tcPr>
            <w:tcW w:w="1674" w:type="dxa"/>
            <w:tcBorders>
              <w:top w:val="single" w:sz="8" w:space="0" w:color="auto"/>
              <w:left w:val="single" w:sz="8" w:space="0" w:color="auto"/>
              <w:bottom w:val="nil"/>
              <w:right w:val="single" w:sz="8" w:space="0" w:color="auto"/>
            </w:tcBorders>
            <w:shd w:val="clear" w:color="auto" w:fill="auto"/>
            <w:noWrap/>
            <w:vAlign w:val="center"/>
            <w:hideMark/>
          </w:tcPr>
          <w:p w14:paraId="413C9A5D"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single" w:sz="8" w:space="0" w:color="auto"/>
              <w:left w:val="nil"/>
              <w:bottom w:val="single" w:sz="8" w:space="0" w:color="auto"/>
              <w:right w:val="single" w:sz="8" w:space="0" w:color="auto"/>
            </w:tcBorders>
            <w:shd w:val="clear" w:color="auto" w:fill="auto"/>
            <w:noWrap/>
            <w:vAlign w:val="center"/>
            <w:hideMark/>
          </w:tcPr>
          <w:p w14:paraId="4CFAB4F5"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Estado de Tamaulipas</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8FCE64E"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w:t>
            </w:r>
          </w:p>
        </w:tc>
        <w:tc>
          <w:tcPr>
            <w:tcW w:w="1674" w:type="dxa"/>
            <w:tcBorders>
              <w:top w:val="single" w:sz="8" w:space="0" w:color="auto"/>
              <w:left w:val="nil"/>
              <w:bottom w:val="single" w:sz="8" w:space="0" w:color="auto"/>
              <w:right w:val="single" w:sz="8" w:space="0" w:color="auto"/>
            </w:tcBorders>
            <w:shd w:val="clear" w:color="auto" w:fill="auto"/>
            <w:noWrap/>
            <w:vAlign w:val="center"/>
            <w:hideMark/>
          </w:tcPr>
          <w:p w14:paraId="291C2D3B"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ESTABLE</w:t>
            </w:r>
          </w:p>
        </w:tc>
      </w:tr>
      <w:tr w:rsidR="00C13B17" w:rsidRPr="00020DD3" w14:paraId="085DE00C" w14:textId="77777777" w:rsidTr="00F84089">
        <w:trPr>
          <w:trHeight w:val="182"/>
        </w:trPr>
        <w:tc>
          <w:tcPr>
            <w:tcW w:w="1674" w:type="dxa"/>
            <w:tcBorders>
              <w:top w:val="nil"/>
              <w:left w:val="single" w:sz="8" w:space="0" w:color="auto"/>
              <w:bottom w:val="nil"/>
              <w:right w:val="single" w:sz="8" w:space="0" w:color="auto"/>
            </w:tcBorders>
            <w:shd w:val="clear" w:color="auto" w:fill="auto"/>
            <w:noWrap/>
            <w:vAlign w:val="center"/>
            <w:hideMark/>
          </w:tcPr>
          <w:p w14:paraId="5099FC7B"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3E77E575"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BBVA 3,000 </w:t>
            </w:r>
            <w:proofErr w:type="spellStart"/>
            <w:r w:rsidRPr="00376A42">
              <w:rPr>
                <w:rFonts w:eastAsia="Times New Roman" w:cs="Calibri"/>
                <w:color w:val="000000"/>
                <w:sz w:val="18"/>
                <w:szCs w:val="14"/>
                <w:lang w:eastAsia="es-MX"/>
              </w:rPr>
              <w:t>mdp</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18AA8D20" w14:textId="79BD692B"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61F4D35F"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ESTABLE</w:t>
            </w:r>
          </w:p>
        </w:tc>
      </w:tr>
      <w:tr w:rsidR="00C13B17" w:rsidRPr="00020DD3" w14:paraId="71515B27" w14:textId="77777777" w:rsidTr="00F84089">
        <w:trPr>
          <w:trHeight w:val="240"/>
        </w:trPr>
        <w:tc>
          <w:tcPr>
            <w:tcW w:w="1674" w:type="dxa"/>
            <w:tcBorders>
              <w:top w:val="nil"/>
              <w:left w:val="single" w:sz="8" w:space="0" w:color="auto"/>
              <w:bottom w:val="nil"/>
              <w:right w:val="single" w:sz="8" w:space="0" w:color="auto"/>
            </w:tcBorders>
            <w:shd w:val="clear" w:color="auto" w:fill="auto"/>
            <w:noWrap/>
            <w:vAlign w:val="center"/>
            <w:hideMark/>
          </w:tcPr>
          <w:p w14:paraId="1468DB7E"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15B92DEB"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4,500 </w:t>
            </w:r>
            <w:proofErr w:type="spellStart"/>
            <w:r w:rsidRPr="00376A42">
              <w:rPr>
                <w:rFonts w:eastAsia="Times New Roman" w:cs="Calibri"/>
                <w:color w:val="000000"/>
                <w:sz w:val="18"/>
                <w:szCs w:val="14"/>
                <w:lang w:eastAsia="es-MX"/>
              </w:rPr>
              <w:t>mdp</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7C234C3C" w14:textId="72788A02"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71309F04"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ESTABLE</w:t>
            </w:r>
          </w:p>
        </w:tc>
      </w:tr>
      <w:tr w:rsidR="00C13B17" w:rsidRPr="00020DD3" w14:paraId="09DA09FC" w14:textId="77777777" w:rsidTr="00F84089">
        <w:trPr>
          <w:trHeight w:val="240"/>
        </w:trPr>
        <w:tc>
          <w:tcPr>
            <w:tcW w:w="1674" w:type="dxa"/>
            <w:tcBorders>
              <w:top w:val="nil"/>
              <w:left w:val="single" w:sz="8" w:space="0" w:color="auto"/>
              <w:bottom w:val="nil"/>
              <w:right w:val="single" w:sz="8" w:space="0" w:color="auto"/>
            </w:tcBorders>
            <w:shd w:val="clear" w:color="auto" w:fill="auto"/>
            <w:noWrap/>
            <w:vAlign w:val="center"/>
            <w:hideMark/>
          </w:tcPr>
          <w:p w14:paraId="5922ED5D"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HR Ratings</w:t>
            </w:r>
          </w:p>
        </w:tc>
        <w:tc>
          <w:tcPr>
            <w:tcW w:w="2144" w:type="dxa"/>
            <w:tcBorders>
              <w:top w:val="nil"/>
              <w:left w:val="nil"/>
              <w:bottom w:val="single" w:sz="8" w:space="0" w:color="auto"/>
              <w:right w:val="single" w:sz="8" w:space="0" w:color="auto"/>
            </w:tcBorders>
            <w:shd w:val="clear" w:color="auto" w:fill="auto"/>
            <w:noWrap/>
            <w:vAlign w:val="center"/>
            <w:hideMark/>
          </w:tcPr>
          <w:p w14:paraId="2BF8EEEA"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2,000 </w:t>
            </w:r>
            <w:proofErr w:type="spellStart"/>
            <w:r w:rsidRPr="00376A42">
              <w:rPr>
                <w:rFonts w:eastAsia="Times New Roman" w:cs="Calibri"/>
                <w:color w:val="000000"/>
                <w:sz w:val="18"/>
                <w:szCs w:val="14"/>
                <w:lang w:eastAsia="es-MX"/>
              </w:rPr>
              <w:t>mdp</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07F25097" w14:textId="15536471"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760A7291"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ESTABLE</w:t>
            </w:r>
          </w:p>
        </w:tc>
      </w:tr>
      <w:tr w:rsidR="00C13B17" w:rsidRPr="00020DD3" w14:paraId="59EB81E4" w14:textId="77777777" w:rsidTr="00F84089">
        <w:trPr>
          <w:trHeight w:val="240"/>
        </w:trPr>
        <w:tc>
          <w:tcPr>
            <w:tcW w:w="1674" w:type="dxa"/>
            <w:tcBorders>
              <w:top w:val="nil"/>
              <w:left w:val="single" w:sz="8" w:space="0" w:color="auto"/>
              <w:bottom w:val="nil"/>
              <w:right w:val="single" w:sz="8" w:space="0" w:color="auto"/>
            </w:tcBorders>
            <w:shd w:val="clear" w:color="auto" w:fill="auto"/>
            <w:noWrap/>
            <w:vAlign w:val="center"/>
            <w:hideMark/>
          </w:tcPr>
          <w:p w14:paraId="0CBDABD7"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63761FC9"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1,000 </w:t>
            </w:r>
            <w:proofErr w:type="spellStart"/>
            <w:r w:rsidRPr="00376A42">
              <w:rPr>
                <w:rFonts w:eastAsia="Times New Roman" w:cs="Calibri"/>
                <w:color w:val="000000"/>
                <w:sz w:val="18"/>
                <w:szCs w:val="14"/>
                <w:lang w:eastAsia="es-MX"/>
              </w:rPr>
              <w:t>mdp</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45AE4334" w14:textId="3B410450"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4954EBEB"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ESTABLE</w:t>
            </w:r>
          </w:p>
        </w:tc>
      </w:tr>
      <w:tr w:rsidR="00C13B17" w:rsidRPr="00020DD3" w14:paraId="3BB42CEB" w14:textId="77777777" w:rsidTr="00F84089">
        <w:trPr>
          <w:trHeight w:val="240"/>
        </w:trPr>
        <w:tc>
          <w:tcPr>
            <w:tcW w:w="1674" w:type="dxa"/>
            <w:tcBorders>
              <w:top w:val="nil"/>
              <w:left w:val="single" w:sz="8" w:space="0" w:color="auto"/>
              <w:bottom w:val="nil"/>
              <w:right w:val="single" w:sz="8" w:space="0" w:color="auto"/>
            </w:tcBorders>
            <w:shd w:val="clear" w:color="auto" w:fill="auto"/>
            <w:noWrap/>
            <w:vAlign w:val="center"/>
            <w:hideMark/>
          </w:tcPr>
          <w:p w14:paraId="3AE2FAC5"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30BB2378"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Banamex 2,506 </w:t>
            </w:r>
            <w:proofErr w:type="spellStart"/>
            <w:r w:rsidRPr="00376A42">
              <w:rPr>
                <w:rFonts w:eastAsia="Times New Roman" w:cs="Calibri"/>
                <w:color w:val="000000"/>
                <w:sz w:val="18"/>
                <w:szCs w:val="14"/>
                <w:lang w:eastAsia="es-MX"/>
              </w:rPr>
              <w:t>mdp</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164C8C83"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w:t>
            </w:r>
          </w:p>
        </w:tc>
        <w:tc>
          <w:tcPr>
            <w:tcW w:w="1674" w:type="dxa"/>
            <w:tcBorders>
              <w:top w:val="nil"/>
              <w:left w:val="nil"/>
              <w:bottom w:val="single" w:sz="8" w:space="0" w:color="auto"/>
              <w:right w:val="single" w:sz="8" w:space="0" w:color="auto"/>
            </w:tcBorders>
            <w:shd w:val="clear" w:color="auto" w:fill="auto"/>
            <w:noWrap/>
            <w:vAlign w:val="center"/>
            <w:hideMark/>
          </w:tcPr>
          <w:p w14:paraId="11B72FDF"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ESTABLE</w:t>
            </w:r>
          </w:p>
        </w:tc>
      </w:tr>
      <w:tr w:rsidR="00C13B17" w:rsidRPr="00020DD3" w14:paraId="171DA070" w14:textId="77777777" w:rsidTr="00F84089">
        <w:trPr>
          <w:trHeight w:val="240"/>
        </w:trPr>
        <w:tc>
          <w:tcPr>
            <w:tcW w:w="1674" w:type="dxa"/>
            <w:tcBorders>
              <w:top w:val="nil"/>
              <w:left w:val="single" w:sz="8" w:space="0" w:color="auto"/>
              <w:bottom w:val="nil"/>
              <w:right w:val="single" w:sz="8" w:space="0" w:color="auto"/>
            </w:tcBorders>
            <w:shd w:val="clear" w:color="auto" w:fill="auto"/>
            <w:noWrap/>
            <w:vAlign w:val="center"/>
            <w:hideMark/>
          </w:tcPr>
          <w:p w14:paraId="0A2C01F9"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555475B0"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1,500 </w:t>
            </w:r>
            <w:proofErr w:type="spellStart"/>
            <w:r w:rsidRPr="00376A42">
              <w:rPr>
                <w:rFonts w:eastAsia="Times New Roman" w:cs="Calibri"/>
                <w:color w:val="000000"/>
                <w:sz w:val="18"/>
                <w:szCs w:val="14"/>
                <w:lang w:eastAsia="es-MX"/>
              </w:rPr>
              <w:t>mdp</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2433BEAD"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AA</w:t>
            </w:r>
            <w:r>
              <w:rPr>
                <w:rFonts w:eastAsia="Times New Roman" w:cs="Calibri"/>
                <w:color w:val="000000"/>
                <w:sz w:val="18"/>
                <w:szCs w:val="14"/>
                <w:lang w:eastAsia="es-MX"/>
              </w:rPr>
              <w:t>+</w:t>
            </w:r>
          </w:p>
        </w:tc>
        <w:tc>
          <w:tcPr>
            <w:tcW w:w="1674" w:type="dxa"/>
            <w:tcBorders>
              <w:top w:val="nil"/>
              <w:left w:val="nil"/>
              <w:bottom w:val="single" w:sz="8" w:space="0" w:color="auto"/>
              <w:right w:val="single" w:sz="8" w:space="0" w:color="auto"/>
            </w:tcBorders>
            <w:shd w:val="clear" w:color="auto" w:fill="auto"/>
            <w:noWrap/>
            <w:vAlign w:val="center"/>
            <w:hideMark/>
          </w:tcPr>
          <w:p w14:paraId="7026AF3D"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POSITIVA</w:t>
            </w:r>
          </w:p>
        </w:tc>
      </w:tr>
      <w:tr w:rsidR="00C13B17" w:rsidRPr="00020DD3" w14:paraId="5121E040" w14:textId="77777777" w:rsidTr="00F84089">
        <w:trPr>
          <w:trHeight w:val="240"/>
        </w:trPr>
        <w:tc>
          <w:tcPr>
            <w:tcW w:w="1674" w:type="dxa"/>
            <w:tcBorders>
              <w:top w:val="nil"/>
              <w:left w:val="single" w:sz="8" w:space="0" w:color="auto"/>
              <w:bottom w:val="single" w:sz="8" w:space="0" w:color="auto"/>
              <w:right w:val="single" w:sz="8" w:space="0" w:color="auto"/>
            </w:tcBorders>
            <w:shd w:val="clear" w:color="auto" w:fill="auto"/>
            <w:noWrap/>
            <w:vAlign w:val="center"/>
            <w:hideMark/>
          </w:tcPr>
          <w:p w14:paraId="66A0A41B"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 </w:t>
            </w:r>
          </w:p>
        </w:tc>
        <w:tc>
          <w:tcPr>
            <w:tcW w:w="2144" w:type="dxa"/>
            <w:tcBorders>
              <w:top w:val="nil"/>
              <w:left w:val="nil"/>
              <w:bottom w:val="single" w:sz="8" w:space="0" w:color="auto"/>
              <w:right w:val="single" w:sz="8" w:space="0" w:color="auto"/>
            </w:tcBorders>
            <w:shd w:val="clear" w:color="auto" w:fill="auto"/>
            <w:noWrap/>
            <w:vAlign w:val="center"/>
            <w:hideMark/>
          </w:tcPr>
          <w:p w14:paraId="3BC47B39" w14:textId="77777777" w:rsidR="00C13B17" w:rsidRPr="00376A42" w:rsidRDefault="00C13B17" w:rsidP="00EC7D22">
            <w:pPr>
              <w:suppressAutoHyphens w:val="0"/>
              <w:overflowPunct/>
              <w:spacing w:after="0" w:line="240" w:lineRule="auto"/>
              <w:jc w:val="both"/>
              <w:rPr>
                <w:rFonts w:eastAsia="Times New Roman" w:cs="Calibri"/>
                <w:color w:val="000000"/>
                <w:sz w:val="18"/>
                <w:szCs w:val="14"/>
                <w:lang w:eastAsia="es-MX"/>
              </w:rPr>
            </w:pPr>
            <w:r w:rsidRPr="00376A42">
              <w:rPr>
                <w:rFonts w:eastAsia="Times New Roman" w:cs="Calibri"/>
                <w:color w:val="000000"/>
                <w:sz w:val="18"/>
                <w:szCs w:val="14"/>
                <w:lang w:eastAsia="es-MX"/>
              </w:rPr>
              <w:t xml:space="preserve">Banorte 1,200 </w:t>
            </w:r>
            <w:proofErr w:type="spellStart"/>
            <w:r w:rsidRPr="00376A42">
              <w:rPr>
                <w:rFonts w:eastAsia="Times New Roman" w:cs="Calibri"/>
                <w:color w:val="000000"/>
                <w:sz w:val="18"/>
                <w:szCs w:val="14"/>
                <w:lang w:eastAsia="es-MX"/>
              </w:rPr>
              <w:t>mdp</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7BB80442" w14:textId="484F52EB"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Pr>
                <w:rFonts w:eastAsia="Times New Roman" w:cs="Calibri"/>
                <w:color w:val="000000"/>
                <w:sz w:val="18"/>
                <w:szCs w:val="14"/>
                <w:lang w:eastAsia="es-MX"/>
              </w:rPr>
              <w:t>AAA</w:t>
            </w:r>
          </w:p>
        </w:tc>
        <w:tc>
          <w:tcPr>
            <w:tcW w:w="1674" w:type="dxa"/>
            <w:tcBorders>
              <w:top w:val="nil"/>
              <w:left w:val="nil"/>
              <w:bottom w:val="single" w:sz="8" w:space="0" w:color="auto"/>
              <w:right w:val="single" w:sz="8" w:space="0" w:color="auto"/>
            </w:tcBorders>
            <w:shd w:val="clear" w:color="auto" w:fill="auto"/>
            <w:noWrap/>
            <w:vAlign w:val="center"/>
            <w:hideMark/>
          </w:tcPr>
          <w:p w14:paraId="5D884DEA"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POSITIVA</w:t>
            </w:r>
          </w:p>
        </w:tc>
      </w:tr>
    </w:tbl>
    <w:p w14:paraId="1BA4D3B7" w14:textId="77777777" w:rsidR="00C13B17" w:rsidRDefault="00C13B17" w:rsidP="00EC7D22"/>
    <w:tbl>
      <w:tblPr>
        <w:tblW w:w="7193" w:type="dxa"/>
        <w:tblCellMar>
          <w:left w:w="70" w:type="dxa"/>
          <w:right w:w="70" w:type="dxa"/>
        </w:tblCellMar>
        <w:tblLook w:val="04A0" w:firstRow="1" w:lastRow="0" w:firstColumn="1" w:lastColumn="0" w:noHBand="0" w:noVBand="1"/>
      </w:tblPr>
      <w:tblGrid>
        <w:gridCol w:w="1674"/>
        <w:gridCol w:w="2144"/>
        <w:gridCol w:w="1701"/>
        <w:gridCol w:w="1674"/>
      </w:tblGrid>
      <w:tr w:rsidR="00C13B17" w:rsidRPr="00020DD3" w14:paraId="591B9106" w14:textId="77777777" w:rsidTr="00F84089">
        <w:trPr>
          <w:trHeight w:val="240"/>
        </w:trPr>
        <w:tc>
          <w:tcPr>
            <w:tcW w:w="16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5ACC81" w14:textId="77777777" w:rsidR="00C13B17" w:rsidRPr="00376A42" w:rsidRDefault="00C13B17" w:rsidP="00EC7D22">
            <w:pPr>
              <w:suppressAutoHyphens w:val="0"/>
              <w:overflowPunct/>
              <w:spacing w:after="0" w:line="240" w:lineRule="auto"/>
              <w:rPr>
                <w:rFonts w:eastAsia="Times New Roman" w:cs="Calibri"/>
                <w:b/>
                <w:bCs/>
                <w:color w:val="000000"/>
                <w:sz w:val="18"/>
                <w:szCs w:val="14"/>
                <w:lang w:eastAsia="es-MX"/>
              </w:rPr>
            </w:pPr>
            <w:r w:rsidRPr="00376A42">
              <w:rPr>
                <w:rFonts w:eastAsia="Times New Roman" w:cs="Calibri"/>
                <w:b/>
                <w:bCs/>
                <w:color w:val="000000"/>
                <w:sz w:val="18"/>
                <w:szCs w:val="14"/>
                <w:lang w:eastAsia="es-MX"/>
              </w:rPr>
              <w:t>Fitch Ratings</w:t>
            </w:r>
          </w:p>
        </w:tc>
        <w:tc>
          <w:tcPr>
            <w:tcW w:w="2144" w:type="dxa"/>
            <w:tcBorders>
              <w:top w:val="single" w:sz="8" w:space="0" w:color="auto"/>
              <w:left w:val="nil"/>
              <w:bottom w:val="single" w:sz="8" w:space="0" w:color="auto"/>
              <w:right w:val="single" w:sz="8" w:space="0" w:color="auto"/>
            </w:tcBorders>
            <w:shd w:val="clear" w:color="auto" w:fill="auto"/>
            <w:vAlign w:val="center"/>
            <w:hideMark/>
          </w:tcPr>
          <w:p w14:paraId="3F642D1B" w14:textId="77777777" w:rsidR="00C13B17" w:rsidRPr="00376A42" w:rsidRDefault="00C13B17" w:rsidP="00EC7D22">
            <w:pPr>
              <w:suppressAutoHyphens w:val="0"/>
              <w:overflowPunct/>
              <w:spacing w:after="0" w:line="240" w:lineRule="auto"/>
              <w:rPr>
                <w:rFonts w:eastAsia="Times New Roman" w:cs="Calibri"/>
                <w:color w:val="000000"/>
                <w:sz w:val="18"/>
                <w:szCs w:val="14"/>
                <w:lang w:eastAsia="es-MX"/>
              </w:rPr>
            </w:pPr>
            <w:r w:rsidRPr="00376A42">
              <w:rPr>
                <w:rFonts w:eastAsia="Times New Roman" w:cs="Calibri"/>
                <w:color w:val="000000"/>
                <w:sz w:val="18"/>
                <w:szCs w:val="14"/>
                <w:lang w:eastAsia="es-MX"/>
              </w:rPr>
              <w:t>Estado de Tamaulipas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1234026"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A-</w:t>
            </w:r>
          </w:p>
        </w:tc>
        <w:tc>
          <w:tcPr>
            <w:tcW w:w="1674" w:type="dxa"/>
            <w:tcBorders>
              <w:top w:val="single" w:sz="8" w:space="0" w:color="auto"/>
              <w:left w:val="nil"/>
              <w:bottom w:val="single" w:sz="8" w:space="0" w:color="auto"/>
              <w:right w:val="single" w:sz="8" w:space="0" w:color="auto"/>
            </w:tcBorders>
            <w:shd w:val="clear" w:color="auto" w:fill="auto"/>
            <w:vAlign w:val="center"/>
            <w:hideMark/>
          </w:tcPr>
          <w:p w14:paraId="4060B564" w14:textId="77777777" w:rsidR="00C13B17" w:rsidRPr="00376A42" w:rsidRDefault="00C13B17" w:rsidP="00EC7D22">
            <w:pPr>
              <w:suppressAutoHyphens w:val="0"/>
              <w:overflowPunct/>
              <w:spacing w:after="0" w:line="240" w:lineRule="auto"/>
              <w:jc w:val="center"/>
              <w:rPr>
                <w:rFonts w:eastAsia="Times New Roman" w:cs="Calibri"/>
                <w:color w:val="000000"/>
                <w:sz w:val="18"/>
                <w:szCs w:val="14"/>
                <w:lang w:eastAsia="es-MX"/>
              </w:rPr>
            </w:pPr>
            <w:r w:rsidRPr="00376A42">
              <w:rPr>
                <w:rFonts w:eastAsia="Times New Roman" w:cs="Calibri"/>
                <w:color w:val="000000"/>
                <w:sz w:val="18"/>
                <w:szCs w:val="14"/>
                <w:lang w:eastAsia="es-MX"/>
              </w:rPr>
              <w:t>ESTABLE</w:t>
            </w:r>
          </w:p>
        </w:tc>
      </w:tr>
    </w:tbl>
    <w:p w14:paraId="1197745D" w14:textId="77777777" w:rsidR="00C13B17" w:rsidRDefault="00C13B17" w:rsidP="00EC7D22"/>
    <w:p w14:paraId="52C140EE" w14:textId="77777777" w:rsidR="00C13B17" w:rsidRDefault="00C13B17" w:rsidP="00EC7D22">
      <w:pPr>
        <w:pStyle w:val="Texto"/>
        <w:spacing w:after="0" w:line="240" w:lineRule="exact"/>
        <w:ind w:firstLine="0"/>
        <w:rPr>
          <w:rFonts w:ascii="Calibri" w:hAnsi="Calibri" w:cs="Calibri"/>
          <w:sz w:val="20"/>
          <w:lang w:val="es-MX"/>
        </w:rPr>
      </w:pPr>
    </w:p>
    <w:p w14:paraId="14E4144E" w14:textId="77777777" w:rsidR="00C13B17" w:rsidRDefault="00C13B17" w:rsidP="00EC7D22">
      <w:pPr>
        <w:pStyle w:val="Texto"/>
        <w:spacing w:after="0" w:line="240" w:lineRule="exact"/>
        <w:ind w:firstLine="0"/>
        <w:rPr>
          <w:rFonts w:ascii="Calibri" w:hAnsi="Calibri" w:cs="Calibri"/>
          <w:sz w:val="20"/>
          <w:lang w:val="es-MX"/>
        </w:rPr>
      </w:pPr>
    </w:p>
    <w:p w14:paraId="46BCF1CE" w14:textId="77777777" w:rsidR="00C13B17" w:rsidRDefault="00C13B17" w:rsidP="00EC7D22">
      <w:pPr>
        <w:pStyle w:val="Texto"/>
        <w:spacing w:after="0" w:line="240" w:lineRule="exact"/>
        <w:ind w:firstLine="0"/>
        <w:rPr>
          <w:rFonts w:ascii="Calibri" w:hAnsi="Calibri" w:cs="Calibri"/>
          <w:sz w:val="20"/>
          <w:lang w:val="es-MX"/>
        </w:rPr>
      </w:pPr>
    </w:p>
    <w:p w14:paraId="6F7A9C70" w14:textId="77777777" w:rsidR="003E3E22" w:rsidRDefault="003E3E22" w:rsidP="00EC7D22">
      <w:pPr>
        <w:pStyle w:val="Texto"/>
        <w:spacing w:after="0" w:line="240" w:lineRule="exact"/>
        <w:ind w:firstLine="0"/>
        <w:rPr>
          <w:rFonts w:ascii="Calibri" w:hAnsi="Calibri" w:cs="Calibri"/>
          <w:sz w:val="20"/>
          <w:lang w:val="es-MX"/>
        </w:rPr>
      </w:pPr>
    </w:p>
    <w:p w14:paraId="6A62F476" w14:textId="0575698F" w:rsidR="007745EB" w:rsidRPr="00F26249" w:rsidRDefault="00F26249" w:rsidP="00EC7D22">
      <w:pPr>
        <w:spacing w:after="0" w:line="240" w:lineRule="auto"/>
        <w:jc w:val="both"/>
        <w:rPr>
          <w:rFonts w:eastAsia="Times New Roman" w:cs="Calibri"/>
          <w:b/>
          <w:sz w:val="20"/>
          <w:szCs w:val="20"/>
          <w:lang w:eastAsia="es-ES"/>
        </w:rPr>
      </w:pPr>
      <w:r>
        <w:rPr>
          <w:rFonts w:eastAsia="Times New Roman" w:cs="Calibri"/>
          <w:b/>
          <w:sz w:val="20"/>
          <w:szCs w:val="20"/>
          <w:lang w:eastAsia="es-ES"/>
        </w:rPr>
        <w:lastRenderedPageBreak/>
        <w:t>12.</w:t>
      </w:r>
      <w:r w:rsidR="00A71890">
        <w:rPr>
          <w:rFonts w:eastAsia="Times New Roman" w:cs="Calibri"/>
          <w:b/>
          <w:sz w:val="20"/>
          <w:szCs w:val="20"/>
          <w:lang w:eastAsia="es-ES"/>
        </w:rPr>
        <w:t xml:space="preserve"> </w:t>
      </w:r>
      <w:r w:rsidR="00C87FDA" w:rsidRPr="00F26249">
        <w:rPr>
          <w:rFonts w:eastAsia="Times New Roman" w:cs="Calibri"/>
          <w:b/>
          <w:sz w:val="20"/>
          <w:szCs w:val="20"/>
          <w:lang w:eastAsia="es-ES"/>
        </w:rPr>
        <w:t>Proceso de Mejora</w:t>
      </w:r>
    </w:p>
    <w:p w14:paraId="714944E8" w14:textId="77777777" w:rsidR="007745EB" w:rsidRPr="008F6566" w:rsidRDefault="007745EB" w:rsidP="00EC7D22">
      <w:pPr>
        <w:spacing w:after="0" w:line="240" w:lineRule="auto"/>
        <w:jc w:val="both"/>
        <w:rPr>
          <w:rFonts w:eastAsia="Times New Roman" w:cs="Calibri"/>
          <w:b/>
          <w:sz w:val="20"/>
          <w:szCs w:val="20"/>
          <w:shd w:val="clear" w:color="auto" w:fill="FFFF00"/>
          <w:lang w:eastAsia="es-ES"/>
        </w:rPr>
      </w:pPr>
    </w:p>
    <w:p w14:paraId="22E563A8" w14:textId="77777777" w:rsidR="007745EB" w:rsidRPr="008F6566" w:rsidRDefault="00C87FDA" w:rsidP="00EC7D22">
      <w:pPr>
        <w:pStyle w:val="INCISO"/>
        <w:numPr>
          <w:ilvl w:val="1"/>
          <w:numId w:val="9"/>
        </w:numPr>
        <w:spacing w:after="0" w:line="240" w:lineRule="auto"/>
        <w:ind w:left="0" w:firstLine="0"/>
        <w:rPr>
          <w:rFonts w:ascii="Calibri" w:hAnsi="Calibri" w:cs="Calibri"/>
          <w:sz w:val="20"/>
          <w:szCs w:val="20"/>
        </w:rPr>
      </w:pPr>
      <w:r w:rsidRPr="008F6566">
        <w:rPr>
          <w:rFonts w:ascii="Calibri" w:hAnsi="Calibri" w:cs="Calibri"/>
          <w:sz w:val="20"/>
          <w:szCs w:val="20"/>
        </w:rPr>
        <w:t>Principales Políticas de control interno.</w:t>
      </w:r>
    </w:p>
    <w:p w14:paraId="552CE2BF" w14:textId="75E91427" w:rsidR="007745EB" w:rsidRDefault="00C87FDA" w:rsidP="00EC7D22">
      <w:pPr>
        <w:pStyle w:val="INCISO"/>
        <w:spacing w:after="0" w:line="240" w:lineRule="auto"/>
        <w:ind w:left="0" w:firstLine="0"/>
        <w:rPr>
          <w:rFonts w:ascii="Calibri" w:hAnsi="Calibri" w:cs="Calibri"/>
          <w:sz w:val="20"/>
          <w:szCs w:val="20"/>
        </w:rPr>
      </w:pPr>
      <w:r w:rsidRPr="008F6566">
        <w:rPr>
          <w:rFonts w:ascii="Calibri" w:hAnsi="Calibri" w:cs="Calibri"/>
          <w:sz w:val="20"/>
          <w:szCs w:val="20"/>
        </w:rPr>
        <w:t>El Gobierno del Estado aplica en el ejercicio del gasto la Normatividad establecida por la Contraloría Gubernamental, y en el caso de los Recursos Federales las que establecen las reglas de operación de los programas</w:t>
      </w:r>
      <w:r w:rsidR="00A86E62">
        <w:rPr>
          <w:rFonts w:ascii="Calibri" w:hAnsi="Calibri" w:cs="Calibri"/>
          <w:sz w:val="20"/>
          <w:szCs w:val="20"/>
        </w:rPr>
        <w:t xml:space="preserve"> y/o convenios correspondientes.</w:t>
      </w:r>
    </w:p>
    <w:p w14:paraId="09B7260A" w14:textId="77777777" w:rsidR="00A86E62" w:rsidRDefault="00A86E62" w:rsidP="00EC7D22">
      <w:pPr>
        <w:pStyle w:val="INCISO"/>
        <w:spacing w:after="0" w:line="240" w:lineRule="auto"/>
        <w:ind w:left="0" w:firstLine="0"/>
        <w:rPr>
          <w:rFonts w:ascii="Calibri" w:hAnsi="Calibri" w:cs="Calibri"/>
          <w:sz w:val="20"/>
          <w:szCs w:val="20"/>
        </w:rPr>
      </w:pPr>
    </w:p>
    <w:p w14:paraId="4264C78B" w14:textId="3B1971EC" w:rsidR="007745EB" w:rsidRPr="008F6566" w:rsidRDefault="00A86E62" w:rsidP="00EC7D22">
      <w:pPr>
        <w:pStyle w:val="INCISO"/>
        <w:spacing w:after="0" w:line="240" w:lineRule="auto"/>
        <w:ind w:left="0" w:firstLine="0"/>
        <w:rPr>
          <w:rFonts w:ascii="Calibri" w:hAnsi="Calibri" w:cs="Calibri"/>
          <w:sz w:val="20"/>
          <w:szCs w:val="20"/>
        </w:rPr>
      </w:pPr>
      <w:r>
        <w:rPr>
          <w:rFonts w:ascii="Calibri" w:hAnsi="Calibri" w:cs="Calibri"/>
          <w:sz w:val="20"/>
          <w:szCs w:val="20"/>
        </w:rPr>
        <w:t xml:space="preserve">     b)    </w:t>
      </w:r>
      <w:r w:rsidR="00C87FDA" w:rsidRPr="008F6566">
        <w:rPr>
          <w:rFonts w:ascii="Calibri" w:hAnsi="Calibri" w:cs="Calibri"/>
          <w:sz w:val="20"/>
          <w:szCs w:val="20"/>
        </w:rPr>
        <w:t>Medidas de desempeño Financiero, metas y alcance.</w:t>
      </w:r>
    </w:p>
    <w:p w14:paraId="2F47FF8E" w14:textId="3283F40F" w:rsidR="007745EB" w:rsidRPr="008F6566" w:rsidRDefault="00C87FDA" w:rsidP="00EC7D22">
      <w:pPr>
        <w:pStyle w:val="INCISO"/>
        <w:tabs>
          <w:tab w:val="left" w:pos="2410"/>
        </w:tabs>
        <w:spacing w:after="0" w:line="240" w:lineRule="auto"/>
        <w:ind w:left="0" w:firstLine="0"/>
        <w:rPr>
          <w:rFonts w:ascii="Calibri" w:hAnsi="Calibri" w:cs="Calibri"/>
          <w:sz w:val="20"/>
          <w:szCs w:val="20"/>
        </w:rPr>
      </w:pPr>
      <w:r w:rsidRPr="008F6566">
        <w:rPr>
          <w:rFonts w:ascii="Calibri" w:hAnsi="Calibri" w:cs="Calibri"/>
          <w:sz w:val="20"/>
          <w:szCs w:val="20"/>
        </w:rPr>
        <w:t>Con el propósito de avanzar en el uso transparente y eficaz de los recursos públicos y para dar continuidad a las acciones del Gobierno del Estado, se sigue promoviendo la aplicación de criterios de racionalidad, economía, eficacia, eficiencia y austeridad.</w:t>
      </w:r>
    </w:p>
    <w:p w14:paraId="7823BF2D" w14:textId="77777777" w:rsidR="007745EB" w:rsidRPr="008F6566" w:rsidRDefault="007745EB" w:rsidP="00EC7D22">
      <w:pPr>
        <w:spacing w:after="0" w:line="240" w:lineRule="auto"/>
        <w:jc w:val="both"/>
        <w:rPr>
          <w:rFonts w:eastAsia="Times New Roman" w:cs="Calibri"/>
          <w:b/>
          <w:sz w:val="20"/>
          <w:szCs w:val="20"/>
          <w:shd w:val="clear" w:color="auto" w:fill="FFFF00"/>
          <w:lang w:eastAsia="es-ES"/>
        </w:rPr>
      </w:pPr>
    </w:p>
    <w:p w14:paraId="0E6A2453" w14:textId="75CBBDDD" w:rsidR="007745EB" w:rsidRPr="008F6566" w:rsidRDefault="00F26249" w:rsidP="00EC7D22">
      <w:pPr>
        <w:spacing w:after="0" w:line="240" w:lineRule="auto"/>
        <w:jc w:val="both"/>
        <w:rPr>
          <w:rFonts w:eastAsia="Times New Roman" w:cs="Calibri"/>
          <w:b/>
          <w:sz w:val="20"/>
          <w:szCs w:val="20"/>
          <w:lang w:eastAsia="es-ES"/>
        </w:rPr>
      </w:pPr>
      <w:r>
        <w:rPr>
          <w:rFonts w:eastAsia="Times New Roman" w:cs="Calibri"/>
          <w:b/>
          <w:sz w:val="20"/>
          <w:szCs w:val="20"/>
          <w:lang w:eastAsia="es-ES"/>
        </w:rPr>
        <w:t>13.</w:t>
      </w:r>
      <w:r w:rsidR="00C87FDA" w:rsidRPr="008F6566">
        <w:rPr>
          <w:rFonts w:eastAsia="Times New Roman" w:cs="Calibri"/>
          <w:b/>
          <w:sz w:val="20"/>
          <w:szCs w:val="20"/>
          <w:lang w:eastAsia="es-ES"/>
        </w:rPr>
        <w:t xml:space="preserve">   Información por Segmentos.  </w:t>
      </w:r>
    </w:p>
    <w:p w14:paraId="19004B1D" w14:textId="77777777" w:rsidR="007745EB" w:rsidRPr="008F6566" w:rsidRDefault="00C87FDA" w:rsidP="00EC7D22">
      <w:pPr>
        <w:tabs>
          <w:tab w:val="center" w:pos="4599"/>
        </w:tabs>
        <w:spacing w:after="0" w:line="240" w:lineRule="auto"/>
        <w:jc w:val="both"/>
        <w:rPr>
          <w:rFonts w:eastAsia="Times New Roman" w:cs="Calibri"/>
          <w:b/>
          <w:sz w:val="20"/>
          <w:szCs w:val="20"/>
          <w:lang w:eastAsia="es-ES"/>
        </w:rPr>
      </w:pPr>
      <w:r w:rsidRPr="008F6566">
        <w:rPr>
          <w:rFonts w:eastAsia="Times New Roman" w:cs="Calibri"/>
          <w:b/>
          <w:sz w:val="20"/>
          <w:szCs w:val="20"/>
          <w:lang w:val="es-ES" w:eastAsia="es-ES"/>
        </w:rPr>
        <w:t xml:space="preserve">No Aplica </w:t>
      </w:r>
      <w:r w:rsidRPr="008F6566">
        <w:rPr>
          <w:rFonts w:eastAsia="Times New Roman" w:cs="Calibri"/>
          <w:b/>
          <w:sz w:val="20"/>
          <w:szCs w:val="20"/>
          <w:lang w:val="es-ES" w:eastAsia="es-ES"/>
        </w:rPr>
        <w:tab/>
      </w:r>
    </w:p>
    <w:p w14:paraId="3B4E4B89" w14:textId="77777777" w:rsidR="007745EB" w:rsidRPr="008F6566" w:rsidRDefault="007745EB" w:rsidP="00EC7D22">
      <w:pPr>
        <w:pStyle w:val="Prrafodelista"/>
        <w:spacing w:after="0" w:line="240" w:lineRule="auto"/>
        <w:ind w:left="0"/>
        <w:jc w:val="both"/>
        <w:rPr>
          <w:rFonts w:eastAsia="Times New Roman" w:cs="Calibri"/>
          <w:b/>
          <w:sz w:val="20"/>
          <w:szCs w:val="20"/>
          <w:lang w:eastAsia="es-ES"/>
        </w:rPr>
      </w:pPr>
    </w:p>
    <w:p w14:paraId="45B4A2DB" w14:textId="0C775168" w:rsidR="007745EB" w:rsidRPr="00F26249" w:rsidRDefault="00F26249" w:rsidP="00EC7D22">
      <w:pPr>
        <w:spacing w:after="0" w:line="240" w:lineRule="auto"/>
        <w:jc w:val="both"/>
        <w:rPr>
          <w:rFonts w:eastAsia="Times New Roman" w:cs="Calibri"/>
          <w:b/>
          <w:sz w:val="20"/>
          <w:szCs w:val="20"/>
          <w:lang w:eastAsia="es-ES"/>
        </w:rPr>
      </w:pPr>
      <w:r>
        <w:rPr>
          <w:rFonts w:eastAsia="Times New Roman" w:cs="Calibri"/>
          <w:b/>
          <w:sz w:val="20"/>
          <w:szCs w:val="20"/>
          <w:lang w:eastAsia="es-ES"/>
        </w:rPr>
        <w:t>14.</w:t>
      </w:r>
      <w:r w:rsidR="00A71890">
        <w:rPr>
          <w:rFonts w:eastAsia="Times New Roman" w:cs="Calibri"/>
          <w:b/>
          <w:sz w:val="20"/>
          <w:szCs w:val="20"/>
          <w:lang w:eastAsia="es-ES"/>
        </w:rPr>
        <w:t xml:space="preserve">   </w:t>
      </w:r>
      <w:r w:rsidR="00C87FDA" w:rsidRPr="00F26249">
        <w:rPr>
          <w:rFonts w:eastAsia="Times New Roman" w:cs="Calibri"/>
          <w:b/>
          <w:sz w:val="20"/>
          <w:szCs w:val="20"/>
          <w:lang w:eastAsia="es-ES"/>
        </w:rPr>
        <w:t>Eventos Posteriores al Cierre.</w:t>
      </w:r>
    </w:p>
    <w:p w14:paraId="3DD88E77" w14:textId="6EF2702A" w:rsidR="007745EB" w:rsidRPr="008F6566" w:rsidRDefault="00A86E62" w:rsidP="00EC7D22">
      <w:pPr>
        <w:pStyle w:val="Prrafodelista"/>
        <w:spacing w:after="0" w:line="240" w:lineRule="auto"/>
        <w:ind w:left="0"/>
        <w:jc w:val="both"/>
        <w:rPr>
          <w:rFonts w:eastAsia="Times New Roman" w:cs="Calibri"/>
          <w:b/>
          <w:sz w:val="20"/>
          <w:szCs w:val="20"/>
          <w:lang w:eastAsia="es-ES"/>
        </w:rPr>
      </w:pPr>
      <w:r>
        <w:rPr>
          <w:rFonts w:eastAsia="Times New Roman" w:cs="Calibri"/>
          <w:b/>
          <w:sz w:val="20"/>
          <w:szCs w:val="20"/>
          <w:lang w:val="es-ES" w:eastAsia="es-ES"/>
        </w:rPr>
        <w:t xml:space="preserve"> </w:t>
      </w:r>
      <w:r w:rsidR="00C87FDA" w:rsidRPr="008F6566">
        <w:rPr>
          <w:rFonts w:eastAsia="Times New Roman" w:cs="Calibri"/>
          <w:b/>
          <w:sz w:val="20"/>
          <w:szCs w:val="20"/>
          <w:lang w:val="es-ES" w:eastAsia="es-ES"/>
        </w:rPr>
        <w:t xml:space="preserve">No Aplica </w:t>
      </w:r>
    </w:p>
    <w:p w14:paraId="37DE3C14" w14:textId="77777777" w:rsidR="007745EB" w:rsidRPr="008F6566" w:rsidRDefault="007745EB" w:rsidP="00EC7D22">
      <w:pPr>
        <w:pStyle w:val="Prrafodelista"/>
        <w:spacing w:after="0" w:line="240" w:lineRule="auto"/>
        <w:ind w:left="0"/>
        <w:jc w:val="both"/>
        <w:rPr>
          <w:rFonts w:eastAsia="Times New Roman" w:cs="Calibri"/>
          <w:b/>
          <w:sz w:val="20"/>
          <w:szCs w:val="20"/>
          <w:lang w:eastAsia="es-ES"/>
        </w:rPr>
      </w:pPr>
    </w:p>
    <w:p w14:paraId="63B3A4BA" w14:textId="77777777" w:rsidR="007745EB" w:rsidRPr="008F6566" w:rsidRDefault="007745EB" w:rsidP="00EC7D22">
      <w:pPr>
        <w:pStyle w:val="Prrafodelista"/>
        <w:spacing w:after="0" w:line="240" w:lineRule="auto"/>
        <w:ind w:left="0"/>
        <w:jc w:val="both"/>
        <w:rPr>
          <w:rFonts w:eastAsia="Times New Roman" w:cs="Calibri"/>
          <w:b/>
          <w:sz w:val="20"/>
          <w:szCs w:val="20"/>
          <w:lang w:eastAsia="es-ES"/>
        </w:rPr>
      </w:pPr>
    </w:p>
    <w:p w14:paraId="7DC36F20" w14:textId="1B24DB11" w:rsidR="007745EB" w:rsidRPr="008F6566" w:rsidRDefault="00A77F60" w:rsidP="00EC7D22">
      <w:pPr>
        <w:spacing w:after="0" w:line="240" w:lineRule="auto"/>
        <w:jc w:val="both"/>
        <w:rPr>
          <w:rFonts w:eastAsia="Times New Roman" w:cs="Calibri"/>
          <w:b/>
          <w:sz w:val="20"/>
          <w:szCs w:val="20"/>
          <w:lang w:eastAsia="es-ES"/>
        </w:rPr>
      </w:pPr>
      <w:r>
        <w:rPr>
          <w:rFonts w:eastAsia="Times New Roman" w:cs="Calibri"/>
          <w:b/>
          <w:sz w:val="20"/>
          <w:szCs w:val="20"/>
          <w:lang w:eastAsia="es-ES"/>
        </w:rPr>
        <w:t>1</w:t>
      </w:r>
      <w:r w:rsidR="00F26249">
        <w:rPr>
          <w:rFonts w:eastAsia="Times New Roman" w:cs="Calibri"/>
          <w:b/>
          <w:sz w:val="20"/>
          <w:szCs w:val="20"/>
          <w:lang w:eastAsia="es-ES"/>
        </w:rPr>
        <w:t>5</w:t>
      </w:r>
      <w:r>
        <w:rPr>
          <w:rFonts w:eastAsia="Times New Roman" w:cs="Calibri"/>
          <w:b/>
          <w:sz w:val="20"/>
          <w:szCs w:val="20"/>
          <w:lang w:eastAsia="es-ES"/>
        </w:rPr>
        <w:t>.</w:t>
      </w:r>
      <w:r w:rsidR="00C87FDA" w:rsidRPr="008F6566">
        <w:rPr>
          <w:rFonts w:eastAsia="Times New Roman" w:cs="Calibri"/>
          <w:b/>
          <w:sz w:val="20"/>
          <w:szCs w:val="20"/>
          <w:lang w:eastAsia="es-ES"/>
        </w:rPr>
        <w:t xml:space="preserve">    Partes Relacionadas.</w:t>
      </w:r>
    </w:p>
    <w:p w14:paraId="4D8B0C9F" w14:textId="77777777" w:rsidR="007745EB" w:rsidRPr="008F6566" w:rsidRDefault="00C87FDA" w:rsidP="00EC7D22">
      <w:pPr>
        <w:pStyle w:val="Prrafodelista"/>
        <w:spacing w:after="0" w:line="240" w:lineRule="auto"/>
        <w:ind w:left="0"/>
        <w:jc w:val="both"/>
        <w:rPr>
          <w:rFonts w:eastAsia="Times New Roman" w:cs="Calibri"/>
          <w:sz w:val="20"/>
          <w:szCs w:val="20"/>
          <w:lang w:eastAsia="es-ES"/>
        </w:rPr>
      </w:pPr>
      <w:r w:rsidRPr="008F6566">
        <w:rPr>
          <w:rFonts w:eastAsia="Times New Roman" w:cs="Calibri"/>
          <w:sz w:val="20"/>
          <w:szCs w:val="20"/>
          <w:lang w:eastAsia="es-ES"/>
        </w:rPr>
        <w:t>Se manifiesta que no existen partes relacionadas que pudieran ejercen influencia significativa sobre la toma de decisiones Financieras y Operativas del Gobierno del Estado.</w:t>
      </w:r>
    </w:p>
    <w:p w14:paraId="6A6FFC1D" w14:textId="77777777" w:rsidR="007745EB" w:rsidRPr="008F6566" w:rsidRDefault="007745EB" w:rsidP="00EC7D22">
      <w:pPr>
        <w:spacing w:after="0" w:line="240" w:lineRule="auto"/>
        <w:jc w:val="both"/>
        <w:rPr>
          <w:rFonts w:eastAsia="Times New Roman" w:cs="Calibri"/>
          <w:sz w:val="20"/>
          <w:szCs w:val="20"/>
          <w:lang w:val="es-ES" w:eastAsia="es-ES"/>
        </w:rPr>
      </w:pPr>
    </w:p>
    <w:p w14:paraId="6527C1E5" w14:textId="77777777" w:rsidR="007745EB" w:rsidRPr="008F6566" w:rsidRDefault="007745EB" w:rsidP="00EC7D22">
      <w:pPr>
        <w:spacing w:after="0" w:line="240" w:lineRule="exact"/>
        <w:jc w:val="both"/>
        <w:rPr>
          <w:rFonts w:eastAsia="Times New Roman" w:cs="Calibri"/>
          <w:sz w:val="20"/>
          <w:szCs w:val="20"/>
          <w:lang w:val="es-ES" w:eastAsia="es-ES"/>
        </w:rPr>
      </w:pPr>
    </w:p>
    <w:p w14:paraId="1B6E758C" w14:textId="77777777" w:rsidR="00A86E62" w:rsidRDefault="00A86E62" w:rsidP="00EC7D22">
      <w:pPr>
        <w:spacing w:after="0" w:line="240" w:lineRule="auto"/>
        <w:rPr>
          <w:rFonts w:eastAsia="Times New Roman" w:cs="Calibri"/>
          <w:sz w:val="16"/>
          <w:szCs w:val="16"/>
          <w:lang w:val="es-ES" w:eastAsia="es-ES"/>
        </w:rPr>
      </w:pPr>
    </w:p>
    <w:p w14:paraId="4223571C" w14:textId="5C895428" w:rsidR="007745EB" w:rsidRPr="004E5FE9" w:rsidRDefault="00C87FDA" w:rsidP="00EC7D22">
      <w:pPr>
        <w:spacing w:after="0" w:line="240" w:lineRule="auto"/>
        <w:rPr>
          <w:rFonts w:eastAsia="Times New Roman" w:cs="Calibri"/>
          <w:i/>
          <w:sz w:val="15"/>
          <w:szCs w:val="15"/>
          <w:lang w:val="es-ES" w:eastAsia="es-ES"/>
        </w:rPr>
      </w:pPr>
      <w:r w:rsidRPr="004E5FE9">
        <w:rPr>
          <w:rFonts w:eastAsia="Times New Roman" w:cs="Calibri"/>
          <w:i/>
          <w:sz w:val="15"/>
          <w:szCs w:val="15"/>
          <w:lang w:val="es-ES" w:eastAsia="es-ES"/>
        </w:rPr>
        <w:t>“Bajo protesta de decir verdad declaramos que los Estados Financieros y sus Notas, son razonablemente correctos y son responsabilidad del emisor “</w:t>
      </w:r>
    </w:p>
    <w:p w14:paraId="60D1AD01" w14:textId="77777777" w:rsidR="007745EB" w:rsidRPr="00126B13" w:rsidRDefault="007745EB" w:rsidP="00EC7D22">
      <w:pPr>
        <w:pStyle w:val="Texto"/>
        <w:spacing w:before="240" w:after="0" w:line="240" w:lineRule="exact"/>
        <w:ind w:firstLine="0"/>
        <w:rPr>
          <w:rFonts w:ascii="Calibri" w:hAnsi="Calibri" w:cs="Calibri"/>
          <w:sz w:val="16"/>
          <w:szCs w:val="16"/>
        </w:rPr>
      </w:pPr>
    </w:p>
    <w:p w14:paraId="5DA20FF8" w14:textId="49468C57" w:rsidR="00DA6AE2" w:rsidRDefault="00DA6AE2" w:rsidP="00EC7D22">
      <w:pPr>
        <w:pStyle w:val="Texto"/>
        <w:spacing w:before="240" w:after="0" w:line="240" w:lineRule="exact"/>
        <w:ind w:firstLine="0"/>
        <w:rPr>
          <w:rFonts w:ascii="Calibri" w:hAnsi="Calibri" w:cs="Calibri"/>
          <w:b/>
          <w:sz w:val="22"/>
          <w:szCs w:val="22"/>
        </w:rPr>
      </w:pPr>
    </w:p>
    <w:p w14:paraId="44DEEC52" w14:textId="52CDF987" w:rsidR="00DA6AE2" w:rsidRDefault="00DA6AE2" w:rsidP="00EC7D22">
      <w:pPr>
        <w:pStyle w:val="Texto"/>
        <w:spacing w:before="240" w:after="0" w:line="240" w:lineRule="exact"/>
        <w:ind w:firstLine="0"/>
        <w:rPr>
          <w:rFonts w:ascii="Calibri" w:hAnsi="Calibri" w:cs="Calibri"/>
          <w:b/>
          <w:sz w:val="22"/>
          <w:szCs w:val="22"/>
        </w:rPr>
      </w:pPr>
    </w:p>
    <w:p w14:paraId="6B0F25E6" w14:textId="343D9EFB" w:rsidR="00DA6AE2" w:rsidRDefault="00DA6AE2" w:rsidP="00EC7D22">
      <w:pPr>
        <w:pStyle w:val="Texto"/>
        <w:spacing w:before="240" w:after="0" w:line="240" w:lineRule="exact"/>
        <w:ind w:firstLine="0"/>
        <w:rPr>
          <w:rFonts w:ascii="Calibri" w:hAnsi="Calibri" w:cs="Calibri"/>
          <w:b/>
          <w:sz w:val="22"/>
          <w:szCs w:val="22"/>
        </w:rPr>
      </w:pPr>
    </w:p>
    <w:p w14:paraId="5B5359BF" w14:textId="047A9284" w:rsidR="00DA6AE2" w:rsidRDefault="00DA6AE2" w:rsidP="00EC7D22">
      <w:pPr>
        <w:pStyle w:val="Texto"/>
        <w:spacing w:before="240" w:after="0" w:line="240" w:lineRule="exact"/>
        <w:ind w:firstLine="0"/>
        <w:rPr>
          <w:rFonts w:ascii="Calibri" w:hAnsi="Calibri" w:cs="Calibri"/>
          <w:b/>
          <w:sz w:val="22"/>
          <w:szCs w:val="22"/>
        </w:rPr>
      </w:pPr>
    </w:p>
    <w:p w14:paraId="0E7FAF5F" w14:textId="77777777" w:rsidR="00DF32F3" w:rsidRDefault="00DF32F3" w:rsidP="00EC7D22">
      <w:pPr>
        <w:pStyle w:val="Texto"/>
        <w:spacing w:before="240" w:after="0" w:line="360" w:lineRule="auto"/>
        <w:ind w:firstLine="0"/>
        <w:jc w:val="center"/>
        <w:rPr>
          <w:rFonts w:ascii="Calibri" w:hAnsi="Calibri" w:cs="Calibri"/>
          <w:b/>
          <w:sz w:val="22"/>
          <w:szCs w:val="22"/>
        </w:rPr>
      </w:pPr>
    </w:p>
    <w:p w14:paraId="5F507192" w14:textId="561B528F" w:rsidR="00DF32F3" w:rsidRDefault="00DF32F3" w:rsidP="00EC7D22">
      <w:pPr>
        <w:pStyle w:val="Texto"/>
        <w:spacing w:before="240" w:after="0" w:line="360" w:lineRule="auto"/>
        <w:ind w:firstLine="0"/>
        <w:jc w:val="center"/>
        <w:rPr>
          <w:rFonts w:ascii="Calibri" w:hAnsi="Calibri" w:cs="Calibri"/>
          <w:b/>
          <w:sz w:val="22"/>
          <w:szCs w:val="22"/>
        </w:rPr>
      </w:pPr>
    </w:p>
    <w:p w14:paraId="3A7FE41F" w14:textId="77777777" w:rsidR="00AA4AEA" w:rsidRDefault="00AA4AEA" w:rsidP="00EC7D22">
      <w:pPr>
        <w:pStyle w:val="Texto"/>
        <w:spacing w:before="240" w:after="0" w:line="360" w:lineRule="auto"/>
        <w:ind w:firstLine="0"/>
        <w:jc w:val="center"/>
        <w:rPr>
          <w:rFonts w:ascii="Calibri" w:hAnsi="Calibri" w:cs="Calibri"/>
          <w:b/>
          <w:sz w:val="22"/>
          <w:szCs w:val="22"/>
        </w:rPr>
      </w:pPr>
    </w:p>
    <w:p w14:paraId="45CC06F7" w14:textId="77777777" w:rsidR="00AA4AEA" w:rsidRDefault="00AA4AEA" w:rsidP="00EC7D22">
      <w:pPr>
        <w:pStyle w:val="Texto"/>
        <w:spacing w:before="240" w:after="0" w:line="360" w:lineRule="auto"/>
        <w:ind w:firstLine="0"/>
        <w:jc w:val="center"/>
        <w:rPr>
          <w:rFonts w:ascii="Calibri" w:hAnsi="Calibri" w:cs="Calibri"/>
          <w:b/>
          <w:sz w:val="22"/>
          <w:szCs w:val="22"/>
        </w:rPr>
      </w:pPr>
    </w:p>
    <w:p w14:paraId="4C6FFD68" w14:textId="77777777" w:rsidR="00AA4AEA" w:rsidRDefault="00AA4AEA" w:rsidP="00EC7D22">
      <w:pPr>
        <w:pStyle w:val="Texto"/>
        <w:spacing w:before="240" w:after="0" w:line="360" w:lineRule="auto"/>
        <w:ind w:firstLine="0"/>
        <w:jc w:val="center"/>
        <w:rPr>
          <w:rFonts w:ascii="Calibri" w:hAnsi="Calibri" w:cs="Calibri"/>
          <w:b/>
          <w:sz w:val="22"/>
          <w:szCs w:val="22"/>
        </w:rPr>
      </w:pPr>
    </w:p>
    <w:p w14:paraId="58A5672C" w14:textId="77777777" w:rsidR="005B1AB1" w:rsidRDefault="00C87FDA" w:rsidP="00EC7D22">
      <w:pPr>
        <w:pStyle w:val="Texto"/>
        <w:spacing w:before="240" w:after="0" w:line="360" w:lineRule="auto"/>
        <w:ind w:firstLine="0"/>
        <w:jc w:val="center"/>
        <w:rPr>
          <w:rFonts w:ascii="Calibri" w:hAnsi="Calibri" w:cs="Calibri"/>
          <w:b/>
          <w:sz w:val="22"/>
          <w:szCs w:val="22"/>
        </w:rPr>
      </w:pPr>
      <w:r>
        <w:rPr>
          <w:rFonts w:ascii="Calibri" w:hAnsi="Calibri" w:cs="Calibri"/>
          <w:b/>
          <w:sz w:val="22"/>
          <w:szCs w:val="22"/>
        </w:rPr>
        <w:lastRenderedPageBreak/>
        <w:t xml:space="preserve">NOTAS A LOS ESTADOS </w:t>
      </w:r>
      <w:proofErr w:type="spellStart"/>
      <w:r>
        <w:rPr>
          <w:rFonts w:ascii="Calibri" w:hAnsi="Calibri" w:cs="Calibri"/>
          <w:b/>
          <w:sz w:val="22"/>
          <w:szCs w:val="22"/>
        </w:rPr>
        <w:t>FINANCIEROS</w:t>
      </w:r>
      <w:proofErr w:type="spellEnd"/>
    </w:p>
    <w:p w14:paraId="6D03ADAB" w14:textId="65D5DDA8" w:rsidR="007745EB" w:rsidRPr="005B1AB1" w:rsidRDefault="00C87FDA" w:rsidP="00EC7D22">
      <w:pPr>
        <w:pStyle w:val="Texto"/>
        <w:spacing w:before="240" w:after="0" w:line="360" w:lineRule="auto"/>
        <w:ind w:firstLine="0"/>
        <w:jc w:val="center"/>
        <w:rPr>
          <w:rFonts w:ascii="Calibri" w:hAnsi="Calibri" w:cs="Calibri"/>
          <w:b/>
          <w:sz w:val="22"/>
          <w:szCs w:val="22"/>
        </w:rPr>
      </w:pPr>
      <w:r>
        <w:rPr>
          <w:rFonts w:ascii="Calibri" w:hAnsi="Calibri" w:cs="Calibri"/>
          <w:b/>
          <w:sz w:val="22"/>
          <w:szCs w:val="18"/>
        </w:rPr>
        <w:t xml:space="preserve">Al </w:t>
      </w:r>
      <w:r w:rsidR="00554DF0">
        <w:rPr>
          <w:rFonts w:ascii="Calibri" w:hAnsi="Calibri" w:cs="Calibri"/>
          <w:b/>
          <w:sz w:val="22"/>
          <w:szCs w:val="18"/>
        </w:rPr>
        <w:t xml:space="preserve">31 de </w:t>
      </w:r>
      <w:proofErr w:type="gramStart"/>
      <w:r w:rsidR="00554DF0">
        <w:rPr>
          <w:rFonts w:ascii="Calibri" w:hAnsi="Calibri" w:cs="Calibri"/>
          <w:b/>
          <w:sz w:val="22"/>
          <w:szCs w:val="18"/>
        </w:rPr>
        <w:t>Diciembre</w:t>
      </w:r>
      <w:proofErr w:type="gramEnd"/>
      <w:r>
        <w:rPr>
          <w:rFonts w:ascii="Calibri" w:hAnsi="Calibri" w:cs="Calibri"/>
          <w:b/>
          <w:sz w:val="22"/>
          <w:szCs w:val="18"/>
        </w:rPr>
        <w:t xml:space="preserve"> de 2024</w:t>
      </w:r>
    </w:p>
    <w:p w14:paraId="412A726E" w14:textId="77777777" w:rsidR="007745EB" w:rsidRDefault="00C87FDA" w:rsidP="00EC7D22">
      <w:pPr>
        <w:spacing w:after="0" w:line="240" w:lineRule="auto"/>
        <w:jc w:val="center"/>
        <w:rPr>
          <w:rFonts w:eastAsia="Times New Roman" w:cs="Calibri"/>
          <w:b/>
          <w:lang w:eastAsia="es-ES"/>
        </w:rPr>
      </w:pPr>
      <w:r>
        <w:rPr>
          <w:rFonts w:eastAsia="Times New Roman" w:cs="Calibri"/>
          <w:b/>
          <w:lang w:eastAsia="es-ES"/>
        </w:rPr>
        <w:t>b) Notas de Desglose</w:t>
      </w:r>
    </w:p>
    <w:p w14:paraId="334A3118" w14:textId="77777777" w:rsidR="005E025E" w:rsidRPr="005E025E" w:rsidRDefault="005E025E" w:rsidP="00EC7D22">
      <w:pPr>
        <w:pStyle w:val="Prrafodelista"/>
        <w:spacing w:after="0" w:line="240" w:lineRule="auto"/>
        <w:ind w:left="0"/>
        <w:jc w:val="center"/>
        <w:rPr>
          <w:rFonts w:eastAsia="Times New Roman" w:cs="Calibri"/>
          <w:bCs/>
          <w:i/>
          <w:iCs/>
          <w:sz w:val="20"/>
          <w:szCs w:val="20"/>
          <w:lang w:eastAsia="es-ES"/>
        </w:rPr>
      </w:pPr>
      <w:r w:rsidRPr="005E025E">
        <w:rPr>
          <w:rFonts w:eastAsia="Times New Roman" w:cs="Calibri"/>
          <w:bCs/>
          <w:i/>
          <w:iCs/>
          <w:sz w:val="20"/>
          <w:szCs w:val="20"/>
          <w:lang w:eastAsia="es-ES"/>
        </w:rPr>
        <w:t>(Cifras en Pesos)</w:t>
      </w:r>
    </w:p>
    <w:p w14:paraId="1474C2CD" w14:textId="77777777" w:rsidR="007745EB" w:rsidRDefault="007745EB" w:rsidP="00EC7D22">
      <w:pPr>
        <w:spacing w:after="0" w:line="240" w:lineRule="exact"/>
        <w:jc w:val="both"/>
        <w:rPr>
          <w:rFonts w:eastAsia="Times New Roman" w:cs="Calibri"/>
          <w:sz w:val="16"/>
          <w:szCs w:val="16"/>
          <w:lang w:val="es-ES" w:eastAsia="es-ES"/>
        </w:rPr>
      </w:pPr>
    </w:p>
    <w:p w14:paraId="5E61E7F8" w14:textId="77777777" w:rsidR="007745EB" w:rsidRDefault="007745EB" w:rsidP="00EC7D22">
      <w:pPr>
        <w:spacing w:after="0" w:line="240" w:lineRule="exact"/>
        <w:jc w:val="both"/>
        <w:rPr>
          <w:rFonts w:eastAsia="Times New Roman" w:cs="Calibri"/>
          <w:sz w:val="16"/>
          <w:szCs w:val="16"/>
          <w:lang w:val="es-ES" w:eastAsia="es-ES"/>
        </w:rPr>
      </w:pPr>
    </w:p>
    <w:p w14:paraId="6D0D0974" w14:textId="14D6F1C6" w:rsidR="007745EB" w:rsidRDefault="004D0BC0" w:rsidP="004D0BC0">
      <w:pPr>
        <w:pStyle w:val="Prrafodelista"/>
        <w:spacing w:after="0"/>
        <w:ind w:left="0"/>
        <w:jc w:val="both"/>
        <w:rPr>
          <w:rFonts w:cs="Calibri"/>
          <w:b/>
          <w:sz w:val="20"/>
          <w:szCs w:val="20"/>
          <w:lang w:val="es-ES" w:eastAsia="es-ES"/>
        </w:rPr>
      </w:pPr>
      <w:r>
        <w:rPr>
          <w:rFonts w:cs="Calibri"/>
          <w:b/>
          <w:sz w:val="20"/>
          <w:szCs w:val="20"/>
          <w:lang w:val="es-ES" w:eastAsia="es-ES"/>
        </w:rPr>
        <w:t xml:space="preserve">I).  </w:t>
      </w:r>
      <w:r w:rsidR="00C87FDA">
        <w:rPr>
          <w:rFonts w:cs="Calibri"/>
          <w:b/>
          <w:sz w:val="20"/>
          <w:szCs w:val="20"/>
          <w:lang w:val="es-ES" w:eastAsia="es-ES"/>
        </w:rPr>
        <w:t>Notas al Estado de Actividades</w:t>
      </w:r>
    </w:p>
    <w:p w14:paraId="15154C7D" w14:textId="77777777" w:rsidR="00623E15" w:rsidRDefault="00623E15" w:rsidP="00EC7D22">
      <w:pPr>
        <w:spacing w:after="0" w:line="240" w:lineRule="auto"/>
        <w:rPr>
          <w:rFonts w:cs="Calibri"/>
          <w:sz w:val="14"/>
          <w:lang w:val="es-ES" w:eastAsia="es-ES"/>
        </w:rPr>
      </w:pPr>
    </w:p>
    <w:p w14:paraId="6E1206D2" w14:textId="2C47405C" w:rsidR="007745EB" w:rsidRPr="003F3F4A" w:rsidRDefault="00C87FDA" w:rsidP="00A743DD">
      <w:pPr>
        <w:pStyle w:val="Prrafodelista"/>
        <w:numPr>
          <w:ilvl w:val="0"/>
          <w:numId w:val="17"/>
        </w:numPr>
        <w:tabs>
          <w:tab w:val="clear" w:pos="0"/>
        </w:tabs>
        <w:spacing w:after="0" w:line="240" w:lineRule="auto"/>
        <w:ind w:left="0" w:firstLine="142"/>
        <w:rPr>
          <w:rFonts w:cs="Calibri"/>
          <w:b/>
          <w:sz w:val="12"/>
          <w:u w:val="single"/>
          <w:lang w:val="es-ES" w:eastAsia="es-ES"/>
        </w:rPr>
      </w:pPr>
      <w:r w:rsidRPr="00694CE6">
        <w:rPr>
          <w:rFonts w:cs="Calibri"/>
          <w:b/>
          <w:sz w:val="20"/>
          <w:u w:val="single"/>
          <w:lang w:val="es-ES" w:eastAsia="es-ES"/>
        </w:rPr>
        <w:t>Ingresos y Otros Beneficios Varios</w:t>
      </w:r>
      <w:r w:rsidR="00626065">
        <w:rPr>
          <w:rFonts w:cs="Calibri"/>
          <w:b/>
          <w:sz w:val="20"/>
          <w:u w:val="single"/>
          <w:lang w:val="es-ES" w:eastAsia="es-ES"/>
        </w:rPr>
        <w:t>.</w:t>
      </w:r>
    </w:p>
    <w:p w14:paraId="44411E56" w14:textId="77777777" w:rsidR="003F3F4A" w:rsidRDefault="003F3F4A" w:rsidP="00EC7D22">
      <w:pPr>
        <w:spacing w:after="0" w:line="240" w:lineRule="auto"/>
        <w:rPr>
          <w:rFonts w:cs="Calibri"/>
          <w:b/>
          <w:sz w:val="12"/>
          <w:u w:val="single"/>
          <w:lang w:val="es-ES" w:eastAsia="es-ES"/>
        </w:rPr>
      </w:pPr>
    </w:p>
    <w:tbl>
      <w:tblPr>
        <w:tblW w:w="7541" w:type="dxa"/>
        <w:tblCellMar>
          <w:left w:w="70" w:type="dxa"/>
          <w:right w:w="70" w:type="dxa"/>
        </w:tblCellMar>
        <w:tblLook w:val="04A0" w:firstRow="1" w:lastRow="0" w:firstColumn="1" w:lastColumn="0" w:noHBand="0" w:noVBand="1"/>
      </w:tblPr>
      <w:tblGrid>
        <w:gridCol w:w="3955"/>
        <w:gridCol w:w="2230"/>
        <w:gridCol w:w="1356"/>
      </w:tblGrid>
      <w:tr w:rsidR="00AC3B58" w:rsidRPr="00AC3B58" w14:paraId="496C23E5" w14:textId="77777777" w:rsidTr="00AC3B58">
        <w:trPr>
          <w:trHeight w:val="537"/>
        </w:trPr>
        <w:tc>
          <w:tcPr>
            <w:tcW w:w="3955"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04782585" w14:textId="77777777" w:rsidR="00AC3B58" w:rsidRPr="00AC3B58" w:rsidRDefault="00AC3B58" w:rsidP="00EC7D22">
            <w:pPr>
              <w:suppressAutoHyphens w:val="0"/>
              <w:overflowPunct/>
              <w:spacing w:after="0" w:line="240" w:lineRule="auto"/>
              <w:jc w:val="center"/>
              <w:rPr>
                <w:rFonts w:eastAsia="Times New Roman" w:cs="Calibri"/>
                <w:b/>
                <w:bCs/>
                <w:color w:val="FFFFFF"/>
                <w:sz w:val="14"/>
                <w:szCs w:val="14"/>
                <w:lang w:eastAsia="es-MX"/>
              </w:rPr>
            </w:pPr>
            <w:r w:rsidRPr="00AC3B58">
              <w:rPr>
                <w:rFonts w:eastAsia="Times New Roman" w:cs="Calibri"/>
                <w:b/>
                <w:bCs/>
                <w:color w:val="FFFFFF"/>
                <w:sz w:val="14"/>
                <w:szCs w:val="14"/>
                <w:lang w:eastAsia="es-MX"/>
              </w:rPr>
              <w:t xml:space="preserve">Ingresos y Otros Beneficios </w:t>
            </w:r>
          </w:p>
        </w:tc>
        <w:tc>
          <w:tcPr>
            <w:tcW w:w="2230" w:type="dxa"/>
            <w:tcBorders>
              <w:top w:val="single" w:sz="4" w:space="0" w:color="auto"/>
              <w:left w:val="nil"/>
              <w:bottom w:val="single" w:sz="4" w:space="0" w:color="auto"/>
              <w:right w:val="single" w:sz="4" w:space="0" w:color="auto"/>
            </w:tcBorders>
            <w:shd w:val="clear" w:color="800080" w:fill="A90025"/>
            <w:vAlign w:val="center"/>
            <w:hideMark/>
          </w:tcPr>
          <w:p w14:paraId="1044242E" w14:textId="77777777" w:rsidR="00AC3B58" w:rsidRPr="00AC3B58" w:rsidRDefault="00AC3B58" w:rsidP="00EC7D22">
            <w:pPr>
              <w:suppressAutoHyphens w:val="0"/>
              <w:overflowPunct/>
              <w:spacing w:after="0" w:line="240" w:lineRule="auto"/>
              <w:jc w:val="center"/>
              <w:rPr>
                <w:rFonts w:eastAsia="Times New Roman" w:cs="Calibri"/>
                <w:b/>
                <w:bCs/>
                <w:color w:val="FFFFFF"/>
                <w:sz w:val="14"/>
                <w:szCs w:val="14"/>
                <w:lang w:eastAsia="es-MX"/>
              </w:rPr>
            </w:pPr>
            <w:r w:rsidRPr="00AC3B58">
              <w:rPr>
                <w:rFonts w:eastAsia="Times New Roman" w:cs="Calibri"/>
                <w:b/>
                <w:bCs/>
                <w:color w:val="FFFFFF"/>
                <w:sz w:val="14"/>
                <w:szCs w:val="14"/>
                <w:lang w:eastAsia="es-MX"/>
              </w:rPr>
              <w:t>Importe</w:t>
            </w:r>
          </w:p>
        </w:tc>
        <w:tc>
          <w:tcPr>
            <w:tcW w:w="1356" w:type="dxa"/>
            <w:tcBorders>
              <w:top w:val="single" w:sz="4" w:space="0" w:color="auto"/>
              <w:left w:val="nil"/>
              <w:bottom w:val="single" w:sz="4" w:space="0" w:color="auto"/>
              <w:right w:val="single" w:sz="4" w:space="0" w:color="auto"/>
            </w:tcBorders>
            <w:shd w:val="clear" w:color="800080" w:fill="A90025"/>
            <w:vAlign w:val="center"/>
            <w:hideMark/>
          </w:tcPr>
          <w:p w14:paraId="212CA96B" w14:textId="77777777" w:rsidR="00AC3B58" w:rsidRPr="00AC3B58" w:rsidRDefault="00AC3B58" w:rsidP="00EC7D22">
            <w:pPr>
              <w:suppressAutoHyphens w:val="0"/>
              <w:overflowPunct/>
              <w:spacing w:after="0" w:line="240" w:lineRule="auto"/>
              <w:jc w:val="center"/>
              <w:rPr>
                <w:rFonts w:eastAsia="Times New Roman" w:cs="Calibri"/>
                <w:b/>
                <w:bCs/>
                <w:color w:val="FFFFFF"/>
                <w:sz w:val="14"/>
                <w:szCs w:val="14"/>
                <w:lang w:eastAsia="es-MX"/>
              </w:rPr>
            </w:pPr>
            <w:r w:rsidRPr="00AC3B58">
              <w:rPr>
                <w:rFonts w:eastAsia="Times New Roman" w:cs="Calibri"/>
                <w:b/>
                <w:bCs/>
                <w:color w:val="FFFFFF"/>
                <w:sz w:val="14"/>
                <w:szCs w:val="14"/>
                <w:lang w:eastAsia="es-MX"/>
              </w:rPr>
              <w:t>Porcentaje</w:t>
            </w:r>
          </w:p>
        </w:tc>
      </w:tr>
      <w:tr w:rsidR="00AC3B58" w:rsidRPr="00AC3B58" w14:paraId="2402F1E8" w14:textId="77777777" w:rsidTr="00AC3B58">
        <w:trPr>
          <w:trHeight w:val="319"/>
        </w:trPr>
        <w:tc>
          <w:tcPr>
            <w:tcW w:w="3955" w:type="dxa"/>
            <w:tcBorders>
              <w:top w:val="nil"/>
              <w:left w:val="single" w:sz="4" w:space="0" w:color="auto"/>
              <w:bottom w:val="single" w:sz="4" w:space="0" w:color="auto"/>
              <w:right w:val="single" w:sz="4" w:space="0" w:color="auto"/>
            </w:tcBorders>
            <w:shd w:val="clear" w:color="C0C0C0" w:fill="DDC9A3"/>
            <w:noWrap/>
            <w:vAlign w:val="center"/>
            <w:hideMark/>
          </w:tcPr>
          <w:p w14:paraId="54A9E09B" w14:textId="77777777" w:rsidR="00AC3B58" w:rsidRPr="00AC3B58" w:rsidRDefault="00AC3B58" w:rsidP="00EC7D22">
            <w:pPr>
              <w:suppressAutoHyphens w:val="0"/>
              <w:overflowPunct/>
              <w:spacing w:after="0" w:line="240" w:lineRule="auto"/>
              <w:rPr>
                <w:rFonts w:eastAsia="Times New Roman" w:cs="Calibri"/>
                <w:b/>
                <w:bCs/>
                <w:color w:val="000000"/>
                <w:sz w:val="14"/>
                <w:szCs w:val="14"/>
                <w:lang w:eastAsia="es-MX"/>
              </w:rPr>
            </w:pPr>
            <w:r w:rsidRPr="00AC3B58">
              <w:rPr>
                <w:rFonts w:eastAsia="Times New Roman" w:cs="Calibri"/>
                <w:b/>
                <w:bCs/>
                <w:color w:val="000000"/>
                <w:sz w:val="14"/>
                <w:szCs w:val="14"/>
                <w:lang w:eastAsia="es-MX"/>
              </w:rPr>
              <w:t>Ingresos de Gestión.</w:t>
            </w:r>
          </w:p>
        </w:tc>
        <w:tc>
          <w:tcPr>
            <w:tcW w:w="2230" w:type="dxa"/>
            <w:tcBorders>
              <w:top w:val="nil"/>
              <w:left w:val="nil"/>
              <w:bottom w:val="single" w:sz="4" w:space="0" w:color="auto"/>
              <w:right w:val="single" w:sz="4" w:space="0" w:color="auto"/>
            </w:tcBorders>
            <w:shd w:val="clear" w:color="F8CBAD" w:fill="DDC9A3"/>
            <w:vAlign w:val="center"/>
            <w:hideMark/>
          </w:tcPr>
          <w:p w14:paraId="141A810A" w14:textId="77777777" w:rsidR="00AC3B58" w:rsidRPr="00AC3B58" w:rsidRDefault="00AC3B58" w:rsidP="00EC7D22">
            <w:pPr>
              <w:suppressAutoHyphens w:val="0"/>
              <w:overflowPunct/>
              <w:spacing w:after="0" w:line="240" w:lineRule="auto"/>
              <w:jc w:val="right"/>
              <w:rPr>
                <w:rFonts w:eastAsia="Times New Roman" w:cs="Calibri"/>
                <w:b/>
                <w:bCs/>
                <w:color w:val="000000"/>
                <w:sz w:val="16"/>
                <w:szCs w:val="16"/>
                <w:lang w:eastAsia="es-MX"/>
              </w:rPr>
            </w:pPr>
            <w:r w:rsidRPr="00AC3B58">
              <w:rPr>
                <w:rFonts w:eastAsia="Times New Roman" w:cs="Calibri"/>
                <w:b/>
                <w:bCs/>
                <w:color w:val="000000"/>
                <w:sz w:val="16"/>
                <w:szCs w:val="16"/>
                <w:lang w:eastAsia="es-MX"/>
              </w:rPr>
              <w:t>12,249,845,017</w:t>
            </w:r>
          </w:p>
        </w:tc>
        <w:tc>
          <w:tcPr>
            <w:tcW w:w="1356" w:type="dxa"/>
            <w:tcBorders>
              <w:top w:val="nil"/>
              <w:left w:val="nil"/>
              <w:bottom w:val="single" w:sz="4" w:space="0" w:color="auto"/>
              <w:right w:val="single" w:sz="4" w:space="0" w:color="auto"/>
            </w:tcBorders>
            <w:shd w:val="clear" w:color="C0C0C0" w:fill="DDC9A3"/>
            <w:noWrap/>
            <w:vAlign w:val="center"/>
            <w:hideMark/>
          </w:tcPr>
          <w:p w14:paraId="57D5113B"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14.98%</w:t>
            </w:r>
          </w:p>
        </w:tc>
      </w:tr>
      <w:tr w:rsidR="00AC3B58" w:rsidRPr="00AC3B58" w14:paraId="72765A85"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0071338"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Impuestos </w:t>
            </w:r>
          </w:p>
        </w:tc>
        <w:tc>
          <w:tcPr>
            <w:tcW w:w="2230" w:type="dxa"/>
            <w:tcBorders>
              <w:top w:val="nil"/>
              <w:left w:val="nil"/>
              <w:bottom w:val="single" w:sz="4" w:space="0" w:color="auto"/>
              <w:right w:val="single" w:sz="4" w:space="0" w:color="auto"/>
            </w:tcBorders>
            <w:shd w:val="clear" w:color="F2F2F2" w:fill="FFFFFF"/>
            <w:noWrap/>
            <w:vAlign w:val="center"/>
            <w:hideMark/>
          </w:tcPr>
          <w:p w14:paraId="4A791F30"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6,984,595,420</w:t>
            </w:r>
          </w:p>
        </w:tc>
        <w:tc>
          <w:tcPr>
            <w:tcW w:w="1356" w:type="dxa"/>
            <w:tcBorders>
              <w:top w:val="nil"/>
              <w:left w:val="nil"/>
              <w:bottom w:val="single" w:sz="4" w:space="0" w:color="auto"/>
              <w:right w:val="single" w:sz="4" w:space="0" w:color="auto"/>
            </w:tcBorders>
            <w:shd w:val="clear" w:color="auto" w:fill="auto"/>
            <w:noWrap/>
            <w:vAlign w:val="center"/>
            <w:hideMark/>
          </w:tcPr>
          <w:p w14:paraId="23AE581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8.54%</w:t>
            </w:r>
          </w:p>
        </w:tc>
      </w:tr>
      <w:tr w:rsidR="00AC3B58" w:rsidRPr="00AC3B58" w14:paraId="2ECCCD7B"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17B9D4C"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Contribuciones y Aportaciones de Seguridad Social </w:t>
            </w:r>
          </w:p>
        </w:tc>
        <w:tc>
          <w:tcPr>
            <w:tcW w:w="2230" w:type="dxa"/>
            <w:tcBorders>
              <w:top w:val="nil"/>
              <w:left w:val="nil"/>
              <w:bottom w:val="single" w:sz="4" w:space="0" w:color="auto"/>
              <w:right w:val="single" w:sz="4" w:space="0" w:color="auto"/>
            </w:tcBorders>
            <w:shd w:val="clear" w:color="F2F2F2" w:fill="FFFFFF"/>
            <w:noWrap/>
            <w:vAlign w:val="center"/>
            <w:hideMark/>
          </w:tcPr>
          <w:p w14:paraId="3E4E458D"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w:t>
            </w:r>
          </w:p>
        </w:tc>
        <w:tc>
          <w:tcPr>
            <w:tcW w:w="1356" w:type="dxa"/>
            <w:tcBorders>
              <w:top w:val="nil"/>
              <w:left w:val="nil"/>
              <w:bottom w:val="single" w:sz="4" w:space="0" w:color="auto"/>
              <w:right w:val="single" w:sz="4" w:space="0" w:color="auto"/>
            </w:tcBorders>
            <w:shd w:val="clear" w:color="auto" w:fill="auto"/>
            <w:noWrap/>
            <w:vAlign w:val="center"/>
            <w:hideMark/>
          </w:tcPr>
          <w:p w14:paraId="5BCEFD00"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0.00%</w:t>
            </w:r>
          </w:p>
        </w:tc>
      </w:tr>
      <w:tr w:rsidR="00AC3B58" w:rsidRPr="00AC3B58" w14:paraId="537B6EB3"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1F3B16B"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Contribuciones de Mejoras</w:t>
            </w:r>
          </w:p>
        </w:tc>
        <w:tc>
          <w:tcPr>
            <w:tcW w:w="2230" w:type="dxa"/>
            <w:tcBorders>
              <w:top w:val="nil"/>
              <w:left w:val="nil"/>
              <w:bottom w:val="single" w:sz="4" w:space="0" w:color="auto"/>
              <w:right w:val="single" w:sz="4" w:space="0" w:color="auto"/>
            </w:tcBorders>
            <w:shd w:val="clear" w:color="F2F2F2" w:fill="FFFFFF"/>
            <w:noWrap/>
            <w:vAlign w:val="center"/>
            <w:hideMark/>
          </w:tcPr>
          <w:p w14:paraId="7CE9FF27"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w:t>
            </w:r>
          </w:p>
        </w:tc>
        <w:tc>
          <w:tcPr>
            <w:tcW w:w="1356" w:type="dxa"/>
            <w:tcBorders>
              <w:top w:val="nil"/>
              <w:left w:val="nil"/>
              <w:bottom w:val="single" w:sz="4" w:space="0" w:color="auto"/>
              <w:right w:val="single" w:sz="4" w:space="0" w:color="auto"/>
            </w:tcBorders>
            <w:shd w:val="clear" w:color="auto" w:fill="auto"/>
            <w:noWrap/>
            <w:vAlign w:val="center"/>
            <w:hideMark/>
          </w:tcPr>
          <w:p w14:paraId="37EE7E9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0.00%</w:t>
            </w:r>
          </w:p>
        </w:tc>
      </w:tr>
      <w:tr w:rsidR="00AC3B58" w:rsidRPr="00AC3B58" w14:paraId="64004A94"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152AEEE"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Derechos </w:t>
            </w:r>
          </w:p>
        </w:tc>
        <w:tc>
          <w:tcPr>
            <w:tcW w:w="2230" w:type="dxa"/>
            <w:tcBorders>
              <w:top w:val="nil"/>
              <w:left w:val="nil"/>
              <w:bottom w:val="single" w:sz="4" w:space="0" w:color="auto"/>
              <w:right w:val="single" w:sz="4" w:space="0" w:color="auto"/>
            </w:tcBorders>
            <w:shd w:val="clear" w:color="F2F2F2" w:fill="FFFFFF"/>
            <w:noWrap/>
            <w:vAlign w:val="center"/>
            <w:hideMark/>
          </w:tcPr>
          <w:p w14:paraId="1C0DBB80"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3,331,765,359</w:t>
            </w:r>
          </w:p>
        </w:tc>
        <w:tc>
          <w:tcPr>
            <w:tcW w:w="1356" w:type="dxa"/>
            <w:tcBorders>
              <w:top w:val="nil"/>
              <w:left w:val="nil"/>
              <w:bottom w:val="single" w:sz="4" w:space="0" w:color="auto"/>
              <w:right w:val="single" w:sz="4" w:space="0" w:color="auto"/>
            </w:tcBorders>
            <w:shd w:val="clear" w:color="auto" w:fill="auto"/>
            <w:noWrap/>
            <w:vAlign w:val="center"/>
            <w:hideMark/>
          </w:tcPr>
          <w:p w14:paraId="55DEEB9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4.08%</w:t>
            </w:r>
          </w:p>
        </w:tc>
      </w:tr>
      <w:tr w:rsidR="00AC3B58" w:rsidRPr="00AC3B58" w14:paraId="67D8AC1B"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A3A0A58"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Productos </w:t>
            </w:r>
          </w:p>
        </w:tc>
        <w:tc>
          <w:tcPr>
            <w:tcW w:w="2230" w:type="dxa"/>
            <w:tcBorders>
              <w:top w:val="nil"/>
              <w:left w:val="nil"/>
              <w:bottom w:val="single" w:sz="4" w:space="0" w:color="auto"/>
              <w:right w:val="single" w:sz="4" w:space="0" w:color="auto"/>
            </w:tcBorders>
            <w:shd w:val="clear" w:color="F2F2F2" w:fill="FFFFFF"/>
            <w:noWrap/>
            <w:vAlign w:val="center"/>
            <w:hideMark/>
          </w:tcPr>
          <w:p w14:paraId="1FABD87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720,891,470</w:t>
            </w:r>
          </w:p>
        </w:tc>
        <w:tc>
          <w:tcPr>
            <w:tcW w:w="1356" w:type="dxa"/>
            <w:tcBorders>
              <w:top w:val="nil"/>
              <w:left w:val="nil"/>
              <w:bottom w:val="single" w:sz="4" w:space="0" w:color="auto"/>
              <w:right w:val="single" w:sz="4" w:space="0" w:color="auto"/>
            </w:tcBorders>
            <w:shd w:val="clear" w:color="auto" w:fill="auto"/>
            <w:noWrap/>
            <w:vAlign w:val="center"/>
            <w:hideMark/>
          </w:tcPr>
          <w:p w14:paraId="1E9C28DF"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0.88%</w:t>
            </w:r>
          </w:p>
        </w:tc>
      </w:tr>
      <w:tr w:rsidR="00AC3B58" w:rsidRPr="00AC3B58" w14:paraId="4A6F9E6C"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E4F7161"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Aprovechamientos </w:t>
            </w:r>
          </w:p>
        </w:tc>
        <w:tc>
          <w:tcPr>
            <w:tcW w:w="2230" w:type="dxa"/>
            <w:tcBorders>
              <w:top w:val="nil"/>
              <w:left w:val="nil"/>
              <w:bottom w:val="single" w:sz="4" w:space="0" w:color="auto"/>
              <w:right w:val="single" w:sz="4" w:space="0" w:color="auto"/>
            </w:tcBorders>
            <w:shd w:val="clear" w:color="F2F2F2" w:fill="FFFFFF"/>
            <w:noWrap/>
            <w:vAlign w:val="center"/>
            <w:hideMark/>
          </w:tcPr>
          <w:p w14:paraId="48BD93D1"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1,212,592,768</w:t>
            </w:r>
          </w:p>
        </w:tc>
        <w:tc>
          <w:tcPr>
            <w:tcW w:w="1356" w:type="dxa"/>
            <w:tcBorders>
              <w:top w:val="nil"/>
              <w:left w:val="nil"/>
              <w:bottom w:val="single" w:sz="4" w:space="0" w:color="auto"/>
              <w:right w:val="single" w:sz="4" w:space="0" w:color="auto"/>
            </w:tcBorders>
            <w:shd w:val="clear" w:color="auto" w:fill="auto"/>
            <w:noWrap/>
            <w:vAlign w:val="center"/>
            <w:hideMark/>
          </w:tcPr>
          <w:p w14:paraId="2BDCA340"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1.48%</w:t>
            </w:r>
          </w:p>
        </w:tc>
      </w:tr>
      <w:tr w:rsidR="00AC3B58" w:rsidRPr="00AC3B58" w14:paraId="317143E1" w14:textId="77777777" w:rsidTr="00AC3B58">
        <w:trPr>
          <w:trHeight w:val="1167"/>
        </w:trPr>
        <w:tc>
          <w:tcPr>
            <w:tcW w:w="3955" w:type="dxa"/>
            <w:tcBorders>
              <w:top w:val="nil"/>
              <w:left w:val="single" w:sz="4" w:space="0" w:color="auto"/>
              <w:bottom w:val="single" w:sz="4" w:space="0" w:color="auto"/>
              <w:right w:val="single" w:sz="4" w:space="0" w:color="auto"/>
            </w:tcBorders>
            <w:shd w:val="clear" w:color="C0C0C0" w:fill="DDC9A3"/>
            <w:vAlign w:val="center"/>
            <w:hideMark/>
          </w:tcPr>
          <w:p w14:paraId="371D7CB6" w14:textId="77777777" w:rsidR="00AC3B58" w:rsidRPr="00AC3B58" w:rsidRDefault="00AC3B58" w:rsidP="00EC7D22">
            <w:pPr>
              <w:suppressAutoHyphens w:val="0"/>
              <w:overflowPunct/>
              <w:spacing w:after="0" w:line="240" w:lineRule="auto"/>
              <w:rPr>
                <w:rFonts w:eastAsia="Times New Roman" w:cs="Calibri"/>
                <w:b/>
                <w:bCs/>
                <w:color w:val="000000"/>
                <w:sz w:val="14"/>
                <w:szCs w:val="14"/>
                <w:lang w:eastAsia="es-MX"/>
              </w:rPr>
            </w:pPr>
            <w:r w:rsidRPr="00AC3B58">
              <w:rPr>
                <w:rFonts w:eastAsia="Times New Roman" w:cs="Calibri"/>
                <w:b/>
                <w:bCs/>
                <w:color w:val="000000"/>
                <w:sz w:val="14"/>
                <w:szCs w:val="14"/>
                <w:lang w:eastAsia="es-MX"/>
              </w:rPr>
              <w:t>Participaciones, Aportaciones, Convenios, Incentivos derivados de la Colaboración Fiscal, Fondos distintos de Aportaciones, Transferencias, Asignaciones, Subsidios y Subvenciones, y Pensiones y Jubilaciones.</w:t>
            </w:r>
          </w:p>
        </w:tc>
        <w:tc>
          <w:tcPr>
            <w:tcW w:w="2230" w:type="dxa"/>
            <w:tcBorders>
              <w:top w:val="nil"/>
              <w:left w:val="nil"/>
              <w:bottom w:val="single" w:sz="4" w:space="0" w:color="auto"/>
              <w:right w:val="single" w:sz="4" w:space="0" w:color="auto"/>
            </w:tcBorders>
            <w:shd w:val="clear" w:color="F8CBAD" w:fill="DDC9A3"/>
            <w:vAlign w:val="center"/>
            <w:hideMark/>
          </w:tcPr>
          <w:p w14:paraId="0146260B" w14:textId="77777777" w:rsidR="00AC3B58" w:rsidRPr="00AC3B58" w:rsidRDefault="00AC3B58" w:rsidP="00EC7D22">
            <w:pPr>
              <w:suppressAutoHyphens w:val="0"/>
              <w:overflowPunct/>
              <w:spacing w:after="0" w:line="240" w:lineRule="auto"/>
              <w:jc w:val="right"/>
              <w:rPr>
                <w:rFonts w:eastAsia="Times New Roman" w:cs="Calibri"/>
                <w:b/>
                <w:bCs/>
                <w:color w:val="000000"/>
                <w:sz w:val="16"/>
                <w:szCs w:val="16"/>
                <w:lang w:eastAsia="es-MX"/>
              </w:rPr>
            </w:pPr>
            <w:r w:rsidRPr="00AC3B58">
              <w:rPr>
                <w:rFonts w:eastAsia="Times New Roman" w:cs="Calibri"/>
                <w:b/>
                <w:bCs/>
                <w:color w:val="000000"/>
                <w:sz w:val="16"/>
                <w:szCs w:val="16"/>
                <w:lang w:eastAsia="es-MX"/>
              </w:rPr>
              <w:t>69,497,019,514</w:t>
            </w:r>
          </w:p>
        </w:tc>
        <w:tc>
          <w:tcPr>
            <w:tcW w:w="1356" w:type="dxa"/>
            <w:tcBorders>
              <w:top w:val="nil"/>
              <w:left w:val="nil"/>
              <w:bottom w:val="single" w:sz="4" w:space="0" w:color="auto"/>
              <w:right w:val="single" w:sz="4" w:space="0" w:color="auto"/>
            </w:tcBorders>
            <w:shd w:val="clear" w:color="C0C0C0" w:fill="DDC9A3"/>
            <w:noWrap/>
            <w:vAlign w:val="center"/>
            <w:hideMark/>
          </w:tcPr>
          <w:p w14:paraId="7B2E11E4"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85.01%</w:t>
            </w:r>
          </w:p>
        </w:tc>
      </w:tr>
      <w:tr w:rsidR="00AC3B58" w:rsidRPr="00AC3B58" w14:paraId="622E5632"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6145CAE7"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 Participaciones  </w:t>
            </w:r>
          </w:p>
        </w:tc>
        <w:tc>
          <w:tcPr>
            <w:tcW w:w="2230" w:type="dxa"/>
            <w:tcBorders>
              <w:top w:val="nil"/>
              <w:left w:val="nil"/>
              <w:bottom w:val="single" w:sz="4" w:space="0" w:color="auto"/>
              <w:right w:val="single" w:sz="4" w:space="0" w:color="auto"/>
            </w:tcBorders>
            <w:shd w:val="clear" w:color="F2F2F2" w:fill="FFFFFF"/>
            <w:noWrap/>
            <w:vAlign w:val="center"/>
            <w:hideMark/>
          </w:tcPr>
          <w:p w14:paraId="4D85FAA6"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31,890,527,953</w:t>
            </w:r>
          </w:p>
        </w:tc>
        <w:tc>
          <w:tcPr>
            <w:tcW w:w="1356" w:type="dxa"/>
            <w:tcBorders>
              <w:top w:val="nil"/>
              <w:left w:val="nil"/>
              <w:bottom w:val="single" w:sz="4" w:space="0" w:color="auto"/>
              <w:right w:val="single" w:sz="4" w:space="0" w:color="auto"/>
            </w:tcBorders>
            <w:shd w:val="clear" w:color="auto" w:fill="auto"/>
            <w:noWrap/>
            <w:vAlign w:val="bottom"/>
            <w:hideMark/>
          </w:tcPr>
          <w:p w14:paraId="27EDA060"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39.01%</w:t>
            </w:r>
          </w:p>
        </w:tc>
      </w:tr>
      <w:tr w:rsidR="00AC3B58" w:rsidRPr="00AC3B58" w14:paraId="49327012"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6AD9568"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Aportaciones </w:t>
            </w:r>
          </w:p>
        </w:tc>
        <w:tc>
          <w:tcPr>
            <w:tcW w:w="2230" w:type="dxa"/>
            <w:tcBorders>
              <w:top w:val="nil"/>
              <w:left w:val="nil"/>
              <w:bottom w:val="single" w:sz="4" w:space="0" w:color="auto"/>
              <w:right w:val="single" w:sz="4" w:space="0" w:color="auto"/>
            </w:tcBorders>
            <w:shd w:val="clear" w:color="F2F2F2" w:fill="FFFFFF"/>
            <w:noWrap/>
            <w:vAlign w:val="center"/>
            <w:hideMark/>
          </w:tcPr>
          <w:p w14:paraId="6C497711"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27,854,238,813</w:t>
            </w:r>
          </w:p>
        </w:tc>
        <w:tc>
          <w:tcPr>
            <w:tcW w:w="1356" w:type="dxa"/>
            <w:tcBorders>
              <w:top w:val="nil"/>
              <w:left w:val="nil"/>
              <w:bottom w:val="single" w:sz="4" w:space="0" w:color="auto"/>
              <w:right w:val="single" w:sz="4" w:space="0" w:color="auto"/>
            </w:tcBorders>
            <w:shd w:val="clear" w:color="auto" w:fill="auto"/>
            <w:noWrap/>
            <w:vAlign w:val="bottom"/>
            <w:hideMark/>
          </w:tcPr>
          <w:p w14:paraId="5969C18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34.07%</w:t>
            </w:r>
          </w:p>
        </w:tc>
      </w:tr>
      <w:tr w:rsidR="00AC3B58" w:rsidRPr="00AC3B58" w14:paraId="6F1B3A78"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F02516F"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 xml:space="preserve">Convenios </w:t>
            </w:r>
          </w:p>
        </w:tc>
        <w:tc>
          <w:tcPr>
            <w:tcW w:w="2230" w:type="dxa"/>
            <w:tcBorders>
              <w:top w:val="nil"/>
              <w:left w:val="nil"/>
              <w:bottom w:val="single" w:sz="4" w:space="0" w:color="auto"/>
              <w:right w:val="single" w:sz="4" w:space="0" w:color="auto"/>
            </w:tcBorders>
            <w:shd w:val="clear" w:color="F2F2F2" w:fill="FFFFFF"/>
            <w:noWrap/>
            <w:vAlign w:val="center"/>
            <w:hideMark/>
          </w:tcPr>
          <w:p w14:paraId="06FAE293"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7,202,746,900</w:t>
            </w:r>
          </w:p>
        </w:tc>
        <w:tc>
          <w:tcPr>
            <w:tcW w:w="1356" w:type="dxa"/>
            <w:tcBorders>
              <w:top w:val="nil"/>
              <w:left w:val="nil"/>
              <w:bottom w:val="single" w:sz="4" w:space="0" w:color="auto"/>
              <w:right w:val="single" w:sz="4" w:space="0" w:color="auto"/>
            </w:tcBorders>
            <w:shd w:val="clear" w:color="auto" w:fill="auto"/>
            <w:noWrap/>
            <w:vAlign w:val="bottom"/>
            <w:hideMark/>
          </w:tcPr>
          <w:p w14:paraId="61D2CD4F"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8.81%</w:t>
            </w:r>
          </w:p>
        </w:tc>
      </w:tr>
      <w:tr w:rsidR="00AC3B58" w:rsidRPr="00AC3B58" w14:paraId="0375F6C3"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29F0795"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Incentivos derivados de la Colaboración Fiscal</w:t>
            </w:r>
          </w:p>
        </w:tc>
        <w:tc>
          <w:tcPr>
            <w:tcW w:w="2230" w:type="dxa"/>
            <w:tcBorders>
              <w:top w:val="nil"/>
              <w:left w:val="nil"/>
              <w:bottom w:val="single" w:sz="4" w:space="0" w:color="auto"/>
              <w:right w:val="single" w:sz="4" w:space="0" w:color="auto"/>
            </w:tcBorders>
            <w:shd w:val="clear" w:color="F2F2F2" w:fill="FFFFFF"/>
            <w:noWrap/>
            <w:vAlign w:val="center"/>
            <w:hideMark/>
          </w:tcPr>
          <w:p w14:paraId="29F28784"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1,325,779,170</w:t>
            </w:r>
          </w:p>
        </w:tc>
        <w:tc>
          <w:tcPr>
            <w:tcW w:w="1356" w:type="dxa"/>
            <w:tcBorders>
              <w:top w:val="nil"/>
              <w:left w:val="nil"/>
              <w:bottom w:val="single" w:sz="4" w:space="0" w:color="auto"/>
              <w:right w:val="single" w:sz="4" w:space="0" w:color="auto"/>
            </w:tcBorders>
            <w:shd w:val="clear" w:color="auto" w:fill="auto"/>
            <w:noWrap/>
            <w:vAlign w:val="bottom"/>
            <w:hideMark/>
          </w:tcPr>
          <w:p w14:paraId="5845A91F"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1.62%</w:t>
            </w:r>
          </w:p>
        </w:tc>
      </w:tr>
      <w:tr w:rsidR="00AC3B58" w:rsidRPr="00AC3B58" w14:paraId="550B78CE" w14:textId="77777777" w:rsidTr="00AC3B58">
        <w:trPr>
          <w:trHeight w:val="28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5F884AEA" w14:textId="77777777" w:rsidR="00AC3B58" w:rsidRPr="00AC3B58" w:rsidRDefault="00AC3B58" w:rsidP="00EC7D22">
            <w:pPr>
              <w:suppressAutoHyphens w:val="0"/>
              <w:overflowPunct/>
              <w:spacing w:after="0" w:line="240" w:lineRule="auto"/>
              <w:rPr>
                <w:rFonts w:eastAsia="Times New Roman" w:cs="Calibri"/>
                <w:color w:val="000000"/>
                <w:sz w:val="14"/>
                <w:szCs w:val="14"/>
                <w:lang w:eastAsia="es-MX"/>
              </w:rPr>
            </w:pPr>
            <w:r w:rsidRPr="00AC3B58">
              <w:rPr>
                <w:rFonts w:eastAsia="Times New Roman" w:cs="Calibri"/>
                <w:color w:val="000000"/>
                <w:sz w:val="14"/>
                <w:szCs w:val="14"/>
                <w:lang w:eastAsia="es-MX"/>
              </w:rPr>
              <w:t>Fondos Distintos de Aportaciones</w:t>
            </w:r>
          </w:p>
        </w:tc>
        <w:tc>
          <w:tcPr>
            <w:tcW w:w="2230" w:type="dxa"/>
            <w:tcBorders>
              <w:top w:val="nil"/>
              <w:left w:val="nil"/>
              <w:bottom w:val="single" w:sz="4" w:space="0" w:color="auto"/>
              <w:right w:val="single" w:sz="4" w:space="0" w:color="auto"/>
            </w:tcBorders>
            <w:shd w:val="clear" w:color="F2F2F2" w:fill="FFFFFF"/>
            <w:noWrap/>
            <w:vAlign w:val="center"/>
            <w:hideMark/>
          </w:tcPr>
          <w:p w14:paraId="0AAED611"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1,223,726,678</w:t>
            </w:r>
          </w:p>
        </w:tc>
        <w:tc>
          <w:tcPr>
            <w:tcW w:w="1356" w:type="dxa"/>
            <w:tcBorders>
              <w:top w:val="nil"/>
              <w:left w:val="nil"/>
              <w:bottom w:val="single" w:sz="4" w:space="0" w:color="auto"/>
              <w:right w:val="single" w:sz="4" w:space="0" w:color="auto"/>
            </w:tcBorders>
            <w:shd w:val="clear" w:color="auto" w:fill="auto"/>
            <w:noWrap/>
            <w:vAlign w:val="bottom"/>
            <w:hideMark/>
          </w:tcPr>
          <w:p w14:paraId="70570298"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1.50%</w:t>
            </w:r>
          </w:p>
        </w:tc>
      </w:tr>
      <w:tr w:rsidR="00AC3B58" w:rsidRPr="00AC3B58" w14:paraId="390AAC70" w14:textId="77777777" w:rsidTr="00AC3B58">
        <w:trPr>
          <w:trHeight w:val="319"/>
        </w:trPr>
        <w:tc>
          <w:tcPr>
            <w:tcW w:w="3955" w:type="dxa"/>
            <w:tcBorders>
              <w:top w:val="nil"/>
              <w:left w:val="single" w:sz="4" w:space="0" w:color="auto"/>
              <w:bottom w:val="single" w:sz="4" w:space="0" w:color="auto"/>
              <w:right w:val="single" w:sz="4" w:space="0" w:color="auto"/>
            </w:tcBorders>
            <w:shd w:val="clear" w:color="C0C0C0" w:fill="DDC9A3"/>
            <w:noWrap/>
            <w:vAlign w:val="center"/>
            <w:hideMark/>
          </w:tcPr>
          <w:p w14:paraId="34264CC8" w14:textId="77777777" w:rsidR="00AC3B58" w:rsidRPr="00AC3B58" w:rsidRDefault="00AC3B58" w:rsidP="00EC7D22">
            <w:pPr>
              <w:suppressAutoHyphens w:val="0"/>
              <w:overflowPunct/>
              <w:spacing w:after="0" w:line="240" w:lineRule="auto"/>
              <w:rPr>
                <w:rFonts w:eastAsia="Times New Roman" w:cs="Calibri"/>
                <w:b/>
                <w:bCs/>
                <w:color w:val="000000"/>
                <w:sz w:val="14"/>
                <w:szCs w:val="14"/>
                <w:lang w:eastAsia="es-MX"/>
              </w:rPr>
            </w:pPr>
            <w:r w:rsidRPr="00AC3B58">
              <w:rPr>
                <w:rFonts w:eastAsia="Times New Roman" w:cs="Calibri"/>
                <w:b/>
                <w:bCs/>
                <w:color w:val="000000"/>
                <w:sz w:val="14"/>
                <w:szCs w:val="14"/>
                <w:lang w:eastAsia="es-MX"/>
              </w:rPr>
              <w:t>Otros Ingresos y Beneficios Varios.</w:t>
            </w:r>
          </w:p>
        </w:tc>
        <w:tc>
          <w:tcPr>
            <w:tcW w:w="2230" w:type="dxa"/>
            <w:tcBorders>
              <w:top w:val="nil"/>
              <w:left w:val="nil"/>
              <w:bottom w:val="single" w:sz="4" w:space="0" w:color="auto"/>
              <w:right w:val="single" w:sz="4" w:space="0" w:color="auto"/>
            </w:tcBorders>
            <w:shd w:val="clear" w:color="C0C0C0" w:fill="DDC9A3"/>
            <w:noWrap/>
            <w:vAlign w:val="center"/>
            <w:hideMark/>
          </w:tcPr>
          <w:p w14:paraId="3C5C553F"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1,624,558</w:t>
            </w:r>
          </w:p>
        </w:tc>
        <w:tc>
          <w:tcPr>
            <w:tcW w:w="1356" w:type="dxa"/>
            <w:tcBorders>
              <w:top w:val="nil"/>
              <w:left w:val="nil"/>
              <w:bottom w:val="single" w:sz="4" w:space="0" w:color="auto"/>
              <w:right w:val="single" w:sz="4" w:space="0" w:color="auto"/>
            </w:tcBorders>
            <w:shd w:val="clear" w:color="000000" w:fill="DDC9A3"/>
            <w:noWrap/>
            <w:vAlign w:val="bottom"/>
            <w:hideMark/>
          </w:tcPr>
          <w:p w14:paraId="3D3F1B64" w14:textId="77777777" w:rsidR="00AC3B58" w:rsidRPr="00AC3B58" w:rsidRDefault="00AC3B58" w:rsidP="00EC7D22">
            <w:pPr>
              <w:suppressAutoHyphens w:val="0"/>
              <w:overflowPunct/>
              <w:spacing w:after="0" w:line="240" w:lineRule="auto"/>
              <w:jc w:val="right"/>
              <w:rPr>
                <w:rFonts w:eastAsia="Times New Roman" w:cs="Calibri"/>
                <w:color w:val="000000"/>
                <w:sz w:val="14"/>
                <w:szCs w:val="14"/>
                <w:lang w:eastAsia="es-MX"/>
              </w:rPr>
            </w:pPr>
            <w:r w:rsidRPr="00AC3B58">
              <w:rPr>
                <w:rFonts w:eastAsia="Times New Roman" w:cs="Calibri"/>
                <w:color w:val="000000"/>
                <w:sz w:val="14"/>
                <w:szCs w:val="14"/>
                <w:lang w:eastAsia="es-MX"/>
              </w:rPr>
              <w:t>0.00%</w:t>
            </w:r>
          </w:p>
        </w:tc>
      </w:tr>
      <w:tr w:rsidR="00AC3B58" w:rsidRPr="00AC3B58" w14:paraId="404B0E99" w14:textId="77777777" w:rsidTr="00AC3B58">
        <w:trPr>
          <w:trHeight w:val="383"/>
        </w:trPr>
        <w:tc>
          <w:tcPr>
            <w:tcW w:w="3955" w:type="dxa"/>
            <w:tcBorders>
              <w:top w:val="nil"/>
              <w:left w:val="single" w:sz="4" w:space="0" w:color="auto"/>
              <w:bottom w:val="single" w:sz="4" w:space="0" w:color="auto"/>
              <w:right w:val="single" w:sz="4" w:space="0" w:color="auto"/>
            </w:tcBorders>
            <w:shd w:val="clear" w:color="F8CBAD" w:fill="BC955C"/>
            <w:noWrap/>
            <w:vAlign w:val="center"/>
            <w:hideMark/>
          </w:tcPr>
          <w:p w14:paraId="698607BF" w14:textId="77777777" w:rsidR="00AC3B58" w:rsidRPr="00AC3B58" w:rsidRDefault="00AC3B58" w:rsidP="00EC7D22">
            <w:pPr>
              <w:suppressAutoHyphens w:val="0"/>
              <w:overflowPunct/>
              <w:spacing w:after="0" w:line="240" w:lineRule="auto"/>
              <w:jc w:val="center"/>
              <w:rPr>
                <w:rFonts w:eastAsia="Times New Roman" w:cs="Calibri"/>
                <w:b/>
                <w:bCs/>
                <w:color w:val="000000"/>
                <w:sz w:val="14"/>
                <w:szCs w:val="14"/>
                <w:lang w:eastAsia="es-MX"/>
              </w:rPr>
            </w:pPr>
            <w:r w:rsidRPr="00AC3B58">
              <w:rPr>
                <w:rFonts w:eastAsia="Times New Roman" w:cs="Calibri"/>
                <w:b/>
                <w:bCs/>
                <w:color w:val="000000"/>
                <w:sz w:val="14"/>
                <w:szCs w:val="14"/>
                <w:lang w:eastAsia="es-MX"/>
              </w:rPr>
              <w:t>Ingresos y Otros Beneficios</w:t>
            </w:r>
          </w:p>
        </w:tc>
        <w:tc>
          <w:tcPr>
            <w:tcW w:w="2230" w:type="dxa"/>
            <w:tcBorders>
              <w:top w:val="nil"/>
              <w:left w:val="nil"/>
              <w:bottom w:val="single" w:sz="4" w:space="0" w:color="auto"/>
              <w:right w:val="single" w:sz="4" w:space="0" w:color="auto"/>
            </w:tcBorders>
            <w:shd w:val="clear" w:color="F8CBAD" w:fill="BC955C"/>
            <w:vAlign w:val="center"/>
            <w:hideMark/>
          </w:tcPr>
          <w:p w14:paraId="55E41A07" w14:textId="77777777" w:rsidR="00AC3B58" w:rsidRPr="00AC3B58" w:rsidRDefault="00AC3B58" w:rsidP="00EC7D22">
            <w:pPr>
              <w:suppressAutoHyphens w:val="0"/>
              <w:overflowPunct/>
              <w:spacing w:after="0" w:line="240" w:lineRule="auto"/>
              <w:jc w:val="right"/>
              <w:rPr>
                <w:rFonts w:eastAsia="Times New Roman" w:cs="Calibri"/>
                <w:b/>
                <w:bCs/>
                <w:color w:val="000000"/>
                <w:sz w:val="16"/>
                <w:szCs w:val="16"/>
                <w:lang w:eastAsia="es-MX"/>
              </w:rPr>
            </w:pPr>
            <w:r w:rsidRPr="00AC3B58">
              <w:rPr>
                <w:rFonts w:eastAsia="Times New Roman" w:cs="Calibri"/>
                <w:b/>
                <w:bCs/>
                <w:color w:val="000000"/>
                <w:sz w:val="16"/>
                <w:szCs w:val="16"/>
                <w:lang w:eastAsia="es-MX"/>
              </w:rPr>
              <w:t>81,748,489,089</w:t>
            </w:r>
          </w:p>
        </w:tc>
        <w:tc>
          <w:tcPr>
            <w:tcW w:w="1356" w:type="dxa"/>
            <w:tcBorders>
              <w:top w:val="nil"/>
              <w:left w:val="nil"/>
              <w:bottom w:val="single" w:sz="4" w:space="0" w:color="auto"/>
              <w:right w:val="single" w:sz="4" w:space="0" w:color="auto"/>
            </w:tcBorders>
            <w:shd w:val="clear" w:color="F8CBAD" w:fill="BC955C"/>
            <w:noWrap/>
            <w:vAlign w:val="center"/>
            <w:hideMark/>
          </w:tcPr>
          <w:p w14:paraId="2AC7711C" w14:textId="77777777" w:rsidR="00AC3B58" w:rsidRPr="00AC3B58" w:rsidRDefault="00AC3B58" w:rsidP="00EC7D22">
            <w:pPr>
              <w:suppressAutoHyphens w:val="0"/>
              <w:overflowPunct/>
              <w:spacing w:after="0" w:line="240" w:lineRule="auto"/>
              <w:jc w:val="right"/>
              <w:rPr>
                <w:rFonts w:eastAsia="Times New Roman" w:cs="Calibri"/>
                <w:b/>
                <w:bCs/>
                <w:color w:val="000000"/>
                <w:sz w:val="14"/>
                <w:szCs w:val="14"/>
                <w:lang w:eastAsia="es-MX"/>
              </w:rPr>
            </w:pPr>
            <w:r w:rsidRPr="00AC3B58">
              <w:rPr>
                <w:rFonts w:eastAsia="Times New Roman" w:cs="Calibri"/>
                <w:b/>
                <w:bCs/>
                <w:color w:val="000000"/>
                <w:sz w:val="14"/>
                <w:szCs w:val="14"/>
                <w:lang w:eastAsia="es-MX"/>
              </w:rPr>
              <w:t>100.00%</w:t>
            </w:r>
          </w:p>
        </w:tc>
      </w:tr>
    </w:tbl>
    <w:p w14:paraId="072F3A5D" w14:textId="77777777" w:rsidR="003F3F4A" w:rsidRDefault="003F3F4A" w:rsidP="00EC7D22">
      <w:pPr>
        <w:spacing w:after="0" w:line="240" w:lineRule="auto"/>
        <w:rPr>
          <w:rFonts w:cs="Calibri"/>
          <w:b/>
          <w:sz w:val="12"/>
          <w:u w:val="single"/>
          <w:lang w:val="es-ES" w:eastAsia="es-ES"/>
        </w:rPr>
      </w:pPr>
    </w:p>
    <w:p w14:paraId="2F0DA653" w14:textId="77777777" w:rsidR="003F3F4A" w:rsidRDefault="003F3F4A" w:rsidP="00EC7D22">
      <w:pPr>
        <w:spacing w:after="0" w:line="240" w:lineRule="auto"/>
        <w:rPr>
          <w:rFonts w:cs="Calibri"/>
          <w:b/>
          <w:sz w:val="12"/>
          <w:u w:val="single"/>
          <w:lang w:val="es-ES" w:eastAsia="es-ES"/>
        </w:rPr>
      </w:pPr>
    </w:p>
    <w:p w14:paraId="3206E42F" w14:textId="77777777" w:rsidR="00DF7120" w:rsidRDefault="00DF7120" w:rsidP="00EC7D22">
      <w:pPr>
        <w:spacing w:after="0" w:line="240" w:lineRule="auto"/>
        <w:rPr>
          <w:rFonts w:cs="Calibri"/>
          <w:b/>
          <w:sz w:val="12"/>
          <w:u w:val="single"/>
          <w:lang w:val="es-ES" w:eastAsia="es-ES"/>
        </w:rPr>
      </w:pPr>
    </w:p>
    <w:p w14:paraId="11E58F50" w14:textId="77777777" w:rsidR="003F3F4A" w:rsidRDefault="003F3F4A" w:rsidP="00EC7D22">
      <w:pPr>
        <w:spacing w:after="0" w:line="240" w:lineRule="auto"/>
        <w:rPr>
          <w:rFonts w:cs="Calibri"/>
          <w:b/>
          <w:sz w:val="12"/>
          <w:u w:val="single"/>
          <w:lang w:val="es-ES" w:eastAsia="es-ES"/>
        </w:rPr>
      </w:pPr>
    </w:p>
    <w:p w14:paraId="7924A167" w14:textId="0EC27743" w:rsidR="001F51EB" w:rsidRDefault="001F51EB" w:rsidP="00EC7D22">
      <w:pPr>
        <w:spacing w:after="0" w:line="240" w:lineRule="auto"/>
        <w:jc w:val="both"/>
        <w:rPr>
          <w:rFonts w:cs="Calibri"/>
          <w:sz w:val="20"/>
          <w:szCs w:val="18"/>
          <w:lang w:val="es-ES" w:eastAsia="es-ES"/>
        </w:rPr>
      </w:pPr>
      <w:r w:rsidRPr="008F6566">
        <w:rPr>
          <w:rFonts w:cs="Calibri"/>
          <w:sz w:val="20"/>
          <w:szCs w:val="18"/>
          <w:lang w:val="es-ES" w:eastAsia="es-ES"/>
        </w:rPr>
        <w:t xml:space="preserve">Los Ingresos de Gestión corresponden a los ingresos propios recaudados por el Gobierno del Estado, de conformidad con la Ley de Hacienda para el Estado de Tamaulipas y la Ley de Ingresos para el Ejercicio 2024, representando un </w:t>
      </w:r>
      <w:r w:rsidR="00DF7120">
        <w:rPr>
          <w:rFonts w:cs="Calibri"/>
          <w:sz w:val="20"/>
          <w:szCs w:val="18"/>
          <w:lang w:val="es-ES" w:eastAsia="es-ES"/>
        </w:rPr>
        <w:t>1</w:t>
      </w:r>
      <w:r w:rsidR="00AC3B58">
        <w:rPr>
          <w:rFonts w:cs="Calibri"/>
          <w:sz w:val="20"/>
          <w:szCs w:val="18"/>
          <w:lang w:val="es-ES" w:eastAsia="es-ES"/>
        </w:rPr>
        <w:t>4.98</w:t>
      </w:r>
      <w:r w:rsidRPr="008F6566">
        <w:rPr>
          <w:rFonts w:cs="Calibri"/>
          <w:sz w:val="20"/>
          <w:szCs w:val="18"/>
          <w:lang w:val="es-ES" w:eastAsia="es-ES"/>
        </w:rPr>
        <w:t xml:space="preserve">% del total de Ingresos, donde el rubro de aprovechamientos se ve incrementado por el pago de la contraprestación de la adjudicación del proyecto de la autopista Rumbo Nuevo en el estado por </w:t>
      </w:r>
      <w:r w:rsidR="004054B6">
        <w:rPr>
          <w:rFonts w:cs="Calibri"/>
          <w:sz w:val="20"/>
          <w:szCs w:val="18"/>
          <w:lang w:val="es-ES" w:eastAsia="es-ES"/>
        </w:rPr>
        <w:t xml:space="preserve">parte de </w:t>
      </w:r>
      <w:r w:rsidRPr="008F6566">
        <w:rPr>
          <w:rFonts w:cs="Calibri"/>
          <w:sz w:val="20"/>
          <w:szCs w:val="18"/>
          <w:lang w:val="es-ES" w:eastAsia="es-ES"/>
        </w:rPr>
        <w:t>la empresa Concesionaria Rumbo Nuevo por $654,000,000.</w:t>
      </w:r>
    </w:p>
    <w:p w14:paraId="5511BBE2" w14:textId="77777777" w:rsidR="003F3F4A" w:rsidRDefault="003F3F4A" w:rsidP="00EC7D22">
      <w:pPr>
        <w:spacing w:after="0" w:line="240" w:lineRule="auto"/>
        <w:jc w:val="both"/>
        <w:rPr>
          <w:rFonts w:cs="Calibri"/>
          <w:sz w:val="20"/>
          <w:szCs w:val="18"/>
          <w:lang w:val="es-ES" w:eastAsia="es-ES"/>
        </w:rPr>
      </w:pPr>
    </w:p>
    <w:p w14:paraId="5BB1A5CD" w14:textId="77777777" w:rsidR="00DF7120" w:rsidRDefault="00DF7120" w:rsidP="00EC7D22">
      <w:pPr>
        <w:spacing w:after="0" w:line="240" w:lineRule="auto"/>
        <w:jc w:val="both"/>
        <w:rPr>
          <w:rFonts w:cs="Calibri"/>
          <w:sz w:val="20"/>
          <w:szCs w:val="18"/>
          <w:lang w:val="es-ES" w:eastAsia="es-ES"/>
        </w:rPr>
      </w:pPr>
    </w:p>
    <w:p w14:paraId="526DB04A" w14:textId="5002CC8A" w:rsidR="003F3F4A" w:rsidRDefault="003F3F4A" w:rsidP="00EC7D22">
      <w:pPr>
        <w:spacing w:after="0" w:line="240" w:lineRule="auto"/>
        <w:jc w:val="both"/>
        <w:rPr>
          <w:rFonts w:cs="Calibri"/>
          <w:sz w:val="20"/>
          <w:szCs w:val="18"/>
          <w:lang w:val="es-ES" w:eastAsia="es-ES"/>
        </w:rPr>
      </w:pPr>
    </w:p>
    <w:p w14:paraId="166DA88C" w14:textId="060CBA1E" w:rsidR="004B3760" w:rsidRDefault="004B3760" w:rsidP="00EC7D22">
      <w:pPr>
        <w:spacing w:after="0" w:line="240" w:lineRule="auto"/>
        <w:jc w:val="both"/>
        <w:rPr>
          <w:rFonts w:cs="Calibri"/>
          <w:sz w:val="20"/>
          <w:szCs w:val="18"/>
          <w:lang w:val="es-ES" w:eastAsia="es-ES"/>
        </w:rPr>
      </w:pPr>
    </w:p>
    <w:p w14:paraId="314CD7A2" w14:textId="4CBE2CB9" w:rsidR="004B3760" w:rsidRDefault="004B3760" w:rsidP="00EC7D22">
      <w:pPr>
        <w:spacing w:after="0" w:line="240" w:lineRule="auto"/>
        <w:jc w:val="both"/>
        <w:rPr>
          <w:rFonts w:cs="Calibri"/>
          <w:sz w:val="20"/>
          <w:szCs w:val="18"/>
          <w:lang w:val="es-ES" w:eastAsia="es-ES"/>
        </w:rPr>
      </w:pPr>
    </w:p>
    <w:p w14:paraId="09263FFA" w14:textId="3C1097FE" w:rsidR="007745EB" w:rsidRDefault="007C03B1" w:rsidP="00A743DD">
      <w:pPr>
        <w:pStyle w:val="Prrafodelista"/>
        <w:numPr>
          <w:ilvl w:val="0"/>
          <w:numId w:val="17"/>
        </w:numPr>
        <w:tabs>
          <w:tab w:val="clear" w:pos="0"/>
          <w:tab w:val="left" w:pos="142"/>
          <w:tab w:val="num" w:pos="426"/>
        </w:tabs>
        <w:spacing w:after="0" w:line="240" w:lineRule="auto"/>
        <w:ind w:left="0" w:firstLine="142"/>
        <w:rPr>
          <w:rFonts w:cs="Calibri"/>
          <w:b/>
          <w:sz w:val="20"/>
          <w:u w:val="single"/>
          <w:lang w:val="es-ES" w:eastAsia="es-ES"/>
        </w:rPr>
      </w:pPr>
      <w:r w:rsidRPr="007C03B1">
        <w:rPr>
          <w:rFonts w:cs="Calibri"/>
          <w:b/>
          <w:sz w:val="20"/>
          <w:lang w:val="es-ES" w:eastAsia="es-ES"/>
        </w:rPr>
        <w:t xml:space="preserve">   </w:t>
      </w:r>
      <w:r w:rsidR="00C87FDA" w:rsidRPr="00694CE6">
        <w:rPr>
          <w:rFonts w:cs="Calibri"/>
          <w:b/>
          <w:sz w:val="20"/>
          <w:u w:val="single"/>
          <w:lang w:val="es-ES" w:eastAsia="es-ES"/>
        </w:rPr>
        <w:t>Gastos y Otras Pérdidas.</w:t>
      </w:r>
    </w:p>
    <w:p w14:paraId="5C16CA7C" w14:textId="77777777" w:rsidR="003F3F4A" w:rsidRDefault="003F3F4A" w:rsidP="00EC7D22">
      <w:pPr>
        <w:tabs>
          <w:tab w:val="left" w:pos="142"/>
          <w:tab w:val="num" w:pos="426"/>
        </w:tabs>
        <w:spacing w:after="0" w:line="240" w:lineRule="auto"/>
        <w:rPr>
          <w:rFonts w:cs="Calibri"/>
          <w:b/>
          <w:sz w:val="20"/>
          <w:u w:val="single"/>
          <w:lang w:val="es-ES" w:eastAsia="es-ES"/>
        </w:rPr>
      </w:pPr>
    </w:p>
    <w:tbl>
      <w:tblPr>
        <w:tblW w:w="7518" w:type="dxa"/>
        <w:tblCellMar>
          <w:left w:w="70" w:type="dxa"/>
          <w:right w:w="70" w:type="dxa"/>
        </w:tblCellMar>
        <w:tblLook w:val="04A0" w:firstRow="1" w:lastRow="0" w:firstColumn="1" w:lastColumn="0" w:noHBand="0" w:noVBand="1"/>
      </w:tblPr>
      <w:tblGrid>
        <w:gridCol w:w="5125"/>
        <w:gridCol w:w="1318"/>
        <w:gridCol w:w="1075"/>
      </w:tblGrid>
      <w:tr w:rsidR="003F3F4A" w:rsidRPr="003F3F4A" w14:paraId="69ECF6DD" w14:textId="77777777" w:rsidTr="003F3F4A">
        <w:trPr>
          <w:trHeight w:val="514"/>
        </w:trPr>
        <w:tc>
          <w:tcPr>
            <w:tcW w:w="5125"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5583707B" w14:textId="77777777" w:rsidR="003F3F4A" w:rsidRPr="003F3F4A" w:rsidRDefault="003F3F4A" w:rsidP="00EC7D22">
            <w:pPr>
              <w:suppressAutoHyphens w:val="0"/>
              <w:overflowPunct/>
              <w:spacing w:after="0" w:line="240" w:lineRule="auto"/>
              <w:jc w:val="center"/>
              <w:rPr>
                <w:rFonts w:eastAsia="Times New Roman" w:cs="Calibri"/>
                <w:b/>
                <w:bCs/>
                <w:color w:val="FFFFFF"/>
                <w:sz w:val="16"/>
                <w:szCs w:val="16"/>
                <w:lang w:eastAsia="es-MX"/>
              </w:rPr>
            </w:pPr>
            <w:r w:rsidRPr="003F3F4A">
              <w:rPr>
                <w:rFonts w:eastAsia="Times New Roman" w:cs="Calibri"/>
                <w:b/>
                <w:bCs/>
                <w:color w:val="FFFFFF"/>
                <w:sz w:val="16"/>
                <w:szCs w:val="16"/>
                <w:lang w:eastAsia="es-MX"/>
              </w:rPr>
              <w:t>Gastos y Otras Pérdidas</w:t>
            </w:r>
          </w:p>
        </w:tc>
        <w:tc>
          <w:tcPr>
            <w:tcW w:w="1318" w:type="dxa"/>
            <w:tcBorders>
              <w:top w:val="single" w:sz="4" w:space="0" w:color="auto"/>
              <w:left w:val="nil"/>
              <w:bottom w:val="single" w:sz="4" w:space="0" w:color="auto"/>
              <w:right w:val="single" w:sz="4" w:space="0" w:color="auto"/>
            </w:tcBorders>
            <w:shd w:val="clear" w:color="800080" w:fill="A90025"/>
            <w:vAlign w:val="center"/>
            <w:hideMark/>
          </w:tcPr>
          <w:p w14:paraId="2E7EF3E1" w14:textId="77777777" w:rsidR="003F3F4A" w:rsidRPr="003F3F4A" w:rsidRDefault="003F3F4A" w:rsidP="00EC7D22">
            <w:pPr>
              <w:suppressAutoHyphens w:val="0"/>
              <w:overflowPunct/>
              <w:spacing w:after="0" w:line="240" w:lineRule="auto"/>
              <w:jc w:val="center"/>
              <w:rPr>
                <w:rFonts w:eastAsia="Times New Roman" w:cs="Calibri"/>
                <w:b/>
                <w:bCs/>
                <w:color w:val="FFFFFF"/>
                <w:sz w:val="16"/>
                <w:szCs w:val="16"/>
                <w:lang w:eastAsia="es-MX"/>
              </w:rPr>
            </w:pPr>
            <w:r w:rsidRPr="003F3F4A">
              <w:rPr>
                <w:rFonts w:eastAsia="Times New Roman" w:cs="Calibri"/>
                <w:b/>
                <w:bCs/>
                <w:color w:val="FFFFFF"/>
                <w:sz w:val="16"/>
                <w:szCs w:val="16"/>
                <w:lang w:eastAsia="es-MX"/>
              </w:rPr>
              <w:t>Importe</w:t>
            </w:r>
          </w:p>
        </w:tc>
        <w:tc>
          <w:tcPr>
            <w:tcW w:w="1075" w:type="dxa"/>
            <w:tcBorders>
              <w:top w:val="single" w:sz="4" w:space="0" w:color="auto"/>
              <w:left w:val="nil"/>
              <w:bottom w:val="single" w:sz="4" w:space="0" w:color="auto"/>
              <w:right w:val="single" w:sz="4" w:space="0" w:color="auto"/>
            </w:tcBorders>
            <w:shd w:val="clear" w:color="800080" w:fill="A90025"/>
            <w:vAlign w:val="center"/>
            <w:hideMark/>
          </w:tcPr>
          <w:p w14:paraId="575EC65E" w14:textId="77777777" w:rsidR="003F3F4A" w:rsidRPr="003F3F4A" w:rsidRDefault="003F3F4A" w:rsidP="00EC7D22">
            <w:pPr>
              <w:suppressAutoHyphens w:val="0"/>
              <w:overflowPunct/>
              <w:spacing w:after="0" w:line="240" w:lineRule="auto"/>
              <w:jc w:val="center"/>
              <w:rPr>
                <w:rFonts w:eastAsia="Times New Roman" w:cs="Calibri"/>
                <w:b/>
                <w:bCs/>
                <w:color w:val="FFFFFF"/>
                <w:sz w:val="16"/>
                <w:szCs w:val="16"/>
                <w:lang w:eastAsia="es-MX"/>
              </w:rPr>
            </w:pPr>
            <w:r w:rsidRPr="003F3F4A">
              <w:rPr>
                <w:rFonts w:eastAsia="Times New Roman" w:cs="Calibri"/>
                <w:b/>
                <w:bCs/>
                <w:color w:val="FFFFFF"/>
                <w:sz w:val="16"/>
                <w:szCs w:val="16"/>
                <w:lang w:eastAsia="es-MX"/>
              </w:rPr>
              <w:t>Porcentaje</w:t>
            </w:r>
          </w:p>
        </w:tc>
      </w:tr>
      <w:tr w:rsidR="003F3F4A" w:rsidRPr="003F3F4A" w14:paraId="76BDA3C1" w14:textId="77777777" w:rsidTr="00CF1038">
        <w:trPr>
          <w:trHeight w:val="308"/>
        </w:trPr>
        <w:tc>
          <w:tcPr>
            <w:tcW w:w="5125" w:type="dxa"/>
            <w:tcBorders>
              <w:top w:val="nil"/>
              <w:left w:val="single" w:sz="4" w:space="0" w:color="auto"/>
              <w:bottom w:val="single" w:sz="4" w:space="0" w:color="auto"/>
              <w:right w:val="single" w:sz="4" w:space="0" w:color="auto"/>
            </w:tcBorders>
            <w:shd w:val="clear" w:color="auto" w:fill="DDC9A3"/>
            <w:noWrap/>
            <w:vAlign w:val="center"/>
            <w:hideMark/>
          </w:tcPr>
          <w:p w14:paraId="42C759A5" w14:textId="77777777" w:rsidR="003F3F4A" w:rsidRPr="003F3F4A" w:rsidRDefault="003F3F4A" w:rsidP="00EC7D22">
            <w:pPr>
              <w:suppressAutoHyphens w:val="0"/>
              <w:overflowPunct/>
              <w:spacing w:after="0" w:line="240" w:lineRule="auto"/>
              <w:rPr>
                <w:rFonts w:eastAsia="Times New Roman" w:cs="Calibri"/>
                <w:b/>
                <w:bCs/>
                <w:color w:val="000000"/>
                <w:sz w:val="14"/>
                <w:szCs w:val="14"/>
                <w:lang w:eastAsia="es-MX"/>
              </w:rPr>
            </w:pPr>
            <w:r w:rsidRPr="003F3F4A">
              <w:rPr>
                <w:rFonts w:eastAsia="Times New Roman" w:cs="Calibri"/>
                <w:b/>
                <w:bCs/>
                <w:color w:val="000000"/>
                <w:sz w:val="14"/>
                <w:szCs w:val="14"/>
                <w:lang w:eastAsia="es-MX"/>
              </w:rPr>
              <w:t>Gastos de Funcionamiento</w:t>
            </w:r>
          </w:p>
        </w:tc>
        <w:tc>
          <w:tcPr>
            <w:tcW w:w="1318" w:type="dxa"/>
            <w:tcBorders>
              <w:top w:val="nil"/>
              <w:left w:val="nil"/>
              <w:bottom w:val="single" w:sz="4" w:space="0" w:color="auto"/>
              <w:right w:val="single" w:sz="4" w:space="0" w:color="auto"/>
            </w:tcBorders>
            <w:shd w:val="clear" w:color="auto" w:fill="DDC9A3"/>
            <w:noWrap/>
            <w:vAlign w:val="center"/>
            <w:hideMark/>
          </w:tcPr>
          <w:p w14:paraId="74C6F537"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36,185,841,393</w:t>
            </w:r>
          </w:p>
        </w:tc>
        <w:tc>
          <w:tcPr>
            <w:tcW w:w="1075" w:type="dxa"/>
            <w:tcBorders>
              <w:top w:val="nil"/>
              <w:left w:val="nil"/>
              <w:bottom w:val="single" w:sz="4" w:space="0" w:color="auto"/>
              <w:right w:val="single" w:sz="4" w:space="0" w:color="auto"/>
            </w:tcBorders>
            <w:shd w:val="clear" w:color="auto" w:fill="DDC9A3"/>
            <w:noWrap/>
            <w:vAlign w:val="center"/>
            <w:hideMark/>
          </w:tcPr>
          <w:p w14:paraId="0FBA3CDD"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45.25%</w:t>
            </w:r>
          </w:p>
        </w:tc>
      </w:tr>
      <w:tr w:rsidR="003F3F4A" w:rsidRPr="003F3F4A" w14:paraId="2C4BB133"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6440092A"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Servicios Personales</w:t>
            </w:r>
          </w:p>
        </w:tc>
        <w:tc>
          <w:tcPr>
            <w:tcW w:w="1318" w:type="dxa"/>
            <w:tcBorders>
              <w:top w:val="nil"/>
              <w:left w:val="nil"/>
              <w:bottom w:val="single" w:sz="4" w:space="0" w:color="auto"/>
              <w:right w:val="single" w:sz="4" w:space="0" w:color="auto"/>
            </w:tcBorders>
            <w:shd w:val="clear" w:color="F2F2F2" w:fill="FFFFFF"/>
            <w:noWrap/>
            <w:vAlign w:val="center"/>
            <w:hideMark/>
          </w:tcPr>
          <w:p w14:paraId="07AC7963"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29,367,220,983</w:t>
            </w:r>
          </w:p>
        </w:tc>
        <w:tc>
          <w:tcPr>
            <w:tcW w:w="1075" w:type="dxa"/>
            <w:tcBorders>
              <w:top w:val="nil"/>
              <w:left w:val="nil"/>
              <w:bottom w:val="single" w:sz="4" w:space="0" w:color="auto"/>
              <w:right w:val="single" w:sz="4" w:space="0" w:color="auto"/>
            </w:tcBorders>
            <w:shd w:val="clear" w:color="auto" w:fill="auto"/>
            <w:noWrap/>
            <w:vAlign w:val="center"/>
            <w:hideMark/>
          </w:tcPr>
          <w:p w14:paraId="7EB9785E"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36.72%</w:t>
            </w:r>
          </w:p>
        </w:tc>
      </w:tr>
      <w:tr w:rsidR="003F3F4A" w:rsidRPr="003F3F4A" w14:paraId="24B02467"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6ED9BF86"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Materiales y Suministros</w:t>
            </w:r>
          </w:p>
        </w:tc>
        <w:tc>
          <w:tcPr>
            <w:tcW w:w="1318" w:type="dxa"/>
            <w:tcBorders>
              <w:top w:val="nil"/>
              <w:left w:val="nil"/>
              <w:bottom w:val="single" w:sz="4" w:space="0" w:color="auto"/>
              <w:right w:val="single" w:sz="4" w:space="0" w:color="auto"/>
            </w:tcBorders>
            <w:shd w:val="clear" w:color="F2F2F2" w:fill="FFFFFF"/>
            <w:noWrap/>
            <w:vAlign w:val="center"/>
            <w:hideMark/>
          </w:tcPr>
          <w:p w14:paraId="32957B41"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1,261,677,855</w:t>
            </w:r>
          </w:p>
        </w:tc>
        <w:tc>
          <w:tcPr>
            <w:tcW w:w="1075" w:type="dxa"/>
            <w:tcBorders>
              <w:top w:val="nil"/>
              <w:left w:val="nil"/>
              <w:bottom w:val="single" w:sz="4" w:space="0" w:color="auto"/>
              <w:right w:val="single" w:sz="4" w:space="0" w:color="auto"/>
            </w:tcBorders>
            <w:shd w:val="clear" w:color="auto" w:fill="auto"/>
            <w:noWrap/>
            <w:vAlign w:val="center"/>
            <w:hideMark/>
          </w:tcPr>
          <w:p w14:paraId="2BA644F5"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1.58%</w:t>
            </w:r>
          </w:p>
        </w:tc>
      </w:tr>
      <w:tr w:rsidR="003F3F4A" w:rsidRPr="003F3F4A" w14:paraId="10E32445"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14713C24"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Servicios Generales</w:t>
            </w:r>
          </w:p>
        </w:tc>
        <w:tc>
          <w:tcPr>
            <w:tcW w:w="1318" w:type="dxa"/>
            <w:tcBorders>
              <w:top w:val="nil"/>
              <w:left w:val="nil"/>
              <w:bottom w:val="single" w:sz="4" w:space="0" w:color="auto"/>
              <w:right w:val="single" w:sz="4" w:space="0" w:color="auto"/>
            </w:tcBorders>
            <w:shd w:val="clear" w:color="F2F2F2" w:fill="FFFFFF"/>
            <w:noWrap/>
            <w:vAlign w:val="center"/>
            <w:hideMark/>
          </w:tcPr>
          <w:p w14:paraId="571CF7CF"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5,556,942,555</w:t>
            </w:r>
          </w:p>
        </w:tc>
        <w:tc>
          <w:tcPr>
            <w:tcW w:w="1075" w:type="dxa"/>
            <w:tcBorders>
              <w:top w:val="nil"/>
              <w:left w:val="nil"/>
              <w:bottom w:val="single" w:sz="4" w:space="0" w:color="auto"/>
              <w:right w:val="single" w:sz="4" w:space="0" w:color="auto"/>
            </w:tcBorders>
            <w:shd w:val="clear" w:color="auto" w:fill="auto"/>
            <w:noWrap/>
            <w:vAlign w:val="center"/>
            <w:hideMark/>
          </w:tcPr>
          <w:p w14:paraId="0D5BAC06"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6.95%</w:t>
            </w:r>
          </w:p>
        </w:tc>
      </w:tr>
      <w:tr w:rsidR="003F3F4A" w:rsidRPr="003F3F4A" w14:paraId="1CF3A1D0" w14:textId="77777777" w:rsidTr="003F3F4A">
        <w:trPr>
          <w:trHeight w:val="308"/>
        </w:trPr>
        <w:tc>
          <w:tcPr>
            <w:tcW w:w="5125" w:type="dxa"/>
            <w:tcBorders>
              <w:top w:val="nil"/>
              <w:left w:val="single" w:sz="4" w:space="0" w:color="auto"/>
              <w:bottom w:val="single" w:sz="4" w:space="0" w:color="auto"/>
              <w:right w:val="single" w:sz="4" w:space="0" w:color="auto"/>
            </w:tcBorders>
            <w:shd w:val="clear" w:color="C0C0C0" w:fill="DDC9A3"/>
            <w:noWrap/>
            <w:vAlign w:val="center"/>
            <w:hideMark/>
          </w:tcPr>
          <w:p w14:paraId="74F3267B" w14:textId="77777777" w:rsidR="003F3F4A" w:rsidRPr="003F3F4A" w:rsidRDefault="003F3F4A" w:rsidP="00EC7D22">
            <w:pPr>
              <w:suppressAutoHyphens w:val="0"/>
              <w:overflowPunct/>
              <w:spacing w:after="0" w:line="240" w:lineRule="auto"/>
              <w:rPr>
                <w:rFonts w:eastAsia="Times New Roman" w:cs="Calibri"/>
                <w:b/>
                <w:bCs/>
                <w:color w:val="000000"/>
                <w:sz w:val="14"/>
                <w:szCs w:val="14"/>
                <w:lang w:eastAsia="es-MX"/>
              </w:rPr>
            </w:pPr>
            <w:r w:rsidRPr="003F3F4A">
              <w:rPr>
                <w:rFonts w:eastAsia="Times New Roman" w:cs="Calibri"/>
                <w:b/>
                <w:bCs/>
                <w:color w:val="000000"/>
                <w:sz w:val="14"/>
                <w:szCs w:val="14"/>
                <w:lang w:eastAsia="es-MX"/>
              </w:rPr>
              <w:t>Transferencias, Asignaciones, Subsidios y Otras Ayudas</w:t>
            </w:r>
          </w:p>
        </w:tc>
        <w:tc>
          <w:tcPr>
            <w:tcW w:w="1318" w:type="dxa"/>
            <w:tcBorders>
              <w:top w:val="nil"/>
              <w:left w:val="nil"/>
              <w:bottom w:val="single" w:sz="4" w:space="0" w:color="auto"/>
              <w:right w:val="single" w:sz="4" w:space="0" w:color="auto"/>
            </w:tcBorders>
            <w:shd w:val="clear" w:color="C0C0C0" w:fill="DDC9A3"/>
            <w:noWrap/>
            <w:vAlign w:val="center"/>
            <w:hideMark/>
          </w:tcPr>
          <w:p w14:paraId="2F183E76"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26,770,923,323</w:t>
            </w:r>
          </w:p>
        </w:tc>
        <w:tc>
          <w:tcPr>
            <w:tcW w:w="1075" w:type="dxa"/>
            <w:tcBorders>
              <w:top w:val="nil"/>
              <w:left w:val="nil"/>
              <w:bottom w:val="single" w:sz="4" w:space="0" w:color="auto"/>
              <w:right w:val="single" w:sz="4" w:space="0" w:color="auto"/>
            </w:tcBorders>
            <w:shd w:val="clear" w:color="C0C0C0" w:fill="DDC9A3"/>
            <w:noWrap/>
            <w:vAlign w:val="center"/>
            <w:hideMark/>
          </w:tcPr>
          <w:p w14:paraId="5020FF6C"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33.48%</w:t>
            </w:r>
          </w:p>
        </w:tc>
      </w:tr>
      <w:tr w:rsidR="003F3F4A" w:rsidRPr="003F3F4A" w14:paraId="154C2DA9"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4993584B"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Transferencias Internas y Asignaciones al Sector Público</w:t>
            </w:r>
          </w:p>
        </w:tc>
        <w:tc>
          <w:tcPr>
            <w:tcW w:w="1318" w:type="dxa"/>
            <w:tcBorders>
              <w:top w:val="nil"/>
              <w:left w:val="nil"/>
              <w:bottom w:val="single" w:sz="4" w:space="0" w:color="auto"/>
              <w:right w:val="single" w:sz="4" w:space="0" w:color="auto"/>
            </w:tcBorders>
            <w:shd w:val="clear" w:color="F2F2F2" w:fill="FFFFFF"/>
            <w:noWrap/>
            <w:vAlign w:val="center"/>
            <w:hideMark/>
          </w:tcPr>
          <w:p w14:paraId="34AF03C6"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23,529,014,584</w:t>
            </w:r>
          </w:p>
        </w:tc>
        <w:tc>
          <w:tcPr>
            <w:tcW w:w="1075" w:type="dxa"/>
            <w:tcBorders>
              <w:top w:val="nil"/>
              <w:left w:val="nil"/>
              <w:bottom w:val="single" w:sz="4" w:space="0" w:color="auto"/>
              <w:right w:val="single" w:sz="4" w:space="0" w:color="auto"/>
            </w:tcBorders>
            <w:shd w:val="clear" w:color="auto" w:fill="auto"/>
            <w:noWrap/>
            <w:vAlign w:val="center"/>
            <w:hideMark/>
          </w:tcPr>
          <w:p w14:paraId="39308431"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29.42%</w:t>
            </w:r>
          </w:p>
        </w:tc>
      </w:tr>
      <w:tr w:rsidR="003F3F4A" w:rsidRPr="003F3F4A" w14:paraId="525E0A12"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2680686A"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Transferencias al Resto del Sector Público</w:t>
            </w:r>
          </w:p>
        </w:tc>
        <w:tc>
          <w:tcPr>
            <w:tcW w:w="1318" w:type="dxa"/>
            <w:tcBorders>
              <w:top w:val="nil"/>
              <w:left w:val="nil"/>
              <w:bottom w:val="single" w:sz="4" w:space="0" w:color="auto"/>
              <w:right w:val="single" w:sz="4" w:space="0" w:color="auto"/>
            </w:tcBorders>
            <w:shd w:val="clear" w:color="F2F2F2" w:fill="FFFFFF"/>
            <w:noWrap/>
            <w:vAlign w:val="center"/>
            <w:hideMark/>
          </w:tcPr>
          <w:p w14:paraId="273270F1"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w:t>
            </w:r>
          </w:p>
        </w:tc>
        <w:tc>
          <w:tcPr>
            <w:tcW w:w="1075" w:type="dxa"/>
            <w:tcBorders>
              <w:top w:val="nil"/>
              <w:left w:val="nil"/>
              <w:bottom w:val="single" w:sz="4" w:space="0" w:color="auto"/>
              <w:right w:val="single" w:sz="4" w:space="0" w:color="auto"/>
            </w:tcBorders>
            <w:shd w:val="clear" w:color="auto" w:fill="auto"/>
            <w:noWrap/>
            <w:vAlign w:val="center"/>
            <w:hideMark/>
          </w:tcPr>
          <w:p w14:paraId="55239D80"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0.00%</w:t>
            </w:r>
          </w:p>
        </w:tc>
      </w:tr>
      <w:tr w:rsidR="003F3F4A" w:rsidRPr="003F3F4A" w14:paraId="3388DCEF" w14:textId="77777777" w:rsidTr="003F3F4A">
        <w:trPr>
          <w:trHeight w:val="283"/>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7CB534D2"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Subsidios y Subvenciones</w:t>
            </w:r>
          </w:p>
        </w:tc>
        <w:tc>
          <w:tcPr>
            <w:tcW w:w="1318" w:type="dxa"/>
            <w:tcBorders>
              <w:top w:val="nil"/>
              <w:left w:val="nil"/>
              <w:bottom w:val="single" w:sz="4" w:space="0" w:color="auto"/>
              <w:right w:val="single" w:sz="4" w:space="0" w:color="auto"/>
            </w:tcBorders>
            <w:shd w:val="clear" w:color="F2F2F2" w:fill="FFFFFF"/>
            <w:noWrap/>
            <w:vAlign w:val="center"/>
            <w:hideMark/>
          </w:tcPr>
          <w:p w14:paraId="4EB845CA"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1,202,780,704</w:t>
            </w:r>
          </w:p>
        </w:tc>
        <w:tc>
          <w:tcPr>
            <w:tcW w:w="1075" w:type="dxa"/>
            <w:tcBorders>
              <w:top w:val="nil"/>
              <w:left w:val="nil"/>
              <w:bottom w:val="single" w:sz="4" w:space="0" w:color="auto"/>
              <w:right w:val="single" w:sz="4" w:space="0" w:color="auto"/>
            </w:tcBorders>
            <w:shd w:val="clear" w:color="auto" w:fill="auto"/>
            <w:noWrap/>
            <w:vAlign w:val="center"/>
            <w:hideMark/>
          </w:tcPr>
          <w:p w14:paraId="0E5A26A2"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1.50%</w:t>
            </w:r>
          </w:p>
        </w:tc>
      </w:tr>
      <w:tr w:rsidR="003F3F4A" w:rsidRPr="003F3F4A" w14:paraId="6EE101BF"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24908CA0"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Ayudas Sociales</w:t>
            </w:r>
          </w:p>
        </w:tc>
        <w:tc>
          <w:tcPr>
            <w:tcW w:w="1318" w:type="dxa"/>
            <w:tcBorders>
              <w:top w:val="nil"/>
              <w:left w:val="nil"/>
              <w:bottom w:val="single" w:sz="4" w:space="0" w:color="auto"/>
              <w:right w:val="single" w:sz="4" w:space="0" w:color="auto"/>
            </w:tcBorders>
            <w:shd w:val="clear" w:color="F2F2F2" w:fill="FFFFFF"/>
            <w:noWrap/>
            <w:vAlign w:val="center"/>
            <w:hideMark/>
          </w:tcPr>
          <w:p w14:paraId="586F9AC2"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1,891,158,292</w:t>
            </w:r>
          </w:p>
        </w:tc>
        <w:tc>
          <w:tcPr>
            <w:tcW w:w="1075" w:type="dxa"/>
            <w:tcBorders>
              <w:top w:val="nil"/>
              <w:left w:val="nil"/>
              <w:bottom w:val="single" w:sz="4" w:space="0" w:color="auto"/>
              <w:right w:val="single" w:sz="4" w:space="0" w:color="auto"/>
            </w:tcBorders>
            <w:shd w:val="clear" w:color="auto" w:fill="auto"/>
            <w:noWrap/>
            <w:vAlign w:val="center"/>
            <w:hideMark/>
          </w:tcPr>
          <w:p w14:paraId="4C90ED00"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2.36%</w:t>
            </w:r>
          </w:p>
        </w:tc>
      </w:tr>
      <w:tr w:rsidR="003F3F4A" w:rsidRPr="003F3F4A" w14:paraId="2B5CE58C"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490CFA0B"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Pensiones y Jubilaciones</w:t>
            </w:r>
          </w:p>
        </w:tc>
        <w:tc>
          <w:tcPr>
            <w:tcW w:w="1318" w:type="dxa"/>
            <w:tcBorders>
              <w:top w:val="nil"/>
              <w:left w:val="nil"/>
              <w:bottom w:val="single" w:sz="4" w:space="0" w:color="auto"/>
              <w:right w:val="single" w:sz="4" w:space="0" w:color="auto"/>
            </w:tcBorders>
            <w:shd w:val="clear" w:color="F2F2F2" w:fill="FFFFFF"/>
            <w:noWrap/>
            <w:vAlign w:val="center"/>
            <w:hideMark/>
          </w:tcPr>
          <w:p w14:paraId="11E14301"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91,747,734</w:t>
            </w:r>
          </w:p>
        </w:tc>
        <w:tc>
          <w:tcPr>
            <w:tcW w:w="1075" w:type="dxa"/>
            <w:tcBorders>
              <w:top w:val="nil"/>
              <w:left w:val="nil"/>
              <w:bottom w:val="single" w:sz="4" w:space="0" w:color="auto"/>
              <w:right w:val="single" w:sz="4" w:space="0" w:color="auto"/>
            </w:tcBorders>
            <w:shd w:val="clear" w:color="auto" w:fill="auto"/>
            <w:noWrap/>
            <w:vAlign w:val="center"/>
            <w:hideMark/>
          </w:tcPr>
          <w:p w14:paraId="09D42A06"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0.11%</w:t>
            </w:r>
          </w:p>
        </w:tc>
      </w:tr>
      <w:tr w:rsidR="003F3F4A" w:rsidRPr="003F3F4A" w14:paraId="5773478F" w14:textId="77777777" w:rsidTr="003F3F4A">
        <w:trPr>
          <w:trHeight w:val="271"/>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25DEFCA2"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Transferencias a Fideicomisos, Mandatos y Contratos Análogos</w:t>
            </w:r>
          </w:p>
        </w:tc>
        <w:tc>
          <w:tcPr>
            <w:tcW w:w="1318" w:type="dxa"/>
            <w:tcBorders>
              <w:top w:val="nil"/>
              <w:left w:val="nil"/>
              <w:bottom w:val="single" w:sz="4" w:space="0" w:color="auto"/>
              <w:right w:val="single" w:sz="4" w:space="0" w:color="auto"/>
            </w:tcBorders>
            <w:shd w:val="clear" w:color="F2F2F2" w:fill="FFFFFF"/>
            <w:noWrap/>
            <w:vAlign w:val="center"/>
            <w:hideMark/>
          </w:tcPr>
          <w:p w14:paraId="768EA558"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34,217,700</w:t>
            </w:r>
          </w:p>
        </w:tc>
        <w:tc>
          <w:tcPr>
            <w:tcW w:w="1075" w:type="dxa"/>
            <w:tcBorders>
              <w:top w:val="nil"/>
              <w:left w:val="nil"/>
              <w:bottom w:val="single" w:sz="4" w:space="0" w:color="auto"/>
              <w:right w:val="single" w:sz="4" w:space="0" w:color="auto"/>
            </w:tcBorders>
            <w:shd w:val="clear" w:color="auto" w:fill="auto"/>
            <w:noWrap/>
            <w:vAlign w:val="center"/>
            <w:hideMark/>
          </w:tcPr>
          <w:p w14:paraId="596A20A5"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0.04%</w:t>
            </w:r>
          </w:p>
        </w:tc>
      </w:tr>
      <w:tr w:rsidR="003F3F4A" w:rsidRPr="003F3F4A" w14:paraId="52180644"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7C8D2F2F"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Transferencias a la Seguridad Social</w:t>
            </w:r>
          </w:p>
        </w:tc>
        <w:tc>
          <w:tcPr>
            <w:tcW w:w="1318" w:type="dxa"/>
            <w:tcBorders>
              <w:top w:val="nil"/>
              <w:left w:val="nil"/>
              <w:bottom w:val="single" w:sz="4" w:space="0" w:color="auto"/>
              <w:right w:val="single" w:sz="4" w:space="0" w:color="auto"/>
            </w:tcBorders>
            <w:shd w:val="clear" w:color="F2F2F2" w:fill="FFFFFF"/>
            <w:noWrap/>
            <w:vAlign w:val="center"/>
            <w:hideMark/>
          </w:tcPr>
          <w:p w14:paraId="4F58100A"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w:t>
            </w:r>
          </w:p>
        </w:tc>
        <w:tc>
          <w:tcPr>
            <w:tcW w:w="1075" w:type="dxa"/>
            <w:tcBorders>
              <w:top w:val="nil"/>
              <w:left w:val="nil"/>
              <w:bottom w:val="single" w:sz="4" w:space="0" w:color="auto"/>
              <w:right w:val="single" w:sz="4" w:space="0" w:color="auto"/>
            </w:tcBorders>
            <w:shd w:val="clear" w:color="auto" w:fill="auto"/>
            <w:noWrap/>
            <w:vAlign w:val="center"/>
            <w:hideMark/>
          </w:tcPr>
          <w:p w14:paraId="006C341E"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 </w:t>
            </w:r>
          </w:p>
        </w:tc>
      </w:tr>
      <w:tr w:rsidR="003F3F4A" w:rsidRPr="003F3F4A" w14:paraId="2A027BE2"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7EB52E59"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Donativos</w:t>
            </w:r>
          </w:p>
        </w:tc>
        <w:tc>
          <w:tcPr>
            <w:tcW w:w="1318" w:type="dxa"/>
            <w:tcBorders>
              <w:top w:val="nil"/>
              <w:left w:val="nil"/>
              <w:bottom w:val="single" w:sz="4" w:space="0" w:color="auto"/>
              <w:right w:val="single" w:sz="4" w:space="0" w:color="auto"/>
            </w:tcBorders>
            <w:shd w:val="clear" w:color="F2F2F2" w:fill="FFFFFF"/>
            <w:noWrap/>
            <w:vAlign w:val="center"/>
            <w:hideMark/>
          </w:tcPr>
          <w:p w14:paraId="07C01B39"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22,004,309</w:t>
            </w:r>
          </w:p>
        </w:tc>
        <w:tc>
          <w:tcPr>
            <w:tcW w:w="1075" w:type="dxa"/>
            <w:tcBorders>
              <w:top w:val="nil"/>
              <w:left w:val="nil"/>
              <w:bottom w:val="single" w:sz="4" w:space="0" w:color="auto"/>
              <w:right w:val="single" w:sz="4" w:space="0" w:color="auto"/>
            </w:tcBorders>
            <w:shd w:val="clear" w:color="auto" w:fill="auto"/>
            <w:noWrap/>
            <w:vAlign w:val="center"/>
            <w:hideMark/>
          </w:tcPr>
          <w:p w14:paraId="6FE11C2A"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0.03%</w:t>
            </w:r>
          </w:p>
        </w:tc>
      </w:tr>
      <w:tr w:rsidR="003F3F4A" w:rsidRPr="003F3F4A" w14:paraId="31D29349"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3C57540F"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Transferencias al Exterior</w:t>
            </w:r>
          </w:p>
        </w:tc>
        <w:tc>
          <w:tcPr>
            <w:tcW w:w="1318" w:type="dxa"/>
            <w:tcBorders>
              <w:top w:val="nil"/>
              <w:left w:val="nil"/>
              <w:bottom w:val="single" w:sz="4" w:space="0" w:color="auto"/>
              <w:right w:val="single" w:sz="4" w:space="0" w:color="auto"/>
            </w:tcBorders>
            <w:shd w:val="clear" w:color="F2F2F2" w:fill="FFFFFF"/>
            <w:noWrap/>
            <w:vAlign w:val="center"/>
            <w:hideMark/>
          </w:tcPr>
          <w:p w14:paraId="7D409DCF"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w:t>
            </w:r>
          </w:p>
        </w:tc>
        <w:tc>
          <w:tcPr>
            <w:tcW w:w="1075" w:type="dxa"/>
            <w:tcBorders>
              <w:top w:val="nil"/>
              <w:left w:val="nil"/>
              <w:bottom w:val="single" w:sz="4" w:space="0" w:color="auto"/>
              <w:right w:val="single" w:sz="4" w:space="0" w:color="auto"/>
            </w:tcBorders>
            <w:shd w:val="clear" w:color="auto" w:fill="auto"/>
            <w:noWrap/>
            <w:vAlign w:val="center"/>
            <w:hideMark/>
          </w:tcPr>
          <w:p w14:paraId="32F310A7"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 </w:t>
            </w:r>
          </w:p>
        </w:tc>
      </w:tr>
      <w:tr w:rsidR="003F3F4A" w:rsidRPr="003F3F4A" w14:paraId="7A957CCA" w14:textId="77777777" w:rsidTr="003F3F4A">
        <w:trPr>
          <w:trHeight w:val="308"/>
        </w:trPr>
        <w:tc>
          <w:tcPr>
            <w:tcW w:w="5125" w:type="dxa"/>
            <w:tcBorders>
              <w:top w:val="nil"/>
              <w:left w:val="single" w:sz="4" w:space="0" w:color="auto"/>
              <w:bottom w:val="single" w:sz="4" w:space="0" w:color="auto"/>
              <w:right w:val="single" w:sz="4" w:space="0" w:color="auto"/>
            </w:tcBorders>
            <w:shd w:val="clear" w:color="C0C0C0" w:fill="DDC9A3"/>
            <w:noWrap/>
            <w:vAlign w:val="center"/>
            <w:hideMark/>
          </w:tcPr>
          <w:p w14:paraId="76692F55" w14:textId="77777777" w:rsidR="003F3F4A" w:rsidRPr="003F3F4A" w:rsidRDefault="003F3F4A" w:rsidP="00EC7D22">
            <w:pPr>
              <w:suppressAutoHyphens w:val="0"/>
              <w:overflowPunct/>
              <w:spacing w:after="0" w:line="240" w:lineRule="auto"/>
              <w:rPr>
                <w:rFonts w:eastAsia="Times New Roman" w:cs="Calibri"/>
                <w:b/>
                <w:bCs/>
                <w:color w:val="000000"/>
                <w:sz w:val="14"/>
                <w:szCs w:val="14"/>
                <w:lang w:eastAsia="es-MX"/>
              </w:rPr>
            </w:pPr>
            <w:r w:rsidRPr="003F3F4A">
              <w:rPr>
                <w:rFonts w:eastAsia="Times New Roman" w:cs="Calibri"/>
                <w:b/>
                <w:bCs/>
                <w:color w:val="000000"/>
                <w:sz w:val="14"/>
                <w:szCs w:val="14"/>
                <w:lang w:eastAsia="es-MX"/>
              </w:rPr>
              <w:t>Participaciones y Aportaciones,</w:t>
            </w:r>
          </w:p>
        </w:tc>
        <w:tc>
          <w:tcPr>
            <w:tcW w:w="1318" w:type="dxa"/>
            <w:tcBorders>
              <w:top w:val="nil"/>
              <w:left w:val="nil"/>
              <w:bottom w:val="single" w:sz="4" w:space="0" w:color="auto"/>
              <w:right w:val="single" w:sz="4" w:space="0" w:color="auto"/>
            </w:tcBorders>
            <w:shd w:val="clear" w:color="C0C0C0" w:fill="DDC9A3"/>
            <w:noWrap/>
            <w:vAlign w:val="center"/>
            <w:hideMark/>
          </w:tcPr>
          <w:p w14:paraId="3C49CB96"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12,718,657,865</w:t>
            </w:r>
          </w:p>
        </w:tc>
        <w:tc>
          <w:tcPr>
            <w:tcW w:w="1075" w:type="dxa"/>
            <w:tcBorders>
              <w:top w:val="nil"/>
              <w:left w:val="nil"/>
              <w:bottom w:val="single" w:sz="4" w:space="0" w:color="auto"/>
              <w:right w:val="single" w:sz="4" w:space="0" w:color="auto"/>
            </w:tcBorders>
            <w:shd w:val="clear" w:color="C0C0C0" w:fill="DDC9A3"/>
            <w:noWrap/>
            <w:vAlign w:val="center"/>
            <w:hideMark/>
          </w:tcPr>
          <w:p w14:paraId="76140F22"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15.90%</w:t>
            </w:r>
          </w:p>
        </w:tc>
      </w:tr>
      <w:tr w:rsidR="003F3F4A" w:rsidRPr="003F3F4A" w14:paraId="436AAE3B"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53E151E2"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 xml:space="preserve"> Participaciones  </w:t>
            </w:r>
          </w:p>
        </w:tc>
        <w:tc>
          <w:tcPr>
            <w:tcW w:w="1318" w:type="dxa"/>
            <w:tcBorders>
              <w:top w:val="nil"/>
              <w:left w:val="nil"/>
              <w:bottom w:val="single" w:sz="4" w:space="0" w:color="auto"/>
              <w:right w:val="single" w:sz="4" w:space="0" w:color="auto"/>
            </w:tcBorders>
            <w:shd w:val="clear" w:color="F2F2F2" w:fill="FFFFFF"/>
            <w:noWrap/>
            <w:vAlign w:val="center"/>
            <w:hideMark/>
          </w:tcPr>
          <w:p w14:paraId="060F38BA"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7,630,994,404</w:t>
            </w:r>
          </w:p>
        </w:tc>
        <w:tc>
          <w:tcPr>
            <w:tcW w:w="1075" w:type="dxa"/>
            <w:tcBorders>
              <w:top w:val="nil"/>
              <w:left w:val="nil"/>
              <w:bottom w:val="single" w:sz="4" w:space="0" w:color="auto"/>
              <w:right w:val="single" w:sz="4" w:space="0" w:color="auto"/>
            </w:tcBorders>
            <w:shd w:val="clear" w:color="auto" w:fill="auto"/>
            <w:noWrap/>
            <w:vAlign w:val="center"/>
            <w:hideMark/>
          </w:tcPr>
          <w:p w14:paraId="10FFE115"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9.54%</w:t>
            </w:r>
          </w:p>
        </w:tc>
      </w:tr>
      <w:tr w:rsidR="003F3F4A" w:rsidRPr="003F3F4A" w14:paraId="3BEF7C6E"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6EAAF1D6"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 xml:space="preserve">Aportaciones </w:t>
            </w:r>
          </w:p>
        </w:tc>
        <w:tc>
          <w:tcPr>
            <w:tcW w:w="1318" w:type="dxa"/>
            <w:tcBorders>
              <w:top w:val="nil"/>
              <w:left w:val="nil"/>
              <w:bottom w:val="single" w:sz="4" w:space="0" w:color="auto"/>
              <w:right w:val="single" w:sz="4" w:space="0" w:color="auto"/>
            </w:tcBorders>
            <w:shd w:val="clear" w:color="F2F2F2" w:fill="FFFFFF"/>
            <w:noWrap/>
            <w:vAlign w:val="center"/>
            <w:hideMark/>
          </w:tcPr>
          <w:p w14:paraId="2F0C87DE"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4,802,749,859</w:t>
            </w:r>
          </w:p>
        </w:tc>
        <w:tc>
          <w:tcPr>
            <w:tcW w:w="1075" w:type="dxa"/>
            <w:tcBorders>
              <w:top w:val="nil"/>
              <w:left w:val="nil"/>
              <w:bottom w:val="single" w:sz="4" w:space="0" w:color="auto"/>
              <w:right w:val="single" w:sz="4" w:space="0" w:color="auto"/>
            </w:tcBorders>
            <w:shd w:val="clear" w:color="auto" w:fill="auto"/>
            <w:noWrap/>
            <w:vAlign w:val="center"/>
            <w:hideMark/>
          </w:tcPr>
          <w:p w14:paraId="0EC5237F"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6.01%</w:t>
            </w:r>
          </w:p>
        </w:tc>
      </w:tr>
      <w:tr w:rsidR="003F3F4A" w:rsidRPr="003F3F4A" w14:paraId="245C4137"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6D8551C3"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 xml:space="preserve">Convenios </w:t>
            </w:r>
          </w:p>
        </w:tc>
        <w:tc>
          <w:tcPr>
            <w:tcW w:w="1318" w:type="dxa"/>
            <w:tcBorders>
              <w:top w:val="nil"/>
              <w:left w:val="nil"/>
              <w:bottom w:val="single" w:sz="4" w:space="0" w:color="auto"/>
              <w:right w:val="single" w:sz="4" w:space="0" w:color="auto"/>
            </w:tcBorders>
            <w:shd w:val="clear" w:color="F2F2F2" w:fill="FFFFFF"/>
            <w:noWrap/>
            <w:vAlign w:val="center"/>
            <w:hideMark/>
          </w:tcPr>
          <w:p w14:paraId="2E9EA2D2"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284,913,602</w:t>
            </w:r>
          </w:p>
        </w:tc>
        <w:tc>
          <w:tcPr>
            <w:tcW w:w="1075" w:type="dxa"/>
            <w:tcBorders>
              <w:top w:val="nil"/>
              <w:left w:val="nil"/>
              <w:bottom w:val="single" w:sz="4" w:space="0" w:color="auto"/>
              <w:right w:val="single" w:sz="4" w:space="0" w:color="auto"/>
            </w:tcBorders>
            <w:shd w:val="clear" w:color="auto" w:fill="auto"/>
            <w:noWrap/>
            <w:vAlign w:val="center"/>
            <w:hideMark/>
          </w:tcPr>
          <w:p w14:paraId="16D92B3B"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0.36%</w:t>
            </w:r>
          </w:p>
        </w:tc>
      </w:tr>
      <w:tr w:rsidR="003F3F4A" w:rsidRPr="003F3F4A" w14:paraId="7B74FFAE" w14:textId="77777777" w:rsidTr="003F3F4A">
        <w:trPr>
          <w:trHeight w:val="246"/>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023E991A"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 </w:t>
            </w:r>
          </w:p>
        </w:tc>
        <w:tc>
          <w:tcPr>
            <w:tcW w:w="1318" w:type="dxa"/>
            <w:tcBorders>
              <w:top w:val="nil"/>
              <w:left w:val="nil"/>
              <w:bottom w:val="single" w:sz="4" w:space="0" w:color="auto"/>
              <w:right w:val="single" w:sz="4" w:space="0" w:color="auto"/>
            </w:tcBorders>
            <w:shd w:val="clear" w:color="auto" w:fill="auto"/>
            <w:noWrap/>
            <w:vAlign w:val="center"/>
            <w:hideMark/>
          </w:tcPr>
          <w:p w14:paraId="36841DD0"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 </w:t>
            </w:r>
          </w:p>
        </w:tc>
        <w:tc>
          <w:tcPr>
            <w:tcW w:w="1075" w:type="dxa"/>
            <w:tcBorders>
              <w:top w:val="nil"/>
              <w:left w:val="nil"/>
              <w:bottom w:val="single" w:sz="4" w:space="0" w:color="auto"/>
              <w:right w:val="single" w:sz="4" w:space="0" w:color="auto"/>
            </w:tcBorders>
            <w:shd w:val="clear" w:color="auto" w:fill="auto"/>
            <w:noWrap/>
            <w:vAlign w:val="center"/>
            <w:hideMark/>
          </w:tcPr>
          <w:p w14:paraId="05788438"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 </w:t>
            </w:r>
          </w:p>
        </w:tc>
      </w:tr>
      <w:tr w:rsidR="003F3F4A" w:rsidRPr="003F3F4A" w14:paraId="641C295D" w14:textId="77777777" w:rsidTr="003F3F4A">
        <w:trPr>
          <w:trHeight w:val="308"/>
        </w:trPr>
        <w:tc>
          <w:tcPr>
            <w:tcW w:w="5125" w:type="dxa"/>
            <w:tcBorders>
              <w:top w:val="nil"/>
              <w:left w:val="single" w:sz="4" w:space="0" w:color="auto"/>
              <w:bottom w:val="single" w:sz="4" w:space="0" w:color="auto"/>
              <w:right w:val="single" w:sz="4" w:space="0" w:color="auto"/>
            </w:tcBorders>
            <w:shd w:val="clear" w:color="C0C0C0" w:fill="DDC9A3"/>
            <w:noWrap/>
            <w:vAlign w:val="center"/>
            <w:hideMark/>
          </w:tcPr>
          <w:p w14:paraId="52819DE9" w14:textId="77777777" w:rsidR="003F3F4A" w:rsidRPr="003F3F4A" w:rsidRDefault="003F3F4A" w:rsidP="00EC7D22">
            <w:pPr>
              <w:suppressAutoHyphens w:val="0"/>
              <w:overflowPunct/>
              <w:spacing w:after="0" w:line="240" w:lineRule="auto"/>
              <w:rPr>
                <w:rFonts w:eastAsia="Times New Roman" w:cs="Calibri"/>
                <w:b/>
                <w:bCs/>
                <w:color w:val="000000"/>
                <w:sz w:val="14"/>
                <w:szCs w:val="14"/>
                <w:lang w:eastAsia="es-MX"/>
              </w:rPr>
            </w:pPr>
            <w:r w:rsidRPr="003F3F4A">
              <w:rPr>
                <w:rFonts w:eastAsia="Times New Roman" w:cs="Calibri"/>
                <w:b/>
                <w:bCs/>
                <w:color w:val="000000"/>
                <w:sz w:val="14"/>
                <w:szCs w:val="14"/>
                <w:lang w:eastAsia="es-MX"/>
              </w:rPr>
              <w:t>Intereses, Comisiones y Otros Gastos de la Deuda</w:t>
            </w:r>
          </w:p>
        </w:tc>
        <w:tc>
          <w:tcPr>
            <w:tcW w:w="1318" w:type="dxa"/>
            <w:tcBorders>
              <w:top w:val="nil"/>
              <w:left w:val="nil"/>
              <w:bottom w:val="single" w:sz="4" w:space="0" w:color="auto"/>
              <w:right w:val="single" w:sz="4" w:space="0" w:color="auto"/>
            </w:tcBorders>
            <w:shd w:val="clear" w:color="C0C0C0" w:fill="DDC9A3"/>
            <w:noWrap/>
            <w:vAlign w:val="center"/>
            <w:hideMark/>
          </w:tcPr>
          <w:p w14:paraId="5193DC78"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1,890,299,001</w:t>
            </w:r>
          </w:p>
        </w:tc>
        <w:tc>
          <w:tcPr>
            <w:tcW w:w="1075" w:type="dxa"/>
            <w:tcBorders>
              <w:top w:val="nil"/>
              <w:left w:val="nil"/>
              <w:bottom w:val="single" w:sz="4" w:space="0" w:color="auto"/>
              <w:right w:val="single" w:sz="4" w:space="0" w:color="auto"/>
            </w:tcBorders>
            <w:shd w:val="clear" w:color="C0C0C0" w:fill="DDC9A3"/>
            <w:noWrap/>
            <w:vAlign w:val="center"/>
            <w:hideMark/>
          </w:tcPr>
          <w:p w14:paraId="307DC5DB"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1.96%</w:t>
            </w:r>
          </w:p>
        </w:tc>
      </w:tr>
      <w:tr w:rsidR="003F3F4A" w:rsidRPr="003F3F4A" w14:paraId="73D8F865" w14:textId="77777777" w:rsidTr="003F3F4A">
        <w:trPr>
          <w:trHeight w:val="271"/>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276BC794"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Intereses de la Deuda Pública</w:t>
            </w:r>
          </w:p>
        </w:tc>
        <w:tc>
          <w:tcPr>
            <w:tcW w:w="1318" w:type="dxa"/>
            <w:tcBorders>
              <w:top w:val="nil"/>
              <w:left w:val="nil"/>
              <w:bottom w:val="single" w:sz="4" w:space="0" w:color="auto"/>
              <w:right w:val="single" w:sz="4" w:space="0" w:color="auto"/>
            </w:tcBorders>
            <w:shd w:val="clear" w:color="F2F2F2" w:fill="FFFFFF"/>
            <w:noWrap/>
            <w:vAlign w:val="center"/>
            <w:hideMark/>
          </w:tcPr>
          <w:p w14:paraId="6CD436BB"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1,890,299,001</w:t>
            </w:r>
          </w:p>
        </w:tc>
        <w:tc>
          <w:tcPr>
            <w:tcW w:w="1075" w:type="dxa"/>
            <w:tcBorders>
              <w:top w:val="nil"/>
              <w:left w:val="nil"/>
              <w:bottom w:val="single" w:sz="4" w:space="0" w:color="auto"/>
              <w:right w:val="single" w:sz="4" w:space="0" w:color="auto"/>
            </w:tcBorders>
            <w:shd w:val="clear" w:color="auto" w:fill="auto"/>
            <w:noWrap/>
            <w:vAlign w:val="center"/>
            <w:hideMark/>
          </w:tcPr>
          <w:p w14:paraId="24448617"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2.36%</w:t>
            </w:r>
          </w:p>
        </w:tc>
      </w:tr>
      <w:tr w:rsidR="003F3F4A" w:rsidRPr="003F3F4A" w14:paraId="4DDB5271"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65BE24F0"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Comisiones de la Deuda Pública</w:t>
            </w:r>
          </w:p>
        </w:tc>
        <w:tc>
          <w:tcPr>
            <w:tcW w:w="1318" w:type="dxa"/>
            <w:tcBorders>
              <w:top w:val="nil"/>
              <w:left w:val="nil"/>
              <w:bottom w:val="single" w:sz="4" w:space="0" w:color="auto"/>
              <w:right w:val="single" w:sz="4" w:space="0" w:color="auto"/>
            </w:tcBorders>
            <w:shd w:val="clear" w:color="F2F2F2" w:fill="FFFFFF"/>
            <w:noWrap/>
            <w:vAlign w:val="center"/>
            <w:hideMark/>
          </w:tcPr>
          <w:p w14:paraId="4A9BFAE8"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w:t>
            </w:r>
          </w:p>
        </w:tc>
        <w:tc>
          <w:tcPr>
            <w:tcW w:w="1075" w:type="dxa"/>
            <w:tcBorders>
              <w:top w:val="nil"/>
              <w:left w:val="nil"/>
              <w:bottom w:val="single" w:sz="4" w:space="0" w:color="auto"/>
              <w:right w:val="single" w:sz="4" w:space="0" w:color="auto"/>
            </w:tcBorders>
            <w:shd w:val="clear" w:color="auto" w:fill="auto"/>
            <w:noWrap/>
            <w:vAlign w:val="center"/>
            <w:hideMark/>
          </w:tcPr>
          <w:p w14:paraId="5CF56973"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0.00%</w:t>
            </w:r>
          </w:p>
        </w:tc>
      </w:tr>
      <w:tr w:rsidR="003F3F4A" w:rsidRPr="003F3F4A" w14:paraId="137322E8"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71F6A7F1"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Gastos de  la Deuda Pública</w:t>
            </w:r>
          </w:p>
        </w:tc>
        <w:tc>
          <w:tcPr>
            <w:tcW w:w="1318" w:type="dxa"/>
            <w:tcBorders>
              <w:top w:val="nil"/>
              <w:left w:val="nil"/>
              <w:bottom w:val="single" w:sz="4" w:space="0" w:color="auto"/>
              <w:right w:val="single" w:sz="4" w:space="0" w:color="auto"/>
            </w:tcBorders>
            <w:shd w:val="clear" w:color="F2F2F2" w:fill="FFFFFF"/>
            <w:noWrap/>
            <w:vAlign w:val="center"/>
            <w:hideMark/>
          </w:tcPr>
          <w:p w14:paraId="1E95C229"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w:t>
            </w:r>
          </w:p>
        </w:tc>
        <w:tc>
          <w:tcPr>
            <w:tcW w:w="1075" w:type="dxa"/>
            <w:tcBorders>
              <w:top w:val="nil"/>
              <w:left w:val="nil"/>
              <w:bottom w:val="single" w:sz="4" w:space="0" w:color="auto"/>
              <w:right w:val="single" w:sz="4" w:space="0" w:color="auto"/>
            </w:tcBorders>
            <w:shd w:val="clear" w:color="auto" w:fill="auto"/>
            <w:noWrap/>
            <w:vAlign w:val="center"/>
            <w:hideMark/>
          </w:tcPr>
          <w:p w14:paraId="7246713D"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 </w:t>
            </w:r>
          </w:p>
        </w:tc>
      </w:tr>
      <w:tr w:rsidR="003F3F4A" w:rsidRPr="003F3F4A" w14:paraId="73B248CF"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430EC791"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Costos por Cobertura</w:t>
            </w:r>
          </w:p>
        </w:tc>
        <w:tc>
          <w:tcPr>
            <w:tcW w:w="1318" w:type="dxa"/>
            <w:tcBorders>
              <w:top w:val="nil"/>
              <w:left w:val="nil"/>
              <w:bottom w:val="single" w:sz="4" w:space="0" w:color="auto"/>
              <w:right w:val="single" w:sz="4" w:space="0" w:color="auto"/>
            </w:tcBorders>
            <w:shd w:val="clear" w:color="F2F2F2" w:fill="FFFFFF"/>
            <w:noWrap/>
            <w:vAlign w:val="center"/>
            <w:hideMark/>
          </w:tcPr>
          <w:p w14:paraId="290AE2BD"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w:t>
            </w:r>
          </w:p>
        </w:tc>
        <w:tc>
          <w:tcPr>
            <w:tcW w:w="1075" w:type="dxa"/>
            <w:tcBorders>
              <w:top w:val="nil"/>
              <w:left w:val="nil"/>
              <w:bottom w:val="single" w:sz="4" w:space="0" w:color="auto"/>
              <w:right w:val="single" w:sz="4" w:space="0" w:color="auto"/>
            </w:tcBorders>
            <w:shd w:val="clear" w:color="auto" w:fill="auto"/>
            <w:noWrap/>
            <w:vAlign w:val="center"/>
            <w:hideMark/>
          </w:tcPr>
          <w:p w14:paraId="21A93711"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0.00%</w:t>
            </w:r>
          </w:p>
        </w:tc>
      </w:tr>
      <w:tr w:rsidR="003F3F4A" w:rsidRPr="003F3F4A" w14:paraId="6DD4CCAB" w14:textId="77777777" w:rsidTr="003F3F4A">
        <w:trPr>
          <w:trHeight w:val="308"/>
        </w:trPr>
        <w:tc>
          <w:tcPr>
            <w:tcW w:w="5125" w:type="dxa"/>
            <w:tcBorders>
              <w:top w:val="nil"/>
              <w:left w:val="single" w:sz="4" w:space="0" w:color="auto"/>
              <w:bottom w:val="single" w:sz="4" w:space="0" w:color="auto"/>
              <w:right w:val="single" w:sz="4" w:space="0" w:color="auto"/>
            </w:tcBorders>
            <w:shd w:val="clear" w:color="C0C0C0" w:fill="DDC9A3"/>
            <w:noWrap/>
            <w:vAlign w:val="center"/>
            <w:hideMark/>
          </w:tcPr>
          <w:p w14:paraId="19A031E6" w14:textId="77777777" w:rsidR="003F3F4A" w:rsidRPr="003F3F4A" w:rsidRDefault="003F3F4A" w:rsidP="00EC7D22">
            <w:pPr>
              <w:suppressAutoHyphens w:val="0"/>
              <w:overflowPunct/>
              <w:spacing w:after="0" w:line="240" w:lineRule="auto"/>
              <w:rPr>
                <w:rFonts w:eastAsia="Times New Roman" w:cs="Calibri"/>
                <w:b/>
                <w:bCs/>
                <w:color w:val="000000"/>
                <w:sz w:val="14"/>
                <w:szCs w:val="14"/>
                <w:lang w:eastAsia="es-MX"/>
              </w:rPr>
            </w:pPr>
            <w:r w:rsidRPr="003F3F4A">
              <w:rPr>
                <w:rFonts w:eastAsia="Times New Roman" w:cs="Calibri"/>
                <w:b/>
                <w:bCs/>
                <w:color w:val="000000"/>
                <w:sz w:val="14"/>
                <w:szCs w:val="14"/>
                <w:lang w:eastAsia="es-MX"/>
              </w:rPr>
              <w:t>Otros Gastos y Partidas Extraordinarias</w:t>
            </w:r>
          </w:p>
        </w:tc>
        <w:tc>
          <w:tcPr>
            <w:tcW w:w="1318" w:type="dxa"/>
            <w:tcBorders>
              <w:top w:val="nil"/>
              <w:left w:val="nil"/>
              <w:bottom w:val="single" w:sz="4" w:space="0" w:color="auto"/>
              <w:right w:val="single" w:sz="4" w:space="0" w:color="auto"/>
            </w:tcBorders>
            <w:shd w:val="clear" w:color="C0C0C0" w:fill="DDC9A3"/>
            <w:noWrap/>
            <w:vAlign w:val="center"/>
            <w:hideMark/>
          </w:tcPr>
          <w:p w14:paraId="31A71268"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777,725,422</w:t>
            </w:r>
          </w:p>
        </w:tc>
        <w:tc>
          <w:tcPr>
            <w:tcW w:w="1075" w:type="dxa"/>
            <w:tcBorders>
              <w:top w:val="nil"/>
              <w:left w:val="nil"/>
              <w:bottom w:val="single" w:sz="4" w:space="0" w:color="auto"/>
              <w:right w:val="single" w:sz="4" w:space="0" w:color="auto"/>
            </w:tcBorders>
            <w:shd w:val="clear" w:color="C0C0C0" w:fill="DDC9A3"/>
            <w:noWrap/>
            <w:vAlign w:val="center"/>
            <w:hideMark/>
          </w:tcPr>
          <w:p w14:paraId="7179EF0D"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0.77%</w:t>
            </w:r>
          </w:p>
        </w:tc>
      </w:tr>
      <w:tr w:rsidR="003F3F4A" w:rsidRPr="003F3F4A" w14:paraId="18EAB17E"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17BC9B35"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Estimaciones, Depreciaciones, Deterioros, Obsolescencia y Amortizaciones</w:t>
            </w:r>
          </w:p>
        </w:tc>
        <w:tc>
          <w:tcPr>
            <w:tcW w:w="1318" w:type="dxa"/>
            <w:tcBorders>
              <w:top w:val="nil"/>
              <w:left w:val="nil"/>
              <w:bottom w:val="single" w:sz="4" w:space="0" w:color="auto"/>
              <w:right w:val="single" w:sz="4" w:space="0" w:color="auto"/>
            </w:tcBorders>
            <w:shd w:val="clear" w:color="F2F2F2" w:fill="FFFFFF"/>
            <w:noWrap/>
            <w:vAlign w:val="center"/>
            <w:hideMark/>
          </w:tcPr>
          <w:p w14:paraId="399B0710"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777,725,422</w:t>
            </w:r>
          </w:p>
        </w:tc>
        <w:tc>
          <w:tcPr>
            <w:tcW w:w="1075" w:type="dxa"/>
            <w:tcBorders>
              <w:top w:val="nil"/>
              <w:left w:val="nil"/>
              <w:bottom w:val="single" w:sz="4" w:space="0" w:color="auto"/>
              <w:right w:val="single" w:sz="4" w:space="0" w:color="auto"/>
            </w:tcBorders>
            <w:shd w:val="clear" w:color="auto" w:fill="auto"/>
            <w:noWrap/>
            <w:vAlign w:val="center"/>
            <w:hideMark/>
          </w:tcPr>
          <w:p w14:paraId="0B6ABD3E"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0.97%</w:t>
            </w:r>
          </w:p>
        </w:tc>
      </w:tr>
      <w:tr w:rsidR="003F3F4A" w:rsidRPr="003F3F4A" w14:paraId="61104D3A" w14:textId="77777777" w:rsidTr="003F3F4A">
        <w:trPr>
          <w:trHeight w:val="308"/>
        </w:trPr>
        <w:tc>
          <w:tcPr>
            <w:tcW w:w="5125" w:type="dxa"/>
            <w:tcBorders>
              <w:top w:val="nil"/>
              <w:left w:val="single" w:sz="4" w:space="0" w:color="auto"/>
              <w:bottom w:val="single" w:sz="4" w:space="0" w:color="auto"/>
              <w:right w:val="single" w:sz="4" w:space="0" w:color="auto"/>
            </w:tcBorders>
            <w:shd w:val="clear" w:color="C0C0C0" w:fill="DDC9A3"/>
            <w:noWrap/>
            <w:vAlign w:val="center"/>
            <w:hideMark/>
          </w:tcPr>
          <w:p w14:paraId="7EA7EA90" w14:textId="77777777" w:rsidR="003F3F4A" w:rsidRPr="003F3F4A" w:rsidRDefault="003F3F4A" w:rsidP="00EC7D22">
            <w:pPr>
              <w:suppressAutoHyphens w:val="0"/>
              <w:overflowPunct/>
              <w:spacing w:after="0" w:line="240" w:lineRule="auto"/>
              <w:rPr>
                <w:rFonts w:eastAsia="Times New Roman" w:cs="Calibri"/>
                <w:b/>
                <w:bCs/>
                <w:color w:val="000000"/>
                <w:sz w:val="14"/>
                <w:szCs w:val="14"/>
                <w:lang w:eastAsia="es-MX"/>
              </w:rPr>
            </w:pPr>
            <w:r w:rsidRPr="003F3F4A">
              <w:rPr>
                <w:rFonts w:eastAsia="Times New Roman" w:cs="Calibri"/>
                <w:b/>
                <w:bCs/>
                <w:color w:val="000000"/>
                <w:sz w:val="14"/>
                <w:szCs w:val="14"/>
                <w:lang w:eastAsia="es-MX"/>
              </w:rPr>
              <w:t>Inversión Pública</w:t>
            </w:r>
          </w:p>
        </w:tc>
        <w:tc>
          <w:tcPr>
            <w:tcW w:w="1318" w:type="dxa"/>
            <w:tcBorders>
              <w:top w:val="nil"/>
              <w:left w:val="nil"/>
              <w:bottom w:val="single" w:sz="4" w:space="0" w:color="auto"/>
              <w:right w:val="single" w:sz="4" w:space="0" w:color="auto"/>
            </w:tcBorders>
            <w:shd w:val="clear" w:color="C0C0C0" w:fill="DDC9A3"/>
            <w:noWrap/>
            <w:vAlign w:val="center"/>
            <w:hideMark/>
          </w:tcPr>
          <w:p w14:paraId="0ADE9492"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1,624,569,159</w:t>
            </w:r>
          </w:p>
        </w:tc>
        <w:tc>
          <w:tcPr>
            <w:tcW w:w="1075" w:type="dxa"/>
            <w:tcBorders>
              <w:top w:val="nil"/>
              <w:left w:val="nil"/>
              <w:bottom w:val="single" w:sz="4" w:space="0" w:color="auto"/>
              <w:right w:val="single" w:sz="4" w:space="0" w:color="auto"/>
            </w:tcBorders>
            <w:shd w:val="clear" w:color="C0C0C0" w:fill="DDC9A3"/>
            <w:noWrap/>
            <w:vAlign w:val="center"/>
            <w:hideMark/>
          </w:tcPr>
          <w:p w14:paraId="17F65B11"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2.03%</w:t>
            </w:r>
          </w:p>
        </w:tc>
      </w:tr>
      <w:tr w:rsidR="003F3F4A" w:rsidRPr="003F3F4A" w14:paraId="40B9BA07" w14:textId="77777777" w:rsidTr="003F3F4A">
        <w:trPr>
          <w:trHeight w:val="2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496F90CC" w14:textId="77777777" w:rsidR="003F3F4A" w:rsidRPr="003F3F4A" w:rsidRDefault="003F3F4A" w:rsidP="00EC7D22">
            <w:pPr>
              <w:suppressAutoHyphens w:val="0"/>
              <w:overflowPunct/>
              <w:spacing w:after="0" w:line="240" w:lineRule="auto"/>
              <w:rPr>
                <w:rFonts w:eastAsia="Times New Roman" w:cs="Calibri"/>
                <w:color w:val="000000"/>
                <w:sz w:val="14"/>
                <w:szCs w:val="14"/>
                <w:lang w:eastAsia="es-MX"/>
              </w:rPr>
            </w:pPr>
            <w:r w:rsidRPr="003F3F4A">
              <w:rPr>
                <w:rFonts w:eastAsia="Times New Roman" w:cs="Calibri"/>
                <w:color w:val="000000"/>
                <w:sz w:val="14"/>
                <w:szCs w:val="14"/>
                <w:lang w:eastAsia="es-MX"/>
              </w:rPr>
              <w:t>Inversión Pública  No Capitalizable</w:t>
            </w:r>
          </w:p>
        </w:tc>
        <w:tc>
          <w:tcPr>
            <w:tcW w:w="1318" w:type="dxa"/>
            <w:tcBorders>
              <w:top w:val="nil"/>
              <w:left w:val="nil"/>
              <w:bottom w:val="single" w:sz="4" w:space="0" w:color="auto"/>
              <w:right w:val="single" w:sz="4" w:space="0" w:color="auto"/>
            </w:tcBorders>
            <w:shd w:val="clear" w:color="F2F2F2" w:fill="FFFFFF"/>
            <w:noWrap/>
            <w:vAlign w:val="center"/>
            <w:hideMark/>
          </w:tcPr>
          <w:p w14:paraId="5812BD12"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1,624,569,159</w:t>
            </w:r>
          </w:p>
        </w:tc>
        <w:tc>
          <w:tcPr>
            <w:tcW w:w="1075" w:type="dxa"/>
            <w:tcBorders>
              <w:top w:val="nil"/>
              <w:left w:val="nil"/>
              <w:bottom w:val="single" w:sz="4" w:space="0" w:color="auto"/>
              <w:right w:val="single" w:sz="4" w:space="0" w:color="auto"/>
            </w:tcBorders>
            <w:shd w:val="clear" w:color="auto" w:fill="auto"/>
            <w:noWrap/>
            <w:vAlign w:val="center"/>
            <w:hideMark/>
          </w:tcPr>
          <w:p w14:paraId="61EC4902" w14:textId="77777777" w:rsidR="003F3F4A" w:rsidRPr="003F3F4A" w:rsidRDefault="003F3F4A" w:rsidP="00EC7D22">
            <w:pPr>
              <w:suppressAutoHyphens w:val="0"/>
              <w:overflowPunct/>
              <w:spacing w:after="0" w:line="240" w:lineRule="auto"/>
              <w:jc w:val="right"/>
              <w:rPr>
                <w:rFonts w:eastAsia="Times New Roman" w:cs="Calibri"/>
                <w:color w:val="000000"/>
                <w:sz w:val="14"/>
                <w:szCs w:val="14"/>
                <w:lang w:eastAsia="es-MX"/>
              </w:rPr>
            </w:pPr>
            <w:r w:rsidRPr="003F3F4A">
              <w:rPr>
                <w:rFonts w:eastAsia="Times New Roman" w:cs="Calibri"/>
                <w:color w:val="000000"/>
                <w:sz w:val="14"/>
                <w:szCs w:val="14"/>
                <w:lang w:eastAsia="es-MX"/>
              </w:rPr>
              <w:t>2.03%</w:t>
            </w:r>
          </w:p>
        </w:tc>
      </w:tr>
      <w:tr w:rsidR="003F3F4A" w:rsidRPr="003F3F4A" w14:paraId="7DD3154A" w14:textId="77777777" w:rsidTr="00CF1038">
        <w:trPr>
          <w:trHeight w:val="369"/>
        </w:trPr>
        <w:tc>
          <w:tcPr>
            <w:tcW w:w="5125" w:type="dxa"/>
            <w:tcBorders>
              <w:top w:val="nil"/>
              <w:left w:val="single" w:sz="4" w:space="0" w:color="auto"/>
              <w:bottom w:val="single" w:sz="4" w:space="0" w:color="auto"/>
              <w:right w:val="single" w:sz="4" w:space="0" w:color="auto"/>
            </w:tcBorders>
            <w:shd w:val="clear" w:color="auto" w:fill="BC955C"/>
            <w:noWrap/>
            <w:vAlign w:val="center"/>
            <w:hideMark/>
          </w:tcPr>
          <w:p w14:paraId="30227264" w14:textId="77777777" w:rsidR="003F3F4A" w:rsidRPr="003F3F4A" w:rsidRDefault="003F3F4A" w:rsidP="00EC7D22">
            <w:pPr>
              <w:suppressAutoHyphens w:val="0"/>
              <w:overflowPunct/>
              <w:spacing w:after="0" w:line="240" w:lineRule="auto"/>
              <w:jc w:val="center"/>
              <w:rPr>
                <w:rFonts w:eastAsia="Times New Roman" w:cs="Calibri"/>
                <w:b/>
                <w:bCs/>
                <w:color w:val="000000"/>
                <w:sz w:val="14"/>
                <w:szCs w:val="14"/>
                <w:lang w:eastAsia="es-MX"/>
              </w:rPr>
            </w:pPr>
            <w:r w:rsidRPr="003F3F4A">
              <w:rPr>
                <w:rFonts w:eastAsia="Times New Roman" w:cs="Calibri"/>
                <w:b/>
                <w:bCs/>
                <w:color w:val="000000"/>
                <w:sz w:val="14"/>
                <w:szCs w:val="14"/>
                <w:lang w:eastAsia="es-MX"/>
              </w:rPr>
              <w:t>Total de Gastos y Otras Pérdidas</w:t>
            </w:r>
          </w:p>
        </w:tc>
        <w:tc>
          <w:tcPr>
            <w:tcW w:w="1318" w:type="dxa"/>
            <w:tcBorders>
              <w:top w:val="nil"/>
              <w:left w:val="nil"/>
              <w:bottom w:val="single" w:sz="4" w:space="0" w:color="auto"/>
              <w:right w:val="single" w:sz="4" w:space="0" w:color="auto"/>
            </w:tcBorders>
            <w:shd w:val="clear" w:color="auto" w:fill="BC955C"/>
            <w:noWrap/>
            <w:vAlign w:val="center"/>
            <w:hideMark/>
          </w:tcPr>
          <w:p w14:paraId="348B239F"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79,968,016,163</w:t>
            </w:r>
          </w:p>
        </w:tc>
        <w:tc>
          <w:tcPr>
            <w:tcW w:w="1075" w:type="dxa"/>
            <w:tcBorders>
              <w:top w:val="nil"/>
              <w:left w:val="nil"/>
              <w:bottom w:val="single" w:sz="4" w:space="0" w:color="auto"/>
              <w:right w:val="single" w:sz="4" w:space="0" w:color="auto"/>
            </w:tcBorders>
            <w:shd w:val="clear" w:color="auto" w:fill="BC955C"/>
            <w:noWrap/>
            <w:vAlign w:val="center"/>
            <w:hideMark/>
          </w:tcPr>
          <w:p w14:paraId="58E25491" w14:textId="77777777" w:rsidR="003F3F4A" w:rsidRPr="003F3F4A" w:rsidRDefault="003F3F4A" w:rsidP="00EC7D22">
            <w:pPr>
              <w:suppressAutoHyphens w:val="0"/>
              <w:overflowPunct/>
              <w:spacing w:after="0" w:line="240" w:lineRule="auto"/>
              <w:jc w:val="right"/>
              <w:rPr>
                <w:rFonts w:eastAsia="Times New Roman" w:cs="Calibri"/>
                <w:b/>
                <w:bCs/>
                <w:color w:val="000000"/>
                <w:sz w:val="14"/>
                <w:szCs w:val="14"/>
                <w:lang w:eastAsia="es-MX"/>
              </w:rPr>
            </w:pPr>
            <w:r w:rsidRPr="003F3F4A">
              <w:rPr>
                <w:rFonts w:eastAsia="Times New Roman" w:cs="Calibri"/>
                <w:b/>
                <w:bCs/>
                <w:color w:val="000000"/>
                <w:sz w:val="14"/>
                <w:szCs w:val="14"/>
                <w:lang w:eastAsia="es-MX"/>
              </w:rPr>
              <w:t>100.00%</w:t>
            </w:r>
          </w:p>
        </w:tc>
      </w:tr>
    </w:tbl>
    <w:p w14:paraId="77F6E8FB" w14:textId="77777777" w:rsidR="003F3F4A" w:rsidRDefault="003F3F4A" w:rsidP="00EC7D22">
      <w:pPr>
        <w:tabs>
          <w:tab w:val="left" w:pos="142"/>
          <w:tab w:val="num" w:pos="426"/>
        </w:tabs>
        <w:spacing w:after="0" w:line="240" w:lineRule="auto"/>
        <w:rPr>
          <w:rFonts w:cs="Calibri"/>
          <w:b/>
          <w:sz w:val="20"/>
          <w:u w:val="single"/>
          <w:lang w:val="es-ES" w:eastAsia="es-ES"/>
        </w:rPr>
      </w:pPr>
    </w:p>
    <w:p w14:paraId="42A29DC7" w14:textId="77777777" w:rsidR="007745EB" w:rsidRDefault="007745EB" w:rsidP="00EC7D22">
      <w:pPr>
        <w:tabs>
          <w:tab w:val="left" w:pos="142"/>
        </w:tabs>
        <w:spacing w:after="0" w:line="240" w:lineRule="auto"/>
        <w:rPr>
          <w:rFonts w:cs="Calibri"/>
          <w:b/>
          <w:sz w:val="20"/>
          <w:lang w:val="es-ES" w:eastAsia="es-ES"/>
        </w:rPr>
      </w:pPr>
    </w:p>
    <w:p w14:paraId="738BABD7" w14:textId="4916498E" w:rsidR="007745EB" w:rsidRPr="008F6566" w:rsidRDefault="00C87FDA" w:rsidP="00EC7D22">
      <w:pPr>
        <w:spacing w:after="0" w:line="240" w:lineRule="auto"/>
        <w:jc w:val="both"/>
        <w:rPr>
          <w:rFonts w:eastAsia="Times New Roman" w:cs="Calibri"/>
          <w:sz w:val="20"/>
          <w:szCs w:val="18"/>
          <w:lang w:eastAsia="es-ES"/>
        </w:rPr>
      </w:pPr>
      <w:r w:rsidRPr="008F6566">
        <w:rPr>
          <w:rFonts w:eastAsia="Times New Roman" w:cs="Calibri"/>
          <w:sz w:val="20"/>
          <w:szCs w:val="18"/>
          <w:lang w:eastAsia="es-ES"/>
        </w:rPr>
        <w:t>El importe más significativo del apartado de Gastos y Otras pérdidas es el rubro de Servicios Personales, la cual acumula un monto de $</w:t>
      </w:r>
      <w:r w:rsidR="00590653">
        <w:rPr>
          <w:rFonts w:eastAsia="Times New Roman" w:cs="Calibri"/>
          <w:color w:val="000000"/>
          <w:sz w:val="20"/>
          <w:szCs w:val="18"/>
          <w:lang w:eastAsia="es-MX"/>
        </w:rPr>
        <w:t>29,</w:t>
      </w:r>
      <w:r w:rsidR="003F3F4A">
        <w:rPr>
          <w:rFonts w:eastAsia="Times New Roman" w:cs="Calibri"/>
          <w:color w:val="000000"/>
          <w:sz w:val="20"/>
          <w:szCs w:val="18"/>
          <w:lang w:eastAsia="es-MX"/>
        </w:rPr>
        <w:t>367,220,983</w:t>
      </w:r>
      <w:r w:rsidR="00590653">
        <w:rPr>
          <w:rFonts w:eastAsia="Times New Roman" w:cs="Calibri"/>
          <w:color w:val="000000"/>
          <w:sz w:val="20"/>
          <w:szCs w:val="18"/>
          <w:lang w:eastAsia="es-MX"/>
        </w:rPr>
        <w:t>.,</w:t>
      </w:r>
      <w:r w:rsidRPr="008F6566">
        <w:rPr>
          <w:rFonts w:eastAsia="Times New Roman" w:cs="Calibri"/>
          <w:sz w:val="20"/>
          <w:szCs w:val="18"/>
          <w:lang w:eastAsia="es-ES"/>
        </w:rPr>
        <w:t xml:space="preserve"> que representa el </w:t>
      </w:r>
      <w:r w:rsidR="003F3F4A">
        <w:rPr>
          <w:rFonts w:eastAsia="Times New Roman" w:cs="Calibri"/>
          <w:sz w:val="20"/>
          <w:szCs w:val="18"/>
          <w:lang w:eastAsia="es-ES"/>
        </w:rPr>
        <w:t>36.72</w:t>
      </w:r>
      <w:r w:rsidRPr="008F6566">
        <w:rPr>
          <w:rFonts w:eastAsia="Times New Roman" w:cs="Calibri"/>
          <w:sz w:val="20"/>
          <w:szCs w:val="18"/>
          <w:lang w:eastAsia="es-ES"/>
        </w:rPr>
        <w:t xml:space="preserve">% del gasto total al cierre del </w:t>
      </w:r>
      <w:r w:rsidR="003F3F4A">
        <w:rPr>
          <w:rFonts w:eastAsia="Times New Roman" w:cs="Calibri"/>
          <w:sz w:val="20"/>
          <w:szCs w:val="18"/>
          <w:lang w:eastAsia="es-ES"/>
        </w:rPr>
        <w:t>ejercicio</w:t>
      </w:r>
      <w:r w:rsidRPr="008F6566">
        <w:rPr>
          <w:rFonts w:eastAsia="Times New Roman" w:cs="Calibri"/>
          <w:sz w:val="20"/>
          <w:szCs w:val="18"/>
          <w:lang w:eastAsia="es-ES"/>
        </w:rPr>
        <w:t>.</w:t>
      </w:r>
    </w:p>
    <w:p w14:paraId="504C3B0F" w14:textId="77777777" w:rsidR="007745EB" w:rsidRPr="008F6566" w:rsidRDefault="007745EB" w:rsidP="00EC7D22">
      <w:pPr>
        <w:spacing w:after="0" w:line="240" w:lineRule="auto"/>
        <w:jc w:val="both"/>
        <w:rPr>
          <w:rFonts w:eastAsia="Times New Roman" w:cs="Calibri"/>
          <w:sz w:val="20"/>
          <w:szCs w:val="18"/>
          <w:lang w:eastAsia="es-ES"/>
        </w:rPr>
      </w:pPr>
    </w:p>
    <w:p w14:paraId="17829448" w14:textId="323AE37A" w:rsidR="007745EB" w:rsidRPr="008F6566" w:rsidRDefault="00C87FDA" w:rsidP="00EC7D22">
      <w:pPr>
        <w:spacing w:after="0" w:line="240" w:lineRule="auto"/>
        <w:jc w:val="both"/>
        <w:rPr>
          <w:rFonts w:eastAsia="Times New Roman" w:cs="Calibri"/>
          <w:sz w:val="20"/>
          <w:szCs w:val="18"/>
          <w:lang w:eastAsia="es-ES"/>
        </w:rPr>
      </w:pPr>
      <w:r w:rsidRPr="008F6566">
        <w:rPr>
          <w:rFonts w:eastAsia="Times New Roman" w:cs="Calibri"/>
          <w:sz w:val="20"/>
          <w:szCs w:val="18"/>
          <w:lang w:eastAsia="es-ES"/>
        </w:rPr>
        <w:t>En segundo lugar, el rubro de Transferencias Internas y Asignaciones al Sector Público con un importe de $</w:t>
      </w:r>
      <w:r w:rsidR="003F3F4A">
        <w:rPr>
          <w:rFonts w:eastAsia="Times New Roman" w:cs="Calibri"/>
          <w:color w:val="000000"/>
          <w:sz w:val="20"/>
          <w:szCs w:val="18"/>
          <w:lang w:eastAsia="es-MX"/>
        </w:rPr>
        <w:t>23,529,014,584</w:t>
      </w:r>
      <w:r w:rsidRPr="008F6566">
        <w:rPr>
          <w:rFonts w:eastAsia="Times New Roman" w:cs="Calibri"/>
          <w:color w:val="000000"/>
          <w:sz w:val="20"/>
          <w:szCs w:val="18"/>
          <w:lang w:eastAsia="es-MX"/>
        </w:rPr>
        <w:t xml:space="preserve">., </w:t>
      </w:r>
      <w:r w:rsidRPr="008F6566">
        <w:rPr>
          <w:rFonts w:eastAsia="Times New Roman" w:cs="Calibri"/>
          <w:sz w:val="20"/>
          <w:szCs w:val="18"/>
          <w:lang w:eastAsia="es-ES"/>
        </w:rPr>
        <w:t xml:space="preserve">el cual comprende las Asignaciones Presupuestales al Poder Legislativo, Judicial, Órganos Autónomos, Organismos Públicos Descentralizados y Entidades Paraestatales y representan el </w:t>
      </w:r>
      <w:r w:rsidR="003F3F4A">
        <w:rPr>
          <w:rFonts w:eastAsia="Times New Roman" w:cs="Calibri"/>
          <w:sz w:val="20"/>
          <w:szCs w:val="18"/>
          <w:lang w:eastAsia="es-ES"/>
        </w:rPr>
        <w:t>29.42</w:t>
      </w:r>
      <w:r w:rsidRPr="008F6566">
        <w:rPr>
          <w:rFonts w:eastAsia="Times New Roman" w:cs="Calibri"/>
          <w:sz w:val="20"/>
          <w:szCs w:val="18"/>
          <w:lang w:eastAsia="es-ES"/>
        </w:rPr>
        <w:t>% del total del gasto.</w:t>
      </w:r>
    </w:p>
    <w:p w14:paraId="077F3BDE" w14:textId="77777777" w:rsidR="007745EB" w:rsidRDefault="007745EB" w:rsidP="00EC7D22">
      <w:pPr>
        <w:spacing w:after="0" w:line="240" w:lineRule="auto"/>
        <w:jc w:val="both"/>
        <w:rPr>
          <w:rFonts w:eastAsia="Times New Roman" w:cs="Calibri"/>
          <w:sz w:val="16"/>
          <w:szCs w:val="16"/>
          <w:lang w:eastAsia="es-ES"/>
        </w:rPr>
      </w:pPr>
    </w:p>
    <w:p w14:paraId="22E3D57D" w14:textId="439C997F" w:rsidR="007745EB" w:rsidRDefault="004D0BC0" w:rsidP="004D0BC0">
      <w:pPr>
        <w:pStyle w:val="Texto"/>
        <w:spacing w:after="0" w:line="240" w:lineRule="exact"/>
        <w:ind w:firstLine="0"/>
        <w:rPr>
          <w:rFonts w:ascii="Calibri" w:hAnsi="Calibri" w:cs="Calibri"/>
          <w:b/>
          <w:sz w:val="20"/>
          <w:szCs w:val="18"/>
        </w:rPr>
      </w:pPr>
      <w:r>
        <w:rPr>
          <w:rFonts w:ascii="Calibri" w:hAnsi="Calibri" w:cs="Calibri"/>
          <w:b/>
          <w:sz w:val="20"/>
          <w:szCs w:val="18"/>
        </w:rPr>
        <w:t xml:space="preserve">II).  </w:t>
      </w:r>
      <w:r w:rsidR="00C87FDA">
        <w:rPr>
          <w:rFonts w:ascii="Calibri" w:hAnsi="Calibri" w:cs="Calibri"/>
          <w:b/>
          <w:sz w:val="20"/>
          <w:szCs w:val="18"/>
        </w:rPr>
        <w:t>Notas al Estado de Situación Financiera</w:t>
      </w:r>
    </w:p>
    <w:p w14:paraId="1981F427" w14:textId="77777777" w:rsidR="007745EB" w:rsidRDefault="007745EB" w:rsidP="00EC7D22">
      <w:pPr>
        <w:pStyle w:val="Texto"/>
        <w:spacing w:after="0" w:line="240" w:lineRule="exact"/>
        <w:ind w:firstLine="0"/>
        <w:rPr>
          <w:rFonts w:ascii="Calibri" w:hAnsi="Calibri" w:cs="Calibri"/>
          <w:sz w:val="22"/>
          <w:szCs w:val="18"/>
        </w:rPr>
      </w:pPr>
    </w:p>
    <w:p w14:paraId="29804A8B" w14:textId="77777777" w:rsidR="007745EB" w:rsidRDefault="00C87FDA" w:rsidP="00EC7D22">
      <w:pPr>
        <w:pStyle w:val="Texto"/>
        <w:spacing w:after="0" w:line="240" w:lineRule="exact"/>
        <w:ind w:firstLine="0"/>
        <w:rPr>
          <w:rFonts w:ascii="Calibri" w:hAnsi="Calibri" w:cs="Calibri"/>
          <w:b/>
          <w:sz w:val="20"/>
          <w:szCs w:val="18"/>
        </w:rPr>
      </w:pPr>
      <w:r>
        <w:rPr>
          <w:rFonts w:ascii="Calibri" w:hAnsi="Calibri" w:cs="Calibri"/>
          <w:b/>
          <w:sz w:val="20"/>
          <w:szCs w:val="18"/>
        </w:rPr>
        <w:t>Activo</w:t>
      </w:r>
    </w:p>
    <w:p w14:paraId="39B89030" w14:textId="77777777" w:rsidR="007745EB" w:rsidRDefault="007745EB" w:rsidP="00EC7D22">
      <w:pPr>
        <w:pStyle w:val="Texto"/>
        <w:spacing w:after="0" w:line="240" w:lineRule="exact"/>
        <w:ind w:firstLine="0"/>
        <w:rPr>
          <w:rFonts w:ascii="Calibri" w:hAnsi="Calibri" w:cs="Calibri"/>
          <w:sz w:val="22"/>
          <w:szCs w:val="18"/>
        </w:rPr>
      </w:pPr>
    </w:p>
    <w:p w14:paraId="7880452B" w14:textId="6370E37F" w:rsidR="007745EB" w:rsidRDefault="00694CE6" w:rsidP="00EC7D22">
      <w:pPr>
        <w:pStyle w:val="Texto"/>
        <w:spacing w:after="0" w:line="240" w:lineRule="exact"/>
        <w:ind w:firstLine="0"/>
        <w:rPr>
          <w:rFonts w:ascii="Calibri" w:hAnsi="Calibri" w:cs="Calibri"/>
          <w:b/>
          <w:i/>
          <w:sz w:val="20"/>
          <w:szCs w:val="18"/>
          <w:u w:val="single"/>
        </w:rPr>
      </w:pPr>
      <w:r>
        <w:rPr>
          <w:rFonts w:ascii="Calibri" w:hAnsi="Calibri" w:cs="Calibri"/>
          <w:b/>
          <w:i/>
          <w:sz w:val="20"/>
          <w:szCs w:val="18"/>
          <w:u w:val="single"/>
        </w:rPr>
        <w:t>Efectivo Y Equivalente</w:t>
      </w:r>
    </w:p>
    <w:p w14:paraId="6BEA8A9D" w14:textId="77777777" w:rsidR="007745EB" w:rsidRDefault="007745EB" w:rsidP="00EC7D22">
      <w:pPr>
        <w:pStyle w:val="Texto"/>
        <w:spacing w:after="0" w:line="240" w:lineRule="exact"/>
        <w:ind w:firstLine="0"/>
        <w:rPr>
          <w:rFonts w:ascii="Calibri" w:hAnsi="Calibri" w:cs="Calibri"/>
          <w:sz w:val="20"/>
          <w:szCs w:val="18"/>
        </w:rPr>
      </w:pPr>
    </w:p>
    <w:p w14:paraId="7DA0292F" w14:textId="4546CC94" w:rsidR="001E59F3" w:rsidRDefault="00C87FDA" w:rsidP="00EC7D22">
      <w:pPr>
        <w:pStyle w:val="Texto"/>
        <w:numPr>
          <w:ilvl w:val="0"/>
          <w:numId w:val="14"/>
        </w:numPr>
        <w:spacing w:after="0" w:line="276" w:lineRule="auto"/>
        <w:ind w:left="0" w:firstLine="0"/>
        <w:rPr>
          <w:rFonts w:ascii="Calibri" w:hAnsi="Calibri" w:cs="Calibri"/>
          <w:sz w:val="20"/>
        </w:rPr>
      </w:pPr>
      <w:r w:rsidRPr="00820E37">
        <w:rPr>
          <w:rFonts w:ascii="Calibri" w:hAnsi="Calibri" w:cs="Calibri"/>
          <w:sz w:val="20"/>
        </w:rPr>
        <w:t xml:space="preserve">Este rubro lo integran las partidas de corto plazo donde se incluye todas las cuentas de Bancos e inversiones registradas al cierre </w:t>
      </w:r>
      <w:r w:rsidR="00217CAD">
        <w:rPr>
          <w:rFonts w:ascii="Calibri" w:hAnsi="Calibri" w:cs="Calibri"/>
          <w:sz w:val="20"/>
        </w:rPr>
        <w:t>del ejercicio</w:t>
      </w:r>
      <w:r w:rsidRPr="00820E37">
        <w:rPr>
          <w:rFonts w:ascii="Calibri" w:hAnsi="Calibri" w:cs="Calibri"/>
          <w:sz w:val="20"/>
        </w:rPr>
        <w:t xml:space="preserve"> y sus montos por cuenta están desglosadas como sigue: </w:t>
      </w:r>
    </w:p>
    <w:p w14:paraId="48232015" w14:textId="4CB8148A" w:rsidR="008E2260" w:rsidRDefault="008E2260" w:rsidP="00EC7D22">
      <w:pPr>
        <w:pStyle w:val="Texto"/>
        <w:spacing w:after="0" w:line="276" w:lineRule="auto"/>
        <w:ind w:firstLine="0"/>
        <w:rPr>
          <w:rFonts w:ascii="Calibri" w:hAnsi="Calibri" w:cs="Calibri"/>
          <w:sz w:val="20"/>
        </w:rPr>
      </w:pP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0"/>
        <w:gridCol w:w="1248"/>
        <w:gridCol w:w="1276"/>
        <w:gridCol w:w="1417"/>
      </w:tblGrid>
      <w:tr w:rsidR="002B096D" w:rsidRPr="002B096D" w14:paraId="4AB7DCE4" w14:textId="77777777" w:rsidTr="004B3760">
        <w:trPr>
          <w:trHeight w:val="397"/>
        </w:trPr>
        <w:tc>
          <w:tcPr>
            <w:tcW w:w="3000" w:type="dxa"/>
            <w:shd w:val="clear" w:color="000000" w:fill="A90025"/>
            <w:vAlign w:val="center"/>
            <w:hideMark/>
          </w:tcPr>
          <w:p w14:paraId="7FAF87D6" w14:textId="77777777" w:rsidR="002B096D" w:rsidRPr="002B096D" w:rsidRDefault="002B096D" w:rsidP="00EC7D22">
            <w:pPr>
              <w:suppressAutoHyphens w:val="0"/>
              <w:overflowPunct/>
              <w:spacing w:after="0" w:line="240" w:lineRule="auto"/>
              <w:jc w:val="center"/>
              <w:rPr>
                <w:rFonts w:eastAsia="Times New Roman" w:cs="Calibri"/>
                <w:b/>
                <w:bCs/>
                <w:color w:val="FFFFFF"/>
                <w:sz w:val="16"/>
                <w:szCs w:val="16"/>
                <w:lang w:eastAsia="es-MX"/>
              </w:rPr>
            </w:pPr>
            <w:r w:rsidRPr="002B096D">
              <w:rPr>
                <w:rFonts w:eastAsia="Times New Roman" w:cs="Calibri"/>
                <w:b/>
                <w:bCs/>
                <w:color w:val="FFFFFF"/>
                <w:sz w:val="16"/>
                <w:szCs w:val="16"/>
                <w:lang w:eastAsia="es-MX"/>
              </w:rPr>
              <w:t>Efectivo y Equivalente</w:t>
            </w:r>
          </w:p>
        </w:tc>
        <w:tc>
          <w:tcPr>
            <w:tcW w:w="1248" w:type="dxa"/>
            <w:shd w:val="clear" w:color="800080" w:fill="A90025"/>
            <w:vAlign w:val="center"/>
            <w:hideMark/>
          </w:tcPr>
          <w:p w14:paraId="0BFB1980" w14:textId="77777777" w:rsidR="002B096D" w:rsidRPr="002B096D" w:rsidRDefault="002B096D" w:rsidP="00EC7D22">
            <w:pPr>
              <w:suppressAutoHyphens w:val="0"/>
              <w:overflowPunct/>
              <w:spacing w:after="0" w:line="240" w:lineRule="auto"/>
              <w:jc w:val="center"/>
              <w:rPr>
                <w:rFonts w:eastAsia="Times New Roman" w:cs="Calibri"/>
                <w:b/>
                <w:bCs/>
                <w:color w:val="FFFFFF"/>
                <w:sz w:val="16"/>
                <w:szCs w:val="16"/>
                <w:lang w:eastAsia="es-MX"/>
              </w:rPr>
            </w:pPr>
            <w:r w:rsidRPr="002B096D">
              <w:rPr>
                <w:rFonts w:eastAsia="Times New Roman" w:cs="Calibri"/>
                <w:b/>
                <w:bCs/>
                <w:color w:val="FFFFFF"/>
                <w:sz w:val="16"/>
                <w:szCs w:val="16"/>
                <w:lang w:eastAsia="es-MX"/>
              </w:rPr>
              <w:t>Recurso Estatal</w:t>
            </w:r>
          </w:p>
        </w:tc>
        <w:tc>
          <w:tcPr>
            <w:tcW w:w="1276" w:type="dxa"/>
            <w:shd w:val="clear" w:color="800080" w:fill="A90025"/>
            <w:vAlign w:val="center"/>
            <w:hideMark/>
          </w:tcPr>
          <w:p w14:paraId="3B0E079C" w14:textId="77777777" w:rsidR="002B096D" w:rsidRPr="002B096D" w:rsidRDefault="002B096D" w:rsidP="00EC7D22">
            <w:pPr>
              <w:suppressAutoHyphens w:val="0"/>
              <w:overflowPunct/>
              <w:spacing w:after="0" w:line="240" w:lineRule="auto"/>
              <w:jc w:val="center"/>
              <w:rPr>
                <w:rFonts w:eastAsia="Times New Roman" w:cs="Calibri"/>
                <w:b/>
                <w:bCs/>
                <w:color w:val="FFFFFF"/>
                <w:sz w:val="16"/>
                <w:szCs w:val="16"/>
                <w:lang w:eastAsia="es-MX"/>
              </w:rPr>
            </w:pPr>
            <w:r w:rsidRPr="002B096D">
              <w:rPr>
                <w:rFonts w:eastAsia="Times New Roman" w:cs="Calibri"/>
                <w:b/>
                <w:bCs/>
                <w:color w:val="FFFFFF"/>
                <w:sz w:val="16"/>
                <w:szCs w:val="16"/>
                <w:lang w:eastAsia="es-MX"/>
              </w:rPr>
              <w:t>Recurso Federal</w:t>
            </w:r>
          </w:p>
        </w:tc>
        <w:tc>
          <w:tcPr>
            <w:tcW w:w="1417" w:type="dxa"/>
            <w:shd w:val="clear" w:color="800080" w:fill="A90025"/>
            <w:vAlign w:val="center"/>
            <w:hideMark/>
          </w:tcPr>
          <w:p w14:paraId="2446C9C9" w14:textId="77777777" w:rsidR="002B096D" w:rsidRPr="002B096D" w:rsidRDefault="002B096D" w:rsidP="00EC7D22">
            <w:pPr>
              <w:suppressAutoHyphens w:val="0"/>
              <w:overflowPunct/>
              <w:spacing w:after="0" w:line="240" w:lineRule="auto"/>
              <w:jc w:val="center"/>
              <w:rPr>
                <w:rFonts w:eastAsia="Times New Roman" w:cs="Calibri"/>
                <w:b/>
                <w:bCs/>
                <w:color w:val="FFFFFF"/>
                <w:sz w:val="16"/>
                <w:szCs w:val="16"/>
                <w:lang w:eastAsia="es-MX"/>
              </w:rPr>
            </w:pPr>
            <w:r w:rsidRPr="002B096D">
              <w:rPr>
                <w:rFonts w:eastAsia="Times New Roman" w:cs="Calibri"/>
                <w:b/>
                <w:bCs/>
                <w:color w:val="FFFFFF"/>
                <w:sz w:val="16"/>
                <w:szCs w:val="16"/>
                <w:lang w:eastAsia="es-MX"/>
              </w:rPr>
              <w:t>TOTAL</w:t>
            </w:r>
          </w:p>
        </w:tc>
      </w:tr>
      <w:tr w:rsidR="002B096D" w:rsidRPr="002B096D" w14:paraId="1FE49675" w14:textId="77777777" w:rsidTr="0027226E">
        <w:trPr>
          <w:trHeight w:val="288"/>
        </w:trPr>
        <w:tc>
          <w:tcPr>
            <w:tcW w:w="3000" w:type="dxa"/>
            <w:shd w:val="clear" w:color="auto" w:fill="auto"/>
            <w:noWrap/>
            <w:vAlign w:val="bottom"/>
            <w:hideMark/>
          </w:tcPr>
          <w:p w14:paraId="0AA1EB80" w14:textId="77777777" w:rsidR="002B096D" w:rsidRPr="002B096D" w:rsidRDefault="002B096D" w:rsidP="00EC7D22">
            <w:pPr>
              <w:suppressAutoHyphens w:val="0"/>
              <w:overflowPunct/>
              <w:spacing w:after="0" w:line="240" w:lineRule="auto"/>
              <w:rPr>
                <w:rFonts w:eastAsia="Times New Roman" w:cs="Calibri"/>
                <w:color w:val="000000"/>
                <w:sz w:val="14"/>
                <w:szCs w:val="14"/>
                <w:lang w:eastAsia="es-MX"/>
              </w:rPr>
            </w:pPr>
            <w:r w:rsidRPr="002B096D">
              <w:rPr>
                <w:rFonts w:eastAsia="Times New Roman" w:cs="Calibri"/>
                <w:color w:val="000000"/>
                <w:sz w:val="14"/>
                <w:szCs w:val="14"/>
                <w:lang w:eastAsia="es-MX"/>
              </w:rPr>
              <w:t>Bancos/Tesorería</w:t>
            </w:r>
          </w:p>
        </w:tc>
        <w:tc>
          <w:tcPr>
            <w:tcW w:w="1248" w:type="dxa"/>
            <w:shd w:val="clear" w:color="auto" w:fill="auto"/>
            <w:noWrap/>
            <w:vAlign w:val="bottom"/>
            <w:hideMark/>
          </w:tcPr>
          <w:p w14:paraId="00D44AB8" w14:textId="77777777" w:rsidR="002B096D" w:rsidRPr="002B096D" w:rsidRDefault="002B096D" w:rsidP="00EC7D22">
            <w:pPr>
              <w:suppressAutoHyphens w:val="0"/>
              <w:overflowPunct/>
              <w:spacing w:after="0" w:line="240" w:lineRule="auto"/>
              <w:jc w:val="right"/>
              <w:rPr>
                <w:rFonts w:eastAsia="Times New Roman" w:cs="Calibri"/>
                <w:color w:val="000000"/>
                <w:sz w:val="14"/>
                <w:szCs w:val="14"/>
                <w:lang w:eastAsia="es-MX"/>
              </w:rPr>
            </w:pPr>
            <w:r w:rsidRPr="002B096D">
              <w:rPr>
                <w:rFonts w:eastAsia="Times New Roman" w:cs="Calibri"/>
                <w:color w:val="000000"/>
                <w:sz w:val="14"/>
                <w:szCs w:val="14"/>
                <w:lang w:eastAsia="es-MX"/>
              </w:rPr>
              <w:t>3,368,994,263</w:t>
            </w:r>
          </w:p>
        </w:tc>
        <w:tc>
          <w:tcPr>
            <w:tcW w:w="1276" w:type="dxa"/>
            <w:shd w:val="clear" w:color="auto" w:fill="auto"/>
            <w:noWrap/>
            <w:vAlign w:val="bottom"/>
            <w:hideMark/>
          </w:tcPr>
          <w:p w14:paraId="6B4337AD" w14:textId="77777777" w:rsidR="002B096D" w:rsidRPr="002B096D" w:rsidRDefault="002B096D" w:rsidP="00EC7D22">
            <w:pPr>
              <w:suppressAutoHyphens w:val="0"/>
              <w:overflowPunct/>
              <w:spacing w:after="0" w:line="240" w:lineRule="auto"/>
              <w:jc w:val="right"/>
              <w:rPr>
                <w:rFonts w:eastAsia="Times New Roman" w:cs="Calibri"/>
                <w:color w:val="000000"/>
                <w:sz w:val="14"/>
                <w:szCs w:val="14"/>
                <w:lang w:eastAsia="es-MX"/>
              </w:rPr>
            </w:pPr>
            <w:r w:rsidRPr="002B096D">
              <w:rPr>
                <w:rFonts w:eastAsia="Times New Roman" w:cs="Calibri"/>
                <w:color w:val="000000"/>
                <w:sz w:val="14"/>
                <w:szCs w:val="14"/>
                <w:lang w:eastAsia="es-MX"/>
              </w:rPr>
              <w:t>529,217,738</w:t>
            </w:r>
          </w:p>
        </w:tc>
        <w:tc>
          <w:tcPr>
            <w:tcW w:w="1417" w:type="dxa"/>
            <w:shd w:val="clear" w:color="auto" w:fill="auto"/>
            <w:noWrap/>
            <w:vAlign w:val="bottom"/>
            <w:hideMark/>
          </w:tcPr>
          <w:p w14:paraId="0CBBE8F4" w14:textId="77777777" w:rsidR="002B096D" w:rsidRPr="002B096D" w:rsidRDefault="002B096D" w:rsidP="00EC7D22">
            <w:pPr>
              <w:suppressAutoHyphens w:val="0"/>
              <w:overflowPunct/>
              <w:spacing w:after="0" w:line="240" w:lineRule="auto"/>
              <w:jc w:val="right"/>
              <w:rPr>
                <w:rFonts w:eastAsia="Times New Roman" w:cs="Calibri"/>
                <w:color w:val="000000"/>
                <w:sz w:val="14"/>
                <w:szCs w:val="14"/>
                <w:lang w:eastAsia="es-MX"/>
              </w:rPr>
            </w:pPr>
            <w:r w:rsidRPr="002B096D">
              <w:rPr>
                <w:rFonts w:eastAsia="Times New Roman" w:cs="Calibri"/>
                <w:color w:val="000000"/>
                <w:sz w:val="14"/>
                <w:szCs w:val="14"/>
                <w:lang w:eastAsia="es-MX"/>
              </w:rPr>
              <w:t>3,898,212,001</w:t>
            </w:r>
          </w:p>
        </w:tc>
      </w:tr>
      <w:tr w:rsidR="002B096D" w:rsidRPr="002B096D" w14:paraId="1C5BC5DF" w14:textId="77777777" w:rsidTr="0027226E">
        <w:trPr>
          <w:trHeight w:val="288"/>
        </w:trPr>
        <w:tc>
          <w:tcPr>
            <w:tcW w:w="3000" w:type="dxa"/>
            <w:shd w:val="clear" w:color="auto" w:fill="auto"/>
            <w:noWrap/>
            <w:vAlign w:val="bottom"/>
            <w:hideMark/>
          </w:tcPr>
          <w:p w14:paraId="1F6CDABA" w14:textId="77777777" w:rsidR="002B096D" w:rsidRPr="002B096D" w:rsidRDefault="002B096D" w:rsidP="00EC7D22">
            <w:pPr>
              <w:suppressAutoHyphens w:val="0"/>
              <w:overflowPunct/>
              <w:spacing w:after="0" w:line="240" w:lineRule="auto"/>
              <w:rPr>
                <w:rFonts w:eastAsia="Times New Roman" w:cs="Calibri"/>
                <w:color w:val="000000"/>
                <w:sz w:val="14"/>
                <w:szCs w:val="14"/>
                <w:lang w:eastAsia="es-MX"/>
              </w:rPr>
            </w:pPr>
            <w:r w:rsidRPr="002B096D">
              <w:rPr>
                <w:rFonts w:eastAsia="Times New Roman" w:cs="Calibri"/>
                <w:color w:val="000000"/>
                <w:sz w:val="14"/>
                <w:szCs w:val="14"/>
                <w:lang w:eastAsia="es-MX"/>
              </w:rPr>
              <w:t>Inversiones Temporales</w:t>
            </w:r>
          </w:p>
        </w:tc>
        <w:tc>
          <w:tcPr>
            <w:tcW w:w="1248" w:type="dxa"/>
            <w:shd w:val="clear" w:color="auto" w:fill="auto"/>
            <w:noWrap/>
            <w:vAlign w:val="bottom"/>
            <w:hideMark/>
          </w:tcPr>
          <w:p w14:paraId="2E0FCB57" w14:textId="77777777" w:rsidR="002B096D" w:rsidRPr="002B096D" w:rsidRDefault="002B096D" w:rsidP="00EC7D22">
            <w:pPr>
              <w:suppressAutoHyphens w:val="0"/>
              <w:overflowPunct/>
              <w:spacing w:after="0" w:line="240" w:lineRule="auto"/>
              <w:jc w:val="right"/>
              <w:rPr>
                <w:rFonts w:eastAsia="Times New Roman" w:cs="Calibri"/>
                <w:color w:val="000000"/>
                <w:sz w:val="14"/>
                <w:szCs w:val="14"/>
                <w:lang w:eastAsia="es-MX"/>
              </w:rPr>
            </w:pPr>
            <w:r w:rsidRPr="002B096D">
              <w:rPr>
                <w:rFonts w:eastAsia="Times New Roman" w:cs="Calibri"/>
                <w:color w:val="000000"/>
                <w:sz w:val="14"/>
                <w:szCs w:val="14"/>
                <w:lang w:eastAsia="es-MX"/>
              </w:rPr>
              <w:t>1,147,370,468</w:t>
            </w:r>
          </w:p>
        </w:tc>
        <w:tc>
          <w:tcPr>
            <w:tcW w:w="1276" w:type="dxa"/>
            <w:shd w:val="clear" w:color="auto" w:fill="auto"/>
            <w:noWrap/>
            <w:vAlign w:val="bottom"/>
            <w:hideMark/>
          </w:tcPr>
          <w:p w14:paraId="2EF8A42B" w14:textId="77777777" w:rsidR="002B096D" w:rsidRPr="002B096D" w:rsidRDefault="002B096D" w:rsidP="00EC7D22">
            <w:pPr>
              <w:suppressAutoHyphens w:val="0"/>
              <w:overflowPunct/>
              <w:spacing w:after="0" w:line="240" w:lineRule="auto"/>
              <w:jc w:val="right"/>
              <w:rPr>
                <w:rFonts w:eastAsia="Times New Roman" w:cs="Calibri"/>
                <w:color w:val="000000"/>
                <w:sz w:val="14"/>
                <w:szCs w:val="14"/>
                <w:lang w:eastAsia="es-MX"/>
              </w:rPr>
            </w:pPr>
            <w:r w:rsidRPr="002B096D">
              <w:rPr>
                <w:rFonts w:eastAsia="Times New Roman" w:cs="Calibri"/>
                <w:color w:val="000000"/>
                <w:sz w:val="14"/>
                <w:szCs w:val="14"/>
                <w:lang w:eastAsia="es-MX"/>
              </w:rPr>
              <w:t>1,068,100,073</w:t>
            </w:r>
          </w:p>
        </w:tc>
        <w:tc>
          <w:tcPr>
            <w:tcW w:w="1417" w:type="dxa"/>
            <w:shd w:val="clear" w:color="auto" w:fill="auto"/>
            <w:noWrap/>
            <w:vAlign w:val="bottom"/>
            <w:hideMark/>
          </w:tcPr>
          <w:p w14:paraId="13BEDE1D" w14:textId="77777777" w:rsidR="002B096D" w:rsidRPr="002B096D" w:rsidRDefault="002B096D" w:rsidP="00EC7D22">
            <w:pPr>
              <w:suppressAutoHyphens w:val="0"/>
              <w:overflowPunct/>
              <w:spacing w:after="0" w:line="240" w:lineRule="auto"/>
              <w:jc w:val="right"/>
              <w:rPr>
                <w:rFonts w:eastAsia="Times New Roman" w:cs="Calibri"/>
                <w:color w:val="000000"/>
                <w:sz w:val="14"/>
                <w:szCs w:val="14"/>
                <w:lang w:eastAsia="es-MX"/>
              </w:rPr>
            </w:pPr>
            <w:r w:rsidRPr="002B096D">
              <w:rPr>
                <w:rFonts w:eastAsia="Times New Roman" w:cs="Calibri"/>
                <w:color w:val="000000"/>
                <w:sz w:val="14"/>
                <w:szCs w:val="14"/>
                <w:lang w:eastAsia="es-MX"/>
              </w:rPr>
              <w:t>2,215,470,541</w:t>
            </w:r>
          </w:p>
        </w:tc>
      </w:tr>
      <w:tr w:rsidR="002B096D" w:rsidRPr="002B096D" w14:paraId="27DF37FE" w14:textId="77777777" w:rsidTr="0027226E">
        <w:trPr>
          <w:trHeight w:val="288"/>
        </w:trPr>
        <w:tc>
          <w:tcPr>
            <w:tcW w:w="3000" w:type="dxa"/>
            <w:shd w:val="clear" w:color="auto" w:fill="auto"/>
            <w:noWrap/>
            <w:vAlign w:val="bottom"/>
            <w:hideMark/>
          </w:tcPr>
          <w:p w14:paraId="07C2AC7E" w14:textId="77777777" w:rsidR="002B096D" w:rsidRPr="002B096D" w:rsidRDefault="002B096D" w:rsidP="00EC7D22">
            <w:pPr>
              <w:suppressAutoHyphens w:val="0"/>
              <w:overflowPunct/>
              <w:spacing w:after="0" w:line="240" w:lineRule="auto"/>
              <w:rPr>
                <w:rFonts w:eastAsia="Times New Roman" w:cs="Calibri"/>
                <w:color w:val="000000"/>
                <w:sz w:val="14"/>
                <w:szCs w:val="14"/>
                <w:lang w:eastAsia="es-MX"/>
              </w:rPr>
            </w:pPr>
            <w:r w:rsidRPr="002B096D">
              <w:rPr>
                <w:rFonts w:eastAsia="Times New Roman" w:cs="Calibri"/>
                <w:color w:val="000000"/>
                <w:sz w:val="14"/>
                <w:szCs w:val="14"/>
                <w:lang w:eastAsia="es-MX"/>
              </w:rPr>
              <w:t>Fondos de Afectación Específica</w:t>
            </w:r>
          </w:p>
        </w:tc>
        <w:tc>
          <w:tcPr>
            <w:tcW w:w="1248" w:type="dxa"/>
            <w:shd w:val="clear" w:color="auto" w:fill="auto"/>
            <w:noWrap/>
            <w:vAlign w:val="bottom"/>
            <w:hideMark/>
          </w:tcPr>
          <w:p w14:paraId="52602541" w14:textId="77777777" w:rsidR="002B096D" w:rsidRPr="002B096D" w:rsidRDefault="002B096D" w:rsidP="00EC7D22">
            <w:pPr>
              <w:suppressAutoHyphens w:val="0"/>
              <w:overflowPunct/>
              <w:spacing w:after="0" w:line="240" w:lineRule="auto"/>
              <w:jc w:val="right"/>
              <w:rPr>
                <w:rFonts w:eastAsia="Times New Roman" w:cs="Calibri"/>
                <w:color w:val="000000"/>
                <w:sz w:val="14"/>
                <w:szCs w:val="14"/>
                <w:lang w:eastAsia="es-MX"/>
              </w:rPr>
            </w:pPr>
            <w:r w:rsidRPr="002B096D">
              <w:rPr>
                <w:rFonts w:eastAsia="Times New Roman" w:cs="Calibri"/>
                <w:color w:val="000000"/>
                <w:sz w:val="14"/>
                <w:szCs w:val="14"/>
                <w:lang w:eastAsia="es-MX"/>
              </w:rPr>
              <w:t>862,190</w:t>
            </w:r>
          </w:p>
        </w:tc>
        <w:tc>
          <w:tcPr>
            <w:tcW w:w="1276" w:type="dxa"/>
            <w:shd w:val="clear" w:color="auto" w:fill="auto"/>
            <w:noWrap/>
            <w:vAlign w:val="bottom"/>
            <w:hideMark/>
          </w:tcPr>
          <w:p w14:paraId="4D821364" w14:textId="77777777" w:rsidR="002B096D" w:rsidRPr="002B096D" w:rsidRDefault="002B096D" w:rsidP="00EC7D22">
            <w:pPr>
              <w:suppressAutoHyphens w:val="0"/>
              <w:overflowPunct/>
              <w:spacing w:after="0" w:line="240" w:lineRule="auto"/>
              <w:rPr>
                <w:rFonts w:eastAsia="Times New Roman" w:cs="Calibri"/>
                <w:color w:val="000000"/>
                <w:sz w:val="14"/>
                <w:szCs w:val="14"/>
                <w:lang w:eastAsia="es-MX"/>
              </w:rPr>
            </w:pPr>
            <w:r w:rsidRPr="002B096D">
              <w:rPr>
                <w:rFonts w:eastAsia="Times New Roman" w:cs="Calibri"/>
                <w:color w:val="000000"/>
                <w:sz w:val="14"/>
                <w:szCs w:val="14"/>
                <w:lang w:eastAsia="es-MX"/>
              </w:rPr>
              <w:t> </w:t>
            </w:r>
          </w:p>
        </w:tc>
        <w:tc>
          <w:tcPr>
            <w:tcW w:w="1417" w:type="dxa"/>
            <w:shd w:val="clear" w:color="auto" w:fill="auto"/>
            <w:noWrap/>
            <w:vAlign w:val="bottom"/>
            <w:hideMark/>
          </w:tcPr>
          <w:p w14:paraId="122EC8EF" w14:textId="77777777" w:rsidR="002B096D" w:rsidRPr="002B096D" w:rsidRDefault="002B096D" w:rsidP="00EC7D22">
            <w:pPr>
              <w:suppressAutoHyphens w:val="0"/>
              <w:overflowPunct/>
              <w:spacing w:after="0" w:line="240" w:lineRule="auto"/>
              <w:jc w:val="right"/>
              <w:rPr>
                <w:rFonts w:eastAsia="Times New Roman" w:cs="Calibri"/>
                <w:color w:val="000000"/>
                <w:sz w:val="14"/>
                <w:szCs w:val="14"/>
                <w:lang w:eastAsia="es-MX"/>
              </w:rPr>
            </w:pPr>
            <w:r w:rsidRPr="002B096D">
              <w:rPr>
                <w:rFonts w:eastAsia="Times New Roman" w:cs="Calibri"/>
                <w:color w:val="000000"/>
                <w:sz w:val="14"/>
                <w:szCs w:val="14"/>
                <w:lang w:eastAsia="es-MX"/>
              </w:rPr>
              <w:t>862,190</w:t>
            </w:r>
          </w:p>
        </w:tc>
      </w:tr>
      <w:tr w:rsidR="002B096D" w:rsidRPr="002B096D" w14:paraId="732749B1" w14:textId="77777777" w:rsidTr="0027226E">
        <w:trPr>
          <w:trHeight w:val="300"/>
        </w:trPr>
        <w:tc>
          <w:tcPr>
            <w:tcW w:w="3000" w:type="dxa"/>
            <w:shd w:val="clear" w:color="F8CBAD" w:fill="DDC9A3"/>
            <w:vAlign w:val="center"/>
            <w:hideMark/>
          </w:tcPr>
          <w:p w14:paraId="3973C378" w14:textId="77777777" w:rsidR="002B096D" w:rsidRPr="002B096D" w:rsidRDefault="002B096D" w:rsidP="00EC7D22">
            <w:pPr>
              <w:suppressAutoHyphens w:val="0"/>
              <w:overflowPunct/>
              <w:spacing w:after="0" w:line="240" w:lineRule="auto"/>
              <w:jc w:val="right"/>
              <w:rPr>
                <w:rFonts w:eastAsia="Times New Roman" w:cs="Calibri"/>
                <w:b/>
                <w:bCs/>
                <w:color w:val="000000"/>
                <w:sz w:val="14"/>
                <w:szCs w:val="14"/>
                <w:lang w:eastAsia="es-MX"/>
              </w:rPr>
            </w:pPr>
            <w:r w:rsidRPr="002B096D">
              <w:rPr>
                <w:rFonts w:eastAsia="Times New Roman" w:cs="Calibri"/>
                <w:b/>
                <w:bCs/>
                <w:color w:val="000000"/>
                <w:sz w:val="14"/>
                <w:szCs w:val="14"/>
                <w:lang w:eastAsia="es-MX"/>
              </w:rPr>
              <w:t>TOTAL</w:t>
            </w:r>
          </w:p>
        </w:tc>
        <w:tc>
          <w:tcPr>
            <w:tcW w:w="1248" w:type="dxa"/>
            <w:shd w:val="clear" w:color="F8CBAD" w:fill="DDC9A3"/>
            <w:vAlign w:val="center"/>
            <w:hideMark/>
          </w:tcPr>
          <w:p w14:paraId="291EB547" w14:textId="77777777" w:rsidR="002B096D" w:rsidRPr="002B096D" w:rsidRDefault="002B096D" w:rsidP="00EC7D22">
            <w:pPr>
              <w:suppressAutoHyphens w:val="0"/>
              <w:overflowPunct/>
              <w:spacing w:after="0" w:line="240" w:lineRule="auto"/>
              <w:jc w:val="right"/>
              <w:rPr>
                <w:rFonts w:eastAsia="Times New Roman" w:cs="Calibri"/>
                <w:b/>
                <w:bCs/>
                <w:color w:val="000000"/>
                <w:sz w:val="14"/>
                <w:szCs w:val="14"/>
                <w:lang w:eastAsia="es-MX"/>
              </w:rPr>
            </w:pPr>
            <w:r w:rsidRPr="002B096D">
              <w:rPr>
                <w:rFonts w:eastAsia="Times New Roman" w:cs="Calibri"/>
                <w:b/>
                <w:bCs/>
                <w:color w:val="000000"/>
                <w:sz w:val="14"/>
                <w:szCs w:val="14"/>
                <w:lang w:eastAsia="es-MX"/>
              </w:rPr>
              <w:t>4,517,226,921</w:t>
            </w:r>
          </w:p>
        </w:tc>
        <w:tc>
          <w:tcPr>
            <w:tcW w:w="1276" w:type="dxa"/>
            <w:shd w:val="clear" w:color="F8CBAD" w:fill="DDC9A3"/>
            <w:vAlign w:val="center"/>
            <w:hideMark/>
          </w:tcPr>
          <w:p w14:paraId="1A1D20BD" w14:textId="77777777" w:rsidR="002B096D" w:rsidRPr="002B096D" w:rsidRDefault="002B096D" w:rsidP="00EC7D22">
            <w:pPr>
              <w:suppressAutoHyphens w:val="0"/>
              <w:overflowPunct/>
              <w:spacing w:after="0" w:line="240" w:lineRule="auto"/>
              <w:jc w:val="right"/>
              <w:rPr>
                <w:rFonts w:eastAsia="Times New Roman" w:cs="Calibri"/>
                <w:b/>
                <w:bCs/>
                <w:color w:val="000000"/>
                <w:sz w:val="14"/>
                <w:szCs w:val="14"/>
                <w:lang w:eastAsia="es-MX"/>
              </w:rPr>
            </w:pPr>
            <w:r w:rsidRPr="002B096D">
              <w:rPr>
                <w:rFonts w:eastAsia="Times New Roman" w:cs="Calibri"/>
                <w:b/>
                <w:bCs/>
                <w:color w:val="000000"/>
                <w:sz w:val="14"/>
                <w:szCs w:val="14"/>
                <w:lang w:eastAsia="es-MX"/>
              </w:rPr>
              <w:t>1,597,317,811</w:t>
            </w:r>
          </w:p>
        </w:tc>
        <w:tc>
          <w:tcPr>
            <w:tcW w:w="1417" w:type="dxa"/>
            <w:shd w:val="clear" w:color="F8CBAD" w:fill="DDC9A3"/>
            <w:vAlign w:val="center"/>
            <w:hideMark/>
          </w:tcPr>
          <w:p w14:paraId="6A7DB21F" w14:textId="77777777" w:rsidR="002B096D" w:rsidRPr="002B096D" w:rsidRDefault="002B096D" w:rsidP="00EC7D22">
            <w:pPr>
              <w:suppressAutoHyphens w:val="0"/>
              <w:overflowPunct/>
              <w:spacing w:after="0" w:line="240" w:lineRule="auto"/>
              <w:jc w:val="right"/>
              <w:rPr>
                <w:rFonts w:eastAsia="Times New Roman" w:cs="Calibri"/>
                <w:b/>
                <w:bCs/>
                <w:color w:val="000000"/>
                <w:sz w:val="14"/>
                <w:szCs w:val="14"/>
                <w:lang w:eastAsia="es-MX"/>
              </w:rPr>
            </w:pPr>
            <w:r w:rsidRPr="002B096D">
              <w:rPr>
                <w:rFonts w:eastAsia="Times New Roman" w:cs="Calibri"/>
                <w:b/>
                <w:bCs/>
                <w:color w:val="000000"/>
                <w:sz w:val="14"/>
                <w:szCs w:val="14"/>
                <w:lang w:eastAsia="es-MX"/>
              </w:rPr>
              <w:t>6,114,544,732</w:t>
            </w:r>
          </w:p>
        </w:tc>
      </w:tr>
    </w:tbl>
    <w:p w14:paraId="65331BC2" w14:textId="77777777" w:rsidR="00FC1B87" w:rsidRDefault="00FC1B87" w:rsidP="00EC7D22">
      <w:pPr>
        <w:pStyle w:val="Texto"/>
        <w:spacing w:after="0" w:line="276" w:lineRule="auto"/>
        <w:ind w:firstLine="0"/>
        <w:rPr>
          <w:rFonts w:ascii="Calibri" w:hAnsi="Calibri" w:cs="Calibri"/>
          <w:sz w:val="20"/>
        </w:rPr>
      </w:pPr>
    </w:p>
    <w:p w14:paraId="085E767C" w14:textId="77777777" w:rsidR="00217CAD" w:rsidRPr="00217CAD" w:rsidRDefault="00217CAD" w:rsidP="00EC7D22">
      <w:pPr>
        <w:pStyle w:val="Texto"/>
        <w:spacing w:after="0" w:line="276" w:lineRule="auto"/>
        <w:ind w:firstLine="0"/>
        <w:rPr>
          <w:rFonts w:ascii="Calibri" w:hAnsi="Calibri" w:cs="Calibri"/>
          <w:sz w:val="20"/>
        </w:rPr>
      </w:pPr>
      <w:r w:rsidRPr="00217CAD">
        <w:rPr>
          <w:rFonts w:ascii="Calibri" w:hAnsi="Calibri" w:cs="Calibri"/>
          <w:sz w:val="20"/>
        </w:rPr>
        <w:t>La operaciones por concepto de inversiones se realizan tanto en las cuentas de recurso federal  como en las de recurso estatal, de acuerdo a las instrucciones que se reciben de las autoridades de la Secretaría de Finanzas y a las características del tipo de instrumento que ofrecen las diferentes instituciones bancarias; derivado del eficiente manejo de los recursos del estado, nos hemos visto favorecidos en los rendimientos financieros, logrando maximizar las ganancias por los recursos invertidos.</w:t>
      </w:r>
    </w:p>
    <w:p w14:paraId="2AF41E48" w14:textId="77777777" w:rsidR="00217CAD" w:rsidRPr="00217CAD" w:rsidRDefault="00217CAD" w:rsidP="00EC7D22">
      <w:pPr>
        <w:pStyle w:val="Texto"/>
        <w:spacing w:after="0" w:line="276" w:lineRule="auto"/>
        <w:ind w:firstLine="0"/>
        <w:rPr>
          <w:rFonts w:ascii="Calibri" w:hAnsi="Calibri" w:cs="Calibri"/>
          <w:sz w:val="20"/>
        </w:rPr>
      </w:pPr>
    </w:p>
    <w:p w14:paraId="723A8293" w14:textId="1253DD70" w:rsidR="00217CAD" w:rsidRPr="00217CAD" w:rsidRDefault="00217CAD" w:rsidP="00EC7D22">
      <w:pPr>
        <w:pStyle w:val="Texto"/>
        <w:spacing w:after="0" w:line="276" w:lineRule="auto"/>
        <w:ind w:firstLine="0"/>
        <w:rPr>
          <w:rFonts w:ascii="Calibri" w:hAnsi="Calibri" w:cs="Calibri"/>
          <w:sz w:val="20"/>
        </w:rPr>
      </w:pPr>
      <w:r w:rsidRPr="00217CAD">
        <w:rPr>
          <w:rFonts w:ascii="Calibri" w:hAnsi="Calibri" w:cs="Calibri"/>
          <w:sz w:val="20"/>
        </w:rPr>
        <w:t>Al inicio del ejercicio fiscal 2024 la tasa promedio de interés que ofrecieron las instituciones bancarias fue de un 5.94% cerrando con una tasa promedio de 6.01%, obteniendo un incremento en el rendimiento promedio de nuestras inversiones de un 0.07%.</w:t>
      </w:r>
    </w:p>
    <w:p w14:paraId="49B03A1D" w14:textId="77777777" w:rsidR="00217CAD" w:rsidRPr="00217CAD" w:rsidRDefault="00217CAD" w:rsidP="00EC7D22">
      <w:pPr>
        <w:pStyle w:val="Texto"/>
        <w:spacing w:after="0" w:line="276" w:lineRule="auto"/>
        <w:ind w:firstLine="0"/>
        <w:rPr>
          <w:rFonts w:ascii="Calibri" w:hAnsi="Calibri" w:cs="Calibri"/>
          <w:sz w:val="20"/>
        </w:rPr>
      </w:pPr>
    </w:p>
    <w:p w14:paraId="08B235FE" w14:textId="03BA7ED0" w:rsidR="00217CAD" w:rsidRPr="00217CAD" w:rsidRDefault="00217CAD" w:rsidP="00EC7D22">
      <w:pPr>
        <w:pStyle w:val="Texto"/>
        <w:spacing w:after="0" w:line="276" w:lineRule="auto"/>
        <w:ind w:firstLine="0"/>
        <w:rPr>
          <w:rFonts w:ascii="Calibri" w:hAnsi="Calibri" w:cs="Calibri"/>
          <w:sz w:val="20"/>
        </w:rPr>
      </w:pPr>
      <w:r w:rsidRPr="00217CAD">
        <w:rPr>
          <w:rFonts w:ascii="Calibri" w:hAnsi="Calibri" w:cs="Calibri"/>
          <w:sz w:val="20"/>
        </w:rPr>
        <w:t>Como resultado de lo anterior, el capital promedio mensual invertido fue de $ 241,825,843. Obteniendo un rendimiento promedio mensual de $39,947,993.</w:t>
      </w:r>
    </w:p>
    <w:p w14:paraId="5050780F" w14:textId="77777777" w:rsidR="008F6566" w:rsidRDefault="008F6566" w:rsidP="00EC7D22">
      <w:pPr>
        <w:pStyle w:val="Texto"/>
        <w:spacing w:after="0" w:line="276" w:lineRule="auto"/>
        <w:ind w:firstLine="0"/>
        <w:rPr>
          <w:rFonts w:ascii="Calibri" w:hAnsi="Calibri" w:cs="Calibri"/>
          <w:szCs w:val="18"/>
        </w:rPr>
      </w:pPr>
    </w:p>
    <w:p w14:paraId="20737B85" w14:textId="57985281" w:rsidR="007745EB" w:rsidRDefault="0060147C" w:rsidP="00EC7D22">
      <w:pPr>
        <w:pStyle w:val="Texto"/>
        <w:spacing w:after="0" w:line="240" w:lineRule="exact"/>
        <w:ind w:firstLine="0"/>
        <w:rPr>
          <w:rFonts w:ascii="Calibri" w:hAnsi="Calibri" w:cs="Calibri"/>
          <w:b/>
          <w:i/>
          <w:sz w:val="20"/>
          <w:szCs w:val="18"/>
          <w:u w:val="single"/>
        </w:rPr>
      </w:pPr>
      <w:r>
        <w:rPr>
          <w:rFonts w:ascii="Calibri" w:hAnsi="Calibri" w:cs="Calibri"/>
          <w:b/>
          <w:i/>
          <w:sz w:val="20"/>
          <w:szCs w:val="18"/>
          <w:u w:val="single"/>
        </w:rPr>
        <w:t>Derechos a</w:t>
      </w:r>
      <w:r w:rsidR="00694CE6">
        <w:rPr>
          <w:rFonts w:ascii="Calibri" w:hAnsi="Calibri" w:cs="Calibri"/>
          <w:b/>
          <w:i/>
          <w:sz w:val="20"/>
          <w:szCs w:val="18"/>
          <w:u w:val="single"/>
        </w:rPr>
        <w:t xml:space="preserve"> Recibir Efectivo </w:t>
      </w:r>
      <w:r>
        <w:rPr>
          <w:rFonts w:ascii="Calibri" w:hAnsi="Calibri" w:cs="Calibri"/>
          <w:b/>
          <w:i/>
          <w:sz w:val="20"/>
          <w:szCs w:val="18"/>
          <w:u w:val="single"/>
        </w:rPr>
        <w:t>o</w:t>
      </w:r>
      <w:r w:rsidR="00694CE6">
        <w:rPr>
          <w:rFonts w:ascii="Calibri" w:hAnsi="Calibri" w:cs="Calibri"/>
          <w:b/>
          <w:i/>
          <w:sz w:val="20"/>
          <w:szCs w:val="18"/>
          <w:u w:val="single"/>
        </w:rPr>
        <w:t xml:space="preserve"> Equivalentes </w:t>
      </w:r>
    </w:p>
    <w:p w14:paraId="0956531E" w14:textId="77777777" w:rsidR="007745EB" w:rsidRDefault="007745EB" w:rsidP="00EC7D22">
      <w:pPr>
        <w:pStyle w:val="Texto"/>
        <w:spacing w:after="0" w:line="240" w:lineRule="exact"/>
        <w:ind w:firstLine="0"/>
        <w:rPr>
          <w:rFonts w:ascii="Calibri" w:hAnsi="Calibri" w:cs="Calibri"/>
          <w:sz w:val="20"/>
          <w:szCs w:val="18"/>
        </w:rPr>
      </w:pPr>
    </w:p>
    <w:p w14:paraId="4FBF6968" w14:textId="4FD4B4B3" w:rsidR="007745EB" w:rsidRDefault="00C87FDA" w:rsidP="00EC7D22">
      <w:pPr>
        <w:pStyle w:val="Texto"/>
        <w:numPr>
          <w:ilvl w:val="0"/>
          <w:numId w:val="14"/>
        </w:numPr>
        <w:spacing w:after="0" w:line="240" w:lineRule="exact"/>
        <w:ind w:left="0" w:firstLine="0"/>
        <w:rPr>
          <w:rFonts w:ascii="Calibri" w:hAnsi="Calibri" w:cs="Calibri"/>
          <w:sz w:val="20"/>
          <w:szCs w:val="18"/>
        </w:rPr>
      </w:pPr>
      <w:r>
        <w:rPr>
          <w:rFonts w:ascii="Calibri" w:hAnsi="Calibri" w:cs="Calibri"/>
          <w:sz w:val="20"/>
          <w:szCs w:val="18"/>
        </w:rPr>
        <w:t>Derechos a recibir Efectivo o Equivalente</w:t>
      </w:r>
    </w:p>
    <w:p w14:paraId="2E252553" w14:textId="05CFA13B" w:rsidR="008E2260" w:rsidRDefault="008E2260" w:rsidP="00EC7D22">
      <w:pPr>
        <w:pStyle w:val="Texto"/>
        <w:spacing w:after="0" w:line="240" w:lineRule="exact"/>
        <w:ind w:firstLine="0"/>
        <w:rPr>
          <w:rFonts w:ascii="Calibri" w:hAnsi="Calibri" w:cs="Calibri"/>
          <w:sz w:val="20"/>
          <w:szCs w:val="18"/>
        </w:rPr>
      </w:pPr>
    </w:p>
    <w:tbl>
      <w:tblPr>
        <w:tblW w:w="9493" w:type="dxa"/>
        <w:tblCellMar>
          <w:left w:w="70" w:type="dxa"/>
          <w:right w:w="70" w:type="dxa"/>
        </w:tblCellMar>
        <w:tblLook w:val="04A0" w:firstRow="1" w:lastRow="0" w:firstColumn="1" w:lastColumn="0" w:noHBand="0" w:noVBand="1"/>
      </w:tblPr>
      <w:tblGrid>
        <w:gridCol w:w="3539"/>
        <w:gridCol w:w="1276"/>
        <w:gridCol w:w="1134"/>
        <w:gridCol w:w="1134"/>
        <w:gridCol w:w="1276"/>
        <w:gridCol w:w="1134"/>
      </w:tblGrid>
      <w:tr w:rsidR="008E2260" w:rsidRPr="008E2260" w14:paraId="37116D50" w14:textId="77777777" w:rsidTr="00A743DD">
        <w:trPr>
          <w:trHeight w:val="450"/>
        </w:trPr>
        <w:tc>
          <w:tcPr>
            <w:tcW w:w="3539" w:type="dxa"/>
            <w:tcBorders>
              <w:top w:val="single" w:sz="4" w:space="0" w:color="auto"/>
              <w:left w:val="single" w:sz="4" w:space="0" w:color="auto"/>
              <w:bottom w:val="single" w:sz="4" w:space="0" w:color="auto"/>
              <w:right w:val="single" w:sz="4" w:space="0" w:color="auto"/>
            </w:tcBorders>
            <w:shd w:val="clear" w:color="000000" w:fill="AB0033"/>
            <w:vAlign w:val="center"/>
            <w:hideMark/>
          </w:tcPr>
          <w:p w14:paraId="09E13A38"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 xml:space="preserve">Descripción de la Cuenta </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2083251A"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90 Días</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6233171B"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180 Días</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5D0A5DA5"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Menor a 365 Días</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71B75FED"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Mayor a 365 Días</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22E7F0E6"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Importe</w:t>
            </w:r>
          </w:p>
        </w:tc>
      </w:tr>
      <w:tr w:rsidR="008E2260" w:rsidRPr="008E2260" w14:paraId="1064EE4E" w14:textId="77777777" w:rsidTr="00A743D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29B7406"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Cuentas por Cobrar a Corto Plazo</w:t>
            </w:r>
          </w:p>
        </w:tc>
        <w:tc>
          <w:tcPr>
            <w:tcW w:w="1276" w:type="dxa"/>
            <w:tcBorders>
              <w:top w:val="nil"/>
              <w:left w:val="nil"/>
              <w:bottom w:val="single" w:sz="4" w:space="0" w:color="auto"/>
              <w:right w:val="single" w:sz="4" w:space="0" w:color="auto"/>
            </w:tcBorders>
            <w:shd w:val="clear" w:color="auto" w:fill="auto"/>
            <w:vAlign w:val="center"/>
            <w:hideMark/>
          </w:tcPr>
          <w:p w14:paraId="10BEDB7B"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861,211 </w:t>
            </w:r>
          </w:p>
        </w:tc>
        <w:tc>
          <w:tcPr>
            <w:tcW w:w="1134" w:type="dxa"/>
            <w:tcBorders>
              <w:top w:val="nil"/>
              <w:left w:val="nil"/>
              <w:bottom w:val="single" w:sz="4" w:space="0" w:color="auto"/>
              <w:right w:val="single" w:sz="4" w:space="0" w:color="auto"/>
            </w:tcBorders>
            <w:shd w:val="clear" w:color="auto" w:fill="auto"/>
            <w:vAlign w:val="center"/>
            <w:hideMark/>
          </w:tcPr>
          <w:p w14:paraId="04F6B43C"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860,201 </w:t>
            </w:r>
          </w:p>
        </w:tc>
        <w:tc>
          <w:tcPr>
            <w:tcW w:w="1134" w:type="dxa"/>
            <w:tcBorders>
              <w:top w:val="nil"/>
              <w:left w:val="nil"/>
              <w:bottom w:val="single" w:sz="4" w:space="0" w:color="auto"/>
              <w:right w:val="single" w:sz="4" w:space="0" w:color="auto"/>
            </w:tcBorders>
            <w:shd w:val="clear" w:color="auto" w:fill="auto"/>
            <w:vAlign w:val="center"/>
            <w:hideMark/>
          </w:tcPr>
          <w:p w14:paraId="076D1E45"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1,775,195 </w:t>
            </w:r>
          </w:p>
        </w:tc>
        <w:tc>
          <w:tcPr>
            <w:tcW w:w="1276" w:type="dxa"/>
            <w:tcBorders>
              <w:top w:val="nil"/>
              <w:left w:val="nil"/>
              <w:bottom w:val="single" w:sz="4" w:space="0" w:color="auto"/>
              <w:right w:val="single" w:sz="4" w:space="0" w:color="auto"/>
            </w:tcBorders>
            <w:shd w:val="clear" w:color="auto" w:fill="auto"/>
            <w:vAlign w:val="center"/>
            <w:hideMark/>
          </w:tcPr>
          <w:p w14:paraId="002EE096"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793,834,977 </w:t>
            </w:r>
          </w:p>
        </w:tc>
        <w:tc>
          <w:tcPr>
            <w:tcW w:w="1134" w:type="dxa"/>
            <w:tcBorders>
              <w:top w:val="nil"/>
              <w:left w:val="nil"/>
              <w:bottom w:val="single" w:sz="4" w:space="0" w:color="auto"/>
              <w:right w:val="single" w:sz="4" w:space="0" w:color="auto"/>
            </w:tcBorders>
            <w:shd w:val="clear" w:color="auto" w:fill="auto"/>
            <w:vAlign w:val="center"/>
            <w:hideMark/>
          </w:tcPr>
          <w:p w14:paraId="216A91B7"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797,331,584 </w:t>
            </w:r>
          </w:p>
        </w:tc>
      </w:tr>
      <w:tr w:rsidR="008E2260" w:rsidRPr="008E2260" w14:paraId="4EC44CF1" w14:textId="77777777" w:rsidTr="00A743D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B16D984"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Deudores Diversos por Cobrar a Corto Plazo</w:t>
            </w:r>
          </w:p>
        </w:tc>
        <w:tc>
          <w:tcPr>
            <w:tcW w:w="1276" w:type="dxa"/>
            <w:tcBorders>
              <w:top w:val="nil"/>
              <w:left w:val="nil"/>
              <w:bottom w:val="single" w:sz="4" w:space="0" w:color="auto"/>
              <w:right w:val="single" w:sz="4" w:space="0" w:color="auto"/>
            </w:tcBorders>
            <w:shd w:val="clear" w:color="auto" w:fill="auto"/>
            <w:vAlign w:val="center"/>
            <w:hideMark/>
          </w:tcPr>
          <w:p w14:paraId="06A352C1"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60,471,269 </w:t>
            </w:r>
          </w:p>
        </w:tc>
        <w:tc>
          <w:tcPr>
            <w:tcW w:w="1134" w:type="dxa"/>
            <w:tcBorders>
              <w:top w:val="nil"/>
              <w:left w:val="nil"/>
              <w:bottom w:val="single" w:sz="4" w:space="0" w:color="auto"/>
              <w:right w:val="single" w:sz="4" w:space="0" w:color="auto"/>
            </w:tcBorders>
            <w:shd w:val="clear" w:color="auto" w:fill="auto"/>
            <w:vAlign w:val="center"/>
            <w:hideMark/>
          </w:tcPr>
          <w:p w14:paraId="42AA79A0"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12,138,914 </w:t>
            </w:r>
          </w:p>
        </w:tc>
        <w:tc>
          <w:tcPr>
            <w:tcW w:w="1134" w:type="dxa"/>
            <w:tcBorders>
              <w:top w:val="nil"/>
              <w:left w:val="nil"/>
              <w:bottom w:val="single" w:sz="4" w:space="0" w:color="auto"/>
              <w:right w:val="single" w:sz="4" w:space="0" w:color="auto"/>
            </w:tcBorders>
            <w:shd w:val="clear" w:color="auto" w:fill="auto"/>
            <w:vAlign w:val="center"/>
            <w:hideMark/>
          </w:tcPr>
          <w:p w14:paraId="2108BBDB"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678,033 </w:t>
            </w:r>
          </w:p>
        </w:tc>
        <w:tc>
          <w:tcPr>
            <w:tcW w:w="1276" w:type="dxa"/>
            <w:tcBorders>
              <w:top w:val="nil"/>
              <w:left w:val="nil"/>
              <w:bottom w:val="single" w:sz="4" w:space="0" w:color="auto"/>
              <w:right w:val="single" w:sz="4" w:space="0" w:color="auto"/>
            </w:tcBorders>
            <w:shd w:val="clear" w:color="auto" w:fill="auto"/>
            <w:vAlign w:val="center"/>
            <w:hideMark/>
          </w:tcPr>
          <w:p w14:paraId="671B7408"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36,720,670 </w:t>
            </w:r>
          </w:p>
        </w:tc>
        <w:tc>
          <w:tcPr>
            <w:tcW w:w="1134" w:type="dxa"/>
            <w:tcBorders>
              <w:top w:val="nil"/>
              <w:left w:val="nil"/>
              <w:bottom w:val="single" w:sz="4" w:space="0" w:color="auto"/>
              <w:right w:val="single" w:sz="4" w:space="0" w:color="auto"/>
            </w:tcBorders>
            <w:shd w:val="clear" w:color="auto" w:fill="auto"/>
            <w:vAlign w:val="center"/>
            <w:hideMark/>
          </w:tcPr>
          <w:p w14:paraId="233F4EF2"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110,008,886 </w:t>
            </w:r>
          </w:p>
        </w:tc>
      </w:tr>
      <w:tr w:rsidR="008E2260" w:rsidRPr="008E2260" w14:paraId="578E6089" w14:textId="77777777" w:rsidTr="00A743D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BC887C6"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Ingresos por Recuperar a Corto Plazo</w:t>
            </w:r>
          </w:p>
        </w:tc>
        <w:tc>
          <w:tcPr>
            <w:tcW w:w="1276" w:type="dxa"/>
            <w:tcBorders>
              <w:top w:val="nil"/>
              <w:left w:val="nil"/>
              <w:bottom w:val="single" w:sz="4" w:space="0" w:color="auto"/>
              <w:right w:val="single" w:sz="4" w:space="0" w:color="auto"/>
            </w:tcBorders>
            <w:shd w:val="clear" w:color="auto" w:fill="auto"/>
            <w:vAlign w:val="center"/>
            <w:hideMark/>
          </w:tcPr>
          <w:p w14:paraId="370DA90C"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11,820,578 </w:t>
            </w:r>
          </w:p>
        </w:tc>
        <w:tc>
          <w:tcPr>
            <w:tcW w:w="1134" w:type="dxa"/>
            <w:tcBorders>
              <w:top w:val="nil"/>
              <w:left w:val="nil"/>
              <w:bottom w:val="single" w:sz="4" w:space="0" w:color="auto"/>
              <w:right w:val="single" w:sz="4" w:space="0" w:color="auto"/>
            </w:tcBorders>
            <w:shd w:val="clear" w:color="auto" w:fill="auto"/>
            <w:vAlign w:val="center"/>
            <w:hideMark/>
          </w:tcPr>
          <w:p w14:paraId="221AFD57"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0075AD21"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3D7F7925"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5E575616"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11,820,578 </w:t>
            </w:r>
          </w:p>
        </w:tc>
      </w:tr>
      <w:tr w:rsidR="008E2260" w:rsidRPr="008E2260" w14:paraId="0881CA4E" w14:textId="77777777" w:rsidTr="00A743D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C1A39BF"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Deudores por Anticipos Tesorería a Corto Plazo</w:t>
            </w:r>
          </w:p>
        </w:tc>
        <w:tc>
          <w:tcPr>
            <w:tcW w:w="1276" w:type="dxa"/>
            <w:tcBorders>
              <w:top w:val="nil"/>
              <w:left w:val="nil"/>
              <w:bottom w:val="single" w:sz="4" w:space="0" w:color="auto"/>
              <w:right w:val="single" w:sz="4" w:space="0" w:color="auto"/>
            </w:tcBorders>
            <w:shd w:val="clear" w:color="auto" w:fill="auto"/>
            <w:vAlign w:val="center"/>
            <w:hideMark/>
          </w:tcPr>
          <w:p w14:paraId="6525FCEC"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7D64CDD6"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1,878,516 </w:t>
            </w:r>
          </w:p>
        </w:tc>
        <w:tc>
          <w:tcPr>
            <w:tcW w:w="1134" w:type="dxa"/>
            <w:tcBorders>
              <w:top w:val="nil"/>
              <w:left w:val="nil"/>
              <w:bottom w:val="single" w:sz="4" w:space="0" w:color="auto"/>
              <w:right w:val="single" w:sz="4" w:space="0" w:color="auto"/>
            </w:tcBorders>
            <w:shd w:val="clear" w:color="auto" w:fill="auto"/>
            <w:vAlign w:val="center"/>
            <w:hideMark/>
          </w:tcPr>
          <w:p w14:paraId="1F397E5C"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7BB14D62"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3,518,056 </w:t>
            </w:r>
          </w:p>
        </w:tc>
        <w:tc>
          <w:tcPr>
            <w:tcW w:w="1134" w:type="dxa"/>
            <w:tcBorders>
              <w:top w:val="nil"/>
              <w:left w:val="nil"/>
              <w:bottom w:val="single" w:sz="4" w:space="0" w:color="auto"/>
              <w:right w:val="single" w:sz="4" w:space="0" w:color="auto"/>
            </w:tcBorders>
            <w:shd w:val="clear" w:color="auto" w:fill="auto"/>
            <w:vAlign w:val="center"/>
            <w:hideMark/>
          </w:tcPr>
          <w:p w14:paraId="5BF2B11F"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5,396,572 </w:t>
            </w:r>
          </w:p>
        </w:tc>
      </w:tr>
      <w:tr w:rsidR="008E2260" w:rsidRPr="008E2260" w14:paraId="4EBA92C1" w14:textId="77777777" w:rsidTr="00A743D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63AD638"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Préstamos Otorgados a Corto Plazo *</w:t>
            </w:r>
          </w:p>
        </w:tc>
        <w:tc>
          <w:tcPr>
            <w:tcW w:w="1276" w:type="dxa"/>
            <w:tcBorders>
              <w:top w:val="nil"/>
              <w:left w:val="nil"/>
              <w:bottom w:val="single" w:sz="4" w:space="0" w:color="auto"/>
              <w:right w:val="single" w:sz="4" w:space="0" w:color="auto"/>
            </w:tcBorders>
            <w:shd w:val="clear" w:color="auto" w:fill="auto"/>
            <w:vAlign w:val="center"/>
            <w:hideMark/>
          </w:tcPr>
          <w:p w14:paraId="4A3911E9"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0A710352"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2C9914F1"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07C52537"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31316348"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r>
      <w:tr w:rsidR="008E2260" w:rsidRPr="008E2260" w14:paraId="691DB1AC" w14:textId="77777777" w:rsidTr="00A743DD">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69CC888"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Otros Derechos a Recibir Efectivo o Equivalentes a Corto Plazo</w:t>
            </w:r>
          </w:p>
        </w:tc>
        <w:tc>
          <w:tcPr>
            <w:tcW w:w="1276" w:type="dxa"/>
            <w:tcBorders>
              <w:top w:val="nil"/>
              <w:left w:val="nil"/>
              <w:bottom w:val="single" w:sz="4" w:space="0" w:color="auto"/>
              <w:right w:val="single" w:sz="4" w:space="0" w:color="auto"/>
            </w:tcBorders>
            <w:shd w:val="clear" w:color="auto" w:fill="auto"/>
            <w:vAlign w:val="center"/>
            <w:hideMark/>
          </w:tcPr>
          <w:p w14:paraId="27C6021E"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32,717,497 </w:t>
            </w:r>
          </w:p>
        </w:tc>
        <w:tc>
          <w:tcPr>
            <w:tcW w:w="1134" w:type="dxa"/>
            <w:tcBorders>
              <w:top w:val="nil"/>
              <w:left w:val="nil"/>
              <w:bottom w:val="single" w:sz="4" w:space="0" w:color="auto"/>
              <w:right w:val="single" w:sz="4" w:space="0" w:color="auto"/>
            </w:tcBorders>
            <w:shd w:val="clear" w:color="auto" w:fill="auto"/>
            <w:vAlign w:val="center"/>
            <w:hideMark/>
          </w:tcPr>
          <w:p w14:paraId="724C0446"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694CE74A"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4651F772"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2,530,638 </w:t>
            </w:r>
          </w:p>
        </w:tc>
        <w:tc>
          <w:tcPr>
            <w:tcW w:w="1134" w:type="dxa"/>
            <w:tcBorders>
              <w:top w:val="nil"/>
              <w:left w:val="nil"/>
              <w:bottom w:val="single" w:sz="4" w:space="0" w:color="auto"/>
              <w:right w:val="single" w:sz="4" w:space="0" w:color="auto"/>
            </w:tcBorders>
            <w:shd w:val="clear" w:color="auto" w:fill="auto"/>
            <w:vAlign w:val="center"/>
            <w:hideMark/>
          </w:tcPr>
          <w:p w14:paraId="518EAA07"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35,248,136 </w:t>
            </w:r>
          </w:p>
        </w:tc>
      </w:tr>
      <w:tr w:rsidR="008E2260" w:rsidRPr="008E2260" w14:paraId="5EECFDE8" w14:textId="77777777" w:rsidTr="00A743DD">
        <w:trPr>
          <w:trHeight w:val="300"/>
        </w:trPr>
        <w:tc>
          <w:tcPr>
            <w:tcW w:w="3539" w:type="dxa"/>
            <w:tcBorders>
              <w:top w:val="nil"/>
              <w:left w:val="single" w:sz="4" w:space="0" w:color="auto"/>
              <w:bottom w:val="single" w:sz="4" w:space="0" w:color="auto"/>
              <w:right w:val="single" w:sz="4" w:space="0" w:color="auto"/>
            </w:tcBorders>
            <w:shd w:val="clear" w:color="000000" w:fill="DDC9A3"/>
            <w:vAlign w:val="center"/>
            <w:hideMark/>
          </w:tcPr>
          <w:p w14:paraId="3335F93D" w14:textId="77777777" w:rsidR="008E2260" w:rsidRPr="008E2260" w:rsidRDefault="008E2260" w:rsidP="00EC7D22">
            <w:pPr>
              <w:suppressAutoHyphens w:val="0"/>
              <w:overflowPunct/>
              <w:spacing w:after="0" w:line="240" w:lineRule="auto"/>
              <w:jc w:val="center"/>
              <w:rPr>
                <w:rFonts w:eastAsia="Times New Roman" w:cs="Calibri"/>
                <w:b/>
                <w:bCs/>
                <w:color w:val="000000"/>
                <w:sz w:val="14"/>
                <w:szCs w:val="14"/>
                <w:lang w:eastAsia="es-MX"/>
              </w:rPr>
            </w:pPr>
            <w:r w:rsidRPr="008E2260">
              <w:rPr>
                <w:rFonts w:eastAsia="Times New Roman" w:cs="Calibri"/>
                <w:b/>
                <w:bCs/>
                <w:color w:val="000000"/>
                <w:sz w:val="14"/>
                <w:szCs w:val="14"/>
                <w:lang w:eastAsia="es-MX"/>
              </w:rPr>
              <w:t>TOTAL</w:t>
            </w:r>
          </w:p>
        </w:tc>
        <w:tc>
          <w:tcPr>
            <w:tcW w:w="1276" w:type="dxa"/>
            <w:tcBorders>
              <w:top w:val="nil"/>
              <w:left w:val="nil"/>
              <w:bottom w:val="single" w:sz="4" w:space="0" w:color="auto"/>
              <w:right w:val="single" w:sz="4" w:space="0" w:color="auto"/>
            </w:tcBorders>
            <w:shd w:val="clear" w:color="000000" w:fill="DDC9A3"/>
            <w:vAlign w:val="center"/>
            <w:hideMark/>
          </w:tcPr>
          <w:p w14:paraId="38A76643"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105,870,555</w:t>
            </w:r>
          </w:p>
        </w:tc>
        <w:tc>
          <w:tcPr>
            <w:tcW w:w="1134" w:type="dxa"/>
            <w:tcBorders>
              <w:top w:val="nil"/>
              <w:left w:val="nil"/>
              <w:bottom w:val="single" w:sz="4" w:space="0" w:color="auto"/>
              <w:right w:val="single" w:sz="4" w:space="0" w:color="auto"/>
            </w:tcBorders>
            <w:shd w:val="clear" w:color="000000" w:fill="DDC9A3"/>
            <w:vAlign w:val="center"/>
            <w:hideMark/>
          </w:tcPr>
          <w:p w14:paraId="090AEEA9"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14,877,631</w:t>
            </w:r>
          </w:p>
        </w:tc>
        <w:tc>
          <w:tcPr>
            <w:tcW w:w="1134" w:type="dxa"/>
            <w:tcBorders>
              <w:top w:val="nil"/>
              <w:left w:val="nil"/>
              <w:bottom w:val="single" w:sz="4" w:space="0" w:color="auto"/>
              <w:right w:val="single" w:sz="4" w:space="0" w:color="auto"/>
            </w:tcBorders>
            <w:shd w:val="clear" w:color="000000" w:fill="DDC9A3"/>
            <w:vAlign w:val="center"/>
            <w:hideMark/>
          </w:tcPr>
          <w:p w14:paraId="03728677"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2,453,228</w:t>
            </w:r>
          </w:p>
        </w:tc>
        <w:tc>
          <w:tcPr>
            <w:tcW w:w="1276" w:type="dxa"/>
            <w:tcBorders>
              <w:top w:val="nil"/>
              <w:left w:val="nil"/>
              <w:bottom w:val="single" w:sz="4" w:space="0" w:color="auto"/>
              <w:right w:val="single" w:sz="4" w:space="0" w:color="auto"/>
            </w:tcBorders>
            <w:shd w:val="clear" w:color="000000" w:fill="DDC9A3"/>
            <w:vAlign w:val="center"/>
            <w:hideMark/>
          </w:tcPr>
          <w:p w14:paraId="5B9D3821"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836,604,341</w:t>
            </w:r>
          </w:p>
        </w:tc>
        <w:tc>
          <w:tcPr>
            <w:tcW w:w="1134" w:type="dxa"/>
            <w:tcBorders>
              <w:top w:val="nil"/>
              <w:left w:val="nil"/>
              <w:bottom w:val="single" w:sz="4" w:space="0" w:color="auto"/>
              <w:right w:val="single" w:sz="4" w:space="0" w:color="auto"/>
            </w:tcBorders>
            <w:shd w:val="clear" w:color="000000" w:fill="DDC9A3"/>
            <w:vAlign w:val="center"/>
            <w:hideMark/>
          </w:tcPr>
          <w:p w14:paraId="397F2CF8"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959,805,756</w:t>
            </w:r>
          </w:p>
        </w:tc>
      </w:tr>
    </w:tbl>
    <w:p w14:paraId="0968F87A" w14:textId="6136F5D2" w:rsidR="008E2260" w:rsidRDefault="008E2260" w:rsidP="00EC7D22">
      <w:pPr>
        <w:pStyle w:val="Texto"/>
        <w:spacing w:after="0" w:line="240" w:lineRule="exact"/>
        <w:ind w:firstLine="0"/>
        <w:rPr>
          <w:rFonts w:ascii="Calibri" w:hAnsi="Calibri" w:cs="Calibri"/>
          <w:sz w:val="20"/>
          <w:szCs w:val="18"/>
        </w:rPr>
      </w:pPr>
    </w:p>
    <w:p w14:paraId="729E5AA1" w14:textId="70B19E51" w:rsidR="00143484" w:rsidRDefault="00C87FDA" w:rsidP="00EC7D22">
      <w:pPr>
        <w:spacing w:after="0" w:line="240" w:lineRule="auto"/>
        <w:jc w:val="both"/>
        <w:rPr>
          <w:rFonts w:eastAsia="Times New Roman" w:cs="Calibri"/>
          <w:sz w:val="20"/>
          <w:szCs w:val="20"/>
          <w:lang w:val="es-ES" w:eastAsia="es-ES"/>
        </w:rPr>
      </w:pPr>
      <w:r w:rsidRPr="00820E37">
        <w:rPr>
          <w:rFonts w:eastAsia="Times New Roman" w:cs="Calibri"/>
          <w:sz w:val="20"/>
          <w:szCs w:val="20"/>
          <w:lang w:val="es-ES" w:eastAsia="es-ES"/>
        </w:rPr>
        <w:t>Como parte de la cuenta de Derechos a Recibir Efectivo o Equivalentes, en cuentas por cobrar se tiene</w:t>
      </w:r>
      <w:r w:rsidR="0079655D">
        <w:rPr>
          <w:rFonts w:eastAsia="Times New Roman" w:cs="Calibri"/>
          <w:sz w:val="20"/>
          <w:szCs w:val="20"/>
          <w:lang w:val="es-ES" w:eastAsia="es-ES"/>
        </w:rPr>
        <w:t>n</w:t>
      </w:r>
      <w:r w:rsidRPr="00820E37">
        <w:rPr>
          <w:rFonts w:eastAsia="Times New Roman" w:cs="Calibri"/>
          <w:sz w:val="20"/>
          <w:szCs w:val="20"/>
          <w:lang w:val="es-ES" w:eastAsia="es-ES"/>
        </w:rPr>
        <w:t xml:space="preserve"> </w:t>
      </w:r>
      <w:r w:rsidR="00E25A95">
        <w:rPr>
          <w:rFonts w:eastAsia="Times New Roman" w:cs="Calibri"/>
          <w:sz w:val="20"/>
          <w:szCs w:val="20"/>
          <w:lang w:val="es-ES" w:eastAsia="es-ES"/>
        </w:rPr>
        <w:t xml:space="preserve">como </w:t>
      </w:r>
      <w:r w:rsidRPr="00820E37">
        <w:rPr>
          <w:rFonts w:eastAsia="Times New Roman" w:cs="Calibri"/>
          <w:sz w:val="20"/>
          <w:szCs w:val="20"/>
          <w:lang w:val="es-ES" w:eastAsia="es-ES"/>
        </w:rPr>
        <w:t>más significativo</w:t>
      </w:r>
      <w:r w:rsidR="0079655D">
        <w:rPr>
          <w:rFonts w:eastAsia="Times New Roman" w:cs="Calibri"/>
          <w:sz w:val="20"/>
          <w:szCs w:val="20"/>
          <w:lang w:val="es-ES" w:eastAsia="es-ES"/>
        </w:rPr>
        <w:t>s</w:t>
      </w:r>
      <w:r w:rsidR="00E25A95">
        <w:rPr>
          <w:rFonts w:eastAsia="Times New Roman" w:cs="Calibri"/>
          <w:sz w:val="20"/>
          <w:szCs w:val="20"/>
          <w:lang w:val="es-ES" w:eastAsia="es-ES"/>
        </w:rPr>
        <w:t>,</w:t>
      </w:r>
      <w:r w:rsidR="0079655D">
        <w:rPr>
          <w:rFonts w:eastAsia="Times New Roman" w:cs="Calibri"/>
          <w:sz w:val="20"/>
          <w:szCs w:val="20"/>
          <w:lang w:val="es-ES" w:eastAsia="es-ES"/>
        </w:rPr>
        <w:t xml:space="preserve"> </w:t>
      </w:r>
      <w:r w:rsidR="00E25A95">
        <w:rPr>
          <w:rFonts w:eastAsia="Times New Roman" w:cs="Calibri"/>
          <w:sz w:val="20"/>
          <w:szCs w:val="20"/>
          <w:lang w:val="es-ES" w:eastAsia="es-ES"/>
        </w:rPr>
        <w:t xml:space="preserve">los </w:t>
      </w:r>
      <w:r w:rsidR="00143484">
        <w:rPr>
          <w:rFonts w:eastAsia="Times New Roman" w:cs="Calibri"/>
          <w:sz w:val="20"/>
          <w:szCs w:val="20"/>
          <w:lang w:val="es-ES" w:eastAsia="es-ES"/>
        </w:rPr>
        <w:t>siguiente</w:t>
      </w:r>
      <w:r w:rsidR="00694CE6">
        <w:rPr>
          <w:rFonts w:eastAsia="Times New Roman" w:cs="Calibri"/>
          <w:sz w:val="20"/>
          <w:szCs w:val="20"/>
          <w:lang w:val="es-ES" w:eastAsia="es-ES"/>
        </w:rPr>
        <w:t xml:space="preserve">s </w:t>
      </w:r>
      <w:r w:rsidR="00E25A95">
        <w:rPr>
          <w:rFonts w:eastAsia="Times New Roman" w:cs="Calibri"/>
          <w:sz w:val="20"/>
          <w:szCs w:val="20"/>
          <w:lang w:val="es-ES" w:eastAsia="es-ES"/>
        </w:rPr>
        <w:t>registros</w:t>
      </w:r>
      <w:r w:rsidR="0079655D">
        <w:rPr>
          <w:rFonts w:eastAsia="Times New Roman" w:cs="Calibri"/>
          <w:sz w:val="20"/>
          <w:szCs w:val="20"/>
          <w:lang w:val="es-ES" w:eastAsia="es-ES"/>
        </w:rPr>
        <w:t>:</w:t>
      </w:r>
    </w:p>
    <w:p w14:paraId="57FA5979" w14:textId="77777777" w:rsidR="00694CE6" w:rsidRDefault="00694CE6" w:rsidP="00EC7D22">
      <w:pPr>
        <w:spacing w:after="0" w:line="240" w:lineRule="auto"/>
        <w:jc w:val="both"/>
        <w:rPr>
          <w:rFonts w:eastAsia="Times New Roman" w:cs="Calibri"/>
          <w:sz w:val="20"/>
          <w:szCs w:val="20"/>
          <w:lang w:val="es-ES" w:eastAsia="es-ES"/>
        </w:rPr>
      </w:pPr>
    </w:p>
    <w:p w14:paraId="4493EA3D" w14:textId="0CE329DB" w:rsidR="00143484" w:rsidRPr="00143484" w:rsidRDefault="00143484" w:rsidP="00EC7D22">
      <w:pPr>
        <w:pStyle w:val="Prrafodelista"/>
        <w:numPr>
          <w:ilvl w:val="0"/>
          <w:numId w:val="61"/>
        </w:numPr>
        <w:spacing w:after="0" w:line="240" w:lineRule="auto"/>
        <w:ind w:left="0" w:firstLine="0"/>
        <w:jc w:val="both"/>
        <w:rPr>
          <w:rFonts w:cs="Calibri"/>
          <w:sz w:val="20"/>
          <w:szCs w:val="20"/>
        </w:rPr>
      </w:pPr>
      <w:r>
        <w:rPr>
          <w:rFonts w:eastAsia="Times New Roman" w:cs="Calibri"/>
          <w:sz w:val="20"/>
          <w:szCs w:val="20"/>
          <w:lang w:val="es-ES" w:eastAsia="es-ES"/>
        </w:rPr>
        <w:t>El</w:t>
      </w:r>
      <w:r w:rsidR="00C87FDA" w:rsidRPr="00143484">
        <w:rPr>
          <w:rFonts w:eastAsia="Times New Roman" w:cs="Calibri"/>
          <w:sz w:val="20"/>
          <w:szCs w:val="20"/>
          <w:lang w:val="es-ES" w:eastAsia="es-ES"/>
        </w:rPr>
        <w:t xml:space="preserve"> realizado por </w:t>
      </w:r>
      <w:r w:rsidR="00D2090E" w:rsidRPr="00143484">
        <w:rPr>
          <w:rFonts w:eastAsia="Times New Roman" w:cs="Calibri"/>
          <w:sz w:val="20"/>
          <w:szCs w:val="20"/>
          <w:lang w:val="es-ES" w:eastAsia="es-ES"/>
        </w:rPr>
        <w:t xml:space="preserve">el Fideicomiso del Instituto Tamaulipeco de Becas, Estímulos </w:t>
      </w:r>
      <w:r w:rsidR="00A8775A" w:rsidRPr="00143484">
        <w:rPr>
          <w:rFonts w:eastAsia="Times New Roman" w:cs="Calibri"/>
          <w:sz w:val="20"/>
          <w:szCs w:val="20"/>
          <w:lang w:val="es-ES" w:eastAsia="es-ES"/>
        </w:rPr>
        <w:t xml:space="preserve">y </w:t>
      </w:r>
      <w:r w:rsidR="003F3F4A" w:rsidRPr="00143484">
        <w:rPr>
          <w:rFonts w:eastAsia="Times New Roman" w:cs="Calibri"/>
          <w:sz w:val="20"/>
          <w:szCs w:val="20"/>
          <w:lang w:val="es-ES" w:eastAsia="es-ES"/>
        </w:rPr>
        <w:t xml:space="preserve">Créditos </w:t>
      </w:r>
      <w:r w:rsidR="00DF32F3" w:rsidRPr="00143484">
        <w:rPr>
          <w:rFonts w:eastAsia="Times New Roman" w:cs="Calibri"/>
          <w:sz w:val="20"/>
          <w:szCs w:val="20"/>
          <w:lang w:val="es-ES" w:eastAsia="es-ES"/>
        </w:rPr>
        <w:t xml:space="preserve">Educativos </w:t>
      </w:r>
      <w:r w:rsidR="00DF32F3">
        <w:rPr>
          <w:rFonts w:eastAsia="Times New Roman" w:cs="Calibri"/>
          <w:sz w:val="20"/>
          <w:szCs w:val="20"/>
          <w:lang w:val="es-ES" w:eastAsia="es-ES"/>
        </w:rPr>
        <w:t>(</w:t>
      </w:r>
      <w:r w:rsidR="00C87FDA" w:rsidRPr="00143484">
        <w:rPr>
          <w:rFonts w:eastAsia="Times New Roman" w:cs="Calibri"/>
          <w:sz w:val="20"/>
          <w:szCs w:val="20"/>
          <w:lang w:val="es-ES" w:eastAsia="es-ES"/>
        </w:rPr>
        <w:t>FITABEC) por la cantidad de $</w:t>
      </w:r>
      <w:r w:rsidR="00AA533A" w:rsidRPr="00143484">
        <w:rPr>
          <w:rFonts w:eastAsia="Times New Roman" w:cs="Calibri"/>
          <w:sz w:val="20"/>
          <w:szCs w:val="20"/>
          <w:lang w:val="es-ES" w:eastAsia="es-ES"/>
        </w:rPr>
        <w:t>721,153,323</w:t>
      </w:r>
      <w:r w:rsidR="00C87FDA" w:rsidRPr="00143484">
        <w:rPr>
          <w:rFonts w:eastAsia="Times New Roman" w:cs="Calibri"/>
          <w:sz w:val="20"/>
          <w:szCs w:val="20"/>
          <w:lang w:val="es-ES" w:eastAsia="es-ES"/>
        </w:rPr>
        <w:t>., referente a préstamos educativos a partir del nivel medio superior el cual considera el crédito educativo inicial a la comunidad estudiantil más interés normal y moratorio</w:t>
      </w:r>
      <w:r>
        <w:rPr>
          <w:rFonts w:eastAsia="Times New Roman" w:cs="Calibri"/>
          <w:sz w:val="20"/>
          <w:szCs w:val="20"/>
          <w:lang w:val="es-ES" w:eastAsia="es-ES"/>
        </w:rPr>
        <w:t>.</w:t>
      </w:r>
    </w:p>
    <w:p w14:paraId="1F2305B3" w14:textId="77777777" w:rsidR="00143484" w:rsidRPr="00143484" w:rsidRDefault="00143484" w:rsidP="00EC7D22">
      <w:pPr>
        <w:pStyle w:val="Prrafodelista"/>
        <w:spacing w:after="0" w:line="240" w:lineRule="auto"/>
        <w:ind w:left="0"/>
        <w:jc w:val="both"/>
        <w:rPr>
          <w:rFonts w:cs="Calibri"/>
          <w:sz w:val="20"/>
          <w:szCs w:val="20"/>
        </w:rPr>
      </w:pPr>
    </w:p>
    <w:p w14:paraId="0A843B55" w14:textId="60AF628E" w:rsidR="00143484" w:rsidRPr="0035090C" w:rsidRDefault="00143484" w:rsidP="00EC7D22">
      <w:pPr>
        <w:pStyle w:val="Prrafodelista"/>
        <w:numPr>
          <w:ilvl w:val="0"/>
          <w:numId w:val="61"/>
        </w:numPr>
        <w:spacing w:after="0" w:line="240" w:lineRule="auto"/>
        <w:ind w:left="0" w:firstLine="0"/>
        <w:jc w:val="both"/>
        <w:rPr>
          <w:rFonts w:cs="Calibri"/>
          <w:sz w:val="20"/>
          <w:szCs w:val="20"/>
        </w:rPr>
      </w:pPr>
      <w:r w:rsidRPr="0035090C">
        <w:rPr>
          <w:rFonts w:eastAsia="Times New Roman" w:cs="Calibri"/>
          <w:sz w:val="20"/>
          <w:szCs w:val="20"/>
          <w:lang w:eastAsia="es-ES"/>
        </w:rPr>
        <w:t>EL</w:t>
      </w:r>
      <w:r w:rsidR="00C87FDA" w:rsidRPr="0035090C">
        <w:rPr>
          <w:rFonts w:eastAsia="Times New Roman" w:cs="Calibri"/>
          <w:sz w:val="20"/>
          <w:szCs w:val="20"/>
          <w:lang w:val="es-ES" w:eastAsia="es-ES"/>
        </w:rPr>
        <w:t xml:space="preserve"> adeudo de COMAPA Río Bravo por la cantidad de $</w:t>
      </w:r>
      <w:r w:rsidR="00C74B00" w:rsidRPr="0035090C">
        <w:rPr>
          <w:rFonts w:eastAsia="Times New Roman" w:cs="Calibri"/>
          <w:sz w:val="20"/>
          <w:szCs w:val="20"/>
          <w:lang w:val="es-ES" w:eastAsia="es-ES"/>
        </w:rPr>
        <w:t>7,232,766</w:t>
      </w:r>
      <w:r w:rsidR="00C87FDA" w:rsidRPr="0035090C">
        <w:rPr>
          <w:rFonts w:eastAsia="Times New Roman" w:cs="Calibri"/>
          <w:sz w:val="20"/>
          <w:szCs w:val="20"/>
          <w:lang w:val="es-ES" w:eastAsia="es-ES"/>
        </w:rPr>
        <w:t>.,</w:t>
      </w:r>
      <w:r w:rsidR="007D2AE4" w:rsidRPr="0035090C">
        <w:rPr>
          <w:rFonts w:eastAsia="Times New Roman" w:cs="Calibri"/>
          <w:sz w:val="20"/>
          <w:szCs w:val="20"/>
          <w:lang w:val="es-ES" w:eastAsia="es-ES"/>
        </w:rPr>
        <w:t xml:space="preserve"> por el pago de Crédito TM9140 de COFIDAN del cual el Gobierno del Estado es Aval y</w:t>
      </w:r>
      <w:r w:rsidR="0035090C" w:rsidRPr="0035090C">
        <w:rPr>
          <w:rFonts w:eastAsia="Times New Roman" w:cs="Calibri"/>
          <w:sz w:val="20"/>
          <w:szCs w:val="20"/>
          <w:lang w:val="es-ES" w:eastAsia="es-ES"/>
        </w:rPr>
        <w:t xml:space="preserve"> </w:t>
      </w:r>
      <w:r w:rsidR="0035090C">
        <w:rPr>
          <w:rFonts w:eastAsia="Times New Roman" w:cs="Calibri"/>
          <w:sz w:val="20"/>
          <w:szCs w:val="20"/>
          <w:lang w:val="es-ES" w:eastAsia="es-ES"/>
        </w:rPr>
        <w:t>$</w:t>
      </w:r>
      <w:r w:rsidR="007D2AE4" w:rsidRPr="0035090C">
        <w:rPr>
          <w:rFonts w:eastAsia="Times New Roman" w:cs="Calibri"/>
          <w:sz w:val="20"/>
          <w:szCs w:val="20"/>
          <w:lang w:val="es-ES" w:eastAsia="es-ES"/>
        </w:rPr>
        <w:t xml:space="preserve">4,267,900. por </w:t>
      </w:r>
      <w:r w:rsidR="0079655D">
        <w:rPr>
          <w:rFonts w:eastAsia="Times New Roman" w:cs="Calibri"/>
          <w:sz w:val="20"/>
          <w:szCs w:val="20"/>
          <w:lang w:val="es-ES" w:eastAsia="es-ES"/>
        </w:rPr>
        <w:t xml:space="preserve">adeudo del </w:t>
      </w:r>
      <w:r w:rsidR="0035090C" w:rsidRPr="0035090C">
        <w:rPr>
          <w:rFonts w:eastAsia="Times New Roman" w:cs="Calibri"/>
          <w:sz w:val="20"/>
          <w:szCs w:val="20"/>
          <w:lang w:val="es-ES" w:eastAsia="es-ES"/>
        </w:rPr>
        <w:t>ISR</w:t>
      </w:r>
      <w:r w:rsidR="0079655D">
        <w:rPr>
          <w:rFonts w:eastAsia="Times New Roman" w:cs="Calibri"/>
          <w:sz w:val="20"/>
          <w:szCs w:val="20"/>
          <w:lang w:val="es-ES" w:eastAsia="es-ES"/>
        </w:rPr>
        <w:t xml:space="preserve">. </w:t>
      </w:r>
    </w:p>
    <w:p w14:paraId="61F3DA7A" w14:textId="77777777" w:rsidR="00143484" w:rsidRPr="00143484" w:rsidRDefault="00143484" w:rsidP="00EC7D22">
      <w:pPr>
        <w:spacing w:after="0" w:line="240" w:lineRule="auto"/>
        <w:jc w:val="both"/>
        <w:rPr>
          <w:rFonts w:cs="Calibri"/>
          <w:sz w:val="20"/>
          <w:szCs w:val="20"/>
        </w:rPr>
      </w:pPr>
    </w:p>
    <w:p w14:paraId="7A5B08D3" w14:textId="6F77A83D" w:rsidR="00143484" w:rsidRPr="00143484" w:rsidRDefault="00E25A95" w:rsidP="00EC7D22">
      <w:pPr>
        <w:pStyle w:val="Prrafodelista"/>
        <w:numPr>
          <w:ilvl w:val="0"/>
          <w:numId w:val="61"/>
        </w:numPr>
        <w:spacing w:after="0" w:line="240" w:lineRule="auto"/>
        <w:ind w:left="0" w:firstLine="0"/>
        <w:jc w:val="both"/>
        <w:rPr>
          <w:rFonts w:cs="Calibri"/>
          <w:sz w:val="20"/>
          <w:szCs w:val="20"/>
        </w:rPr>
      </w:pPr>
      <w:r>
        <w:rPr>
          <w:rFonts w:eastAsia="Times New Roman" w:cs="Calibri"/>
          <w:sz w:val="20"/>
          <w:szCs w:val="20"/>
          <w:lang w:val="es-ES" w:eastAsia="es-ES"/>
        </w:rPr>
        <w:t>El adeudo de l</w:t>
      </w:r>
      <w:r w:rsidR="00143484">
        <w:rPr>
          <w:rFonts w:eastAsia="Times New Roman" w:cs="Calibri"/>
          <w:sz w:val="20"/>
          <w:szCs w:val="20"/>
          <w:lang w:val="es-ES" w:eastAsia="es-ES"/>
        </w:rPr>
        <w:t>a</w:t>
      </w:r>
      <w:r w:rsidR="00C87FDA" w:rsidRPr="00143484">
        <w:rPr>
          <w:rFonts w:eastAsia="Times New Roman" w:cs="Calibri"/>
          <w:sz w:val="20"/>
          <w:szCs w:val="20"/>
          <w:lang w:val="es-ES" w:eastAsia="es-ES"/>
        </w:rPr>
        <w:t xml:space="preserve"> COMAPA Municipal de </w:t>
      </w:r>
      <w:r w:rsidR="00143484" w:rsidRPr="00143484">
        <w:rPr>
          <w:rFonts w:eastAsia="Times New Roman" w:cs="Calibri"/>
          <w:sz w:val="20"/>
          <w:szCs w:val="20"/>
          <w:lang w:val="es-ES" w:eastAsia="es-ES"/>
        </w:rPr>
        <w:t>Reynosa por</w:t>
      </w:r>
      <w:r w:rsidR="00C87FDA" w:rsidRPr="00143484">
        <w:rPr>
          <w:rFonts w:eastAsia="Times New Roman" w:cs="Calibri"/>
          <w:sz w:val="20"/>
          <w:szCs w:val="20"/>
          <w:lang w:val="es-ES" w:eastAsia="es-ES"/>
        </w:rPr>
        <w:t xml:space="preserve"> $62,162,979</w:t>
      </w:r>
      <w:r w:rsidR="00AD0509" w:rsidRPr="00143484">
        <w:rPr>
          <w:rFonts w:eastAsia="Times New Roman" w:cs="Calibri"/>
          <w:sz w:val="20"/>
          <w:szCs w:val="20"/>
          <w:lang w:val="es-ES" w:eastAsia="es-ES"/>
        </w:rPr>
        <w:t>.</w:t>
      </w:r>
    </w:p>
    <w:p w14:paraId="50C2D1FA" w14:textId="77777777" w:rsidR="00143484" w:rsidRPr="00143484" w:rsidRDefault="00143484" w:rsidP="00EC7D22">
      <w:pPr>
        <w:pStyle w:val="Prrafodelista"/>
        <w:spacing w:after="0" w:line="240" w:lineRule="auto"/>
        <w:ind w:left="0"/>
        <w:jc w:val="both"/>
        <w:rPr>
          <w:rFonts w:cs="Calibri"/>
          <w:sz w:val="20"/>
          <w:szCs w:val="20"/>
        </w:rPr>
      </w:pPr>
    </w:p>
    <w:p w14:paraId="1BDE8975" w14:textId="04B70DFC" w:rsidR="007745EB" w:rsidRDefault="00143484" w:rsidP="00EC7D22">
      <w:pPr>
        <w:pStyle w:val="Prrafodelista"/>
        <w:numPr>
          <w:ilvl w:val="0"/>
          <w:numId w:val="61"/>
        </w:numPr>
        <w:spacing w:after="0" w:line="240" w:lineRule="auto"/>
        <w:ind w:left="0" w:firstLine="0"/>
        <w:jc w:val="both"/>
        <w:rPr>
          <w:rFonts w:cs="Calibri"/>
          <w:sz w:val="20"/>
          <w:szCs w:val="20"/>
        </w:rPr>
      </w:pPr>
      <w:r>
        <w:rPr>
          <w:rFonts w:cs="Calibri"/>
          <w:sz w:val="20"/>
          <w:szCs w:val="20"/>
        </w:rPr>
        <w:t>L</w:t>
      </w:r>
      <w:r w:rsidR="00C87FDA" w:rsidRPr="00143484">
        <w:rPr>
          <w:rFonts w:cs="Calibri"/>
          <w:sz w:val="20"/>
          <w:szCs w:val="20"/>
        </w:rPr>
        <w:t xml:space="preserve">a partida de Deudores Diversos que incluyen la cuenta de Cheques Devueltos, por la cantidad </w:t>
      </w:r>
      <w:r w:rsidR="00D2090E" w:rsidRPr="00143484">
        <w:rPr>
          <w:rFonts w:cs="Calibri"/>
          <w:sz w:val="20"/>
          <w:szCs w:val="20"/>
        </w:rPr>
        <w:t>de $</w:t>
      </w:r>
      <w:r w:rsidR="00C87FDA" w:rsidRPr="00143484">
        <w:rPr>
          <w:rFonts w:cs="Calibri"/>
          <w:sz w:val="20"/>
          <w:szCs w:val="20"/>
        </w:rPr>
        <w:t>17,</w:t>
      </w:r>
      <w:r w:rsidR="00C74B00" w:rsidRPr="00143484">
        <w:rPr>
          <w:rFonts w:cs="Calibri"/>
          <w:sz w:val="20"/>
          <w:szCs w:val="20"/>
        </w:rPr>
        <w:t>275,686</w:t>
      </w:r>
      <w:r w:rsidR="007D2AE4" w:rsidRPr="00143484">
        <w:rPr>
          <w:rFonts w:cs="Calibri"/>
          <w:sz w:val="20"/>
          <w:szCs w:val="20"/>
        </w:rPr>
        <w:t>.,</w:t>
      </w:r>
      <w:r w:rsidR="00C87FDA" w:rsidRPr="00143484">
        <w:rPr>
          <w:rFonts w:cs="Calibri"/>
          <w:sz w:val="20"/>
          <w:szCs w:val="20"/>
        </w:rPr>
        <w:t xml:space="preserve"> que corresponden a los cheques de los contribuyentes que les fueron devueltos, y que se encuentran a la fecha registrados como pendientes de cobro.</w:t>
      </w:r>
    </w:p>
    <w:p w14:paraId="0C901EED" w14:textId="77777777" w:rsidR="002553AC" w:rsidRPr="002553AC" w:rsidRDefault="002553AC" w:rsidP="00EC7D22">
      <w:pPr>
        <w:pStyle w:val="Prrafodelista"/>
        <w:ind w:left="0"/>
        <w:rPr>
          <w:rFonts w:cs="Calibri"/>
          <w:sz w:val="20"/>
          <w:szCs w:val="20"/>
        </w:rPr>
      </w:pPr>
    </w:p>
    <w:p w14:paraId="35655C3B" w14:textId="77777777" w:rsidR="002553AC" w:rsidRDefault="002553AC" w:rsidP="00EC7D22">
      <w:pPr>
        <w:spacing w:after="0" w:line="240" w:lineRule="auto"/>
        <w:jc w:val="both"/>
        <w:rPr>
          <w:rFonts w:cs="Calibri"/>
          <w:sz w:val="20"/>
          <w:szCs w:val="20"/>
        </w:rPr>
      </w:pPr>
    </w:p>
    <w:tbl>
      <w:tblPr>
        <w:tblW w:w="8926" w:type="dxa"/>
        <w:tblCellMar>
          <w:left w:w="70" w:type="dxa"/>
          <w:right w:w="70" w:type="dxa"/>
        </w:tblCellMar>
        <w:tblLook w:val="04A0" w:firstRow="1" w:lastRow="0" w:firstColumn="1" w:lastColumn="0" w:noHBand="0" w:noVBand="1"/>
      </w:tblPr>
      <w:tblGrid>
        <w:gridCol w:w="1413"/>
        <w:gridCol w:w="1014"/>
        <w:gridCol w:w="1495"/>
        <w:gridCol w:w="1014"/>
        <w:gridCol w:w="1441"/>
        <w:gridCol w:w="1067"/>
        <w:gridCol w:w="1482"/>
      </w:tblGrid>
      <w:tr w:rsidR="002553AC" w:rsidRPr="002553AC" w14:paraId="38F87F7A" w14:textId="77777777" w:rsidTr="00DF32F3">
        <w:trPr>
          <w:trHeight w:val="370"/>
        </w:trPr>
        <w:tc>
          <w:tcPr>
            <w:tcW w:w="1413" w:type="dxa"/>
            <w:vMerge w:val="restart"/>
            <w:tcBorders>
              <w:top w:val="single" w:sz="4" w:space="0" w:color="auto"/>
              <w:left w:val="single" w:sz="4" w:space="0" w:color="auto"/>
              <w:bottom w:val="single" w:sz="4" w:space="0" w:color="auto"/>
              <w:right w:val="single" w:sz="4" w:space="0" w:color="auto"/>
            </w:tcBorders>
            <w:shd w:val="clear" w:color="800080" w:fill="A90025"/>
            <w:vAlign w:val="center"/>
            <w:hideMark/>
          </w:tcPr>
          <w:p w14:paraId="147507B9" w14:textId="77777777" w:rsidR="002553AC" w:rsidRPr="002553AC" w:rsidRDefault="002553AC" w:rsidP="00EC7D22">
            <w:pPr>
              <w:suppressAutoHyphens w:val="0"/>
              <w:overflowPunct/>
              <w:spacing w:after="0" w:line="240" w:lineRule="auto"/>
              <w:jc w:val="center"/>
              <w:rPr>
                <w:rFonts w:eastAsia="Times New Roman" w:cs="Calibri"/>
                <w:b/>
                <w:bCs/>
                <w:color w:val="FFFFFF"/>
                <w:sz w:val="16"/>
                <w:szCs w:val="16"/>
                <w:lang w:eastAsia="es-MX"/>
              </w:rPr>
            </w:pPr>
            <w:r w:rsidRPr="002553AC">
              <w:rPr>
                <w:rFonts w:eastAsia="Times New Roman" w:cs="Calibri"/>
                <w:b/>
                <w:bCs/>
                <w:color w:val="FFFFFF"/>
                <w:sz w:val="16"/>
                <w:szCs w:val="16"/>
                <w:lang w:eastAsia="es-MX"/>
              </w:rPr>
              <w:t>Año</w:t>
            </w:r>
          </w:p>
        </w:tc>
        <w:tc>
          <w:tcPr>
            <w:tcW w:w="2509" w:type="dxa"/>
            <w:gridSpan w:val="2"/>
            <w:tcBorders>
              <w:top w:val="single" w:sz="4" w:space="0" w:color="auto"/>
              <w:left w:val="nil"/>
              <w:bottom w:val="single" w:sz="4" w:space="0" w:color="auto"/>
              <w:right w:val="single" w:sz="4" w:space="0" w:color="auto"/>
            </w:tcBorders>
            <w:shd w:val="clear" w:color="800080" w:fill="A90025"/>
            <w:vAlign w:val="center"/>
            <w:hideMark/>
          </w:tcPr>
          <w:p w14:paraId="68B5F3C9" w14:textId="77777777" w:rsidR="002553AC" w:rsidRPr="002553AC" w:rsidRDefault="002553AC" w:rsidP="00EC7D22">
            <w:pPr>
              <w:suppressAutoHyphens w:val="0"/>
              <w:overflowPunct/>
              <w:spacing w:after="0" w:line="240" w:lineRule="auto"/>
              <w:jc w:val="center"/>
              <w:rPr>
                <w:rFonts w:eastAsia="Times New Roman" w:cs="Calibri"/>
                <w:b/>
                <w:bCs/>
                <w:color w:val="FFFFFF"/>
                <w:sz w:val="16"/>
                <w:szCs w:val="16"/>
                <w:lang w:eastAsia="es-MX"/>
              </w:rPr>
            </w:pPr>
            <w:r w:rsidRPr="002553AC">
              <w:rPr>
                <w:rFonts w:eastAsia="Times New Roman" w:cs="Calibri"/>
                <w:b/>
                <w:bCs/>
                <w:color w:val="FFFFFF"/>
                <w:sz w:val="16"/>
                <w:szCs w:val="16"/>
                <w:lang w:eastAsia="es-MX"/>
              </w:rPr>
              <w:t>2024</w:t>
            </w:r>
          </w:p>
        </w:tc>
        <w:tc>
          <w:tcPr>
            <w:tcW w:w="2455" w:type="dxa"/>
            <w:gridSpan w:val="2"/>
            <w:tcBorders>
              <w:top w:val="single" w:sz="4" w:space="0" w:color="auto"/>
              <w:left w:val="nil"/>
              <w:bottom w:val="single" w:sz="4" w:space="0" w:color="auto"/>
              <w:right w:val="single" w:sz="4" w:space="0" w:color="auto"/>
            </w:tcBorders>
            <w:shd w:val="clear" w:color="800080" w:fill="A90025"/>
            <w:vAlign w:val="center"/>
            <w:hideMark/>
          </w:tcPr>
          <w:p w14:paraId="27564CF9" w14:textId="77777777" w:rsidR="002553AC" w:rsidRPr="002553AC" w:rsidRDefault="002553AC" w:rsidP="00EC7D22">
            <w:pPr>
              <w:suppressAutoHyphens w:val="0"/>
              <w:overflowPunct/>
              <w:spacing w:after="0" w:line="240" w:lineRule="auto"/>
              <w:jc w:val="center"/>
              <w:rPr>
                <w:rFonts w:eastAsia="Times New Roman" w:cs="Calibri"/>
                <w:b/>
                <w:bCs/>
                <w:color w:val="FFFFFF"/>
                <w:sz w:val="16"/>
                <w:szCs w:val="16"/>
                <w:lang w:eastAsia="es-MX"/>
              </w:rPr>
            </w:pPr>
            <w:r w:rsidRPr="002553AC">
              <w:rPr>
                <w:rFonts w:eastAsia="Times New Roman" w:cs="Calibri"/>
                <w:b/>
                <w:bCs/>
                <w:color w:val="FFFFFF"/>
                <w:sz w:val="16"/>
                <w:szCs w:val="16"/>
                <w:lang w:eastAsia="es-MX"/>
              </w:rPr>
              <w:t>2023</w:t>
            </w:r>
          </w:p>
        </w:tc>
        <w:tc>
          <w:tcPr>
            <w:tcW w:w="2549" w:type="dxa"/>
            <w:gridSpan w:val="2"/>
            <w:tcBorders>
              <w:top w:val="single" w:sz="4" w:space="0" w:color="auto"/>
              <w:left w:val="nil"/>
              <w:bottom w:val="single" w:sz="4" w:space="0" w:color="auto"/>
              <w:right w:val="single" w:sz="4" w:space="0" w:color="auto"/>
            </w:tcBorders>
            <w:shd w:val="clear" w:color="800080" w:fill="A90025"/>
            <w:vAlign w:val="center"/>
            <w:hideMark/>
          </w:tcPr>
          <w:p w14:paraId="34D3B5F6" w14:textId="77777777" w:rsidR="002553AC" w:rsidRPr="002553AC" w:rsidRDefault="002553AC" w:rsidP="00EC7D22">
            <w:pPr>
              <w:suppressAutoHyphens w:val="0"/>
              <w:overflowPunct/>
              <w:spacing w:after="0" w:line="240" w:lineRule="auto"/>
              <w:jc w:val="center"/>
              <w:rPr>
                <w:rFonts w:eastAsia="Times New Roman" w:cs="Calibri"/>
                <w:b/>
                <w:bCs/>
                <w:color w:val="FFFFFF"/>
                <w:sz w:val="16"/>
                <w:szCs w:val="16"/>
                <w:lang w:eastAsia="es-MX"/>
              </w:rPr>
            </w:pPr>
            <w:r w:rsidRPr="002553AC">
              <w:rPr>
                <w:rFonts w:eastAsia="Times New Roman" w:cs="Calibri"/>
                <w:b/>
                <w:bCs/>
                <w:color w:val="FFFFFF"/>
                <w:sz w:val="16"/>
                <w:szCs w:val="16"/>
                <w:lang w:eastAsia="es-MX"/>
              </w:rPr>
              <w:t>Variación</w:t>
            </w:r>
          </w:p>
        </w:tc>
      </w:tr>
      <w:tr w:rsidR="002553AC" w:rsidRPr="002553AC" w14:paraId="4CDF5665" w14:textId="77777777" w:rsidTr="00DF32F3">
        <w:trPr>
          <w:trHeight w:val="65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03F2E62" w14:textId="77777777" w:rsidR="002553AC" w:rsidRPr="002553AC" w:rsidRDefault="002553AC" w:rsidP="00EC7D22">
            <w:pPr>
              <w:suppressAutoHyphens w:val="0"/>
              <w:overflowPunct/>
              <w:spacing w:after="0" w:line="240" w:lineRule="auto"/>
              <w:rPr>
                <w:rFonts w:eastAsia="Times New Roman" w:cs="Calibri"/>
                <w:b/>
                <w:bCs/>
                <w:color w:val="FFFFFF"/>
                <w:sz w:val="16"/>
                <w:szCs w:val="16"/>
                <w:lang w:eastAsia="es-MX"/>
              </w:rPr>
            </w:pPr>
          </w:p>
        </w:tc>
        <w:tc>
          <w:tcPr>
            <w:tcW w:w="1014" w:type="dxa"/>
            <w:tcBorders>
              <w:top w:val="nil"/>
              <w:left w:val="nil"/>
              <w:bottom w:val="single" w:sz="4" w:space="0" w:color="auto"/>
              <w:right w:val="nil"/>
            </w:tcBorders>
            <w:shd w:val="clear" w:color="800080" w:fill="A90025"/>
            <w:vAlign w:val="center"/>
            <w:hideMark/>
          </w:tcPr>
          <w:p w14:paraId="02E32EE3" w14:textId="77777777" w:rsidR="002553AC" w:rsidRPr="002553AC" w:rsidRDefault="002553AC" w:rsidP="00EC7D22">
            <w:pPr>
              <w:suppressAutoHyphens w:val="0"/>
              <w:overflowPunct/>
              <w:spacing w:after="0" w:line="240" w:lineRule="auto"/>
              <w:rPr>
                <w:rFonts w:eastAsia="Times New Roman" w:cs="Calibri"/>
                <w:b/>
                <w:bCs/>
                <w:color w:val="FFFFFF"/>
                <w:sz w:val="16"/>
                <w:szCs w:val="16"/>
                <w:lang w:eastAsia="es-MX"/>
              </w:rPr>
            </w:pPr>
            <w:r w:rsidRPr="002553AC">
              <w:rPr>
                <w:rFonts w:eastAsia="Times New Roman" w:cs="Calibri"/>
                <w:b/>
                <w:bCs/>
                <w:color w:val="FFFFFF"/>
                <w:sz w:val="16"/>
                <w:szCs w:val="16"/>
                <w:lang w:eastAsia="es-MX"/>
              </w:rPr>
              <w:t>No. De Cheques</w:t>
            </w:r>
          </w:p>
        </w:tc>
        <w:tc>
          <w:tcPr>
            <w:tcW w:w="1495" w:type="dxa"/>
            <w:tcBorders>
              <w:top w:val="nil"/>
              <w:left w:val="nil"/>
              <w:bottom w:val="single" w:sz="4" w:space="0" w:color="auto"/>
              <w:right w:val="single" w:sz="4" w:space="0" w:color="auto"/>
            </w:tcBorders>
            <w:shd w:val="clear" w:color="800080" w:fill="A90025"/>
            <w:vAlign w:val="center"/>
            <w:hideMark/>
          </w:tcPr>
          <w:p w14:paraId="608A604D" w14:textId="77777777" w:rsidR="002553AC" w:rsidRPr="002553AC" w:rsidRDefault="002553AC" w:rsidP="00EC7D22">
            <w:pPr>
              <w:suppressAutoHyphens w:val="0"/>
              <w:overflowPunct/>
              <w:spacing w:after="0" w:line="240" w:lineRule="auto"/>
              <w:jc w:val="center"/>
              <w:rPr>
                <w:rFonts w:eastAsia="Times New Roman" w:cs="Calibri"/>
                <w:b/>
                <w:bCs/>
                <w:color w:val="FFFFFF"/>
                <w:sz w:val="16"/>
                <w:szCs w:val="16"/>
                <w:lang w:eastAsia="es-MX"/>
              </w:rPr>
            </w:pPr>
            <w:r w:rsidRPr="002553AC">
              <w:rPr>
                <w:rFonts w:eastAsia="Times New Roman" w:cs="Calibri"/>
                <w:b/>
                <w:bCs/>
                <w:color w:val="FFFFFF"/>
                <w:sz w:val="16"/>
                <w:szCs w:val="16"/>
                <w:lang w:eastAsia="es-MX"/>
              </w:rPr>
              <w:t>Importe</w:t>
            </w:r>
          </w:p>
        </w:tc>
        <w:tc>
          <w:tcPr>
            <w:tcW w:w="1014" w:type="dxa"/>
            <w:tcBorders>
              <w:top w:val="nil"/>
              <w:left w:val="nil"/>
              <w:bottom w:val="single" w:sz="4" w:space="0" w:color="auto"/>
              <w:right w:val="single" w:sz="4" w:space="0" w:color="auto"/>
            </w:tcBorders>
            <w:shd w:val="clear" w:color="800080" w:fill="A90025"/>
            <w:vAlign w:val="center"/>
            <w:hideMark/>
          </w:tcPr>
          <w:p w14:paraId="379D5FC3" w14:textId="77777777" w:rsidR="002553AC" w:rsidRPr="002553AC" w:rsidRDefault="002553AC" w:rsidP="00EC7D22">
            <w:pPr>
              <w:suppressAutoHyphens w:val="0"/>
              <w:overflowPunct/>
              <w:spacing w:after="0" w:line="240" w:lineRule="auto"/>
              <w:jc w:val="center"/>
              <w:rPr>
                <w:rFonts w:eastAsia="Times New Roman" w:cs="Calibri"/>
                <w:b/>
                <w:bCs/>
                <w:color w:val="FFFFFF"/>
                <w:sz w:val="16"/>
                <w:szCs w:val="16"/>
                <w:lang w:eastAsia="es-MX"/>
              </w:rPr>
            </w:pPr>
            <w:r w:rsidRPr="002553AC">
              <w:rPr>
                <w:rFonts w:eastAsia="Times New Roman" w:cs="Calibri"/>
                <w:b/>
                <w:bCs/>
                <w:color w:val="FFFFFF"/>
                <w:sz w:val="16"/>
                <w:szCs w:val="16"/>
                <w:lang w:eastAsia="es-MX"/>
              </w:rPr>
              <w:t>No. De Cheques</w:t>
            </w:r>
          </w:p>
        </w:tc>
        <w:tc>
          <w:tcPr>
            <w:tcW w:w="1441" w:type="dxa"/>
            <w:tcBorders>
              <w:top w:val="nil"/>
              <w:left w:val="nil"/>
              <w:bottom w:val="single" w:sz="4" w:space="0" w:color="auto"/>
              <w:right w:val="single" w:sz="4" w:space="0" w:color="auto"/>
            </w:tcBorders>
            <w:shd w:val="clear" w:color="800080" w:fill="A90025"/>
            <w:vAlign w:val="center"/>
            <w:hideMark/>
          </w:tcPr>
          <w:p w14:paraId="2B6F9B00" w14:textId="77777777" w:rsidR="002553AC" w:rsidRPr="002553AC" w:rsidRDefault="002553AC" w:rsidP="00EC7D22">
            <w:pPr>
              <w:suppressAutoHyphens w:val="0"/>
              <w:overflowPunct/>
              <w:spacing w:after="0" w:line="240" w:lineRule="auto"/>
              <w:jc w:val="center"/>
              <w:rPr>
                <w:rFonts w:eastAsia="Times New Roman" w:cs="Calibri"/>
                <w:b/>
                <w:bCs/>
                <w:color w:val="FFFFFF"/>
                <w:sz w:val="16"/>
                <w:szCs w:val="16"/>
                <w:lang w:eastAsia="es-MX"/>
              </w:rPr>
            </w:pPr>
            <w:r w:rsidRPr="002553AC">
              <w:rPr>
                <w:rFonts w:eastAsia="Times New Roman" w:cs="Calibri"/>
                <w:b/>
                <w:bCs/>
                <w:color w:val="FFFFFF"/>
                <w:sz w:val="16"/>
                <w:szCs w:val="16"/>
                <w:lang w:eastAsia="es-MX"/>
              </w:rPr>
              <w:t>Importe</w:t>
            </w:r>
          </w:p>
        </w:tc>
        <w:tc>
          <w:tcPr>
            <w:tcW w:w="1067" w:type="dxa"/>
            <w:tcBorders>
              <w:top w:val="nil"/>
              <w:left w:val="nil"/>
              <w:bottom w:val="single" w:sz="4" w:space="0" w:color="auto"/>
              <w:right w:val="single" w:sz="4" w:space="0" w:color="auto"/>
            </w:tcBorders>
            <w:shd w:val="clear" w:color="800080" w:fill="A90025"/>
            <w:vAlign w:val="center"/>
            <w:hideMark/>
          </w:tcPr>
          <w:p w14:paraId="739A1CB3" w14:textId="77777777" w:rsidR="002553AC" w:rsidRPr="002553AC" w:rsidRDefault="002553AC" w:rsidP="00EC7D22">
            <w:pPr>
              <w:suppressAutoHyphens w:val="0"/>
              <w:overflowPunct/>
              <w:spacing w:after="0" w:line="240" w:lineRule="auto"/>
              <w:jc w:val="center"/>
              <w:rPr>
                <w:rFonts w:eastAsia="Times New Roman" w:cs="Calibri"/>
                <w:b/>
                <w:bCs/>
                <w:color w:val="FFFFFF"/>
                <w:sz w:val="16"/>
                <w:szCs w:val="16"/>
                <w:lang w:eastAsia="es-MX"/>
              </w:rPr>
            </w:pPr>
            <w:r w:rsidRPr="002553AC">
              <w:rPr>
                <w:rFonts w:eastAsia="Times New Roman" w:cs="Calibri"/>
                <w:b/>
                <w:bCs/>
                <w:color w:val="FFFFFF"/>
                <w:sz w:val="16"/>
                <w:szCs w:val="16"/>
                <w:lang w:eastAsia="es-MX"/>
              </w:rPr>
              <w:t>En Cheques</w:t>
            </w:r>
          </w:p>
        </w:tc>
        <w:tc>
          <w:tcPr>
            <w:tcW w:w="1482" w:type="dxa"/>
            <w:tcBorders>
              <w:top w:val="nil"/>
              <w:left w:val="nil"/>
              <w:bottom w:val="single" w:sz="4" w:space="0" w:color="auto"/>
              <w:right w:val="single" w:sz="4" w:space="0" w:color="auto"/>
            </w:tcBorders>
            <w:shd w:val="clear" w:color="800080" w:fill="A90025"/>
            <w:vAlign w:val="center"/>
            <w:hideMark/>
          </w:tcPr>
          <w:p w14:paraId="7A4BE6BA" w14:textId="77777777" w:rsidR="002553AC" w:rsidRPr="002553AC" w:rsidRDefault="002553AC" w:rsidP="00EC7D22">
            <w:pPr>
              <w:suppressAutoHyphens w:val="0"/>
              <w:overflowPunct/>
              <w:spacing w:after="0" w:line="240" w:lineRule="auto"/>
              <w:jc w:val="center"/>
              <w:rPr>
                <w:rFonts w:eastAsia="Times New Roman" w:cs="Calibri"/>
                <w:b/>
                <w:bCs/>
                <w:color w:val="FFFFFF"/>
                <w:sz w:val="16"/>
                <w:szCs w:val="16"/>
                <w:lang w:eastAsia="es-MX"/>
              </w:rPr>
            </w:pPr>
            <w:r w:rsidRPr="002553AC">
              <w:rPr>
                <w:rFonts w:eastAsia="Times New Roman" w:cs="Calibri"/>
                <w:b/>
                <w:bCs/>
                <w:color w:val="FFFFFF"/>
                <w:sz w:val="16"/>
                <w:szCs w:val="16"/>
                <w:lang w:eastAsia="es-MX"/>
              </w:rPr>
              <w:t>Importe</w:t>
            </w:r>
          </w:p>
        </w:tc>
      </w:tr>
      <w:tr w:rsidR="002553AC" w:rsidRPr="002553AC" w14:paraId="08DB79F4"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F023F07"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2013</w:t>
            </w:r>
          </w:p>
        </w:tc>
        <w:tc>
          <w:tcPr>
            <w:tcW w:w="1014" w:type="dxa"/>
            <w:tcBorders>
              <w:top w:val="nil"/>
              <w:left w:val="nil"/>
              <w:bottom w:val="single" w:sz="4" w:space="0" w:color="auto"/>
              <w:right w:val="single" w:sz="4" w:space="0" w:color="auto"/>
            </w:tcBorders>
            <w:shd w:val="clear" w:color="auto" w:fill="auto"/>
            <w:noWrap/>
            <w:vAlign w:val="center"/>
            <w:hideMark/>
          </w:tcPr>
          <w:p w14:paraId="0438BD53"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633</w:t>
            </w:r>
          </w:p>
        </w:tc>
        <w:tc>
          <w:tcPr>
            <w:tcW w:w="1495" w:type="dxa"/>
            <w:tcBorders>
              <w:top w:val="nil"/>
              <w:left w:val="nil"/>
              <w:bottom w:val="single" w:sz="4" w:space="0" w:color="auto"/>
              <w:right w:val="single" w:sz="4" w:space="0" w:color="auto"/>
            </w:tcBorders>
            <w:shd w:val="clear" w:color="auto" w:fill="auto"/>
            <w:noWrap/>
            <w:vAlign w:val="center"/>
            <w:hideMark/>
          </w:tcPr>
          <w:p w14:paraId="0FC3BB19"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12,291,233</w:t>
            </w:r>
          </w:p>
        </w:tc>
        <w:tc>
          <w:tcPr>
            <w:tcW w:w="1014" w:type="dxa"/>
            <w:tcBorders>
              <w:top w:val="nil"/>
              <w:left w:val="nil"/>
              <w:bottom w:val="single" w:sz="4" w:space="0" w:color="auto"/>
              <w:right w:val="single" w:sz="4" w:space="0" w:color="auto"/>
            </w:tcBorders>
            <w:shd w:val="clear" w:color="auto" w:fill="auto"/>
            <w:noWrap/>
            <w:vAlign w:val="center"/>
            <w:hideMark/>
          </w:tcPr>
          <w:p w14:paraId="62ED6C6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636</w:t>
            </w:r>
          </w:p>
        </w:tc>
        <w:tc>
          <w:tcPr>
            <w:tcW w:w="1441" w:type="dxa"/>
            <w:tcBorders>
              <w:top w:val="nil"/>
              <w:left w:val="nil"/>
              <w:bottom w:val="single" w:sz="4" w:space="0" w:color="auto"/>
              <w:right w:val="single" w:sz="4" w:space="0" w:color="auto"/>
            </w:tcBorders>
            <w:shd w:val="clear" w:color="auto" w:fill="auto"/>
            <w:noWrap/>
            <w:vAlign w:val="center"/>
            <w:hideMark/>
          </w:tcPr>
          <w:p w14:paraId="496549DE"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12,315,806</w:t>
            </w:r>
          </w:p>
        </w:tc>
        <w:tc>
          <w:tcPr>
            <w:tcW w:w="1067" w:type="dxa"/>
            <w:tcBorders>
              <w:top w:val="nil"/>
              <w:left w:val="nil"/>
              <w:bottom w:val="single" w:sz="4" w:space="0" w:color="auto"/>
              <w:right w:val="single" w:sz="4" w:space="0" w:color="auto"/>
            </w:tcBorders>
            <w:shd w:val="clear" w:color="auto" w:fill="auto"/>
            <w:noWrap/>
            <w:vAlign w:val="center"/>
            <w:hideMark/>
          </w:tcPr>
          <w:p w14:paraId="4DCFB34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-3</w:t>
            </w:r>
          </w:p>
        </w:tc>
        <w:tc>
          <w:tcPr>
            <w:tcW w:w="1482" w:type="dxa"/>
            <w:tcBorders>
              <w:top w:val="nil"/>
              <w:left w:val="nil"/>
              <w:bottom w:val="single" w:sz="4" w:space="0" w:color="auto"/>
              <w:right w:val="single" w:sz="4" w:space="0" w:color="auto"/>
            </w:tcBorders>
            <w:shd w:val="clear" w:color="auto" w:fill="auto"/>
            <w:noWrap/>
            <w:vAlign w:val="center"/>
            <w:hideMark/>
          </w:tcPr>
          <w:p w14:paraId="341E48CC"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-24,573</w:t>
            </w:r>
          </w:p>
        </w:tc>
      </w:tr>
      <w:tr w:rsidR="002553AC" w:rsidRPr="002553AC" w14:paraId="09D0A62B"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E22FD3"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2014</w:t>
            </w:r>
          </w:p>
        </w:tc>
        <w:tc>
          <w:tcPr>
            <w:tcW w:w="1014" w:type="dxa"/>
            <w:tcBorders>
              <w:top w:val="nil"/>
              <w:left w:val="nil"/>
              <w:bottom w:val="single" w:sz="4" w:space="0" w:color="auto"/>
              <w:right w:val="single" w:sz="4" w:space="0" w:color="auto"/>
            </w:tcBorders>
            <w:shd w:val="clear" w:color="auto" w:fill="auto"/>
            <w:noWrap/>
            <w:vAlign w:val="center"/>
            <w:hideMark/>
          </w:tcPr>
          <w:p w14:paraId="0E51959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30</w:t>
            </w:r>
          </w:p>
        </w:tc>
        <w:tc>
          <w:tcPr>
            <w:tcW w:w="1495" w:type="dxa"/>
            <w:tcBorders>
              <w:top w:val="nil"/>
              <w:left w:val="nil"/>
              <w:bottom w:val="single" w:sz="4" w:space="0" w:color="auto"/>
              <w:right w:val="single" w:sz="4" w:space="0" w:color="auto"/>
            </w:tcBorders>
            <w:shd w:val="clear" w:color="auto" w:fill="auto"/>
            <w:noWrap/>
            <w:vAlign w:val="center"/>
            <w:hideMark/>
          </w:tcPr>
          <w:p w14:paraId="6AE540FC"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882,764</w:t>
            </w:r>
          </w:p>
        </w:tc>
        <w:tc>
          <w:tcPr>
            <w:tcW w:w="1014" w:type="dxa"/>
            <w:tcBorders>
              <w:top w:val="nil"/>
              <w:left w:val="nil"/>
              <w:bottom w:val="single" w:sz="4" w:space="0" w:color="auto"/>
              <w:right w:val="single" w:sz="4" w:space="0" w:color="auto"/>
            </w:tcBorders>
            <w:shd w:val="clear" w:color="auto" w:fill="auto"/>
            <w:noWrap/>
            <w:vAlign w:val="center"/>
            <w:hideMark/>
          </w:tcPr>
          <w:p w14:paraId="77FAF00A"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30</w:t>
            </w:r>
          </w:p>
        </w:tc>
        <w:tc>
          <w:tcPr>
            <w:tcW w:w="1441" w:type="dxa"/>
            <w:tcBorders>
              <w:top w:val="nil"/>
              <w:left w:val="nil"/>
              <w:bottom w:val="single" w:sz="4" w:space="0" w:color="auto"/>
              <w:right w:val="single" w:sz="4" w:space="0" w:color="auto"/>
            </w:tcBorders>
            <w:shd w:val="clear" w:color="auto" w:fill="auto"/>
            <w:noWrap/>
            <w:vAlign w:val="center"/>
            <w:hideMark/>
          </w:tcPr>
          <w:p w14:paraId="70D7B06F"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882,764</w:t>
            </w:r>
          </w:p>
        </w:tc>
        <w:tc>
          <w:tcPr>
            <w:tcW w:w="1067" w:type="dxa"/>
            <w:tcBorders>
              <w:top w:val="nil"/>
              <w:left w:val="nil"/>
              <w:bottom w:val="single" w:sz="4" w:space="0" w:color="auto"/>
              <w:right w:val="single" w:sz="4" w:space="0" w:color="auto"/>
            </w:tcBorders>
            <w:shd w:val="clear" w:color="auto" w:fill="auto"/>
            <w:noWrap/>
            <w:vAlign w:val="center"/>
            <w:hideMark/>
          </w:tcPr>
          <w:p w14:paraId="1D987575"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0</w:t>
            </w:r>
          </w:p>
        </w:tc>
        <w:tc>
          <w:tcPr>
            <w:tcW w:w="1482" w:type="dxa"/>
            <w:tcBorders>
              <w:top w:val="nil"/>
              <w:left w:val="nil"/>
              <w:bottom w:val="single" w:sz="4" w:space="0" w:color="auto"/>
              <w:right w:val="single" w:sz="4" w:space="0" w:color="auto"/>
            </w:tcBorders>
            <w:shd w:val="clear" w:color="auto" w:fill="auto"/>
            <w:noWrap/>
            <w:vAlign w:val="center"/>
            <w:hideMark/>
          </w:tcPr>
          <w:p w14:paraId="7CDEC8F7"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0</w:t>
            </w:r>
          </w:p>
        </w:tc>
      </w:tr>
      <w:tr w:rsidR="002553AC" w:rsidRPr="002553AC" w14:paraId="12E43331"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4836B9B"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2015</w:t>
            </w:r>
          </w:p>
        </w:tc>
        <w:tc>
          <w:tcPr>
            <w:tcW w:w="1014" w:type="dxa"/>
            <w:tcBorders>
              <w:top w:val="nil"/>
              <w:left w:val="nil"/>
              <w:bottom w:val="single" w:sz="4" w:space="0" w:color="auto"/>
              <w:right w:val="single" w:sz="4" w:space="0" w:color="auto"/>
            </w:tcBorders>
            <w:shd w:val="clear" w:color="auto" w:fill="auto"/>
            <w:noWrap/>
            <w:vAlign w:val="center"/>
            <w:hideMark/>
          </w:tcPr>
          <w:p w14:paraId="60C3E4AF"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16</w:t>
            </w:r>
          </w:p>
        </w:tc>
        <w:tc>
          <w:tcPr>
            <w:tcW w:w="1495" w:type="dxa"/>
            <w:tcBorders>
              <w:top w:val="nil"/>
              <w:left w:val="nil"/>
              <w:bottom w:val="single" w:sz="4" w:space="0" w:color="auto"/>
              <w:right w:val="single" w:sz="4" w:space="0" w:color="auto"/>
            </w:tcBorders>
            <w:shd w:val="clear" w:color="auto" w:fill="auto"/>
            <w:noWrap/>
            <w:vAlign w:val="center"/>
            <w:hideMark/>
          </w:tcPr>
          <w:p w14:paraId="5629036F"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259,878</w:t>
            </w:r>
          </w:p>
        </w:tc>
        <w:tc>
          <w:tcPr>
            <w:tcW w:w="1014" w:type="dxa"/>
            <w:tcBorders>
              <w:top w:val="nil"/>
              <w:left w:val="nil"/>
              <w:bottom w:val="single" w:sz="4" w:space="0" w:color="auto"/>
              <w:right w:val="single" w:sz="4" w:space="0" w:color="auto"/>
            </w:tcBorders>
            <w:shd w:val="clear" w:color="auto" w:fill="auto"/>
            <w:noWrap/>
            <w:vAlign w:val="center"/>
            <w:hideMark/>
          </w:tcPr>
          <w:p w14:paraId="7E75AECF"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16</w:t>
            </w:r>
          </w:p>
        </w:tc>
        <w:tc>
          <w:tcPr>
            <w:tcW w:w="1441" w:type="dxa"/>
            <w:tcBorders>
              <w:top w:val="nil"/>
              <w:left w:val="nil"/>
              <w:bottom w:val="single" w:sz="4" w:space="0" w:color="auto"/>
              <w:right w:val="single" w:sz="4" w:space="0" w:color="auto"/>
            </w:tcBorders>
            <w:shd w:val="clear" w:color="auto" w:fill="auto"/>
            <w:noWrap/>
            <w:vAlign w:val="center"/>
            <w:hideMark/>
          </w:tcPr>
          <w:p w14:paraId="03C03436"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259,878</w:t>
            </w:r>
          </w:p>
        </w:tc>
        <w:tc>
          <w:tcPr>
            <w:tcW w:w="1067" w:type="dxa"/>
            <w:tcBorders>
              <w:top w:val="nil"/>
              <w:left w:val="nil"/>
              <w:bottom w:val="single" w:sz="4" w:space="0" w:color="auto"/>
              <w:right w:val="single" w:sz="4" w:space="0" w:color="auto"/>
            </w:tcBorders>
            <w:shd w:val="clear" w:color="auto" w:fill="auto"/>
            <w:noWrap/>
            <w:vAlign w:val="center"/>
            <w:hideMark/>
          </w:tcPr>
          <w:p w14:paraId="7F9FBC94"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0</w:t>
            </w:r>
          </w:p>
        </w:tc>
        <w:tc>
          <w:tcPr>
            <w:tcW w:w="1482" w:type="dxa"/>
            <w:tcBorders>
              <w:top w:val="nil"/>
              <w:left w:val="nil"/>
              <w:bottom w:val="single" w:sz="4" w:space="0" w:color="auto"/>
              <w:right w:val="single" w:sz="4" w:space="0" w:color="auto"/>
            </w:tcBorders>
            <w:shd w:val="clear" w:color="auto" w:fill="auto"/>
            <w:noWrap/>
            <w:vAlign w:val="center"/>
            <w:hideMark/>
          </w:tcPr>
          <w:p w14:paraId="2E12661D"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0</w:t>
            </w:r>
          </w:p>
        </w:tc>
      </w:tr>
      <w:tr w:rsidR="002553AC" w:rsidRPr="002553AC" w14:paraId="276A4462"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78C8B4F"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2016</w:t>
            </w:r>
          </w:p>
        </w:tc>
        <w:tc>
          <w:tcPr>
            <w:tcW w:w="1014" w:type="dxa"/>
            <w:tcBorders>
              <w:top w:val="nil"/>
              <w:left w:val="nil"/>
              <w:bottom w:val="single" w:sz="4" w:space="0" w:color="auto"/>
              <w:right w:val="single" w:sz="4" w:space="0" w:color="auto"/>
            </w:tcBorders>
            <w:shd w:val="clear" w:color="auto" w:fill="auto"/>
            <w:noWrap/>
            <w:vAlign w:val="center"/>
            <w:hideMark/>
          </w:tcPr>
          <w:p w14:paraId="45C92B7E"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33</w:t>
            </w:r>
          </w:p>
        </w:tc>
        <w:tc>
          <w:tcPr>
            <w:tcW w:w="1495" w:type="dxa"/>
            <w:tcBorders>
              <w:top w:val="nil"/>
              <w:left w:val="nil"/>
              <w:bottom w:val="single" w:sz="4" w:space="0" w:color="auto"/>
              <w:right w:val="single" w:sz="4" w:space="0" w:color="auto"/>
            </w:tcBorders>
            <w:shd w:val="clear" w:color="auto" w:fill="auto"/>
            <w:noWrap/>
            <w:vAlign w:val="center"/>
            <w:hideMark/>
          </w:tcPr>
          <w:p w14:paraId="519659CA"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689,272</w:t>
            </w:r>
          </w:p>
        </w:tc>
        <w:tc>
          <w:tcPr>
            <w:tcW w:w="1014" w:type="dxa"/>
            <w:tcBorders>
              <w:top w:val="nil"/>
              <w:left w:val="nil"/>
              <w:bottom w:val="single" w:sz="4" w:space="0" w:color="auto"/>
              <w:right w:val="single" w:sz="4" w:space="0" w:color="auto"/>
            </w:tcBorders>
            <w:shd w:val="clear" w:color="auto" w:fill="auto"/>
            <w:noWrap/>
            <w:vAlign w:val="center"/>
            <w:hideMark/>
          </w:tcPr>
          <w:p w14:paraId="0FFF6C22"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33</w:t>
            </w:r>
          </w:p>
        </w:tc>
        <w:tc>
          <w:tcPr>
            <w:tcW w:w="1441" w:type="dxa"/>
            <w:tcBorders>
              <w:top w:val="nil"/>
              <w:left w:val="nil"/>
              <w:bottom w:val="single" w:sz="4" w:space="0" w:color="auto"/>
              <w:right w:val="single" w:sz="4" w:space="0" w:color="auto"/>
            </w:tcBorders>
            <w:shd w:val="clear" w:color="auto" w:fill="auto"/>
            <w:noWrap/>
            <w:vAlign w:val="center"/>
            <w:hideMark/>
          </w:tcPr>
          <w:p w14:paraId="54E40E58"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693,734</w:t>
            </w:r>
          </w:p>
        </w:tc>
        <w:tc>
          <w:tcPr>
            <w:tcW w:w="1067" w:type="dxa"/>
            <w:tcBorders>
              <w:top w:val="nil"/>
              <w:left w:val="nil"/>
              <w:bottom w:val="single" w:sz="4" w:space="0" w:color="auto"/>
              <w:right w:val="single" w:sz="4" w:space="0" w:color="auto"/>
            </w:tcBorders>
            <w:shd w:val="clear" w:color="auto" w:fill="auto"/>
            <w:noWrap/>
            <w:vAlign w:val="center"/>
            <w:hideMark/>
          </w:tcPr>
          <w:p w14:paraId="4C073670"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0</w:t>
            </w:r>
          </w:p>
        </w:tc>
        <w:tc>
          <w:tcPr>
            <w:tcW w:w="1482" w:type="dxa"/>
            <w:tcBorders>
              <w:top w:val="nil"/>
              <w:left w:val="nil"/>
              <w:bottom w:val="single" w:sz="4" w:space="0" w:color="auto"/>
              <w:right w:val="single" w:sz="4" w:space="0" w:color="auto"/>
            </w:tcBorders>
            <w:shd w:val="clear" w:color="auto" w:fill="auto"/>
            <w:noWrap/>
            <w:vAlign w:val="center"/>
            <w:hideMark/>
          </w:tcPr>
          <w:p w14:paraId="4BC032D0"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-4,462</w:t>
            </w:r>
          </w:p>
        </w:tc>
      </w:tr>
      <w:tr w:rsidR="002553AC" w:rsidRPr="002553AC" w14:paraId="693BD397"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2CE2FE1"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2017</w:t>
            </w:r>
          </w:p>
        </w:tc>
        <w:tc>
          <w:tcPr>
            <w:tcW w:w="1014" w:type="dxa"/>
            <w:tcBorders>
              <w:top w:val="nil"/>
              <w:left w:val="nil"/>
              <w:bottom w:val="single" w:sz="4" w:space="0" w:color="auto"/>
              <w:right w:val="single" w:sz="4" w:space="0" w:color="auto"/>
            </w:tcBorders>
            <w:shd w:val="clear" w:color="auto" w:fill="auto"/>
            <w:noWrap/>
            <w:vAlign w:val="center"/>
            <w:hideMark/>
          </w:tcPr>
          <w:p w14:paraId="2B0FA122"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w:t>
            </w:r>
          </w:p>
        </w:tc>
        <w:tc>
          <w:tcPr>
            <w:tcW w:w="1495" w:type="dxa"/>
            <w:tcBorders>
              <w:top w:val="nil"/>
              <w:left w:val="nil"/>
              <w:bottom w:val="single" w:sz="4" w:space="0" w:color="auto"/>
              <w:right w:val="single" w:sz="4" w:space="0" w:color="auto"/>
            </w:tcBorders>
            <w:shd w:val="clear" w:color="auto" w:fill="auto"/>
            <w:noWrap/>
            <w:vAlign w:val="center"/>
            <w:hideMark/>
          </w:tcPr>
          <w:p w14:paraId="11A55964"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519,835</w:t>
            </w:r>
          </w:p>
        </w:tc>
        <w:tc>
          <w:tcPr>
            <w:tcW w:w="1014" w:type="dxa"/>
            <w:tcBorders>
              <w:top w:val="nil"/>
              <w:left w:val="nil"/>
              <w:bottom w:val="single" w:sz="4" w:space="0" w:color="auto"/>
              <w:right w:val="single" w:sz="4" w:space="0" w:color="auto"/>
            </w:tcBorders>
            <w:shd w:val="clear" w:color="auto" w:fill="auto"/>
            <w:noWrap/>
            <w:vAlign w:val="center"/>
            <w:hideMark/>
          </w:tcPr>
          <w:p w14:paraId="0F63021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24</w:t>
            </w:r>
          </w:p>
        </w:tc>
        <w:tc>
          <w:tcPr>
            <w:tcW w:w="1441" w:type="dxa"/>
            <w:tcBorders>
              <w:top w:val="nil"/>
              <w:left w:val="nil"/>
              <w:bottom w:val="single" w:sz="4" w:space="0" w:color="auto"/>
              <w:right w:val="single" w:sz="4" w:space="0" w:color="auto"/>
            </w:tcBorders>
            <w:shd w:val="clear" w:color="auto" w:fill="auto"/>
            <w:noWrap/>
            <w:vAlign w:val="center"/>
            <w:hideMark/>
          </w:tcPr>
          <w:p w14:paraId="6454A929"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561,387</w:t>
            </w:r>
          </w:p>
        </w:tc>
        <w:tc>
          <w:tcPr>
            <w:tcW w:w="1067" w:type="dxa"/>
            <w:tcBorders>
              <w:top w:val="nil"/>
              <w:left w:val="nil"/>
              <w:bottom w:val="single" w:sz="4" w:space="0" w:color="auto"/>
              <w:right w:val="single" w:sz="4" w:space="0" w:color="auto"/>
            </w:tcBorders>
            <w:shd w:val="clear" w:color="auto" w:fill="auto"/>
            <w:noWrap/>
            <w:vAlign w:val="center"/>
            <w:hideMark/>
          </w:tcPr>
          <w:p w14:paraId="1EEA848E"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-4</w:t>
            </w:r>
          </w:p>
        </w:tc>
        <w:tc>
          <w:tcPr>
            <w:tcW w:w="1482" w:type="dxa"/>
            <w:tcBorders>
              <w:top w:val="nil"/>
              <w:left w:val="nil"/>
              <w:bottom w:val="single" w:sz="4" w:space="0" w:color="auto"/>
              <w:right w:val="single" w:sz="4" w:space="0" w:color="auto"/>
            </w:tcBorders>
            <w:shd w:val="clear" w:color="auto" w:fill="auto"/>
            <w:noWrap/>
            <w:vAlign w:val="center"/>
            <w:hideMark/>
          </w:tcPr>
          <w:p w14:paraId="25EBFC53"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-41,552</w:t>
            </w:r>
          </w:p>
        </w:tc>
      </w:tr>
      <w:tr w:rsidR="002553AC" w:rsidRPr="002553AC" w14:paraId="735CEC11"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7314716"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2018</w:t>
            </w:r>
          </w:p>
        </w:tc>
        <w:tc>
          <w:tcPr>
            <w:tcW w:w="1014" w:type="dxa"/>
            <w:tcBorders>
              <w:top w:val="nil"/>
              <w:left w:val="nil"/>
              <w:bottom w:val="single" w:sz="4" w:space="0" w:color="auto"/>
              <w:right w:val="single" w:sz="4" w:space="0" w:color="auto"/>
            </w:tcBorders>
            <w:shd w:val="clear" w:color="auto" w:fill="auto"/>
            <w:noWrap/>
            <w:vAlign w:val="center"/>
            <w:hideMark/>
          </w:tcPr>
          <w:p w14:paraId="7880DACD"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35</w:t>
            </w:r>
          </w:p>
        </w:tc>
        <w:tc>
          <w:tcPr>
            <w:tcW w:w="1495" w:type="dxa"/>
            <w:tcBorders>
              <w:top w:val="nil"/>
              <w:left w:val="nil"/>
              <w:bottom w:val="single" w:sz="4" w:space="0" w:color="auto"/>
              <w:right w:val="single" w:sz="4" w:space="0" w:color="auto"/>
            </w:tcBorders>
            <w:shd w:val="clear" w:color="auto" w:fill="auto"/>
            <w:noWrap/>
            <w:vAlign w:val="center"/>
            <w:hideMark/>
          </w:tcPr>
          <w:p w14:paraId="0256D314"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1,038,084</w:t>
            </w:r>
          </w:p>
        </w:tc>
        <w:tc>
          <w:tcPr>
            <w:tcW w:w="1014" w:type="dxa"/>
            <w:tcBorders>
              <w:top w:val="nil"/>
              <w:left w:val="nil"/>
              <w:bottom w:val="single" w:sz="4" w:space="0" w:color="auto"/>
              <w:right w:val="single" w:sz="4" w:space="0" w:color="auto"/>
            </w:tcBorders>
            <w:shd w:val="clear" w:color="auto" w:fill="auto"/>
            <w:noWrap/>
            <w:vAlign w:val="center"/>
            <w:hideMark/>
          </w:tcPr>
          <w:p w14:paraId="57EC4942"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37</w:t>
            </w:r>
          </w:p>
        </w:tc>
        <w:tc>
          <w:tcPr>
            <w:tcW w:w="1441" w:type="dxa"/>
            <w:tcBorders>
              <w:top w:val="nil"/>
              <w:left w:val="nil"/>
              <w:bottom w:val="single" w:sz="4" w:space="0" w:color="auto"/>
              <w:right w:val="single" w:sz="4" w:space="0" w:color="auto"/>
            </w:tcBorders>
            <w:shd w:val="clear" w:color="auto" w:fill="auto"/>
            <w:noWrap/>
            <w:vAlign w:val="center"/>
            <w:hideMark/>
          </w:tcPr>
          <w:p w14:paraId="1EC33C27"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1,043,023</w:t>
            </w:r>
          </w:p>
        </w:tc>
        <w:tc>
          <w:tcPr>
            <w:tcW w:w="1067" w:type="dxa"/>
            <w:tcBorders>
              <w:top w:val="nil"/>
              <w:left w:val="nil"/>
              <w:bottom w:val="single" w:sz="4" w:space="0" w:color="auto"/>
              <w:right w:val="single" w:sz="4" w:space="0" w:color="auto"/>
            </w:tcBorders>
            <w:shd w:val="clear" w:color="auto" w:fill="auto"/>
            <w:noWrap/>
            <w:vAlign w:val="center"/>
            <w:hideMark/>
          </w:tcPr>
          <w:p w14:paraId="42E7601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w:t>
            </w:r>
          </w:p>
        </w:tc>
        <w:tc>
          <w:tcPr>
            <w:tcW w:w="1482" w:type="dxa"/>
            <w:tcBorders>
              <w:top w:val="nil"/>
              <w:left w:val="nil"/>
              <w:bottom w:val="single" w:sz="4" w:space="0" w:color="auto"/>
              <w:right w:val="single" w:sz="4" w:space="0" w:color="auto"/>
            </w:tcBorders>
            <w:shd w:val="clear" w:color="auto" w:fill="auto"/>
            <w:noWrap/>
            <w:vAlign w:val="center"/>
            <w:hideMark/>
          </w:tcPr>
          <w:p w14:paraId="415EF800"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-4,939</w:t>
            </w:r>
          </w:p>
        </w:tc>
      </w:tr>
      <w:tr w:rsidR="002553AC" w:rsidRPr="002553AC" w14:paraId="07FBBA4C"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ED940B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2019</w:t>
            </w:r>
          </w:p>
        </w:tc>
        <w:tc>
          <w:tcPr>
            <w:tcW w:w="1014" w:type="dxa"/>
            <w:tcBorders>
              <w:top w:val="nil"/>
              <w:left w:val="nil"/>
              <w:bottom w:val="single" w:sz="4" w:space="0" w:color="auto"/>
              <w:right w:val="single" w:sz="4" w:space="0" w:color="auto"/>
            </w:tcBorders>
            <w:shd w:val="clear" w:color="auto" w:fill="auto"/>
            <w:noWrap/>
            <w:vAlign w:val="center"/>
            <w:hideMark/>
          </w:tcPr>
          <w:p w14:paraId="7F95502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55</w:t>
            </w:r>
          </w:p>
        </w:tc>
        <w:tc>
          <w:tcPr>
            <w:tcW w:w="1495" w:type="dxa"/>
            <w:tcBorders>
              <w:top w:val="nil"/>
              <w:left w:val="nil"/>
              <w:bottom w:val="single" w:sz="4" w:space="0" w:color="auto"/>
              <w:right w:val="single" w:sz="4" w:space="0" w:color="auto"/>
            </w:tcBorders>
            <w:shd w:val="clear" w:color="auto" w:fill="auto"/>
            <w:noWrap/>
            <w:vAlign w:val="center"/>
            <w:hideMark/>
          </w:tcPr>
          <w:p w14:paraId="1E31AD0F"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990,710</w:t>
            </w:r>
          </w:p>
        </w:tc>
        <w:tc>
          <w:tcPr>
            <w:tcW w:w="1014" w:type="dxa"/>
            <w:tcBorders>
              <w:top w:val="nil"/>
              <w:left w:val="nil"/>
              <w:bottom w:val="single" w:sz="4" w:space="0" w:color="auto"/>
              <w:right w:val="single" w:sz="4" w:space="0" w:color="auto"/>
            </w:tcBorders>
            <w:shd w:val="clear" w:color="auto" w:fill="auto"/>
            <w:noWrap/>
            <w:vAlign w:val="center"/>
            <w:hideMark/>
          </w:tcPr>
          <w:p w14:paraId="72C8E2B3"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56</w:t>
            </w:r>
          </w:p>
        </w:tc>
        <w:tc>
          <w:tcPr>
            <w:tcW w:w="1441" w:type="dxa"/>
            <w:tcBorders>
              <w:top w:val="nil"/>
              <w:left w:val="nil"/>
              <w:bottom w:val="single" w:sz="4" w:space="0" w:color="auto"/>
              <w:right w:val="single" w:sz="4" w:space="0" w:color="auto"/>
            </w:tcBorders>
            <w:shd w:val="clear" w:color="auto" w:fill="auto"/>
            <w:noWrap/>
            <w:vAlign w:val="center"/>
            <w:hideMark/>
          </w:tcPr>
          <w:p w14:paraId="1FADED75"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1,000,236</w:t>
            </w:r>
          </w:p>
        </w:tc>
        <w:tc>
          <w:tcPr>
            <w:tcW w:w="1067" w:type="dxa"/>
            <w:tcBorders>
              <w:top w:val="nil"/>
              <w:left w:val="nil"/>
              <w:bottom w:val="single" w:sz="4" w:space="0" w:color="auto"/>
              <w:right w:val="single" w:sz="4" w:space="0" w:color="auto"/>
            </w:tcBorders>
            <w:shd w:val="clear" w:color="auto" w:fill="auto"/>
            <w:noWrap/>
            <w:vAlign w:val="center"/>
            <w:hideMark/>
          </w:tcPr>
          <w:p w14:paraId="6E7B61DD"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-1</w:t>
            </w:r>
          </w:p>
        </w:tc>
        <w:tc>
          <w:tcPr>
            <w:tcW w:w="1482" w:type="dxa"/>
            <w:tcBorders>
              <w:top w:val="nil"/>
              <w:left w:val="nil"/>
              <w:bottom w:val="single" w:sz="4" w:space="0" w:color="auto"/>
              <w:right w:val="single" w:sz="4" w:space="0" w:color="auto"/>
            </w:tcBorders>
            <w:shd w:val="clear" w:color="auto" w:fill="auto"/>
            <w:noWrap/>
            <w:vAlign w:val="center"/>
            <w:hideMark/>
          </w:tcPr>
          <w:p w14:paraId="0E665C9D"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-9,526</w:t>
            </w:r>
          </w:p>
        </w:tc>
      </w:tr>
      <w:tr w:rsidR="002553AC" w:rsidRPr="002553AC" w14:paraId="2824FF71"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F269F1E"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2020</w:t>
            </w:r>
          </w:p>
        </w:tc>
        <w:tc>
          <w:tcPr>
            <w:tcW w:w="1014" w:type="dxa"/>
            <w:tcBorders>
              <w:top w:val="nil"/>
              <w:left w:val="nil"/>
              <w:bottom w:val="single" w:sz="4" w:space="0" w:color="auto"/>
              <w:right w:val="single" w:sz="4" w:space="0" w:color="auto"/>
            </w:tcBorders>
            <w:shd w:val="clear" w:color="auto" w:fill="auto"/>
            <w:noWrap/>
            <w:vAlign w:val="center"/>
            <w:hideMark/>
          </w:tcPr>
          <w:p w14:paraId="67B333DD"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4</w:t>
            </w:r>
          </w:p>
        </w:tc>
        <w:tc>
          <w:tcPr>
            <w:tcW w:w="1495" w:type="dxa"/>
            <w:tcBorders>
              <w:top w:val="nil"/>
              <w:left w:val="nil"/>
              <w:bottom w:val="single" w:sz="4" w:space="0" w:color="auto"/>
              <w:right w:val="single" w:sz="4" w:space="0" w:color="auto"/>
            </w:tcBorders>
            <w:shd w:val="clear" w:color="auto" w:fill="auto"/>
            <w:noWrap/>
            <w:vAlign w:val="center"/>
            <w:hideMark/>
          </w:tcPr>
          <w:p w14:paraId="60D989B0"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16,408</w:t>
            </w:r>
          </w:p>
        </w:tc>
        <w:tc>
          <w:tcPr>
            <w:tcW w:w="1014" w:type="dxa"/>
            <w:tcBorders>
              <w:top w:val="nil"/>
              <w:left w:val="nil"/>
              <w:bottom w:val="single" w:sz="4" w:space="0" w:color="auto"/>
              <w:right w:val="single" w:sz="4" w:space="0" w:color="auto"/>
            </w:tcBorders>
            <w:shd w:val="clear" w:color="auto" w:fill="auto"/>
            <w:noWrap/>
            <w:vAlign w:val="center"/>
            <w:hideMark/>
          </w:tcPr>
          <w:p w14:paraId="14840E11"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4</w:t>
            </w:r>
          </w:p>
        </w:tc>
        <w:tc>
          <w:tcPr>
            <w:tcW w:w="1441" w:type="dxa"/>
            <w:tcBorders>
              <w:top w:val="nil"/>
              <w:left w:val="nil"/>
              <w:bottom w:val="single" w:sz="4" w:space="0" w:color="auto"/>
              <w:right w:val="single" w:sz="4" w:space="0" w:color="auto"/>
            </w:tcBorders>
            <w:shd w:val="clear" w:color="auto" w:fill="auto"/>
            <w:noWrap/>
            <w:vAlign w:val="center"/>
            <w:hideMark/>
          </w:tcPr>
          <w:p w14:paraId="291C4F96"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16,408</w:t>
            </w:r>
          </w:p>
        </w:tc>
        <w:tc>
          <w:tcPr>
            <w:tcW w:w="1067" w:type="dxa"/>
            <w:tcBorders>
              <w:top w:val="nil"/>
              <w:left w:val="nil"/>
              <w:bottom w:val="single" w:sz="4" w:space="0" w:color="auto"/>
              <w:right w:val="single" w:sz="4" w:space="0" w:color="auto"/>
            </w:tcBorders>
            <w:shd w:val="clear" w:color="auto" w:fill="auto"/>
            <w:noWrap/>
            <w:vAlign w:val="center"/>
            <w:hideMark/>
          </w:tcPr>
          <w:p w14:paraId="3E25E3D1"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0</w:t>
            </w:r>
          </w:p>
        </w:tc>
        <w:tc>
          <w:tcPr>
            <w:tcW w:w="1482" w:type="dxa"/>
            <w:tcBorders>
              <w:top w:val="nil"/>
              <w:left w:val="nil"/>
              <w:bottom w:val="single" w:sz="4" w:space="0" w:color="auto"/>
              <w:right w:val="single" w:sz="4" w:space="0" w:color="auto"/>
            </w:tcBorders>
            <w:shd w:val="clear" w:color="auto" w:fill="auto"/>
            <w:noWrap/>
            <w:vAlign w:val="center"/>
            <w:hideMark/>
          </w:tcPr>
          <w:p w14:paraId="4EA196DA"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0</w:t>
            </w:r>
          </w:p>
        </w:tc>
      </w:tr>
      <w:tr w:rsidR="002553AC" w:rsidRPr="002553AC" w14:paraId="7B9A0EA8"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E684827"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2021</w:t>
            </w:r>
          </w:p>
        </w:tc>
        <w:tc>
          <w:tcPr>
            <w:tcW w:w="1014" w:type="dxa"/>
            <w:tcBorders>
              <w:top w:val="nil"/>
              <w:left w:val="nil"/>
              <w:bottom w:val="single" w:sz="4" w:space="0" w:color="auto"/>
              <w:right w:val="single" w:sz="4" w:space="0" w:color="auto"/>
            </w:tcBorders>
            <w:shd w:val="clear" w:color="auto" w:fill="auto"/>
            <w:noWrap/>
            <w:vAlign w:val="center"/>
            <w:hideMark/>
          </w:tcPr>
          <w:p w14:paraId="71A4B930"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6</w:t>
            </w:r>
          </w:p>
        </w:tc>
        <w:tc>
          <w:tcPr>
            <w:tcW w:w="1495" w:type="dxa"/>
            <w:tcBorders>
              <w:top w:val="nil"/>
              <w:left w:val="nil"/>
              <w:bottom w:val="single" w:sz="4" w:space="0" w:color="auto"/>
              <w:right w:val="single" w:sz="4" w:space="0" w:color="auto"/>
            </w:tcBorders>
            <w:shd w:val="clear" w:color="auto" w:fill="auto"/>
            <w:noWrap/>
            <w:vAlign w:val="center"/>
            <w:hideMark/>
          </w:tcPr>
          <w:p w14:paraId="5761490B"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93,235</w:t>
            </w:r>
          </w:p>
        </w:tc>
        <w:tc>
          <w:tcPr>
            <w:tcW w:w="1014" w:type="dxa"/>
            <w:tcBorders>
              <w:top w:val="nil"/>
              <w:left w:val="nil"/>
              <w:bottom w:val="single" w:sz="4" w:space="0" w:color="auto"/>
              <w:right w:val="single" w:sz="4" w:space="0" w:color="auto"/>
            </w:tcBorders>
            <w:shd w:val="clear" w:color="auto" w:fill="auto"/>
            <w:noWrap/>
            <w:vAlign w:val="center"/>
            <w:hideMark/>
          </w:tcPr>
          <w:p w14:paraId="4A3C0655"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8</w:t>
            </w:r>
          </w:p>
        </w:tc>
        <w:tc>
          <w:tcPr>
            <w:tcW w:w="1441" w:type="dxa"/>
            <w:tcBorders>
              <w:top w:val="nil"/>
              <w:left w:val="nil"/>
              <w:bottom w:val="single" w:sz="4" w:space="0" w:color="auto"/>
              <w:right w:val="single" w:sz="4" w:space="0" w:color="auto"/>
            </w:tcBorders>
            <w:shd w:val="clear" w:color="auto" w:fill="auto"/>
            <w:noWrap/>
            <w:vAlign w:val="center"/>
            <w:hideMark/>
          </w:tcPr>
          <w:p w14:paraId="7BCBD4D3"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135,030</w:t>
            </w:r>
          </w:p>
        </w:tc>
        <w:tc>
          <w:tcPr>
            <w:tcW w:w="1067" w:type="dxa"/>
            <w:tcBorders>
              <w:top w:val="nil"/>
              <w:left w:val="nil"/>
              <w:bottom w:val="single" w:sz="4" w:space="0" w:color="auto"/>
              <w:right w:val="single" w:sz="4" w:space="0" w:color="auto"/>
            </w:tcBorders>
            <w:shd w:val="clear" w:color="auto" w:fill="auto"/>
            <w:noWrap/>
            <w:vAlign w:val="center"/>
            <w:hideMark/>
          </w:tcPr>
          <w:p w14:paraId="55B09CB6"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w:t>
            </w:r>
          </w:p>
        </w:tc>
        <w:tc>
          <w:tcPr>
            <w:tcW w:w="1482" w:type="dxa"/>
            <w:tcBorders>
              <w:top w:val="nil"/>
              <w:left w:val="nil"/>
              <w:bottom w:val="single" w:sz="4" w:space="0" w:color="auto"/>
              <w:right w:val="single" w:sz="4" w:space="0" w:color="auto"/>
            </w:tcBorders>
            <w:shd w:val="clear" w:color="auto" w:fill="auto"/>
            <w:noWrap/>
            <w:vAlign w:val="center"/>
            <w:hideMark/>
          </w:tcPr>
          <w:p w14:paraId="7378C7E8"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-41,795</w:t>
            </w:r>
          </w:p>
        </w:tc>
      </w:tr>
      <w:tr w:rsidR="002553AC" w:rsidRPr="002553AC" w14:paraId="7C3201C9"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0313B24"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2022</w:t>
            </w:r>
          </w:p>
        </w:tc>
        <w:tc>
          <w:tcPr>
            <w:tcW w:w="1014" w:type="dxa"/>
            <w:tcBorders>
              <w:top w:val="nil"/>
              <w:left w:val="nil"/>
              <w:bottom w:val="single" w:sz="4" w:space="0" w:color="auto"/>
              <w:right w:val="single" w:sz="4" w:space="0" w:color="auto"/>
            </w:tcBorders>
            <w:shd w:val="clear" w:color="auto" w:fill="auto"/>
            <w:noWrap/>
            <w:vAlign w:val="center"/>
            <w:hideMark/>
          </w:tcPr>
          <w:p w14:paraId="5BB6B482"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6</w:t>
            </w:r>
          </w:p>
        </w:tc>
        <w:tc>
          <w:tcPr>
            <w:tcW w:w="1495" w:type="dxa"/>
            <w:tcBorders>
              <w:top w:val="nil"/>
              <w:left w:val="nil"/>
              <w:bottom w:val="single" w:sz="4" w:space="0" w:color="auto"/>
              <w:right w:val="single" w:sz="4" w:space="0" w:color="auto"/>
            </w:tcBorders>
            <w:shd w:val="clear" w:color="auto" w:fill="auto"/>
            <w:noWrap/>
            <w:vAlign w:val="center"/>
            <w:hideMark/>
          </w:tcPr>
          <w:p w14:paraId="0B37D6AA"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115,857</w:t>
            </w:r>
          </w:p>
        </w:tc>
        <w:tc>
          <w:tcPr>
            <w:tcW w:w="1014" w:type="dxa"/>
            <w:tcBorders>
              <w:top w:val="nil"/>
              <w:left w:val="nil"/>
              <w:bottom w:val="single" w:sz="4" w:space="0" w:color="auto"/>
              <w:right w:val="single" w:sz="4" w:space="0" w:color="auto"/>
            </w:tcBorders>
            <w:shd w:val="clear" w:color="auto" w:fill="auto"/>
            <w:noWrap/>
            <w:vAlign w:val="center"/>
            <w:hideMark/>
          </w:tcPr>
          <w:p w14:paraId="7832FFC3"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7</w:t>
            </w:r>
          </w:p>
        </w:tc>
        <w:tc>
          <w:tcPr>
            <w:tcW w:w="1441" w:type="dxa"/>
            <w:tcBorders>
              <w:top w:val="nil"/>
              <w:left w:val="nil"/>
              <w:bottom w:val="single" w:sz="4" w:space="0" w:color="auto"/>
              <w:right w:val="single" w:sz="4" w:space="0" w:color="auto"/>
            </w:tcBorders>
            <w:shd w:val="clear" w:color="auto" w:fill="auto"/>
            <w:noWrap/>
            <w:vAlign w:val="center"/>
            <w:hideMark/>
          </w:tcPr>
          <w:p w14:paraId="578ACB08"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117,407</w:t>
            </w:r>
          </w:p>
        </w:tc>
        <w:tc>
          <w:tcPr>
            <w:tcW w:w="1067" w:type="dxa"/>
            <w:tcBorders>
              <w:top w:val="nil"/>
              <w:left w:val="nil"/>
              <w:bottom w:val="single" w:sz="4" w:space="0" w:color="auto"/>
              <w:right w:val="single" w:sz="4" w:space="0" w:color="auto"/>
            </w:tcBorders>
            <w:shd w:val="clear" w:color="auto" w:fill="auto"/>
            <w:noWrap/>
            <w:vAlign w:val="center"/>
            <w:hideMark/>
          </w:tcPr>
          <w:p w14:paraId="029BE107"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-1</w:t>
            </w:r>
          </w:p>
        </w:tc>
        <w:tc>
          <w:tcPr>
            <w:tcW w:w="1482" w:type="dxa"/>
            <w:tcBorders>
              <w:top w:val="nil"/>
              <w:left w:val="nil"/>
              <w:bottom w:val="single" w:sz="4" w:space="0" w:color="auto"/>
              <w:right w:val="single" w:sz="4" w:space="0" w:color="auto"/>
            </w:tcBorders>
            <w:shd w:val="clear" w:color="auto" w:fill="auto"/>
            <w:noWrap/>
            <w:vAlign w:val="center"/>
            <w:hideMark/>
          </w:tcPr>
          <w:p w14:paraId="31148B55"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-1,550</w:t>
            </w:r>
          </w:p>
        </w:tc>
      </w:tr>
      <w:tr w:rsidR="002553AC" w:rsidRPr="002553AC" w14:paraId="4F300678"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57B7EE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2023</w:t>
            </w:r>
          </w:p>
        </w:tc>
        <w:tc>
          <w:tcPr>
            <w:tcW w:w="1014" w:type="dxa"/>
            <w:tcBorders>
              <w:top w:val="nil"/>
              <w:left w:val="nil"/>
              <w:bottom w:val="single" w:sz="4" w:space="0" w:color="auto"/>
              <w:right w:val="single" w:sz="4" w:space="0" w:color="auto"/>
            </w:tcBorders>
            <w:shd w:val="clear" w:color="auto" w:fill="auto"/>
            <w:noWrap/>
            <w:vAlign w:val="center"/>
            <w:hideMark/>
          </w:tcPr>
          <w:p w14:paraId="0DC0E3CD"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1</w:t>
            </w:r>
          </w:p>
        </w:tc>
        <w:tc>
          <w:tcPr>
            <w:tcW w:w="1495" w:type="dxa"/>
            <w:tcBorders>
              <w:top w:val="nil"/>
              <w:left w:val="nil"/>
              <w:bottom w:val="single" w:sz="4" w:space="0" w:color="auto"/>
              <w:right w:val="single" w:sz="4" w:space="0" w:color="auto"/>
            </w:tcBorders>
            <w:shd w:val="clear" w:color="auto" w:fill="auto"/>
            <w:noWrap/>
            <w:vAlign w:val="center"/>
            <w:hideMark/>
          </w:tcPr>
          <w:p w14:paraId="3BEFEE90"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2,000</w:t>
            </w:r>
          </w:p>
        </w:tc>
        <w:tc>
          <w:tcPr>
            <w:tcW w:w="1014" w:type="dxa"/>
            <w:tcBorders>
              <w:top w:val="nil"/>
              <w:left w:val="nil"/>
              <w:bottom w:val="single" w:sz="4" w:space="0" w:color="auto"/>
              <w:right w:val="single" w:sz="4" w:space="0" w:color="auto"/>
            </w:tcBorders>
            <w:shd w:val="clear" w:color="auto" w:fill="auto"/>
            <w:noWrap/>
            <w:vAlign w:val="center"/>
            <w:hideMark/>
          </w:tcPr>
          <w:p w14:paraId="7E9FE1E6"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1</w:t>
            </w:r>
          </w:p>
        </w:tc>
        <w:tc>
          <w:tcPr>
            <w:tcW w:w="1441" w:type="dxa"/>
            <w:tcBorders>
              <w:top w:val="nil"/>
              <w:left w:val="nil"/>
              <w:bottom w:val="single" w:sz="4" w:space="0" w:color="auto"/>
              <w:right w:val="single" w:sz="4" w:space="0" w:color="auto"/>
            </w:tcBorders>
            <w:shd w:val="clear" w:color="auto" w:fill="auto"/>
            <w:noWrap/>
            <w:vAlign w:val="center"/>
            <w:hideMark/>
          </w:tcPr>
          <w:p w14:paraId="56AA41B8"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2,000</w:t>
            </w:r>
          </w:p>
        </w:tc>
        <w:tc>
          <w:tcPr>
            <w:tcW w:w="1067" w:type="dxa"/>
            <w:tcBorders>
              <w:top w:val="nil"/>
              <w:left w:val="nil"/>
              <w:bottom w:val="single" w:sz="4" w:space="0" w:color="auto"/>
              <w:right w:val="single" w:sz="4" w:space="0" w:color="auto"/>
            </w:tcBorders>
            <w:shd w:val="clear" w:color="auto" w:fill="auto"/>
            <w:noWrap/>
            <w:vAlign w:val="center"/>
            <w:hideMark/>
          </w:tcPr>
          <w:p w14:paraId="5CA811C6"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0</w:t>
            </w:r>
          </w:p>
        </w:tc>
        <w:tc>
          <w:tcPr>
            <w:tcW w:w="1482" w:type="dxa"/>
            <w:tcBorders>
              <w:top w:val="nil"/>
              <w:left w:val="nil"/>
              <w:bottom w:val="single" w:sz="4" w:space="0" w:color="auto"/>
              <w:right w:val="single" w:sz="4" w:space="0" w:color="auto"/>
            </w:tcBorders>
            <w:shd w:val="clear" w:color="auto" w:fill="auto"/>
            <w:noWrap/>
            <w:vAlign w:val="center"/>
            <w:hideMark/>
          </w:tcPr>
          <w:p w14:paraId="36BEC248"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0</w:t>
            </w:r>
          </w:p>
        </w:tc>
      </w:tr>
      <w:tr w:rsidR="002553AC" w:rsidRPr="002553AC" w14:paraId="3AC48081" w14:textId="77777777" w:rsidTr="00DF32F3">
        <w:trPr>
          <w:trHeight w:val="2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074F9E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2024</w:t>
            </w:r>
          </w:p>
        </w:tc>
        <w:tc>
          <w:tcPr>
            <w:tcW w:w="1014" w:type="dxa"/>
            <w:tcBorders>
              <w:top w:val="nil"/>
              <w:left w:val="nil"/>
              <w:bottom w:val="single" w:sz="4" w:space="0" w:color="auto"/>
              <w:right w:val="single" w:sz="4" w:space="0" w:color="auto"/>
            </w:tcBorders>
            <w:shd w:val="clear" w:color="auto" w:fill="auto"/>
            <w:noWrap/>
            <w:vAlign w:val="center"/>
            <w:hideMark/>
          </w:tcPr>
          <w:p w14:paraId="22A47B6C"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21</w:t>
            </w:r>
          </w:p>
        </w:tc>
        <w:tc>
          <w:tcPr>
            <w:tcW w:w="1495" w:type="dxa"/>
            <w:tcBorders>
              <w:top w:val="nil"/>
              <w:left w:val="nil"/>
              <w:bottom w:val="single" w:sz="4" w:space="0" w:color="auto"/>
              <w:right w:val="single" w:sz="4" w:space="0" w:color="auto"/>
            </w:tcBorders>
            <w:shd w:val="clear" w:color="auto" w:fill="auto"/>
            <w:noWrap/>
            <w:vAlign w:val="center"/>
            <w:hideMark/>
          </w:tcPr>
          <w:p w14:paraId="1B1FA9EA"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376,411</w:t>
            </w:r>
          </w:p>
        </w:tc>
        <w:tc>
          <w:tcPr>
            <w:tcW w:w="1014" w:type="dxa"/>
            <w:tcBorders>
              <w:top w:val="nil"/>
              <w:left w:val="nil"/>
              <w:bottom w:val="single" w:sz="4" w:space="0" w:color="auto"/>
              <w:right w:val="single" w:sz="4" w:space="0" w:color="auto"/>
            </w:tcBorders>
            <w:shd w:val="clear" w:color="auto" w:fill="auto"/>
            <w:noWrap/>
            <w:vAlign w:val="center"/>
            <w:hideMark/>
          </w:tcPr>
          <w:p w14:paraId="28C64685"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0</w:t>
            </w:r>
          </w:p>
        </w:tc>
        <w:tc>
          <w:tcPr>
            <w:tcW w:w="1441" w:type="dxa"/>
            <w:tcBorders>
              <w:top w:val="nil"/>
              <w:left w:val="nil"/>
              <w:bottom w:val="single" w:sz="4" w:space="0" w:color="auto"/>
              <w:right w:val="single" w:sz="4" w:space="0" w:color="auto"/>
            </w:tcBorders>
            <w:shd w:val="clear" w:color="auto" w:fill="auto"/>
            <w:noWrap/>
            <w:vAlign w:val="center"/>
            <w:hideMark/>
          </w:tcPr>
          <w:p w14:paraId="598C299B"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0</w:t>
            </w:r>
          </w:p>
        </w:tc>
        <w:tc>
          <w:tcPr>
            <w:tcW w:w="1067" w:type="dxa"/>
            <w:tcBorders>
              <w:top w:val="nil"/>
              <w:left w:val="nil"/>
              <w:bottom w:val="single" w:sz="4" w:space="0" w:color="auto"/>
              <w:right w:val="single" w:sz="4" w:space="0" w:color="auto"/>
            </w:tcBorders>
            <w:shd w:val="clear" w:color="auto" w:fill="auto"/>
            <w:noWrap/>
            <w:vAlign w:val="center"/>
            <w:hideMark/>
          </w:tcPr>
          <w:p w14:paraId="7124F3DD" w14:textId="77777777" w:rsidR="002553AC" w:rsidRPr="002553AC" w:rsidRDefault="002553AC" w:rsidP="00EC7D22">
            <w:pPr>
              <w:suppressAutoHyphens w:val="0"/>
              <w:overflowPunct/>
              <w:spacing w:after="0" w:line="240" w:lineRule="auto"/>
              <w:jc w:val="center"/>
              <w:rPr>
                <w:rFonts w:eastAsia="Times New Roman" w:cs="Calibri"/>
                <w:color w:val="000000"/>
                <w:sz w:val="14"/>
                <w:szCs w:val="14"/>
                <w:lang w:eastAsia="es-MX"/>
              </w:rPr>
            </w:pPr>
            <w:r w:rsidRPr="002553AC">
              <w:rPr>
                <w:rFonts w:eastAsia="Times New Roman" w:cs="Calibri"/>
                <w:color w:val="000000"/>
                <w:sz w:val="14"/>
                <w:szCs w:val="14"/>
                <w:lang w:eastAsia="es-MX"/>
              </w:rPr>
              <w:t>21</w:t>
            </w:r>
          </w:p>
        </w:tc>
        <w:tc>
          <w:tcPr>
            <w:tcW w:w="1482" w:type="dxa"/>
            <w:tcBorders>
              <w:top w:val="nil"/>
              <w:left w:val="nil"/>
              <w:bottom w:val="single" w:sz="4" w:space="0" w:color="auto"/>
              <w:right w:val="single" w:sz="4" w:space="0" w:color="auto"/>
            </w:tcBorders>
            <w:shd w:val="clear" w:color="auto" w:fill="auto"/>
            <w:noWrap/>
            <w:vAlign w:val="center"/>
            <w:hideMark/>
          </w:tcPr>
          <w:p w14:paraId="31AC51A2" w14:textId="77777777" w:rsidR="002553AC" w:rsidRPr="002553AC" w:rsidRDefault="002553AC" w:rsidP="00EC7D22">
            <w:pPr>
              <w:suppressAutoHyphens w:val="0"/>
              <w:overflowPunct/>
              <w:spacing w:after="0" w:line="240" w:lineRule="auto"/>
              <w:jc w:val="right"/>
              <w:rPr>
                <w:rFonts w:eastAsia="Times New Roman" w:cs="Calibri"/>
                <w:color w:val="000000"/>
                <w:sz w:val="14"/>
                <w:szCs w:val="14"/>
                <w:lang w:eastAsia="es-MX"/>
              </w:rPr>
            </w:pPr>
            <w:r w:rsidRPr="002553AC">
              <w:rPr>
                <w:rFonts w:eastAsia="Times New Roman" w:cs="Calibri"/>
                <w:color w:val="000000"/>
                <w:sz w:val="14"/>
                <w:szCs w:val="14"/>
                <w:lang w:eastAsia="es-MX"/>
              </w:rPr>
              <w:t>376,411</w:t>
            </w:r>
          </w:p>
        </w:tc>
      </w:tr>
      <w:tr w:rsidR="002553AC" w:rsidRPr="002553AC" w14:paraId="2CE03C53" w14:textId="77777777" w:rsidTr="00DF32F3">
        <w:trPr>
          <w:trHeight w:val="390"/>
        </w:trPr>
        <w:tc>
          <w:tcPr>
            <w:tcW w:w="1413" w:type="dxa"/>
            <w:tcBorders>
              <w:top w:val="nil"/>
              <w:left w:val="single" w:sz="4" w:space="0" w:color="auto"/>
              <w:bottom w:val="single" w:sz="4" w:space="0" w:color="auto"/>
              <w:right w:val="single" w:sz="4" w:space="0" w:color="auto"/>
            </w:tcBorders>
            <w:shd w:val="clear" w:color="F8CBAD" w:fill="DDC9A3"/>
            <w:vAlign w:val="center"/>
            <w:hideMark/>
          </w:tcPr>
          <w:p w14:paraId="1F82A7BC" w14:textId="77777777" w:rsidR="002553AC" w:rsidRPr="002553AC" w:rsidRDefault="002553AC" w:rsidP="00EC7D22">
            <w:pPr>
              <w:suppressAutoHyphens w:val="0"/>
              <w:overflowPunct/>
              <w:spacing w:after="0" w:line="240" w:lineRule="auto"/>
              <w:jc w:val="center"/>
              <w:rPr>
                <w:rFonts w:eastAsia="Times New Roman" w:cs="Calibri"/>
                <w:b/>
                <w:bCs/>
                <w:color w:val="000000"/>
                <w:sz w:val="14"/>
                <w:szCs w:val="14"/>
                <w:lang w:eastAsia="es-MX"/>
              </w:rPr>
            </w:pPr>
            <w:r w:rsidRPr="002553AC">
              <w:rPr>
                <w:rFonts w:eastAsia="Times New Roman" w:cs="Calibri"/>
                <w:b/>
                <w:bCs/>
                <w:color w:val="000000"/>
                <w:sz w:val="14"/>
                <w:szCs w:val="14"/>
                <w:lang w:eastAsia="es-MX"/>
              </w:rPr>
              <w:t xml:space="preserve">Total </w:t>
            </w:r>
          </w:p>
        </w:tc>
        <w:tc>
          <w:tcPr>
            <w:tcW w:w="1014" w:type="dxa"/>
            <w:tcBorders>
              <w:top w:val="nil"/>
              <w:left w:val="nil"/>
              <w:bottom w:val="single" w:sz="4" w:space="0" w:color="auto"/>
              <w:right w:val="single" w:sz="4" w:space="0" w:color="auto"/>
            </w:tcBorders>
            <w:shd w:val="clear" w:color="F8CBAD" w:fill="DDC9A3"/>
            <w:vAlign w:val="center"/>
            <w:hideMark/>
          </w:tcPr>
          <w:p w14:paraId="7269AD16" w14:textId="77777777" w:rsidR="002553AC" w:rsidRPr="002553AC" w:rsidRDefault="002553AC" w:rsidP="00EC7D22">
            <w:pPr>
              <w:suppressAutoHyphens w:val="0"/>
              <w:overflowPunct/>
              <w:spacing w:after="0" w:line="240" w:lineRule="auto"/>
              <w:jc w:val="center"/>
              <w:rPr>
                <w:rFonts w:eastAsia="Times New Roman" w:cs="Calibri"/>
                <w:b/>
                <w:bCs/>
                <w:color w:val="000000"/>
                <w:sz w:val="14"/>
                <w:szCs w:val="14"/>
                <w:lang w:eastAsia="es-MX"/>
              </w:rPr>
            </w:pPr>
            <w:r w:rsidRPr="002553AC">
              <w:rPr>
                <w:rFonts w:eastAsia="Times New Roman" w:cs="Calibri"/>
                <w:b/>
                <w:bCs/>
                <w:color w:val="000000"/>
                <w:sz w:val="14"/>
                <w:szCs w:val="14"/>
                <w:lang w:eastAsia="es-MX"/>
              </w:rPr>
              <w:t>860</w:t>
            </w:r>
          </w:p>
        </w:tc>
        <w:tc>
          <w:tcPr>
            <w:tcW w:w="1495" w:type="dxa"/>
            <w:tcBorders>
              <w:top w:val="nil"/>
              <w:left w:val="nil"/>
              <w:bottom w:val="single" w:sz="4" w:space="0" w:color="auto"/>
              <w:right w:val="single" w:sz="4" w:space="0" w:color="auto"/>
            </w:tcBorders>
            <w:shd w:val="clear" w:color="F8CBAD" w:fill="DDC9A3"/>
            <w:vAlign w:val="center"/>
            <w:hideMark/>
          </w:tcPr>
          <w:p w14:paraId="5B22245E" w14:textId="77777777" w:rsidR="002553AC" w:rsidRPr="002553AC" w:rsidRDefault="002553AC" w:rsidP="00EC7D22">
            <w:pPr>
              <w:suppressAutoHyphens w:val="0"/>
              <w:overflowPunct/>
              <w:spacing w:after="0" w:line="240" w:lineRule="auto"/>
              <w:jc w:val="right"/>
              <w:rPr>
                <w:rFonts w:eastAsia="Times New Roman" w:cs="Calibri"/>
                <w:b/>
                <w:bCs/>
                <w:color w:val="000000"/>
                <w:sz w:val="14"/>
                <w:szCs w:val="14"/>
                <w:lang w:eastAsia="es-MX"/>
              </w:rPr>
            </w:pPr>
            <w:r w:rsidRPr="002553AC">
              <w:rPr>
                <w:rFonts w:eastAsia="Times New Roman" w:cs="Calibri"/>
                <w:b/>
                <w:bCs/>
                <w:color w:val="000000"/>
                <w:sz w:val="14"/>
                <w:szCs w:val="14"/>
                <w:lang w:eastAsia="es-MX"/>
              </w:rPr>
              <w:t>17,275,686</w:t>
            </w:r>
          </w:p>
        </w:tc>
        <w:tc>
          <w:tcPr>
            <w:tcW w:w="1014" w:type="dxa"/>
            <w:tcBorders>
              <w:top w:val="nil"/>
              <w:left w:val="nil"/>
              <w:bottom w:val="single" w:sz="4" w:space="0" w:color="auto"/>
              <w:right w:val="single" w:sz="4" w:space="0" w:color="auto"/>
            </w:tcBorders>
            <w:shd w:val="clear" w:color="F8CBAD" w:fill="DDC9A3"/>
            <w:vAlign w:val="center"/>
            <w:hideMark/>
          </w:tcPr>
          <w:p w14:paraId="47DA2242" w14:textId="77777777" w:rsidR="002553AC" w:rsidRPr="002553AC" w:rsidRDefault="002553AC" w:rsidP="00EC7D22">
            <w:pPr>
              <w:suppressAutoHyphens w:val="0"/>
              <w:overflowPunct/>
              <w:spacing w:after="0" w:line="240" w:lineRule="auto"/>
              <w:jc w:val="center"/>
              <w:rPr>
                <w:rFonts w:eastAsia="Times New Roman" w:cs="Calibri"/>
                <w:b/>
                <w:bCs/>
                <w:color w:val="000000"/>
                <w:sz w:val="14"/>
                <w:szCs w:val="14"/>
                <w:lang w:eastAsia="es-MX"/>
              </w:rPr>
            </w:pPr>
            <w:r w:rsidRPr="002553AC">
              <w:rPr>
                <w:rFonts w:eastAsia="Times New Roman" w:cs="Calibri"/>
                <w:b/>
                <w:bCs/>
                <w:color w:val="000000"/>
                <w:sz w:val="14"/>
                <w:szCs w:val="14"/>
                <w:lang w:eastAsia="es-MX"/>
              </w:rPr>
              <w:t>852</w:t>
            </w:r>
          </w:p>
        </w:tc>
        <w:tc>
          <w:tcPr>
            <w:tcW w:w="1441" w:type="dxa"/>
            <w:tcBorders>
              <w:top w:val="nil"/>
              <w:left w:val="nil"/>
              <w:bottom w:val="single" w:sz="4" w:space="0" w:color="auto"/>
              <w:right w:val="single" w:sz="4" w:space="0" w:color="auto"/>
            </w:tcBorders>
            <w:shd w:val="clear" w:color="F8CBAD" w:fill="DDC9A3"/>
            <w:vAlign w:val="center"/>
            <w:hideMark/>
          </w:tcPr>
          <w:p w14:paraId="16611E56" w14:textId="77777777" w:rsidR="002553AC" w:rsidRPr="002553AC" w:rsidRDefault="002553AC" w:rsidP="00EC7D22">
            <w:pPr>
              <w:suppressAutoHyphens w:val="0"/>
              <w:overflowPunct/>
              <w:spacing w:after="0" w:line="240" w:lineRule="auto"/>
              <w:jc w:val="right"/>
              <w:rPr>
                <w:rFonts w:eastAsia="Times New Roman" w:cs="Calibri"/>
                <w:b/>
                <w:bCs/>
                <w:color w:val="000000"/>
                <w:sz w:val="14"/>
                <w:szCs w:val="14"/>
                <w:lang w:eastAsia="es-MX"/>
              </w:rPr>
            </w:pPr>
            <w:r w:rsidRPr="002553AC">
              <w:rPr>
                <w:rFonts w:eastAsia="Times New Roman" w:cs="Calibri"/>
                <w:b/>
                <w:bCs/>
                <w:color w:val="000000"/>
                <w:sz w:val="14"/>
                <w:szCs w:val="14"/>
                <w:lang w:eastAsia="es-MX"/>
              </w:rPr>
              <w:t>17,027,673</w:t>
            </w:r>
          </w:p>
        </w:tc>
        <w:tc>
          <w:tcPr>
            <w:tcW w:w="1067" w:type="dxa"/>
            <w:tcBorders>
              <w:top w:val="nil"/>
              <w:left w:val="nil"/>
              <w:bottom w:val="single" w:sz="4" w:space="0" w:color="auto"/>
              <w:right w:val="single" w:sz="4" w:space="0" w:color="auto"/>
            </w:tcBorders>
            <w:shd w:val="clear" w:color="F8CBAD" w:fill="DDC9A3"/>
            <w:vAlign w:val="center"/>
            <w:hideMark/>
          </w:tcPr>
          <w:p w14:paraId="26D59359" w14:textId="77777777" w:rsidR="002553AC" w:rsidRPr="002553AC" w:rsidRDefault="002553AC" w:rsidP="00EC7D22">
            <w:pPr>
              <w:suppressAutoHyphens w:val="0"/>
              <w:overflowPunct/>
              <w:spacing w:after="0" w:line="240" w:lineRule="auto"/>
              <w:jc w:val="center"/>
              <w:rPr>
                <w:rFonts w:eastAsia="Times New Roman" w:cs="Calibri"/>
                <w:b/>
                <w:bCs/>
                <w:color w:val="000000"/>
                <w:sz w:val="14"/>
                <w:szCs w:val="14"/>
                <w:lang w:eastAsia="es-MX"/>
              </w:rPr>
            </w:pPr>
            <w:r w:rsidRPr="002553AC">
              <w:rPr>
                <w:rFonts w:eastAsia="Times New Roman" w:cs="Calibri"/>
                <w:b/>
                <w:bCs/>
                <w:color w:val="000000"/>
                <w:sz w:val="14"/>
                <w:szCs w:val="14"/>
                <w:lang w:eastAsia="es-MX"/>
              </w:rPr>
              <w:t>8</w:t>
            </w:r>
          </w:p>
        </w:tc>
        <w:tc>
          <w:tcPr>
            <w:tcW w:w="1482" w:type="dxa"/>
            <w:tcBorders>
              <w:top w:val="nil"/>
              <w:left w:val="nil"/>
              <w:bottom w:val="single" w:sz="4" w:space="0" w:color="auto"/>
              <w:right w:val="single" w:sz="4" w:space="0" w:color="auto"/>
            </w:tcBorders>
            <w:shd w:val="clear" w:color="F8CBAD" w:fill="DDC9A3"/>
            <w:vAlign w:val="center"/>
            <w:hideMark/>
          </w:tcPr>
          <w:p w14:paraId="6A828975" w14:textId="77777777" w:rsidR="002553AC" w:rsidRPr="002553AC" w:rsidRDefault="002553AC" w:rsidP="00EC7D22">
            <w:pPr>
              <w:suppressAutoHyphens w:val="0"/>
              <w:overflowPunct/>
              <w:spacing w:after="0" w:line="240" w:lineRule="auto"/>
              <w:jc w:val="right"/>
              <w:rPr>
                <w:rFonts w:eastAsia="Times New Roman" w:cs="Calibri"/>
                <w:b/>
                <w:bCs/>
                <w:color w:val="000000"/>
                <w:sz w:val="14"/>
                <w:szCs w:val="14"/>
                <w:lang w:eastAsia="es-MX"/>
              </w:rPr>
            </w:pPr>
            <w:r w:rsidRPr="002553AC">
              <w:rPr>
                <w:rFonts w:eastAsia="Times New Roman" w:cs="Calibri"/>
                <w:b/>
                <w:bCs/>
                <w:color w:val="000000"/>
                <w:sz w:val="14"/>
                <w:szCs w:val="14"/>
                <w:lang w:eastAsia="es-MX"/>
              </w:rPr>
              <w:t>248,013</w:t>
            </w:r>
          </w:p>
        </w:tc>
      </w:tr>
    </w:tbl>
    <w:p w14:paraId="708365B3" w14:textId="77777777" w:rsidR="002553AC" w:rsidRPr="002553AC" w:rsidRDefault="002553AC" w:rsidP="00EC7D22">
      <w:pPr>
        <w:spacing w:after="0" w:line="240" w:lineRule="auto"/>
        <w:jc w:val="both"/>
        <w:rPr>
          <w:rFonts w:cs="Calibri"/>
          <w:sz w:val="20"/>
          <w:szCs w:val="20"/>
        </w:rPr>
      </w:pPr>
    </w:p>
    <w:p w14:paraId="2ADA4544" w14:textId="77777777" w:rsidR="0079655D" w:rsidRDefault="00C87FDA" w:rsidP="00EC7D22">
      <w:pPr>
        <w:spacing w:after="0" w:line="240" w:lineRule="auto"/>
        <w:jc w:val="both"/>
        <w:rPr>
          <w:rFonts w:cs="Calibri"/>
          <w:sz w:val="18"/>
          <w:szCs w:val="18"/>
        </w:rPr>
      </w:pPr>
      <w:r>
        <w:rPr>
          <w:rFonts w:cs="Calibri"/>
          <w:sz w:val="18"/>
          <w:szCs w:val="18"/>
        </w:rPr>
        <w:t xml:space="preserve">   </w:t>
      </w:r>
      <w:r>
        <w:rPr>
          <w:rFonts w:cs="Calibri"/>
          <w:sz w:val="18"/>
          <w:szCs w:val="18"/>
        </w:rPr>
        <w:tab/>
      </w:r>
    </w:p>
    <w:p w14:paraId="0DB7E355" w14:textId="70A20BA6" w:rsidR="007745EB" w:rsidRPr="00820E37" w:rsidRDefault="00C87FDA" w:rsidP="00EC7D22">
      <w:pPr>
        <w:spacing w:after="0" w:line="240" w:lineRule="auto"/>
        <w:jc w:val="both"/>
        <w:rPr>
          <w:rFonts w:cs="Calibri"/>
          <w:sz w:val="20"/>
          <w:szCs w:val="20"/>
        </w:rPr>
      </w:pPr>
      <w:r w:rsidRPr="00820E37">
        <w:rPr>
          <w:rFonts w:cs="Calibri"/>
          <w:sz w:val="20"/>
          <w:szCs w:val="20"/>
        </w:rPr>
        <w:t xml:space="preserve">El renglón de Otros Derechos a Recibir Efectivo o Equivalentes a corto plazo se constituye </w:t>
      </w:r>
      <w:r w:rsidRPr="002553AC">
        <w:rPr>
          <w:rFonts w:cs="Calibri"/>
          <w:sz w:val="20"/>
          <w:szCs w:val="20"/>
        </w:rPr>
        <w:t xml:space="preserve">por </w:t>
      </w:r>
      <w:r w:rsidR="007D6B59" w:rsidRPr="002553AC">
        <w:rPr>
          <w:rFonts w:cs="Calibri"/>
          <w:sz w:val="20"/>
          <w:szCs w:val="20"/>
        </w:rPr>
        <w:t>$32,717,497, que</w:t>
      </w:r>
      <w:r w:rsidRPr="00820E37">
        <w:rPr>
          <w:rFonts w:cs="Calibri"/>
          <w:sz w:val="20"/>
          <w:szCs w:val="20"/>
        </w:rPr>
        <w:t xml:space="preserve"> corresponden al ingreso del último día hábil de la recaudación en las Oficinas Fiscales del Estado.</w:t>
      </w:r>
    </w:p>
    <w:p w14:paraId="6298F883" w14:textId="751A29F2" w:rsidR="007745EB" w:rsidRPr="00DB64E6" w:rsidRDefault="00C87FDA" w:rsidP="00EC7D22">
      <w:pPr>
        <w:shd w:val="clear" w:color="auto" w:fill="FFFFFF"/>
        <w:spacing w:before="280" w:after="280" w:line="240" w:lineRule="auto"/>
        <w:jc w:val="both"/>
        <w:rPr>
          <w:rFonts w:eastAsia="Times New Roman" w:cs="Calibri"/>
          <w:sz w:val="20"/>
          <w:szCs w:val="20"/>
          <w:lang w:eastAsia="es-MX"/>
        </w:rPr>
      </w:pPr>
      <w:r w:rsidRPr="00DB64E6">
        <w:rPr>
          <w:rFonts w:eastAsia="Times New Roman" w:cs="Calibri"/>
          <w:sz w:val="20"/>
          <w:szCs w:val="20"/>
          <w:lang w:eastAsia="es-MX"/>
        </w:rPr>
        <w:t xml:space="preserve">Durante el </w:t>
      </w:r>
      <w:r w:rsidR="00DB7BCC" w:rsidRPr="00DB64E6">
        <w:rPr>
          <w:rFonts w:eastAsia="Times New Roman" w:cs="Calibri"/>
          <w:sz w:val="20"/>
          <w:szCs w:val="20"/>
          <w:lang w:eastAsia="es-MX"/>
        </w:rPr>
        <w:t>primer trimestre</w:t>
      </w:r>
      <w:r w:rsidRPr="00DB64E6">
        <w:rPr>
          <w:rFonts w:eastAsia="Times New Roman" w:cs="Calibri"/>
          <w:sz w:val="20"/>
          <w:szCs w:val="20"/>
          <w:lang w:eastAsia="es-MX"/>
        </w:rPr>
        <w:t xml:space="preserve"> respecto </w:t>
      </w:r>
      <w:r w:rsidR="007807F1" w:rsidRPr="00DB64E6">
        <w:rPr>
          <w:rFonts w:eastAsia="Times New Roman" w:cs="Calibri"/>
          <w:sz w:val="20"/>
          <w:szCs w:val="20"/>
          <w:lang w:eastAsia="es-MX"/>
        </w:rPr>
        <w:t>al contrato</w:t>
      </w:r>
      <w:r w:rsidRPr="00DB64E6">
        <w:rPr>
          <w:rFonts w:eastAsia="Times New Roman" w:cs="Calibri"/>
          <w:sz w:val="20"/>
          <w:szCs w:val="20"/>
          <w:lang w:eastAsia="es-MX"/>
        </w:rPr>
        <w:t xml:space="preserve"> de Asociación </w:t>
      </w:r>
      <w:r w:rsidR="00A93717" w:rsidRPr="00DB64E6">
        <w:rPr>
          <w:rFonts w:eastAsia="Times New Roman" w:cs="Calibri"/>
          <w:sz w:val="20"/>
          <w:szCs w:val="20"/>
          <w:lang w:eastAsia="es-MX"/>
        </w:rPr>
        <w:t>Público-Privada</w:t>
      </w:r>
      <w:r w:rsidRPr="00DB64E6">
        <w:rPr>
          <w:rFonts w:eastAsia="Times New Roman" w:cs="Calibri"/>
          <w:sz w:val="20"/>
          <w:szCs w:val="20"/>
          <w:lang w:eastAsia="es-MX"/>
        </w:rPr>
        <w:t xml:space="preserve"> número CAPP-TAM-SGG-1901 para la prestación del servicio de red de seguridad pública en el Estado de Tamaulipas, con la empresa TRES 10 S.A de C.V. se realizó el pago restante </w:t>
      </w:r>
      <w:r w:rsidR="00A8775A">
        <w:rPr>
          <w:rFonts w:eastAsia="Times New Roman" w:cs="Calibri"/>
          <w:sz w:val="20"/>
          <w:szCs w:val="20"/>
          <w:lang w:eastAsia="es-MX"/>
        </w:rPr>
        <w:t xml:space="preserve">por el finiquito </w:t>
      </w:r>
      <w:r w:rsidR="00A8775A" w:rsidRPr="00DB64E6">
        <w:rPr>
          <w:rFonts w:eastAsia="Times New Roman" w:cs="Calibri"/>
          <w:sz w:val="20"/>
          <w:szCs w:val="20"/>
          <w:lang w:eastAsia="es-MX"/>
        </w:rPr>
        <w:t xml:space="preserve">establecido en el convenio de Terminación Anticipada del Contrato firmado en </w:t>
      </w:r>
      <w:r w:rsidR="00A8775A">
        <w:rPr>
          <w:rFonts w:eastAsia="Times New Roman" w:cs="Calibri"/>
          <w:sz w:val="20"/>
          <w:szCs w:val="20"/>
          <w:lang w:eastAsia="es-MX"/>
        </w:rPr>
        <w:t>d</w:t>
      </w:r>
      <w:r w:rsidR="00A8775A" w:rsidRPr="00DB64E6">
        <w:rPr>
          <w:rFonts w:eastAsia="Times New Roman" w:cs="Calibri"/>
          <w:sz w:val="20"/>
          <w:szCs w:val="20"/>
          <w:lang w:eastAsia="es-MX"/>
        </w:rPr>
        <w:t>iciembre de 2023</w:t>
      </w:r>
      <w:r w:rsidR="00A8775A">
        <w:rPr>
          <w:rFonts w:eastAsia="Times New Roman" w:cs="Calibri"/>
          <w:sz w:val="20"/>
          <w:szCs w:val="20"/>
          <w:lang w:eastAsia="es-MX"/>
        </w:rPr>
        <w:t>, por</w:t>
      </w:r>
      <w:r w:rsidRPr="00DB64E6">
        <w:rPr>
          <w:rFonts w:eastAsia="Times New Roman" w:cs="Calibri"/>
          <w:sz w:val="20"/>
          <w:szCs w:val="20"/>
          <w:lang w:eastAsia="es-MX"/>
        </w:rPr>
        <w:t xml:space="preserve"> la cantidad de $279,470,576</w:t>
      </w:r>
      <w:r w:rsidR="00C762E3">
        <w:rPr>
          <w:rFonts w:eastAsia="Times New Roman" w:cs="Calibri"/>
          <w:sz w:val="20"/>
          <w:szCs w:val="20"/>
          <w:lang w:eastAsia="es-MX"/>
        </w:rPr>
        <w:t>.00</w:t>
      </w:r>
      <w:r w:rsidRPr="00DB64E6">
        <w:rPr>
          <w:rFonts w:eastAsia="Times New Roman" w:cs="Calibri"/>
          <w:sz w:val="20"/>
          <w:szCs w:val="20"/>
          <w:lang w:eastAsia="es-MX"/>
        </w:rPr>
        <w:t xml:space="preserve"> (Doscientos </w:t>
      </w:r>
      <w:r w:rsidR="00A8775A">
        <w:rPr>
          <w:rFonts w:eastAsia="Times New Roman" w:cs="Calibri"/>
          <w:sz w:val="20"/>
          <w:szCs w:val="20"/>
          <w:lang w:eastAsia="es-MX"/>
        </w:rPr>
        <w:t>S</w:t>
      </w:r>
      <w:r w:rsidRPr="00DB64E6">
        <w:rPr>
          <w:rFonts w:eastAsia="Times New Roman" w:cs="Calibri"/>
          <w:sz w:val="20"/>
          <w:szCs w:val="20"/>
          <w:lang w:eastAsia="es-MX"/>
        </w:rPr>
        <w:t xml:space="preserve">etenta y </w:t>
      </w:r>
      <w:r w:rsidR="00A8775A">
        <w:rPr>
          <w:rFonts w:eastAsia="Times New Roman" w:cs="Calibri"/>
          <w:sz w:val="20"/>
          <w:szCs w:val="20"/>
          <w:lang w:eastAsia="es-MX"/>
        </w:rPr>
        <w:t>N</w:t>
      </w:r>
      <w:r w:rsidRPr="00DB64E6">
        <w:rPr>
          <w:rFonts w:eastAsia="Times New Roman" w:cs="Calibri"/>
          <w:sz w:val="20"/>
          <w:szCs w:val="20"/>
          <w:lang w:eastAsia="es-MX"/>
        </w:rPr>
        <w:t xml:space="preserve">ueve </w:t>
      </w:r>
      <w:r w:rsidR="00A8775A">
        <w:rPr>
          <w:rFonts w:eastAsia="Times New Roman" w:cs="Calibri"/>
          <w:sz w:val="20"/>
          <w:szCs w:val="20"/>
          <w:lang w:eastAsia="es-MX"/>
        </w:rPr>
        <w:t>M</w:t>
      </w:r>
      <w:r w:rsidRPr="00DB64E6">
        <w:rPr>
          <w:rFonts w:eastAsia="Times New Roman" w:cs="Calibri"/>
          <w:sz w:val="20"/>
          <w:szCs w:val="20"/>
          <w:lang w:eastAsia="es-MX"/>
        </w:rPr>
        <w:t xml:space="preserve">illones </w:t>
      </w:r>
      <w:r w:rsidR="00A8775A">
        <w:rPr>
          <w:rFonts w:eastAsia="Times New Roman" w:cs="Calibri"/>
          <w:sz w:val="20"/>
          <w:szCs w:val="20"/>
          <w:lang w:eastAsia="es-MX"/>
        </w:rPr>
        <w:t>C</w:t>
      </w:r>
      <w:r w:rsidRPr="00DB64E6">
        <w:rPr>
          <w:rFonts w:eastAsia="Times New Roman" w:cs="Calibri"/>
          <w:sz w:val="20"/>
          <w:szCs w:val="20"/>
          <w:lang w:eastAsia="es-MX"/>
        </w:rPr>
        <w:t xml:space="preserve">uatrocientos </w:t>
      </w:r>
      <w:r w:rsidR="00A8775A">
        <w:rPr>
          <w:rFonts w:eastAsia="Times New Roman" w:cs="Calibri"/>
          <w:sz w:val="20"/>
          <w:szCs w:val="20"/>
          <w:lang w:eastAsia="es-MX"/>
        </w:rPr>
        <w:t>S</w:t>
      </w:r>
      <w:r w:rsidRPr="00DB64E6">
        <w:rPr>
          <w:rFonts w:eastAsia="Times New Roman" w:cs="Calibri"/>
          <w:sz w:val="20"/>
          <w:szCs w:val="20"/>
          <w:lang w:eastAsia="es-MX"/>
        </w:rPr>
        <w:t xml:space="preserve">etenta </w:t>
      </w:r>
      <w:r w:rsidR="00A8775A">
        <w:rPr>
          <w:rFonts w:eastAsia="Times New Roman" w:cs="Calibri"/>
          <w:sz w:val="20"/>
          <w:szCs w:val="20"/>
          <w:lang w:eastAsia="es-MX"/>
        </w:rPr>
        <w:t>M</w:t>
      </w:r>
      <w:r w:rsidRPr="00DB64E6">
        <w:rPr>
          <w:rFonts w:eastAsia="Times New Roman" w:cs="Calibri"/>
          <w:sz w:val="20"/>
          <w:szCs w:val="20"/>
          <w:lang w:eastAsia="es-MX"/>
        </w:rPr>
        <w:t xml:space="preserve">il </w:t>
      </w:r>
      <w:r w:rsidR="00A8775A">
        <w:rPr>
          <w:rFonts w:eastAsia="Times New Roman" w:cs="Calibri"/>
          <w:sz w:val="20"/>
          <w:szCs w:val="20"/>
          <w:lang w:eastAsia="es-MX"/>
        </w:rPr>
        <w:t>Q</w:t>
      </w:r>
      <w:r w:rsidRPr="00DB64E6">
        <w:rPr>
          <w:rFonts w:eastAsia="Times New Roman" w:cs="Calibri"/>
          <w:sz w:val="20"/>
          <w:szCs w:val="20"/>
          <w:lang w:eastAsia="es-MX"/>
        </w:rPr>
        <w:t xml:space="preserve">uinientos </w:t>
      </w:r>
      <w:r w:rsidR="00A8775A">
        <w:rPr>
          <w:rFonts w:eastAsia="Times New Roman" w:cs="Calibri"/>
          <w:sz w:val="20"/>
          <w:szCs w:val="20"/>
          <w:lang w:eastAsia="es-MX"/>
        </w:rPr>
        <w:t>S</w:t>
      </w:r>
      <w:r w:rsidRPr="00DB64E6">
        <w:rPr>
          <w:rFonts w:eastAsia="Times New Roman" w:cs="Calibri"/>
          <w:sz w:val="20"/>
          <w:szCs w:val="20"/>
          <w:lang w:eastAsia="es-MX"/>
        </w:rPr>
        <w:t xml:space="preserve">etenta y </w:t>
      </w:r>
      <w:r w:rsidR="00A8775A">
        <w:rPr>
          <w:rFonts w:eastAsia="Times New Roman" w:cs="Calibri"/>
          <w:sz w:val="20"/>
          <w:szCs w:val="20"/>
          <w:lang w:eastAsia="es-MX"/>
        </w:rPr>
        <w:t>S</w:t>
      </w:r>
      <w:r w:rsidRPr="00DB64E6">
        <w:rPr>
          <w:rFonts w:eastAsia="Times New Roman" w:cs="Calibri"/>
          <w:sz w:val="20"/>
          <w:szCs w:val="20"/>
          <w:lang w:eastAsia="es-MX"/>
        </w:rPr>
        <w:t xml:space="preserve">eis </w:t>
      </w:r>
      <w:r w:rsidR="00A8775A">
        <w:rPr>
          <w:rFonts w:eastAsia="Times New Roman" w:cs="Calibri"/>
          <w:sz w:val="20"/>
          <w:szCs w:val="20"/>
          <w:lang w:eastAsia="es-MX"/>
        </w:rPr>
        <w:t>P</w:t>
      </w:r>
      <w:r w:rsidRPr="00DB64E6">
        <w:rPr>
          <w:rFonts w:eastAsia="Times New Roman" w:cs="Calibri"/>
          <w:sz w:val="20"/>
          <w:szCs w:val="20"/>
          <w:lang w:eastAsia="es-MX"/>
        </w:rPr>
        <w:t xml:space="preserve">esos 00/100 </w:t>
      </w:r>
      <w:r w:rsidR="00125B84">
        <w:rPr>
          <w:rFonts w:eastAsia="Times New Roman" w:cs="Calibri"/>
          <w:sz w:val="20"/>
          <w:szCs w:val="20"/>
          <w:lang w:eastAsia="es-MX"/>
        </w:rPr>
        <w:t>M</w:t>
      </w:r>
      <w:r w:rsidRPr="00DB64E6">
        <w:rPr>
          <w:rFonts w:eastAsia="Times New Roman" w:cs="Calibri"/>
          <w:sz w:val="20"/>
          <w:szCs w:val="20"/>
          <w:lang w:eastAsia="es-MX"/>
        </w:rPr>
        <w:t>.</w:t>
      </w:r>
      <w:r w:rsidR="00125B84">
        <w:rPr>
          <w:rFonts w:eastAsia="Times New Roman" w:cs="Calibri"/>
          <w:sz w:val="20"/>
          <w:szCs w:val="20"/>
          <w:lang w:eastAsia="es-MX"/>
        </w:rPr>
        <w:t>N</w:t>
      </w:r>
      <w:r w:rsidRPr="00DB64E6">
        <w:rPr>
          <w:rFonts w:eastAsia="Times New Roman" w:cs="Calibri"/>
          <w:sz w:val="20"/>
          <w:szCs w:val="20"/>
          <w:lang w:eastAsia="es-MX"/>
        </w:rPr>
        <w:t>.)</w:t>
      </w:r>
      <w:r w:rsidR="00A8775A">
        <w:rPr>
          <w:rFonts w:eastAsia="Times New Roman" w:cs="Calibri"/>
          <w:sz w:val="20"/>
          <w:szCs w:val="20"/>
          <w:lang w:eastAsia="es-MX"/>
        </w:rPr>
        <w:t>.</w:t>
      </w:r>
      <w:r w:rsidRPr="00DB64E6">
        <w:rPr>
          <w:rFonts w:eastAsia="Times New Roman" w:cs="Calibri"/>
          <w:sz w:val="20"/>
          <w:szCs w:val="20"/>
          <w:lang w:eastAsia="es-MX"/>
        </w:rPr>
        <w:t xml:space="preserve"> </w:t>
      </w:r>
    </w:p>
    <w:p w14:paraId="2B921B49" w14:textId="373440F2" w:rsidR="007745EB" w:rsidRDefault="00694CE6" w:rsidP="00EC7D22">
      <w:pPr>
        <w:pStyle w:val="Texto"/>
        <w:spacing w:after="0" w:line="240" w:lineRule="exact"/>
        <w:ind w:firstLine="0"/>
        <w:rPr>
          <w:rFonts w:ascii="Calibri" w:hAnsi="Calibri" w:cs="Calibri"/>
          <w:b/>
          <w:i/>
          <w:sz w:val="20"/>
          <w:szCs w:val="18"/>
          <w:u w:val="single"/>
        </w:rPr>
      </w:pPr>
      <w:r>
        <w:rPr>
          <w:rFonts w:ascii="Calibri" w:hAnsi="Calibri" w:cs="Calibri"/>
          <w:b/>
          <w:i/>
          <w:sz w:val="20"/>
          <w:szCs w:val="18"/>
          <w:u w:val="single"/>
        </w:rPr>
        <w:lastRenderedPageBreak/>
        <w:t xml:space="preserve">Derechos </w:t>
      </w:r>
      <w:r w:rsidR="0079655D">
        <w:rPr>
          <w:rFonts w:ascii="Calibri" w:hAnsi="Calibri" w:cs="Calibri"/>
          <w:b/>
          <w:i/>
          <w:sz w:val="20"/>
          <w:szCs w:val="18"/>
          <w:u w:val="single"/>
        </w:rPr>
        <w:t>a</w:t>
      </w:r>
      <w:r>
        <w:rPr>
          <w:rFonts w:ascii="Calibri" w:hAnsi="Calibri" w:cs="Calibri"/>
          <w:b/>
          <w:i/>
          <w:sz w:val="20"/>
          <w:szCs w:val="18"/>
          <w:u w:val="single"/>
        </w:rPr>
        <w:t xml:space="preserve"> Recibir Bienes </w:t>
      </w:r>
      <w:r w:rsidR="0079655D">
        <w:rPr>
          <w:rFonts w:ascii="Calibri" w:hAnsi="Calibri" w:cs="Calibri"/>
          <w:b/>
          <w:i/>
          <w:sz w:val="20"/>
          <w:szCs w:val="18"/>
          <w:u w:val="single"/>
        </w:rPr>
        <w:t>o</w:t>
      </w:r>
      <w:r>
        <w:rPr>
          <w:rFonts w:ascii="Calibri" w:hAnsi="Calibri" w:cs="Calibri"/>
          <w:b/>
          <w:i/>
          <w:sz w:val="20"/>
          <w:szCs w:val="18"/>
          <w:u w:val="single"/>
        </w:rPr>
        <w:t xml:space="preserve"> Servicios  </w:t>
      </w:r>
    </w:p>
    <w:p w14:paraId="1F2D96D0" w14:textId="77777777" w:rsidR="007745EB" w:rsidRDefault="007745EB" w:rsidP="00EC7D22">
      <w:pPr>
        <w:pStyle w:val="Texto"/>
        <w:spacing w:after="0" w:line="240" w:lineRule="exact"/>
        <w:ind w:firstLine="0"/>
        <w:rPr>
          <w:rFonts w:ascii="Calibri" w:hAnsi="Calibri" w:cs="Calibri"/>
          <w:szCs w:val="18"/>
        </w:rPr>
      </w:pPr>
    </w:p>
    <w:p w14:paraId="32FF747E" w14:textId="2DF0CD69" w:rsidR="007745EB" w:rsidRDefault="00C87FDA" w:rsidP="00EC7D22">
      <w:pPr>
        <w:pStyle w:val="Texto"/>
        <w:numPr>
          <w:ilvl w:val="0"/>
          <w:numId w:val="14"/>
        </w:numPr>
        <w:spacing w:after="0" w:line="240" w:lineRule="exact"/>
        <w:ind w:left="0" w:firstLine="0"/>
        <w:rPr>
          <w:rFonts w:ascii="Calibri" w:hAnsi="Calibri" w:cs="Calibri"/>
          <w:sz w:val="20"/>
          <w:szCs w:val="18"/>
        </w:rPr>
      </w:pPr>
      <w:r>
        <w:rPr>
          <w:rFonts w:ascii="Calibri" w:hAnsi="Calibri" w:cs="Calibri"/>
          <w:sz w:val="20"/>
          <w:szCs w:val="18"/>
        </w:rPr>
        <w:t xml:space="preserve">Derechos a Recibir Bienes o Servicios </w:t>
      </w:r>
    </w:p>
    <w:p w14:paraId="0A050792" w14:textId="4C7A03C8" w:rsidR="008E2260" w:rsidRDefault="008E2260" w:rsidP="00EC7D22">
      <w:pPr>
        <w:pStyle w:val="Texto"/>
        <w:spacing w:after="0" w:line="240" w:lineRule="exact"/>
        <w:ind w:firstLine="0"/>
        <w:rPr>
          <w:rFonts w:ascii="Calibri" w:hAnsi="Calibri" w:cs="Calibri"/>
          <w:sz w:val="20"/>
          <w:szCs w:val="18"/>
        </w:rPr>
      </w:pPr>
    </w:p>
    <w:tbl>
      <w:tblPr>
        <w:tblW w:w="9493" w:type="dxa"/>
        <w:tblCellMar>
          <w:left w:w="70" w:type="dxa"/>
          <w:right w:w="70" w:type="dxa"/>
        </w:tblCellMar>
        <w:tblLook w:val="04A0" w:firstRow="1" w:lastRow="0" w:firstColumn="1" w:lastColumn="0" w:noHBand="0" w:noVBand="1"/>
      </w:tblPr>
      <w:tblGrid>
        <w:gridCol w:w="3539"/>
        <w:gridCol w:w="1276"/>
        <w:gridCol w:w="1134"/>
        <w:gridCol w:w="1134"/>
        <w:gridCol w:w="1276"/>
        <w:gridCol w:w="1134"/>
      </w:tblGrid>
      <w:tr w:rsidR="008E2260" w:rsidRPr="008E2260" w14:paraId="1A0B315E" w14:textId="77777777" w:rsidTr="00A743DD">
        <w:trPr>
          <w:trHeight w:val="450"/>
        </w:trPr>
        <w:tc>
          <w:tcPr>
            <w:tcW w:w="3539" w:type="dxa"/>
            <w:tcBorders>
              <w:top w:val="single" w:sz="4" w:space="0" w:color="auto"/>
              <w:left w:val="single" w:sz="4" w:space="0" w:color="auto"/>
              <w:bottom w:val="single" w:sz="4" w:space="0" w:color="auto"/>
              <w:right w:val="single" w:sz="4" w:space="0" w:color="auto"/>
            </w:tcBorders>
            <w:shd w:val="clear" w:color="000000" w:fill="AB0033"/>
            <w:vAlign w:val="center"/>
            <w:hideMark/>
          </w:tcPr>
          <w:p w14:paraId="2394D02A"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 xml:space="preserve">Descripción de la Cuenta </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1F029A80"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90 Días</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41EDDFAA"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180 Días</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5DAA5B51"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Menor a 365 Días</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6B7E151B"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Mayor a 365 Días</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5EFC8F1D" w14:textId="77777777" w:rsidR="008E2260" w:rsidRPr="008E2260" w:rsidRDefault="008E2260" w:rsidP="00EC7D22">
            <w:pPr>
              <w:suppressAutoHyphens w:val="0"/>
              <w:overflowPunct/>
              <w:spacing w:after="0" w:line="240" w:lineRule="auto"/>
              <w:jc w:val="center"/>
              <w:rPr>
                <w:rFonts w:eastAsia="Times New Roman" w:cs="Calibri"/>
                <w:b/>
                <w:bCs/>
                <w:color w:val="FFFFFF"/>
                <w:sz w:val="16"/>
                <w:szCs w:val="16"/>
                <w:lang w:eastAsia="es-MX"/>
              </w:rPr>
            </w:pPr>
            <w:r w:rsidRPr="008E2260">
              <w:rPr>
                <w:rFonts w:eastAsia="Times New Roman" w:cs="Calibri"/>
                <w:b/>
                <w:bCs/>
                <w:color w:val="FFFFFF"/>
                <w:sz w:val="16"/>
                <w:szCs w:val="16"/>
                <w:lang w:eastAsia="es-MX"/>
              </w:rPr>
              <w:t>Importe</w:t>
            </w:r>
          </w:p>
        </w:tc>
      </w:tr>
      <w:tr w:rsidR="008E2260" w:rsidRPr="008E2260" w14:paraId="55755BDE" w14:textId="77777777" w:rsidTr="00A743DD">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A7190DB"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Anticipos a Proveedores por Adquisición de Bienes y Prestación de Servicios  a Corto Plazo</w:t>
            </w:r>
          </w:p>
        </w:tc>
        <w:tc>
          <w:tcPr>
            <w:tcW w:w="1276" w:type="dxa"/>
            <w:tcBorders>
              <w:top w:val="nil"/>
              <w:left w:val="nil"/>
              <w:bottom w:val="single" w:sz="4" w:space="0" w:color="auto"/>
              <w:right w:val="single" w:sz="4" w:space="0" w:color="auto"/>
            </w:tcBorders>
            <w:shd w:val="clear" w:color="auto" w:fill="auto"/>
            <w:vAlign w:val="center"/>
            <w:hideMark/>
          </w:tcPr>
          <w:p w14:paraId="31CEF3C2"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40,522,946 </w:t>
            </w:r>
          </w:p>
        </w:tc>
        <w:tc>
          <w:tcPr>
            <w:tcW w:w="1134" w:type="dxa"/>
            <w:tcBorders>
              <w:top w:val="nil"/>
              <w:left w:val="nil"/>
              <w:bottom w:val="single" w:sz="4" w:space="0" w:color="auto"/>
              <w:right w:val="single" w:sz="4" w:space="0" w:color="auto"/>
            </w:tcBorders>
            <w:shd w:val="clear" w:color="auto" w:fill="auto"/>
            <w:vAlign w:val="center"/>
            <w:hideMark/>
          </w:tcPr>
          <w:p w14:paraId="6B6A16EA"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23,916,926 </w:t>
            </w:r>
          </w:p>
        </w:tc>
        <w:tc>
          <w:tcPr>
            <w:tcW w:w="1134" w:type="dxa"/>
            <w:tcBorders>
              <w:top w:val="nil"/>
              <w:left w:val="nil"/>
              <w:bottom w:val="single" w:sz="4" w:space="0" w:color="auto"/>
              <w:right w:val="single" w:sz="4" w:space="0" w:color="auto"/>
            </w:tcBorders>
            <w:shd w:val="clear" w:color="auto" w:fill="auto"/>
            <w:vAlign w:val="center"/>
            <w:hideMark/>
          </w:tcPr>
          <w:p w14:paraId="5FFE0D1C"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5,387,758 </w:t>
            </w:r>
          </w:p>
        </w:tc>
        <w:tc>
          <w:tcPr>
            <w:tcW w:w="1276" w:type="dxa"/>
            <w:tcBorders>
              <w:top w:val="nil"/>
              <w:left w:val="nil"/>
              <w:bottom w:val="single" w:sz="4" w:space="0" w:color="auto"/>
              <w:right w:val="single" w:sz="4" w:space="0" w:color="auto"/>
            </w:tcBorders>
            <w:shd w:val="clear" w:color="auto" w:fill="auto"/>
            <w:vAlign w:val="center"/>
            <w:hideMark/>
          </w:tcPr>
          <w:p w14:paraId="3049DFFD"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17,778,701 </w:t>
            </w:r>
          </w:p>
        </w:tc>
        <w:tc>
          <w:tcPr>
            <w:tcW w:w="1134" w:type="dxa"/>
            <w:tcBorders>
              <w:top w:val="nil"/>
              <w:left w:val="nil"/>
              <w:bottom w:val="single" w:sz="4" w:space="0" w:color="auto"/>
              <w:right w:val="single" w:sz="4" w:space="0" w:color="auto"/>
            </w:tcBorders>
            <w:shd w:val="clear" w:color="auto" w:fill="auto"/>
            <w:vAlign w:val="center"/>
            <w:hideMark/>
          </w:tcPr>
          <w:p w14:paraId="1D22A735"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87,606,331 </w:t>
            </w:r>
          </w:p>
        </w:tc>
      </w:tr>
      <w:tr w:rsidR="008E2260" w:rsidRPr="008E2260" w14:paraId="672E7AB1" w14:textId="77777777" w:rsidTr="00A743DD">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25235A8"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Anticipos a Proveedores por Adquisición de Bienes Muebles e Inmuebles a Corto Plazo</w:t>
            </w:r>
          </w:p>
        </w:tc>
        <w:tc>
          <w:tcPr>
            <w:tcW w:w="1276" w:type="dxa"/>
            <w:tcBorders>
              <w:top w:val="nil"/>
              <w:left w:val="nil"/>
              <w:bottom w:val="single" w:sz="4" w:space="0" w:color="auto"/>
              <w:right w:val="single" w:sz="4" w:space="0" w:color="auto"/>
            </w:tcBorders>
            <w:shd w:val="clear" w:color="auto" w:fill="auto"/>
            <w:vAlign w:val="center"/>
            <w:hideMark/>
          </w:tcPr>
          <w:p w14:paraId="76E137FC"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392DA31A"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26D6ED4B"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1E5A2FB6"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04E52E51"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r>
      <w:tr w:rsidR="008E2260" w:rsidRPr="008E2260" w14:paraId="6E1D8FC7" w14:textId="77777777" w:rsidTr="00A743DD">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D25CB03"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Anticipo a Proveedores por Adquisición de Bienes Intangibles a Corto Plazo</w:t>
            </w:r>
          </w:p>
        </w:tc>
        <w:tc>
          <w:tcPr>
            <w:tcW w:w="1276" w:type="dxa"/>
            <w:tcBorders>
              <w:top w:val="nil"/>
              <w:left w:val="nil"/>
              <w:bottom w:val="single" w:sz="4" w:space="0" w:color="auto"/>
              <w:right w:val="single" w:sz="4" w:space="0" w:color="auto"/>
            </w:tcBorders>
            <w:shd w:val="clear" w:color="auto" w:fill="auto"/>
            <w:vAlign w:val="center"/>
            <w:hideMark/>
          </w:tcPr>
          <w:p w14:paraId="2DEA35D1"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0D1F52FE"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05BF995E"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226B5C61"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0BC3B5AE"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r>
      <w:tr w:rsidR="008E2260" w:rsidRPr="008E2260" w14:paraId="4945EFB8" w14:textId="77777777" w:rsidTr="00A743D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F21AEA3"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Anticipo a Contratistas por Obras Publicas a Corto Plazo</w:t>
            </w:r>
          </w:p>
        </w:tc>
        <w:tc>
          <w:tcPr>
            <w:tcW w:w="1276" w:type="dxa"/>
            <w:tcBorders>
              <w:top w:val="nil"/>
              <w:left w:val="nil"/>
              <w:bottom w:val="single" w:sz="4" w:space="0" w:color="auto"/>
              <w:right w:val="single" w:sz="4" w:space="0" w:color="auto"/>
            </w:tcBorders>
            <w:shd w:val="clear" w:color="auto" w:fill="auto"/>
            <w:vAlign w:val="center"/>
            <w:hideMark/>
          </w:tcPr>
          <w:p w14:paraId="4A35B267"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311,705,448 </w:t>
            </w:r>
          </w:p>
        </w:tc>
        <w:tc>
          <w:tcPr>
            <w:tcW w:w="1134" w:type="dxa"/>
            <w:tcBorders>
              <w:top w:val="nil"/>
              <w:left w:val="nil"/>
              <w:bottom w:val="single" w:sz="4" w:space="0" w:color="auto"/>
              <w:right w:val="single" w:sz="4" w:space="0" w:color="auto"/>
            </w:tcBorders>
            <w:shd w:val="clear" w:color="auto" w:fill="auto"/>
            <w:vAlign w:val="center"/>
            <w:hideMark/>
          </w:tcPr>
          <w:p w14:paraId="0909F7C2"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35,332,422 </w:t>
            </w:r>
          </w:p>
        </w:tc>
        <w:tc>
          <w:tcPr>
            <w:tcW w:w="1134" w:type="dxa"/>
            <w:tcBorders>
              <w:top w:val="nil"/>
              <w:left w:val="nil"/>
              <w:bottom w:val="single" w:sz="4" w:space="0" w:color="auto"/>
              <w:right w:val="single" w:sz="4" w:space="0" w:color="auto"/>
            </w:tcBorders>
            <w:shd w:val="clear" w:color="auto" w:fill="auto"/>
            <w:vAlign w:val="center"/>
            <w:hideMark/>
          </w:tcPr>
          <w:p w14:paraId="5E7274E3"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1,501,545 </w:t>
            </w:r>
          </w:p>
        </w:tc>
        <w:tc>
          <w:tcPr>
            <w:tcW w:w="1276" w:type="dxa"/>
            <w:tcBorders>
              <w:top w:val="nil"/>
              <w:left w:val="nil"/>
              <w:bottom w:val="single" w:sz="4" w:space="0" w:color="auto"/>
              <w:right w:val="single" w:sz="4" w:space="0" w:color="auto"/>
            </w:tcBorders>
            <w:shd w:val="clear" w:color="auto" w:fill="auto"/>
            <w:vAlign w:val="center"/>
            <w:hideMark/>
          </w:tcPr>
          <w:p w14:paraId="67FB1722"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101,139,710 </w:t>
            </w:r>
          </w:p>
        </w:tc>
        <w:tc>
          <w:tcPr>
            <w:tcW w:w="1134" w:type="dxa"/>
            <w:tcBorders>
              <w:top w:val="nil"/>
              <w:left w:val="nil"/>
              <w:bottom w:val="single" w:sz="4" w:space="0" w:color="auto"/>
              <w:right w:val="single" w:sz="4" w:space="0" w:color="auto"/>
            </w:tcBorders>
            <w:shd w:val="clear" w:color="auto" w:fill="auto"/>
            <w:vAlign w:val="center"/>
            <w:hideMark/>
          </w:tcPr>
          <w:p w14:paraId="26B3580F"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449,679,125 </w:t>
            </w:r>
          </w:p>
        </w:tc>
      </w:tr>
      <w:tr w:rsidR="008E2260" w:rsidRPr="008E2260" w14:paraId="0DDD3AF8" w14:textId="77777777" w:rsidTr="00A743D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B0A4F7F" w14:textId="77777777" w:rsidR="008E2260" w:rsidRPr="008E2260" w:rsidRDefault="008E2260" w:rsidP="00EC7D22">
            <w:pPr>
              <w:suppressAutoHyphens w:val="0"/>
              <w:overflowPunct/>
              <w:spacing w:after="0" w:line="240" w:lineRule="auto"/>
              <w:jc w:val="both"/>
              <w:rPr>
                <w:rFonts w:eastAsia="Times New Roman" w:cs="Calibri"/>
                <w:color w:val="000000"/>
                <w:sz w:val="14"/>
                <w:szCs w:val="14"/>
                <w:lang w:eastAsia="es-MX"/>
              </w:rPr>
            </w:pPr>
            <w:r w:rsidRPr="008E2260">
              <w:rPr>
                <w:rFonts w:eastAsia="Times New Roman" w:cs="Calibri"/>
                <w:color w:val="000000"/>
                <w:sz w:val="14"/>
                <w:szCs w:val="14"/>
                <w:lang w:eastAsia="es-MX"/>
              </w:rPr>
              <w:t>Otros Derechos a recibir Bienes o Servicios a Corto Plazo</w:t>
            </w:r>
          </w:p>
        </w:tc>
        <w:tc>
          <w:tcPr>
            <w:tcW w:w="1276" w:type="dxa"/>
            <w:tcBorders>
              <w:top w:val="nil"/>
              <w:left w:val="nil"/>
              <w:bottom w:val="single" w:sz="4" w:space="0" w:color="auto"/>
              <w:right w:val="single" w:sz="4" w:space="0" w:color="auto"/>
            </w:tcBorders>
            <w:shd w:val="clear" w:color="auto" w:fill="auto"/>
            <w:vAlign w:val="center"/>
            <w:hideMark/>
          </w:tcPr>
          <w:p w14:paraId="759872F5"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747F0734"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48444CCD"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7F433880"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422,310,213 </w:t>
            </w:r>
          </w:p>
        </w:tc>
        <w:tc>
          <w:tcPr>
            <w:tcW w:w="1134" w:type="dxa"/>
            <w:tcBorders>
              <w:top w:val="nil"/>
              <w:left w:val="nil"/>
              <w:bottom w:val="single" w:sz="4" w:space="0" w:color="auto"/>
              <w:right w:val="single" w:sz="4" w:space="0" w:color="auto"/>
            </w:tcBorders>
            <w:shd w:val="clear" w:color="auto" w:fill="auto"/>
            <w:vAlign w:val="center"/>
            <w:hideMark/>
          </w:tcPr>
          <w:p w14:paraId="50DB7325" w14:textId="77777777" w:rsidR="008E2260" w:rsidRPr="008E2260" w:rsidRDefault="008E2260" w:rsidP="00EC7D22">
            <w:pPr>
              <w:suppressAutoHyphens w:val="0"/>
              <w:overflowPunct/>
              <w:spacing w:after="0" w:line="240" w:lineRule="auto"/>
              <w:jc w:val="right"/>
              <w:rPr>
                <w:rFonts w:eastAsia="Times New Roman" w:cs="Calibri"/>
                <w:color w:val="000000"/>
                <w:sz w:val="14"/>
                <w:szCs w:val="14"/>
                <w:lang w:eastAsia="es-MX"/>
              </w:rPr>
            </w:pPr>
            <w:r w:rsidRPr="008E2260">
              <w:rPr>
                <w:rFonts w:eastAsia="Times New Roman" w:cs="Calibri"/>
                <w:color w:val="000000"/>
                <w:sz w:val="14"/>
                <w:szCs w:val="14"/>
                <w:lang w:eastAsia="es-MX"/>
              </w:rPr>
              <w:t xml:space="preserve">422,310,213 </w:t>
            </w:r>
          </w:p>
        </w:tc>
      </w:tr>
      <w:tr w:rsidR="008E2260" w:rsidRPr="008E2260" w14:paraId="6863237A" w14:textId="77777777" w:rsidTr="00A743DD">
        <w:trPr>
          <w:trHeight w:val="300"/>
        </w:trPr>
        <w:tc>
          <w:tcPr>
            <w:tcW w:w="3539" w:type="dxa"/>
            <w:tcBorders>
              <w:top w:val="nil"/>
              <w:left w:val="single" w:sz="4" w:space="0" w:color="auto"/>
              <w:bottom w:val="single" w:sz="4" w:space="0" w:color="auto"/>
              <w:right w:val="single" w:sz="4" w:space="0" w:color="auto"/>
            </w:tcBorders>
            <w:shd w:val="clear" w:color="000000" w:fill="DDC9A3"/>
            <w:vAlign w:val="center"/>
            <w:hideMark/>
          </w:tcPr>
          <w:p w14:paraId="7B2BFE7A" w14:textId="77777777" w:rsidR="008E2260" w:rsidRPr="008E2260" w:rsidRDefault="008E2260" w:rsidP="00EC7D22">
            <w:pPr>
              <w:suppressAutoHyphens w:val="0"/>
              <w:overflowPunct/>
              <w:spacing w:after="0" w:line="240" w:lineRule="auto"/>
              <w:jc w:val="center"/>
              <w:rPr>
                <w:rFonts w:eastAsia="Times New Roman" w:cs="Calibri"/>
                <w:b/>
                <w:bCs/>
                <w:color w:val="000000"/>
                <w:sz w:val="14"/>
                <w:szCs w:val="14"/>
                <w:lang w:eastAsia="es-MX"/>
              </w:rPr>
            </w:pPr>
            <w:r w:rsidRPr="008E2260">
              <w:rPr>
                <w:rFonts w:eastAsia="Times New Roman" w:cs="Calibri"/>
                <w:b/>
                <w:bCs/>
                <w:color w:val="000000"/>
                <w:sz w:val="14"/>
                <w:szCs w:val="14"/>
                <w:lang w:eastAsia="es-MX"/>
              </w:rPr>
              <w:t>TOTAL</w:t>
            </w:r>
          </w:p>
        </w:tc>
        <w:tc>
          <w:tcPr>
            <w:tcW w:w="1276" w:type="dxa"/>
            <w:tcBorders>
              <w:top w:val="nil"/>
              <w:left w:val="nil"/>
              <w:bottom w:val="single" w:sz="4" w:space="0" w:color="auto"/>
              <w:right w:val="single" w:sz="4" w:space="0" w:color="auto"/>
            </w:tcBorders>
            <w:shd w:val="clear" w:color="000000" w:fill="DDC9A3"/>
            <w:vAlign w:val="center"/>
            <w:hideMark/>
          </w:tcPr>
          <w:p w14:paraId="61CE8BF9"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352,228,395</w:t>
            </w:r>
          </w:p>
        </w:tc>
        <w:tc>
          <w:tcPr>
            <w:tcW w:w="1134" w:type="dxa"/>
            <w:tcBorders>
              <w:top w:val="nil"/>
              <w:left w:val="nil"/>
              <w:bottom w:val="single" w:sz="4" w:space="0" w:color="auto"/>
              <w:right w:val="single" w:sz="4" w:space="0" w:color="auto"/>
            </w:tcBorders>
            <w:shd w:val="clear" w:color="000000" w:fill="DDC9A3"/>
            <w:vAlign w:val="center"/>
            <w:hideMark/>
          </w:tcPr>
          <w:p w14:paraId="4BDCC0D3"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59,249,348</w:t>
            </w:r>
          </w:p>
        </w:tc>
        <w:tc>
          <w:tcPr>
            <w:tcW w:w="1134" w:type="dxa"/>
            <w:tcBorders>
              <w:top w:val="nil"/>
              <w:left w:val="nil"/>
              <w:bottom w:val="single" w:sz="4" w:space="0" w:color="auto"/>
              <w:right w:val="single" w:sz="4" w:space="0" w:color="auto"/>
            </w:tcBorders>
            <w:shd w:val="clear" w:color="000000" w:fill="DDC9A3"/>
            <w:vAlign w:val="center"/>
            <w:hideMark/>
          </w:tcPr>
          <w:p w14:paraId="6EDE31AC"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6,889,303</w:t>
            </w:r>
          </w:p>
        </w:tc>
        <w:tc>
          <w:tcPr>
            <w:tcW w:w="1276" w:type="dxa"/>
            <w:tcBorders>
              <w:top w:val="nil"/>
              <w:left w:val="nil"/>
              <w:bottom w:val="single" w:sz="4" w:space="0" w:color="auto"/>
              <w:right w:val="single" w:sz="4" w:space="0" w:color="auto"/>
            </w:tcBorders>
            <w:shd w:val="clear" w:color="000000" w:fill="DDC9A3"/>
            <w:vAlign w:val="center"/>
            <w:hideMark/>
          </w:tcPr>
          <w:p w14:paraId="5D247736"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541,228,624</w:t>
            </w:r>
          </w:p>
        </w:tc>
        <w:tc>
          <w:tcPr>
            <w:tcW w:w="1134" w:type="dxa"/>
            <w:tcBorders>
              <w:top w:val="nil"/>
              <w:left w:val="nil"/>
              <w:bottom w:val="single" w:sz="4" w:space="0" w:color="auto"/>
              <w:right w:val="single" w:sz="4" w:space="0" w:color="auto"/>
            </w:tcBorders>
            <w:shd w:val="clear" w:color="000000" w:fill="DDC9A3"/>
            <w:vAlign w:val="center"/>
            <w:hideMark/>
          </w:tcPr>
          <w:p w14:paraId="5AFE49D4" w14:textId="77777777" w:rsidR="008E2260" w:rsidRPr="008E2260" w:rsidRDefault="008E2260" w:rsidP="00EC7D22">
            <w:pPr>
              <w:suppressAutoHyphens w:val="0"/>
              <w:overflowPunct/>
              <w:spacing w:after="0" w:line="240" w:lineRule="auto"/>
              <w:jc w:val="right"/>
              <w:rPr>
                <w:rFonts w:eastAsia="Times New Roman" w:cs="Calibri"/>
                <w:b/>
                <w:bCs/>
                <w:color w:val="000000"/>
                <w:sz w:val="14"/>
                <w:szCs w:val="14"/>
                <w:lang w:eastAsia="es-MX"/>
              </w:rPr>
            </w:pPr>
            <w:r w:rsidRPr="008E2260">
              <w:rPr>
                <w:rFonts w:eastAsia="Times New Roman" w:cs="Calibri"/>
                <w:b/>
                <w:bCs/>
                <w:color w:val="000000"/>
                <w:sz w:val="14"/>
                <w:szCs w:val="14"/>
                <w:lang w:eastAsia="es-MX"/>
              </w:rPr>
              <w:t>959,595,669</w:t>
            </w:r>
          </w:p>
        </w:tc>
      </w:tr>
    </w:tbl>
    <w:p w14:paraId="7A0E94C7" w14:textId="10028857" w:rsidR="007745EB" w:rsidRDefault="00C87FDA" w:rsidP="00EC7D22">
      <w:pPr>
        <w:pStyle w:val="Texto"/>
        <w:spacing w:after="0" w:line="240" w:lineRule="exact"/>
        <w:ind w:firstLine="0"/>
        <w:rPr>
          <w:rFonts w:ascii="Calibri" w:hAnsi="Calibri" w:cs="Calibri"/>
          <w:szCs w:val="18"/>
        </w:rPr>
      </w:pPr>
      <w:r>
        <w:rPr>
          <w:rFonts w:ascii="Calibri" w:hAnsi="Calibri" w:cs="Calibri"/>
          <w:szCs w:val="18"/>
        </w:rPr>
        <w:t xml:space="preserve">          </w:t>
      </w:r>
    </w:p>
    <w:p w14:paraId="1C6EA196" w14:textId="77777777" w:rsidR="007745EB" w:rsidRDefault="00C87FDA" w:rsidP="00EC7D22">
      <w:pPr>
        <w:pStyle w:val="Texto"/>
        <w:numPr>
          <w:ilvl w:val="0"/>
          <w:numId w:val="67"/>
        </w:numPr>
        <w:spacing w:after="0" w:line="240" w:lineRule="exact"/>
        <w:ind w:left="0" w:firstLine="0"/>
        <w:rPr>
          <w:rFonts w:ascii="Calibri" w:eastAsia="Calibri" w:hAnsi="Calibri" w:cs="Calibri"/>
          <w:szCs w:val="18"/>
          <w:lang w:val="es-MX" w:eastAsia="en-US"/>
        </w:rPr>
      </w:pPr>
      <w:r w:rsidRPr="00820E37">
        <w:rPr>
          <w:rFonts w:ascii="Calibri" w:eastAsia="Calibri" w:hAnsi="Calibri" w:cs="Calibri"/>
          <w:sz w:val="20"/>
          <w:lang w:val="es-MX" w:eastAsia="en-US"/>
        </w:rPr>
        <w:t xml:space="preserve">En estas cuentas se refleja con el importe más significativo  el  Fideicomiso del Puente Internacional Río Bravo-Donna  el importe de $422,310,213, integrado por las acciones </w:t>
      </w:r>
      <w:proofErr w:type="spellStart"/>
      <w:r w:rsidRPr="00820E37">
        <w:rPr>
          <w:rFonts w:ascii="Calibri" w:eastAsia="Calibri" w:hAnsi="Calibri" w:cs="Calibri"/>
          <w:sz w:val="20"/>
          <w:lang w:val="es-MX" w:eastAsia="en-US"/>
        </w:rPr>
        <w:t>fideicomitadas</w:t>
      </w:r>
      <w:proofErr w:type="spellEnd"/>
      <w:r w:rsidRPr="00820E37">
        <w:rPr>
          <w:rFonts w:ascii="Calibri" w:eastAsia="Calibri" w:hAnsi="Calibri" w:cs="Calibri"/>
          <w:sz w:val="20"/>
          <w:lang w:val="es-MX" w:eastAsia="en-US"/>
        </w:rPr>
        <w:t xml:space="preserve"> representativas del capital social de COPA, S.A. que fueron incorporadas al patrimonio del Fideicomiso y como lo establece el contrato de fideicomiso los recursos propios fueron reconocidos como aportación de COPA, S.A, así mismo el saldo actual corresponde a productos de la actualización del capital de riesgo</w:t>
      </w:r>
      <w:r>
        <w:rPr>
          <w:rFonts w:ascii="Calibri" w:eastAsia="Calibri" w:hAnsi="Calibri" w:cs="Calibri"/>
          <w:szCs w:val="18"/>
          <w:lang w:val="es-MX" w:eastAsia="en-US"/>
        </w:rPr>
        <w:t>.</w:t>
      </w:r>
    </w:p>
    <w:p w14:paraId="5B39C4BE" w14:textId="77777777" w:rsidR="007745EB" w:rsidRPr="008F6566" w:rsidRDefault="007745EB" w:rsidP="00EC7D22">
      <w:pPr>
        <w:pStyle w:val="Texto"/>
        <w:spacing w:after="0" w:line="240" w:lineRule="exact"/>
        <w:ind w:firstLine="0"/>
        <w:rPr>
          <w:rFonts w:ascii="Calibri" w:eastAsia="Calibri" w:hAnsi="Calibri" w:cs="Calibri"/>
          <w:sz w:val="14"/>
          <w:szCs w:val="18"/>
          <w:lang w:val="es-MX" w:eastAsia="en-US"/>
        </w:rPr>
      </w:pPr>
    </w:p>
    <w:p w14:paraId="523D9147" w14:textId="157F96B3" w:rsidR="007745EB" w:rsidRDefault="00694CE6" w:rsidP="00EC7D22">
      <w:pPr>
        <w:pStyle w:val="Texto"/>
        <w:spacing w:after="0" w:line="240" w:lineRule="exact"/>
        <w:ind w:firstLine="0"/>
        <w:rPr>
          <w:rFonts w:ascii="Calibri" w:hAnsi="Calibri" w:cs="Calibri"/>
          <w:b/>
          <w:i/>
          <w:sz w:val="20"/>
          <w:szCs w:val="18"/>
          <w:u w:val="single"/>
        </w:rPr>
      </w:pPr>
      <w:r>
        <w:rPr>
          <w:rFonts w:ascii="Calibri" w:hAnsi="Calibri" w:cs="Calibri"/>
          <w:b/>
          <w:i/>
          <w:sz w:val="20"/>
          <w:szCs w:val="18"/>
          <w:u w:val="single"/>
        </w:rPr>
        <w:t xml:space="preserve">Bienes Disponibles </w:t>
      </w:r>
      <w:r w:rsidR="0079655D">
        <w:rPr>
          <w:rFonts w:ascii="Calibri" w:hAnsi="Calibri" w:cs="Calibri"/>
          <w:b/>
          <w:i/>
          <w:sz w:val="20"/>
          <w:szCs w:val="18"/>
          <w:u w:val="single"/>
        </w:rPr>
        <w:t>p</w:t>
      </w:r>
      <w:r>
        <w:rPr>
          <w:rFonts w:ascii="Calibri" w:hAnsi="Calibri" w:cs="Calibri"/>
          <w:b/>
          <w:i/>
          <w:sz w:val="20"/>
          <w:szCs w:val="18"/>
          <w:u w:val="single"/>
        </w:rPr>
        <w:t xml:space="preserve">ara </w:t>
      </w:r>
      <w:r w:rsidR="0079655D">
        <w:rPr>
          <w:rFonts w:ascii="Calibri" w:hAnsi="Calibri" w:cs="Calibri"/>
          <w:b/>
          <w:i/>
          <w:sz w:val="20"/>
          <w:szCs w:val="18"/>
          <w:u w:val="single"/>
        </w:rPr>
        <w:t>s</w:t>
      </w:r>
      <w:r>
        <w:rPr>
          <w:rFonts w:ascii="Calibri" w:hAnsi="Calibri" w:cs="Calibri"/>
          <w:b/>
          <w:i/>
          <w:sz w:val="20"/>
          <w:szCs w:val="18"/>
          <w:u w:val="single"/>
        </w:rPr>
        <w:t xml:space="preserve">u Transformación </w:t>
      </w:r>
      <w:r w:rsidR="0079655D">
        <w:rPr>
          <w:rFonts w:ascii="Calibri" w:hAnsi="Calibri" w:cs="Calibri"/>
          <w:b/>
          <w:i/>
          <w:sz w:val="20"/>
          <w:szCs w:val="18"/>
          <w:u w:val="single"/>
        </w:rPr>
        <w:t>o</w:t>
      </w:r>
      <w:r>
        <w:rPr>
          <w:rFonts w:ascii="Calibri" w:hAnsi="Calibri" w:cs="Calibri"/>
          <w:b/>
          <w:i/>
          <w:sz w:val="20"/>
          <w:szCs w:val="18"/>
          <w:u w:val="single"/>
        </w:rPr>
        <w:t xml:space="preserve"> Consumo (Inventarios)   </w:t>
      </w:r>
    </w:p>
    <w:p w14:paraId="1EFB2BFC" w14:textId="77777777" w:rsidR="007745EB" w:rsidRDefault="007745EB" w:rsidP="00EC7D22">
      <w:pPr>
        <w:pStyle w:val="Texto"/>
        <w:spacing w:after="0" w:line="240" w:lineRule="exact"/>
        <w:ind w:firstLine="0"/>
        <w:rPr>
          <w:rFonts w:ascii="Calibri" w:hAnsi="Calibri" w:cs="Calibri"/>
          <w:szCs w:val="18"/>
        </w:rPr>
      </w:pPr>
    </w:p>
    <w:p w14:paraId="70C49DCF" w14:textId="77777777" w:rsidR="006E09CA" w:rsidRDefault="00C87FDA" w:rsidP="00EC7D22">
      <w:pPr>
        <w:pStyle w:val="Texto"/>
        <w:numPr>
          <w:ilvl w:val="0"/>
          <w:numId w:val="14"/>
        </w:numPr>
        <w:spacing w:after="0" w:line="240" w:lineRule="exact"/>
        <w:ind w:left="0" w:firstLine="0"/>
        <w:rPr>
          <w:rFonts w:ascii="Calibri" w:hAnsi="Calibri" w:cs="Calibri"/>
          <w:sz w:val="20"/>
          <w:szCs w:val="18"/>
        </w:rPr>
      </w:pPr>
      <w:r>
        <w:rPr>
          <w:rFonts w:ascii="Calibri" w:hAnsi="Calibri" w:cs="Calibri"/>
          <w:sz w:val="20"/>
          <w:szCs w:val="18"/>
        </w:rPr>
        <w:t xml:space="preserve">Inventarios:  </w:t>
      </w:r>
    </w:p>
    <w:p w14:paraId="24D31833" w14:textId="438C19BF" w:rsidR="007745EB" w:rsidRDefault="00C87FDA" w:rsidP="00EC7D22">
      <w:pPr>
        <w:pStyle w:val="Texto"/>
        <w:spacing w:after="0" w:line="240" w:lineRule="exact"/>
        <w:ind w:firstLine="0"/>
        <w:rPr>
          <w:rFonts w:ascii="Calibri" w:hAnsi="Calibri" w:cs="Calibri"/>
          <w:sz w:val="20"/>
          <w:szCs w:val="18"/>
        </w:rPr>
      </w:pPr>
      <w:r w:rsidRPr="00694CE6">
        <w:rPr>
          <w:rFonts w:ascii="Calibri" w:hAnsi="Calibri" w:cs="Calibri"/>
          <w:b/>
          <w:sz w:val="20"/>
          <w:szCs w:val="18"/>
        </w:rPr>
        <w:t>No Aplica</w:t>
      </w:r>
    </w:p>
    <w:p w14:paraId="5154121A" w14:textId="77777777" w:rsidR="007745EB" w:rsidRDefault="007745EB" w:rsidP="00EC7D22">
      <w:pPr>
        <w:pStyle w:val="Texto"/>
        <w:spacing w:after="0" w:line="240" w:lineRule="exact"/>
        <w:ind w:firstLine="0"/>
        <w:rPr>
          <w:rFonts w:ascii="Calibri" w:hAnsi="Calibri" w:cs="Calibri"/>
          <w:szCs w:val="18"/>
        </w:rPr>
      </w:pPr>
    </w:p>
    <w:p w14:paraId="55A513D2" w14:textId="77777777" w:rsidR="006E09CA" w:rsidRDefault="00C87FDA" w:rsidP="00EC7D22">
      <w:pPr>
        <w:pStyle w:val="Texto"/>
        <w:numPr>
          <w:ilvl w:val="0"/>
          <w:numId w:val="14"/>
        </w:numPr>
        <w:spacing w:after="0" w:line="240" w:lineRule="exact"/>
        <w:ind w:left="0" w:firstLine="0"/>
        <w:rPr>
          <w:rFonts w:ascii="Calibri" w:hAnsi="Calibri" w:cs="Calibri"/>
          <w:sz w:val="20"/>
          <w:szCs w:val="18"/>
        </w:rPr>
      </w:pPr>
      <w:r>
        <w:rPr>
          <w:rFonts w:ascii="Calibri" w:hAnsi="Calibri" w:cs="Calibri"/>
          <w:sz w:val="20"/>
          <w:szCs w:val="18"/>
        </w:rPr>
        <w:t xml:space="preserve">Almacén:  </w:t>
      </w:r>
    </w:p>
    <w:p w14:paraId="2147446B" w14:textId="41E6FDD8" w:rsidR="007745EB" w:rsidRDefault="00C87FDA" w:rsidP="00EC7D22">
      <w:pPr>
        <w:pStyle w:val="Texto"/>
        <w:spacing w:after="0" w:line="240" w:lineRule="exact"/>
        <w:ind w:firstLine="0"/>
        <w:rPr>
          <w:rFonts w:ascii="Calibri" w:hAnsi="Calibri" w:cs="Calibri"/>
          <w:sz w:val="20"/>
          <w:szCs w:val="18"/>
        </w:rPr>
      </w:pPr>
      <w:r w:rsidRPr="00694CE6">
        <w:rPr>
          <w:rFonts w:ascii="Calibri" w:hAnsi="Calibri" w:cs="Calibri"/>
          <w:b/>
          <w:sz w:val="20"/>
          <w:szCs w:val="18"/>
        </w:rPr>
        <w:t>No Aplica</w:t>
      </w:r>
    </w:p>
    <w:p w14:paraId="46186F99" w14:textId="77777777" w:rsidR="007745EB" w:rsidRDefault="007745EB" w:rsidP="00EC7D22">
      <w:pPr>
        <w:pStyle w:val="Texto"/>
        <w:spacing w:after="0" w:line="240" w:lineRule="exact"/>
        <w:ind w:firstLine="0"/>
        <w:rPr>
          <w:rFonts w:ascii="Calibri" w:hAnsi="Calibri" w:cs="Calibri"/>
          <w:sz w:val="14"/>
          <w:szCs w:val="18"/>
        </w:rPr>
      </w:pPr>
    </w:p>
    <w:p w14:paraId="327E194C" w14:textId="5558A2DE" w:rsidR="007745EB" w:rsidRDefault="00694CE6" w:rsidP="00EC7D22">
      <w:pPr>
        <w:pStyle w:val="Texto"/>
        <w:spacing w:after="0" w:line="240" w:lineRule="exact"/>
        <w:ind w:firstLine="0"/>
        <w:rPr>
          <w:rFonts w:ascii="Calibri" w:hAnsi="Calibri" w:cs="Calibri"/>
          <w:b/>
          <w:i/>
          <w:sz w:val="20"/>
          <w:szCs w:val="18"/>
          <w:u w:val="single"/>
        </w:rPr>
      </w:pPr>
      <w:r>
        <w:rPr>
          <w:rFonts w:ascii="Calibri" w:hAnsi="Calibri" w:cs="Calibri"/>
          <w:b/>
          <w:i/>
          <w:sz w:val="20"/>
          <w:szCs w:val="18"/>
          <w:u w:val="single"/>
        </w:rPr>
        <w:t xml:space="preserve">Inversiones Financieras </w:t>
      </w:r>
      <w:r w:rsidR="0079655D">
        <w:rPr>
          <w:rFonts w:ascii="Calibri" w:hAnsi="Calibri" w:cs="Calibri"/>
          <w:b/>
          <w:i/>
          <w:sz w:val="20"/>
          <w:szCs w:val="18"/>
          <w:u w:val="single"/>
        </w:rPr>
        <w:t>a</w:t>
      </w:r>
      <w:r>
        <w:rPr>
          <w:rFonts w:ascii="Calibri" w:hAnsi="Calibri" w:cs="Calibri"/>
          <w:b/>
          <w:i/>
          <w:sz w:val="20"/>
          <w:szCs w:val="18"/>
          <w:u w:val="single"/>
        </w:rPr>
        <w:t xml:space="preserve"> Largo Plazo </w:t>
      </w:r>
    </w:p>
    <w:p w14:paraId="2A9D54D9" w14:textId="77777777" w:rsidR="007745EB" w:rsidRDefault="007745EB" w:rsidP="00EC7D22">
      <w:pPr>
        <w:pStyle w:val="Texto"/>
        <w:spacing w:after="0" w:line="240" w:lineRule="exact"/>
        <w:ind w:firstLine="0"/>
        <w:rPr>
          <w:rFonts w:ascii="Calibri" w:hAnsi="Calibri" w:cs="Calibri"/>
          <w:szCs w:val="18"/>
        </w:rPr>
      </w:pPr>
    </w:p>
    <w:p w14:paraId="16C75AEF" w14:textId="77777777" w:rsidR="00143484" w:rsidRDefault="00C87FDA" w:rsidP="00EC7D22">
      <w:pPr>
        <w:pStyle w:val="Texto"/>
        <w:numPr>
          <w:ilvl w:val="0"/>
          <w:numId w:val="16"/>
        </w:numPr>
        <w:spacing w:after="0" w:line="276" w:lineRule="auto"/>
        <w:ind w:left="0" w:firstLine="0"/>
        <w:rPr>
          <w:rFonts w:ascii="Calibri" w:hAnsi="Calibri" w:cs="Calibri"/>
          <w:sz w:val="20"/>
          <w:lang w:val="es-MX"/>
        </w:rPr>
      </w:pPr>
      <w:r w:rsidRPr="00820E37">
        <w:rPr>
          <w:rFonts w:ascii="Calibri" w:hAnsi="Calibri" w:cs="Calibri"/>
          <w:sz w:val="20"/>
        </w:rPr>
        <w:t xml:space="preserve">La cuenta Inversiones Financieras </w:t>
      </w:r>
      <w:r w:rsidRPr="00820E37">
        <w:rPr>
          <w:rFonts w:ascii="Calibri" w:hAnsi="Calibri" w:cs="Calibri"/>
          <w:sz w:val="20"/>
          <w:lang w:val="es-MX"/>
        </w:rPr>
        <w:t xml:space="preserve">está integrada </w:t>
      </w:r>
      <w:r w:rsidR="00143484">
        <w:rPr>
          <w:rFonts w:ascii="Calibri" w:hAnsi="Calibri" w:cs="Calibri"/>
          <w:sz w:val="20"/>
          <w:lang w:val="es-MX"/>
        </w:rPr>
        <w:t>por:</w:t>
      </w:r>
    </w:p>
    <w:p w14:paraId="7E65D919" w14:textId="77777777" w:rsidR="00143484" w:rsidRDefault="00143484" w:rsidP="00EC7D22">
      <w:pPr>
        <w:pStyle w:val="Texto"/>
        <w:numPr>
          <w:ilvl w:val="0"/>
          <w:numId w:val="62"/>
        </w:numPr>
        <w:spacing w:after="0" w:line="276" w:lineRule="auto"/>
        <w:ind w:left="0" w:firstLine="0"/>
        <w:rPr>
          <w:rFonts w:ascii="Calibri" w:hAnsi="Calibri" w:cs="Calibri"/>
          <w:sz w:val="20"/>
          <w:lang w:val="es-MX"/>
        </w:rPr>
      </w:pPr>
      <w:r>
        <w:rPr>
          <w:rFonts w:ascii="Calibri" w:hAnsi="Calibri" w:cs="Calibri"/>
          <w:sz w:val="20"/>
          <w:lang w:val="es-MX"/>
        </w:rPr>
        <w:t xml:space="preserve">El </w:t>
      </w:r>
      <w:r w:rsidR="00C87FDA" w:rsidRPr="00820E37">
        <w:rPr>
          <w:rFonts w:ascii="Calibri" w:hAnsi="Calibri" w:cs="Calibri"/>
          <w:sz w:val="20"/>
          <w:lang w:val="es-MX"/>
        </w:rPr>
        <w:t>rubro de Títulos y Valores a Largo Plazo por la cantidad de $72,829,060</w:t>
      </w:r>
      <w:r>
        <w:rPr>
          <w:rFonts w:ascii="Calibri" w:hAnsi="Calibri" w:cs="Calibri"/>
          <w:sz w:val="20"/>
          <w:lang w:val="es-MX"/>
        </w:rPr>
        <w:t>.</w:t>
      </w:r>
    </w:p>
    <w:p w14:paraId="43575ED2" w14:textId="77777777" w:rsidR="00143484" w:rsidRPr="005A5C62" w:rsidRDefault="00143484" w:rsidP="00EC7D22">
      <w:pPr>
        <w:pStyle w:val="Texto"/>
        <w:spacing w:after="0" w:line="276" w:lineRule="auto"/>
        <w:ind w:firstLine="0"/>
        <w:rPr>
          <w:rFonts w:ascii="Calibri" w:hAnsi="Calibri" w:cs="Calibri"/>
          <w:sz w:val="14"/>
          <w:lang w:val="es-MX"/>
        </w:rPr>
      </w:pPr>
    </w:p>
    <w:p w14:paraId="70CCD34F" w14:textId="15E7AFF6" w:rsidR="00F3368B" w:rsidRDefault="00694CE6" w:rsidP="00EC7D22">
      <w:pPr>
        <w:pStyle w:val="Texto"/>
        <w:numPr>
          <w:ilvl w:val="0"/>
          <w:numId w:val="62"/>
        </w:numPr>
        <w:spacing w:after="0" w:line="276" w:lineRule="auto"/>
        <w:ind w:left="0" w:firstLine="0"/>
        <w:rPr>
          <w:rFonts w:ascii="Calibri" w:hAnsi="Calibri" w:cs="Calibri"/>
          <w:sz w:val="20"/>
          <w:lang w:val="es-MX"/>
        </w:rPr>
      </w:pPr>
      <w:r>
        <w:rPr>
          <w:rFonts w:ascii="Calibri" w:hAnsi="Calibri" w:cs="Calibri"/>
          <w:sz w:val="20"/>
          <w:lang w:val="es-MX"/>
        </w:rPr>
        <w:t>L</w:t>
      </w:r>
      <w:r w:rsidR="00C87FDA" w:rsidRPr="00820E37">
        <w:rPr>
          <w:rFonts w:ascii="Calibri" w:hAnsi="Calibri" w:cs="Calibri"/>
          <w:sz w:val="20"/>
          <w:lang w:val="es-MX"/>
        </w:rPr>
        <w:t>os Fideicomisos de Deuda $</w:t>
      </w:r>
      <w:r w:rsidR="00EF75AC">
        <w:rPr>
          <w:rFonts w:ascii="Calibri" w:hAnsi="Calibri" w:cs="Calibri"/>
          <w:sz w:val="20"/>
          <w:lang w:val="es-MX"/>
        </w:rPr>
        <w:t>6</w:t>
      </w:r>
      <w:r w:rsidR="00143484">
        <w:rPr>
          <w:rFonts w:ascii="Calibri" w:hAnsi="Calibri" w:cs="Calibri"/>
          <w:sz w:val="20"/>
          <w:lang w:val="es-MX"/>
        </w:rPr>
        <w:t>47,224,094</w:t>
      </w:r>
      <w:r w:rsidR="00F3368B">
        <w:rPr>
          <w:rFonts w:ascii="Calibri" w:hAnsi="Calibri" w:cs="Calibri"/>
          <w:sz w:val="20"/>
          <w:lang w:val="es-MX"/>
        </w:rPr>
        <w:t>.,</w:t>
      </w:r>
      <w:r w:rsidR="00C87FDA" w:rsidRPr="00820E37">
        <w:rPr>
          <w:rFonts w:ascii="Calibri" w:hAnsi="Calibri" w:cs="Calibri"/>
          <w:sz w:val="20"/>
          <w:lang w:val="es-MX"/>
        </w:rPr>
        <w:t xml:space="preserve"> y los fideicomisos sin estructura $</w:t>
      </w:r>
      <w:r w:rsidR="0090512C">
        <w:rPr>
          <w:rFonts w:ascii="Calibri" w:hAnsi="Calibri" w:cs="Calibri"/>
          <w:sz w:val="20"/>
          <w:lang w:val="es-MX"/>
        </w:rPr>
        <w:t>1,</w:t>
      </w:r>
      <w:r w:rsidR="00143484">
        <w:rPr>
          <w:rFonts w:ascii="Calibri" w:hAnsi="Calibri" w:cs="Calibri"/>
          <w:sz w:val="20"/>
          <w:lang w:val="es-MX"/>
        </w:rPr>
        <w:t>543,095,158</w:t>
      </w:r>
      <w:r w:rsidR="00C87FDA" w:rsidRPr="00820E37">
        <w:rPr>
          <w:rFonts w:ascii="Calibri" w:hAnsi="Calibri" w:cs="Calibri"/>
          <w:sz w:val="20"/>
          <w:lang w:val="es-MX"/>
        </w:rPr>
        <w:t>, que en total ascienden a $</w:t>
      </w:r>
      <w:r w:rsidR="00843B8A">
        <w:rPr>
          <w:rFonts w:ascii="Calibri" w:hAnsi="Calibri" w:cs="Calibri"/>
          <w:sz w:val="20"/>
          <w:lang w:val="es-MX"/>
        </w:rPr>
        <w:t>2,</w:t>
      </w:r>
      <w:r w:rsidR="00D2090E">
        <w:rPr>
          <w:rFonts w:ascii="Calibri" w:hAnsi="Calibri" w:cs="Calibri"/>
          <w:sz w:val="20"/>
          <w:lang w:val="es-MX"/>
        </w:rPr>
        <w:t>190,319,252.</w:t>
      </w:r>
      <w:r w:rsidR="00C87FDA" w:rsidRPr="00820E37">
        <w:rPr>
          <w:rFonts w:ascii="Calibri" w:hAnsi="Calibri" w:cs="Calibri"/>
          <w:sz w:val="20"/>
          <w:lang w:val="es-MX"/>
        </w:rPr>
        <w:t xml:space="preserve">, y que a continuación se detallan: </w:t>
      </w:r>
    </w:p>
    <w:p w14:paraId="7CD36CAA" w14:textId="77777777" w:rsidR="007745EB" w:rsidRDefault="00C87FDA" w:rsidP="00EC7D22">
      <w:pPr>
        <w:pStyle w:val="Texto"/>
        <w:spacing w:after="0" w:line="276" w:lineRule="auto"/>
        <w:ind w:firstLine="0"/>
        <w:rPr>
          <w:rFonts w:ascii="Calibri" w:hAnsi="Calibri" w:cs="Calibri"/>
          <w:sz w:val="20"/>
          <w:lang w:val="es-MX"/>
        </w:rPr>
      </w:pPr>
      <w:r w:rsidRPr="00820E37">
        <w:rPr>
          <w:rFonts w:ascii="Calibri" w:hAnsi="Calibri" w:cs="Calibri"/>
          <w:sz w:val="20"/>
          <w:lang w:val="es-MX"/>
        </w:rPr>
        <w:t xml:space="preserve"> </w:t>
      </w:r>
    </w:p>
    <w:tbl>
      <w:tblPr>
        <w:tblW w:w="6486" w:type="dxa"/>
        <w:tblCellMar>
          <w:left w:w="70" w:type="dxa"/>
          <w:right w:w="70" w:type="dxa"/>
        </w:tblCellMar>
        <w:tblLook w:val="04A0" w:firstRow="1" w:lastRow="0" w:firstColumn="1" w:lastColumn="0" w:noHBand="0" w:noVBand="1"/>
      </w:tblPr>
      <w:tblGrid>
        <w:gridCol w:w="4614"/>
        <w:gridCol w:w="1872"/>
      </w:tblGrid>
      <w:tr w:rsidR="007467A2" w:rsidRPr="005A5C62" w14:paraId="27088072" w14:textId="77777777" w:rsidTr="00125B84">
        <w:trPr>
          <w:trHeight w:val="315"/>
        </w:trPr>
        <w:tc>
          <w:tcPr>
            <w:tcW w:w="4614"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067B249B" w14:textId="77777777" w:rsidR="007467A2" w:rsidRPr="005A5C62" w:rsidRDefault="007467A2" w:rsidP="00EC7D22">
            <w:pPr>
              <w:suppressAutoHyphens w:val="0"/>
              <w:overflowPunct/>
              <w:spacing w:after="0" w:line="240" w:lineRule="auto"/>
              <w:jc w:val="center"/>
              <w:rPr>
                <w:rFonts w:eastAsia="Times New Roman" w:cs="Calibri"/>
                <w:b/>
                <w:bCs/>
                <w:color w:val="FFFFFF"/>
                <w:sz w:val="14"/>
                <w:szCs w:val="16"/>
                <w:lang w:eastAsia="es-MX"/>
              </w:rPr>
            </w:pPr>
            <w:r w:rsidRPr="005A5C62">
              <w:rPr>
                <w:rFonts w:eastAsia="Times New Roman" w:cs="Calibri"/>
                <w:b/>
                <w:bCs/>
                <w:color w:val="FFFFFF"/>
                <w:sz w:val="14"/>
                <w:szCs w:val="16"/>
                <w:lang w:eastAsia="es-MX"/>
              </w:rPr>
              <w:t>Títulos y Valores a Largo Plazo</w:t>
            </w:r>
          </w:p>
        </w:tc>
        <w:tc>
          <w:tcPr>
            <w:tcW w:w="1872" w:type="dxa"/>
            <w:tcBorders>
              <w:top w:val="single" w:sz="4" w:space="0" w:color="auto"/>
              <w:left w:val="nil"/>
              <w:bottom w:val="single" w:sz="4" w:space="0" w:color="auto"/>
              <w:right w:val="single" w:sz="4" w:space="0" w:color="auto"/>
            </w:tcBorders>
            <w:shd w:val="clear" w:color="800080" w:fill="A90025"/>
            <w:vAlign w:val="center"/>
            <w:hideMark/>
          </w:tcPr>
          <w:p w14:paraId="3D37F6EC" w14:textId="77777777" w:rsidR="007467A2" w:rsidRPr="005A5C62" w:rsidRDefault="007467A2" w:rsidP="00EC7D22">
            <w:pPr>
              <w:suppressAutoHyphens w:val="0"/>
              <w:overflowPunct/>
              <w:spacing w:after="0" w:line="240" w:lineRule="auto"/>
              <w:jc w:val="center"/>
              <w:rPr>
                <w:rFonts w:eastAsia="Times New Roman" w:cs="Calibri"/>
                <w:b/>
                <w:bCs/>
                <w:color w:val="FFFFFF"/>
                <w:sz w:val="14"/>
                <w:szCs w:val="16"/>
                <w:lang w:eastAsia="es-MX"/>
              </w:rPr>
            </w:pPr>
            <w:r w:rsidRPr="005A5C62">
              <w:rPr>
                <w:rFonts w:eastAsia="Times New Roman" w:cs="Calibri"/>
                <w:b/>
                <w:bCs/>
                <w:color w:val="FFFFFF"/>
                <w:sz w:val="14"/>
                <w:szCs w:val="16"/>
                <w:lang w:eastAsia="es-MX"/>
              </w:rPr>
              <w:t>Importe</w:t>
            </w:r>
          </w:p>
        </w:tc>
      </w:tr>
      <w:tr w:rsidR="007467A2" w:rsidRPr="007467A2" w14:paraId="584BA64A" w14:textId="77777777" w:rsidTr="005A5C62">
        <w:trPr>
          <w:trHeight w:val="255"/>
        </w:trPr>
        <w:tc>
          <w:tcPr>
            <w:tcW w:w="4614" w:type="dxa"/>
            <w:tcBorders>
              <w:top w:val="nil"/>
              <w:left w:val="single" w:sz="4" w:space="0" w:color="auto"/>
              <w:bottom w:val="single" w:sz="4" w:space="0" w:color="auto"/>
              <w:right w:val="single" w:sz="4" w:space="0" w:color="auto"/>
            </w:tcBorders>
            <w:shd w:val="clear" w:color="auto" w:fill="auto"/>
            <w:vAlign w:val="center"/>
            <w:hideMark/>
          </w:tcPr>
          <w:p w14:paraId="0C345E8C" w14:textId="77777777" w:rsidR="007467A2" w:rsidRPr="007467A2" w:rsidRDefault="007467A2" w:rsidP="00EC7D22">
            <w:pPr>
              <w:suppressAutoHyphens w:val="0"/>
              <w:overflowPunct/>
              <w:spacing w:after="0" w:line="240" w:lineRule="auto"/>
              <w:jc w:val="both"/>
              <w:rPr>
                <w:rFonts w:eastAsia="Times New Roman" w:cs="Calibri"/>
                <w:color w:val="000000"/>
                <w:sz w:val="14"/>
                <w:szCs w:val="14"/>
                <w:lang w:eastAsia="es-MX"/>
              </w:rPr>
            </w:pPr>
            <w:r w:rsidRPr="007467A2">
              <w:rPr>
                <w:rFonts w:eastAsia="Times New Roman" w:cs="Calibri"/>
                <w:color w:val="000000"/>
                <w:sz w:val="14"/>
                <w:szCs w:val="14"/>
                <w:lang w:eastAsia="es-MX"/>
              </w:rPr>
              <w:t xml:space="preserve">Canal </w:t>
            </w:r>
            <w:proofErr w:type="spellStart"/>
            <w:r w:rsidRPr="007467A2">
              <w:rPr>
                <w:rFonts w:eastAsia="Times New Roman" w:cs="Calibri"/>
                <w:color w:val="000000"/>
                <w:sz w:val="14"/>
                <w:szCs w:val="14"/>
                <w:lang w:eastAsia="es-MX"/>
              </w:rPr>
              <w:t>Intracostero</w:t>
            </w:r>
            <w:proofErr w:type="spellEnd"/>
            <w:r w:rsidRPr="007467A2">
              <w:rPr>
                <w:rFonts w:eastAsia="Times New Roman" w:cs="Calibri"/>
                <w:color w:val="000000"/>
                <w:sz w:val="14"/>
                <w:szCs w:val="14"/>
                <w:lang w:eastAsia="es-MX"/>
              </w:rPr>
              <w:t xml:space="preserve"> Tamaulipeco S.A de C.V.</w:t>
            </w:r>
          </w:p>
        </w:tc>
        <w:tc>
          <w:tcPr>
            <w:tcW w:w="1872" w:type="dxa"/>
            <w:tcBorders>
              <w:top w:val="nil"/>
              <w:left w:val="nil"/>
              <w:bottom w:val="single" w:sz="4" w:space="0" w:color="auto"/>
              <w:right w:val="single" w:sz="4" w:space="0" w:color="auto"/>
            </w:tcBorders>
            <w:shd w:val="clear" w:color="auto" w:fill="auto"/>
            <w:vAlign w:val="center"/>
            <w:hideMark/>
          </w:tcPr>
          <w:p w14:paraId="501BDF20"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8,415,000</w:t>
            </w:r>
          </w:p>
        </w:tc>
      </w:tr>
      <w:tr w:rsidR="007467A2" w:rsidRPr="007467A2" w14:paraId="39B4680B" w14:textId="77777777" w:rsidTr="005A5C62">
        <w:trPr>
          <w:trHeight w:val="255"/>
        </w:trPr>
        <w:tc>
          <w:tcPr>
            <w:tcW w:w="4614" w:type="dxa"/>
            <w:tcBorders>
              <w:top w:val="nil"/>
              <w:left w:val="single" w:sz="4" w:space="0" w:color="auto"/>
              <w:bottom w:val="single" w:sz="4" w:space="0" w:color="auto"/>
              <w:right w:val="single" w:sz="4" w:space="0" w:color="auto"/>
            </w:tcBorders>
            <w:shd w:val="clear" w:color="auto" w:fill="auto"/>
            <w:vAlign w:val="center"/>
            <w:hideMark/>
          </w:tcPr>
          <w:p w14:paraId="693752A7" w14:textId="77777777" w:rsidR="007467A2" w:rsidRPr="007467A2" w:rsidRDefault="007467A2" w:rsidP="00EC7D22">
            <w:pPr>
              <w:suppressAutoHyphens w:val="0"/>
              <w:overflowPunct/>
              <w:spacing w:after="0" w:line="240" w:lineRule="auto"/>
              <w:jc w:val="both"/>
              <w:rPr>
                <w:rFonts w:eastAsia="Times New Roman" w:cs="Calibri"/>
                <w:color w:val="000000"/>
                <w:sz w:val="14"/>
                <w:szCs w:val="14"/>
                <w:lang w:eastAsia="es-MX"/>
              </w:rPr>
            </w:pPr>
            <w:r w:rsidRPr="007467A2">
              <w:rPr>
                <w:rFonts w:eastAsia="Times New Roman" w:cs="Calibri"/>
                <w:color w:val="000000"/>
                <w:sz w:val="14"/>
                <w:szCs w:val="14"/>
                <w:lang w:eastAsia="es-MX"/>
              </w:rPr>
              <w:t>Desarrollo Turístico de la Playa Miramar S.A. de C.V.</w:t>
            </w:r>
          </w:p>
        </w:tc>
        <w:tc>
          <w:tcPr>
            <w:tcW w:w="1872" w:type="dxa"/>
            <w:tcBorders>
              <w:top w:val="nil"/>
              <w:left w:val="nil"/>
              <w:bottom w:val="single" w:sz="4" w:space="0" w:color="auto"/>
              <w:right w:val="single" w:sz="4" w:space="0" w:color="auto"/>
            </w:tcBorders>
            <w:shd w:val="clear" w:color="auto" w:fill="auto"/>
            <w:vAlign w:val="center"/>
            <w:hideMark/>
          </w:tcPr>
          <w:p w14:paraId="0A6AAE7B"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3,824,260</w:t>
            </w:r>
          </w:p>
        </w:tc>
      </w:tr>
      <w:tr w:rsidR="007467A2" w:rsidRPr="007467A2" w14:paraId="2C906764" w14:textId="77777777" w:rsidTr="005A5C62">
        <w:trPr>
          <w:trHeight w:val="255"/>
        </w:trPr>
        <w:tc>
          <w:tcPr>
            <w:tcW w:w="4614" w:type="dxa"/>
            <w:tcBorders>
              <w:top w:val="nil"/>
              <w:left w:val="single" w:sz="4" w:space="0" w:color="auto"/>
              <w:bottom w:val="single" w:sz="4" w:space="0" w:color="auto"/>
              <w:right w:val="single" w:sz="4" w:space="0" w:color="auto"/>
            </w:tcBorders>
            <w:shd w:val="clear" w:color="auto" w:fill="auto"/>
            <w:vAlign w:val="center"/>
            <w:hideMark/>
          </w:tcPr>
          <w:p w14:paraId="59085326" w14:textId="77777777" w:rsidR="007467A2" w:rsidRPr="007467A2" w:rsidRDefault="007467A2" w:rsidP="00EC7D22">
            <w:pPr>
              <w:suppressAutoHyphens w:val="0"/>
              <w:overflowPunct/>
              <w:spacing w:after="0" w:line="240" w:lineRule="auto"/>
              <w:jc w:val="both"/>
              <w:rPr>
                <w:rFonts w:eastAsia="Times New Roman" w:cs="Calibri"/>
                <w:color w:val="000000"/>
                <w:sz w:val="14"/>
                <w:szCs w:val="14"/>
                <w:lang w:eastAsia="es-MX"/>
              </w:rPr>
            </w:pPr>
            <w:r w:rsidRPr="007467A2">
              <w:rPr>
                <w:rFonts w:eastAsia="Times New Roman" w:cs="Calibri"/>
                <w:color w:val="000000"/>
                <w:sz w:val="14"/>
                <w:szCs w:val="14"/>
                <w:lang w:eastAsia="es-MX"/>
              </w:rPr>
              <w:t xml:space="preserve">Club de </w:t>
            </w:r>
            <w:proofErr w:type="spellStart"/>
            <w:r w:rsidRPr="007467A2">
              <w:rPr>
                <w:rFonts w:eastAsia="Times New Roman" w:cs="Calibri"/>
                <w:color w:val="000000"/>
                <w:sz w:val="14"/>
                <w:szCs w:val="14"/>
                <w:lang w:eastAsia="es-MX"/>
              </w:rPr>
              <w:t>Foot</w:t>
            </w:r>
            <w:proofErr w:type="spellEnd"/>
            <w:r w:rsidRPr="007467A2">
              <w:rPr>
                <w:rFonts w:eastAsia="Times New Roman" w:cs="Calibri"/>
                <w:color w:val="000000"/>
                <w:sz w:val="14"/>
                <w:szCs w:val="14"/>
                <w:lang w:eastAsia="es-MX"/>
              </w:rPr>
              <w:t xml:space="preserve"> Ball Correcaminos UAT S.A. de C.V.</w:t>
            </w:r>
          </w:p>
        </w:tc>
        <w:tc>
          <w:tcPr>
            <w:tcW w:w="1872" w:type="dxa"/>
            <w:tcBorders>
              <w:top w:val="nil"/>
              <w:left w:val="nil"/>
              <w:bottom w:val="single" w:sz="4" w:space="0" w:color="auto"/>
              <w:right w:val="single" w:sz="4" w:space="0" w:color="auto"/>
            </w:tcBorders>
            <w:shd w:val="clear" w:color="auto" w:fill="auto"/>
            <w:vAlign w:val="center"/>
            <w:hideMark/>
          </w:tcPr>
          <w:p w14:paraId="2F6ABAE3"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3,616,750</w:t>
            </w:r>
          </w:p>
        </w:tc>
      </w:tr>
      <w:tr w:rsidR="007467A2" w:rsidRPr="007467A2" w14:paraId="3C8D14FF" w14:textId="77777777" w:rsidTr="005A5C62">
        <w:trPr>
          <w:trHeight w:val="255"/>
        </w:trPr>
        <w:tc>
          <w:tcPr>
            <w:tcW w:w="4614" w:type="dxa"/>
            <w:tcBorders>
              <w:top w:val="nil"/>
              <w:left w:val="single" w:sz="4" w:space="0" w:color="auto"/>
              <w:bottom w:val="single" w:sz="4" w:space="0" w:color="auto"/>
              <w:right w:val="single" w:sz="4" w:space="0" w:color="auto"/>
            </w:tcBorders>
            <w:shd w:val="clear" w:color="auto" w:fill="auto"/>
            <w:vAlign w:val="center"/>
            <w:hideMark/>
          </w:tcPr>
          <w:p w14:paraId="3ADB2166" w14:textId="3D9C6F9A" w:rsidR="007467A2" w:rsidRPr="007467A2" w:rsidRDefault="007467A2" w:rsidP="00EC7D22">
            <w:pPr>
              <w:suppressAutoHyphens w:val="0"/>
              <w:overflowPunct/>
              <w:spacing w:after="0" w:line="240" w:lineRule="auto"/>
              <w:jc w:val="both"/>
              <w:rPr>
                <w:rFonts w:eastAsia="Times New Roman" w:cs="Calibri"/>
                <w:color w:val="000000"/>
                <w:sz w:val="14"/>
                <w:szCs w:val="14"/>
                <w:lang w:eastAsia="es-MX"/>
              </w:rPr>
            </w:pPr>
            <w:r w:rsidRPr="007467A2">
              <w:rPr>
                <w:rFonts w:eastAsia="Times New Roman" w:cs="Calibri"/>
                <w:color w:val="000000"/>
                <w:sz w:val="14"/>
                <w:szCs w:val="14"/>
                <w:lang w:eastAsia="es-MX"/>
              </w:rPr>
              <w:t xml:space="preserve">Administración Portuaria Integral de </w:t>
            </w:r>
            <w:r w:rsidR="00125B84" w:rsidRPr="007467A2">
              <w:rPr>
                <w:rFonts w:eastAsia="Times New Roman" w:cs="Calibri"/>
                <w:color w:val="000000"/>
                <w:sz w:val="14"/>
                <w:szCs w:val="14"/>
                <w:lang w:eastAsia="es-MX"/>
              </w:rPr>
              <w:t>Tamaulipas S</w:t>
            </w:r>
            <w:r w:rsidRPr="007467A2">
              <w:rPr>
                <w:rFonts w:eastAsia="Times New Roman" w:cs="Calibri"/>
                <w:color w:val="000000"/>
                <w:sz w:val="14"/>
                <w:szCs w:val="14"/>
                <w:lang w:eastAsia="es-MX"/>
              </w:rPr>
              <w:t>,A, de C.V.</w:t>
            </w:r>
          </w:p>
        </w:tc>
        <w:tc>
          <w:tcPr>
            <w:tcW w:w="1872" w:type="dxa"/>
            <w:tcBorders>
              <w:top w:val="nil"/>
              <w:left w:val="nil"/>
              <w:bottom w:val="single" w:sz="4" w:space="0" w:color="auto"/>
              <w:right w:val="single" w:sz="4" w:space="0" w:color="auto"/>
            </w:tcBorders>
            <w:shd w:val="clear" w:color="auto" w:fill="auto"/>
            <w:vAlign w:val="center"/>
            <w:hideMark/>
          </w:tcPr>
          <w:p w14:paraId="039D1722"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3,647,500</w:t>
            </w:r>
          </w:p>
        </w:tc>
      </w:tr>
      <w:tr w:rsidR="007467A2" w:rsidRPr="007467A2" w14:paraId="2B0E0D7C" w14:textId="77777777" w:rsidTr="005A5C62">
        <w:trPr>
          <w:trHeight w:val="255"/>
        </w:trPr>
        <w:tc>
          <w:tcPr>
            <w:tcW w:w="4614" w:type="dxa"/>
            <w:tcBorders>
              <w:top w:val="nil"/>
              <w:left w:val="single" w:sz="4" w:space="0" w:color="auto"/>
              <w:bottom w:val="single" w:sz="4" w:space="0" w:color="auto"/>
              <w:right w:val="single" w:sz="4" w:space="0" w:color="auto"/>
            </w:tcBorders>
            <w:shd w:val="clear" w:color="auto" w:fill="auto"/>
            <w:vAlign w:val="center"/>
            <w:hideMark/>
          </w:tcPr>
          <w:p w14:paraId="0B6B4378"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Desarrollo Urbano del Puerto Industrial de Altamira S.A. de C.V.</w:t>
            </w:r>
          </w:p>
        </w:tc>
        <w:tc>
          <w:tcPr>
            <w:tcW w:w="1872" w:type="dxa"/>
            <w:tcBorders>
              <w:top w:val="nil"/>
              <w:left w:val="nil"/>
              <w:bottom w:val="single" w:sz="4" w:space="0" w:color="auto"/>
              <w:right w:val="single" w:sz="4" w:space="0" w:color="auto"/>
            </w:tcBorders>
            <w:shd w:val="clear" w:color="auto" w:fill="auto"/>
            <w:vAlign w:val="center"/>
            <w:hideMark/>
          </w:tcPr>
          <w:p w14:paraId="2D081B5A"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187,412</w:t>
            </w:r>
          </w:p>
        </w:tc>
      </w:tr>
      <w:tr w:rsidR="007467A2" w:rsidRPr="007467A2" w14:paraId="74016E2F" w14:textId="77777777" w:rsidTr="005A5C62">
        <w:trPr>
          <w:trHeight w:val="255"/>
        </w:trPr>
        <w:tc>
          <w:tcPr>
            <w:tcW w:w="4614" w:type="dxa"/>
            <w:tcBorders>
              <w:top w:val="nil"/>
              <w:left w:val="single" w:sz="4" w:space="0" w:color="auto"/>
              <w:bottom w:val="single" w:sz="4" w:space="0" w:color="auto"/>
              <w:right w:val="single" w:sz="4" w:space="0" w:color="auto"/>
            </w:tcBorders>
            <w:shd w:val="clear" w:color="auto" w:fill="auto"/>
            <w:vAlign w:val="center"/>
            <w:hideMark/>
          </w:tcPr>
          <w:p w14:paraId="552813F4"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Servicios Aeroportuarios de Tamaulipas, S.A. de C.V.</w:t>
            </w:r>
          </w:p>
        </w:tc>
        <w:tc>
          <w:tcPr>
            <w:tcW w:w="1872" w:type="dxa"/>
            <w:tcBorders>
              <w:top w:val="nil"/>
              <w:left w:val="nil"/>
              <w:bottom w:val="single" w:sz="4" w:space="0" w:color="auto"/>
              <w:right w:val="single" w:sz="4" w:space="0" w:color="auto"/>
            </w:tcBorders>
            <w:shd w:val="clear" w:color="auto" w:fill="auto"/>
            <w:vAlign w:val="center"/>
            <w:hideMark/>
          </w:tcPr>
          <w:p w14:paraId="7D926389"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49,500</w:t>
            </w:r>
          </w:p>
        </w:tc>
      </w:tr>
      <w:tr w:rsidR="007467A2" w:rsidRPr="007467A2" w14:paraId="24255AE2" w14:textId="77777777" w:rsidTr="005A5C62">
        <w:trPr>
          <w:trHeight w:val="255"/>
        </w:trPr>
        <w:tc>
          <w:tcPr>
            <w:tcW w:w="4614" w:type="dxa"/>
            <w:tcBorders>
              <w:top w:val="nil"/>
              <w:left w:val="single" w:sz="4" w:space="0" w:color="auto"/>
              <w:bottom w:val="single" w:sz="4" w:space="0" w:color="auto"/>
              <w:right w:val="single" w:sz="4" w:space="0" w:color="auto"/>
            </w:tcBorders>
            <w:shd w:val="clear" w:color="auto" w:fill="auto"/>
            <w:vAlign w:val="center"/>
            <w:hideMark/>
          </w:tcPr>
          <w:p w14:paraId="75ED052B" w14:textId="77777777" w:rsidR="007467A2" w:rsidRPr="007467A2" w:rsidRDefault="007467A2" w:rsidP="00EC7D22">
            <w:pPr>
              <w:suppressAutoHyphens w:val="0"/>
              <w:overflowPunct/>
              <w:spacing w:after="0" w:line="240" w:lineRule="auto"/>
              <w:jc w:val="both"/>
              <w:rPr>
                <w:rFonts w:eastAsia="Times New Roman" w:cs="Calibri"/>
                <w:color w:val="000000"/>
                <w:sz w:val="14"/>
                <w:szCs w:val="14"/>
                <w:lang w:eastAsia="es-MX"/>
              </w:rPr>
            </w:pPr>
            <w:r w:rsidRPr="007467A2">
              <w:rPr>
                <w:rFonts w:eastAsia="Times New Roman" w:cs="Calibri"/>
                <w:color w:val="000000"/>
                <w:sz w:val="14"/>
                <w:szCs w:val="14"/>
                <w:lang w:eastAsia="es-MX"/>
              </w:rPr>
              <w:t>Textil Altamira</w:t>
            </w:r>
          </w:p>
        </w:tc>
        <w:tc>
          <w:tcPr>
            <w:tcW w:w="1872" w:type="dxa"/>
            <w:tcBorders>
              <w:top w:val="nil"/>
              <w:left w:val="nil"/>
              <w:bottom w:val="single" w:sz="4" w:space="0" w:color="auto"/>
              <w:right w:val="single" w:sz="4" w:space="0" w:color="auto"/>
            </w:tcBorders>
            <w:shd w:val="clear" w:color="auto" w:fill="auto"/>
            <w:vAlign w:val="center"/>
            <w:hideMark/>
          </w:tcPr>
          <w:p w14:paraId="20EC4BD1"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53,088,638</w:t>
            </w:r>
          </w:p>
        </w:tc>
      </w:tr>
      <w:tr w:rsidR="007467A2" w:rsidRPr="007467A2" w14:paraId="3AAB0671" w14:textId="77777777" w:rsidTr="00125B84">
        <w:trPr>
          <w:trHeight w:val="236"/>
        </w:trPr>
        <w:tc>
          <w:tcPr>
            <w:tcW w:w="4614" w:type="dxa"/>
            <w:tcBorders>
              <w:top w:val="nil"/>
              <w:left w:val="single" w:sz="4" w:space="0" w:color="auto"/>
              <w:bottom w:val="single" w:sz="4" w:space="0" w:color="auto"/>
              <w:right w:val="single" w:sz="4" w:space="0" w:color="auto"/>
            </w:tcBorders>
            <w:shd w:val="clear" w:color="F8CBAD" w:fill="DDC9A3"/>
            <w:vAlign w:val="center"/>
            <w:hideMark/>
          </w:tcPr>
          <w:p w14:paraId="481C4E4B" w14:textId="77777777" w:rsidR="007467A2" w:rsidRPr="007467A2" w:rsidRDefault="007467A2" w:rsidP="00EC7D22">
            <w:pPr>
              <w:suppressAutoHyphens w:val="0"/>
              <w:overflowPunct/>
              <w:spacing w:after="0" w:line="240" w:lineRule="auto"/>
              <w:jc w:val="center"/>
              <w:rPr>
                <w:rFonts w:eastAsia="Times New Roman" w:cs="Calibri"/>
                <w:b/>
                <w:bCs/>
                <w:color w:val="000000"/>
                <w:sz w:val="14"/>
                <w:szCs w:val="14"/>
                <w:lang w:eastAsia="es-MX"/>
              </w:rPr>
            </w:pPr>
            <w:r w:rsidRPr="007467A2">
              <w:rPr>
                <w:rFonts w:eastAsia="Times New Roman" w:cs="Calibri"/>
                <w:b/>
                <w:bCs/>
                <w:color w:val="000000"/>
                <w:sz w:val="14"/>
                <w:szCs w:val="14"/>
                <w:lang w:eastAsia="es-MX"/>
              </w:rPr>
              <w:t>TOTAL</w:t>
            </w:r>
          </w:p>
        </w:tc>
        <w:tc>
          <w:tcPr>
            <w:tcW w:w="1872" w:type="dxa"/>
            <w:tcBorders>
              <w:top w:val="nil"/>
              <w:left w:val="nil"/>
              <w:bottom w:val="single" w:sz="4" w:space="0" w:color="auto"/>
              <w:right w:val="single" w:sz="4" w:space="0" w:color="auto"/>
            </w:tcBorders>
            <w:shd w:val="clear" w:color="F8CBAD" w:fill="DDC9A3"/>
            <w:vAlign w:val="center"/>
            <w:hideMark/>
          </w:tcPr>
          <w:p w14:paraId="00F463F3" w14:textId="77777777" w:rsidR="007467A2" w:rsidRPr="007467A2" w:rsidRDefault="007467A2" w:rsidP="00EC7D22">
            <w:pPr>
              <w:suppressAutoHyphens w:val="0"/>
              <w:overflowPunct/>
              <w:spacing w:after="0" w:line="240" w:lineRule="auto"/>
              <w:jc w:val="right"/>
              <w:rPr>
                <w:rFonts w:eastAsia="Times New Roman" w:cs="Calibri"/>
                <w:b/>
                <w:bCs/>
                <w:color w:val="000000"/>
                <w:sz w:val="14"/>
                <w:szCs w:val="14"/>
                <w:lang w:eastAsia="es-MX"/>
              </w:rPr>
            </w:pPr>
            <w:r w:rsidRPr="007467A2">
              <w:rPr>
                <w:rFonts w:eastAsia="Times New Roman" w:cs="Calibri"/>
                <w:b/>
                <w:bCs/>
                <w:color w:val="000000"/>
                <w:sz w:val="14"/>
                <w:szCs w:val="14"/>
                <w:lang w:eastAsia="es-MX"/>
              </w:rPr>
              <w:t>72,829,060</w:t>
            </w:r>
          </w:p>
        </w:tc>
      </w:tr>
      <w:tr w:rsidR="007467A2" w:rsidRPr="007467A2" w14:paraId="569660DA" w14:textId="77777777" w:rsidTr="00125B84">
        <w:trPr>
          <w:trHeight w:val="236"/>
        </w:trPr>
        <w:tc>
          <w:tcPr>
            <w:tcW w:w="4614" w:type="dxa"/>
            <w:tcBorders>
              <w:top w:val="nil"/>
              <w:left w:val="nil"/>
              <w:bottom w:val="nil"/>
              <w:right w:val="nil"/>
            </w:tcBorders>
            <w:shd w:val="clear" w:color="auto" w:fill="auto"/>
            <w:noWrap/>
            <w:vAlign w:val="bottom"/>
            <w:hideMark/>
          </w:tcPr>
          <w:p w14:paraId="4E22FA7D" w14:textId="77777777" w:rsidR="007467A2" w:rsidRPr="007467A2" w:rsidRDefault="007467A2" w:rsidP="00EC7D22">
            <w:pPr>
              <w:suppressAutoHyphens w:val="0"/>
              <w:overflowPunct/>
              <w:spacing w:after="0" w:line="240" w:lineRule="auto"/>
              <w:jc w:val="right"/>
              <w:rPr>
                <w:rFonts w:eastAsia="Times New Roman" w:cs="Calibri"/>
                <w:b/>
                <w:bCs/>
                <w:color w:val="000000"/>
                <w:sz w:val="14"/>
                <w:szCs w:val="14"/>
                <w:lang w:eastAsia="es-MX"/>
              </w:rPr>
            </w:pPr>
          </w:p>
        </w:tc>
        <w:tc>
          <w:tcPr>
            <w:tcW w:w="1872" w:type="dxa"/>
            <w:tcBorders>
              <w:top w:val="nil"/>
              <w:left w:val="nil"/>
              <w:bottom w:val="nil"/>
              <w:right w:val="nil"/>
            </w:tcBorders>
            <w:shd w:val="clear" w:color="auto" w:fill="auto"/>
            <w:noWrap/>
            <w:vAlign w:val="bottom"/>
            <w:hideMark/>
          </w:tcPr>
          <w:p w14:paraId="2EF05FC2" w14:textId="77777777" w:rsidR="007467A2" w:rsidRPr="007467A2" w:rsidRDefault="007467A2" w:rsidP="00EC7D22">
            <w:pPr>
              <w:suppressAutoHyphens w:val="0"/>
              <w:overflowPunct/>
              <w:spacing w:after="0" w:line="240" w:lineRule="auto"/>
              <w:rPr>
                <w:rFonts w:ascii="Times New Roman" w:eastAsia="Times New Roman" w:hAnsi="Times New Roman"/>
                <w:sz w:val="20"/>
                <w:szCs w:val="20"/>
                <w:lang w:eastAsia="es-MX"/>
              </w:rPr>
            </w:pPr>
          </w:p>
        </w:tc>
      </w:tr>
      <w:tr w:rsidR="007467A2" w:rsidRPr="007467A2" w14:paraId="1D4F390D" w14:textId="77777777" w:rsidTr="00125B84">
        <w:trPr>
          <w:trHeight w:val="315"/>
        </w:trPr>
        <w:tc>
          <w:tcPr>
            <w:tcW w:w="4614"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620E810E" w14:textId="77777777" w:rsidR="007467A2" w:rsidRPr="007467A2" w:rsidRDefault="007467A2" w:rsidP="00EC7D22">
            <w:pPr>
              <w:suppressAutoHyphens w:val="0"/>
              <w:overflowPunct/>
              <w:spacing w:after="0" w:line="240" w:lineRule="auto"/>
              <w:jc w:val="center"/>
              <w:rPr>
                <w:rFonts w:eastAsia="Times New Roman" w:cs="Calibri"/>
                <w:b/>
                <w:bCs/>
                <w:color w:val="FFFFFF"/>
                <w:sz w:val="16"/>
                <w:szCs w:val="16"/>
                <w:lang w:eastAsia="es-MX"/>
              </w:rPr>
            </w:pPr>
            <w:r w:rsidRPr="007467A2">
              <w:rPr>
                <w:rFonts w:eastAsia="Times New Roman" w:cs="Calibri"/>
                <w:b/>
                <w:bCs/>
                <w:color w:val="FFFFFF"/>
                <w:sz w:val="16"/>
                <w:szCs w:val="16"/>
                <w:lang w:eastAsia="es-MX"/>
              </w:rPr>
              <w:t>Fideicomisos</w:t>
            </w:r>
          </w:p>
        </w:tc>
        <w:tc>
          <w:tcPr>
            <w:tcW w:w="1872" w:type="dxa"/>
            <w:tcBorders>
              <w:top w:val="single" w:sz="4" w:space="0" w:color="auto"/>
              <w:left w:val="nil"/>
              <w:bottom w:val="single" w:sz="4" w:space="0" w:color="auto"/>
              <w:right w:val="single" w:sz="4" w:space="0" w:color="auto"/>
            </w:tcBorders>
            <w:shd w:val="clear" w:color="800080" w:fill="A90025"/>
            <w:vAlign w:val="center"/>
            <w:hideMark/>
          </w:tcPr>
          <w:p w14:paraId="6179EB92" w14:textId="77777777" w:rsidR="007467A2" w:rsidRPr="007467A2" w:rsidRDefault="007467A2" w:rsidP="00EC7D22">
            <w:pPr>
              <w:suppressAutoHyphens w:val="0"/>
              <w:overflowPunct/>
              <w:spacing w:after="0" w:line="240" w:lineRule="auto"/>
              <w:jc w:val="center"/>
              <w:rPr>
                <w:rFonts w:eastAsia="Times New Roman" w:cs="Calibri"/>
                <w:b/>
                <w:bCs/>
                <w:color w:val="FFFFFF"/>
                <w:sz w:val="16"/>
                <w:szCs w:val="16"/>
                <w:lang w:eastAsia="es-MX"/>
              </w:rPr>
            </w:pPr>
            <w:r w:rsidRPr="007467A2">
              <w:rPr>
                <w:rFonts w:eastAsia="Times New Roman" w:cs="Calibri"/>
                <w:b/>
                <w:bCs/>
                <w:color w:val="FFFFFF"/>
                <w:sz w:val="16"/>
                <w:szCs w:val="16"/>
                <w:lang w:eastAsia="es-MX"/>
              </w:rPr>
              <w:t>Importe</w:t>
            </w:r>
          </w:p>
        </w:tc>
      </w:tr>
      <w:tr w:rsidR="007467A2" w:rsidRPr="007467A2" w14:paraId="7165D958"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034C689D"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Puente Internacional Nuevo Laredo III</w:t>
            </w:r>
          </w:p>
        </w:tc>
        <w:tc>
          <w:tcPr>
            <w:tcW w:w="1872" w:type="dxa"/>
            <w:tcBorders>
              <w:top w:val="nil"/>
              <w:left w:val="nil"/>
              <w:bottom w:val="single" w:sz="4" w:space="0" w:color="auto"/>
              <w:right w:val="single" w:sz="4" w:space="0" w:color="auto"/>
            </w:tcBorders>
            <w:shd w:val="clear" w:color="auto" w:fill="auto"/>
            <w:noWrap/>
            <w:vAlign w:val="bottom"/>
            <w:hideMark/>
          </w:tcPr>
          <w:p w14:paraId="25560E0D"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832,207,461</w:t>
            </w:r>
          </w:p>
        </w:tc>
      </w:tr>
      <w:tr w:rsidR="007467A2" w:rsidRPr="007467A2" w14:paraId="4BA75BB9"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6B5006E4"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Santander 200-3885 (CREDITOS)</w:t>
            </w:r>
          </w:p>
        </w:tc>
        <w:tc>
          <w:tcPr>
            <w:tcW w:w="1872" w:type="dxa"/>
            <w:tcBorders>
              <w:top w:val="nil"/>
              <w:left w:val="nil"/>
              <w:bottom w:val="single" w:sz="4" w:space="0" w:color="auto"/>
              <w:right w:val="single" w:sz="4" w:space="0" w:color="auto"/>
            </w:tcBorders>
            <w:shd w:val="clear" w:color="000000" w:fill="FFFFFF"/>
            <w:noWrap/>
            <w:vAlign w:val="bottom"/>
            <w:hideMark/>
          </w:tcPr>
          <w:p w14:paraId="782557D4"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641,154,802</w:t>
            </w:r>
          </w:p>
        </w:tc>
      </w:tr>
      <w:tr w:rsidR="007467A2" w:rsidRPr="007467A2" w14:paraId="2A297A92"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6E769DD9"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FOFAET</w:t>
            </w:r>
          </w:p>
        </w:tc>
        <w:tc>
          <w:tcPr>
            <w:tcW w:w="1872" w:type="dxa"/>
            <w:tcBorders>
              <w:top w:val="nil"/>
              <w:left w:val="nil"/>
              <w:bottom w:val="single" w:sz="4" w:space="0" w:color="auto"/>
              <w:right w:val="single" w:sz="4" w:space="0" w:color="auto"/>
            </w:tcBorders>
            <w:shd w:val="clear" w:color="auto" w:fill="auto"/>
            <w:noWrap/>
            <w:vAlign w:val="bottom"/>
            <w:hideMark/>
          </w:tcPr>
          <w:p w14:paraId="57927F46"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104,778,936</w:t>
            </w:r>
          </w:p>
        </w:tc>
      </w:tr>
      <w:tr w:rsidR="007467A2" w:rsidRPr="007467A2" w14:paraId="2092C7C3"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144FFA39"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sobre Hospedaje</w:t>
            </w:r>
          </w:p>
        </w:tc>
        <w:tc>
          <w:tcPr>
            <w:tcW w:w="1872" w:type="dxa"/>
            <w:tcBorders>
              <w:top w:val="nil"/>
              <w:left w:val="nil"/>
              <w:bottom w:val="single" w:sz="4" w:space="0" w:color="auto"/>
              <w:right w:val="single" w:sz="4" w:space="0" w:color="auto"/>
            </w:tcBorders>
            <w:shd w:val="clear" w:color="auto" w:fill="auto"/>
            <w:noWrap/>
            <w:vAlign w:val="bottom"/>
            <w:hideMark/>
          </w:tcPr>
          <w:p w14:paraId="5B3F259C"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79,068,061</w:t>
            </w:r>
          </w:p>
        </w:tc>
      </w:tr>
      <w:tr w:rsidR="007467A2" w:rsidRPr="007467A2" w14:paraId="6B640999"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3A064182"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FITABEC</w:t>
            </w:r>
          </w:p>
        </w:tc>
        <w:tc>
          <w:tcPr>
            <w:tcW w:w="1872" w:type="dxa"/>
            <w:tcBorders>
              <w:top w:val="nil"/>
              <w:left w:val="nil"/>
              <w:bottom w:val="single" w:sz="4" w:space="0" w:color="auto"/>
              <w:right w:val="single" w:sz="4" w:space="0" w:color="auto"/>
            </w:tcBorders>
            <w:shd w:val="clear" w:color="auto" w:fill="auto"/>
            <w:noWrap/>
            <w:vAlign w:val="bottom"/>
            <w:hideMark/>
          </w:tcPr>
          <w:p w14:paraId="1D0BDE83"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59,886,309</w:t>
            </w:r>
          </w:p>
        </w:tc>
      </w:tr>
      <w:tr w:rsidR="007467A2" w:rsidRPr="007467A2" w14:paraId="461E3258"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77D133C1"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Tamaulipas para Cobertura de Precios y Agricultura</w:t>
            </w:r>
          </w:p>
        </w:tc>
        <w:tc>
          <w:tcPr>
            <w:tcW w:w="1872" w:type="dxa"/>
            <w:tcBorders>
              <w:top w:val="nil"/>
              <w:left w:val="nil"/>
              <w:bottom w:val="single" w:sz="4" w:space="0" w:color="auto"/>
              <w:right w:val="single" w:sz="4" w:space="0" w:color="auto"/>
            </w:tcBorders>
            <w:shd w:val="clear" w:color="auto" w:fill="auto"/>
            <w:noWrap/>
            <w:vAlign w:val="bottom"/>
            <w:hideMark/>
          </w:tcPr>
          <w:p w14:paraId="2FBB7903"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33,906,804</w:t>
            </w:r>
          </w:p>
        </w:tc>
      </w:tr>
      <w:tr w:rsidR="007467A2" w:rsidRPr="007467A2" w14:paraId="296F4B13"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0F7E3409"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Nuevo Santander</w:t>
            </w:r>
          </w:p>
        </w:tc>
        <w:tc>
          <w:tcPr>
            <w:tcW w:w="1872" w:type="dxa"/>
            <w:tcBorders>
              <w:top w:val="nil"/>
              <w:left w:val="nil"/>
              <w:bottom w:val="single" w:sz="4" w:space="0" w:color="auto"/>
              <w:right w:val="single" w:sz="4" w:space="0" w:color="auto"/>
            </w:tcBorders>
            <w:shd w:val="clear" w:color="auto" w:fill="auto"/>
            <w:noWrap/>
            <w:vAlign w:val="bottom"/>
            <w:hideMark/>
          </w:tcPr>
          <w:p w14:paraId="779EFD7B"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33,511,373</w:t>
            </w:r>
          </w:p>
        </w:tc>
      </w:tr>
      <w:tr w:rsidR="007467A2" w:rsidRPr="007467A2" w14:paraId="0222B85D"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2D9FE741"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Fondo de Desastres Naturales del Estado de Tamaulipas</w:t>
            </w:r>
          </w:p>
        </w:tc>
        <w:tc>
          <w:tcPr>
            <w:tcW w:w="1872" w:type="dxa"/>
            <w:tcBorders>
              <w:top w:val="nil"/>
              <w:left w:val="nil"/>
              <w:bottom w:val="single" w:sz="4" w:space="0" w:color="auto"/>
              <w:right w:val="single" w:sz="4" w:space="0" w:color="auto"/>
            </w:tcBorders>
            <w:shd w:val="clear" w:color="auto" w:fill="auto"/>
            <w:noWrap/>
            <w:vAlign w:val="bottom"/>
            <w:hideMark/>
          </w:tcPr>
          <w:p w14:paraId="6A7769CC"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28,885,007</w:t>
            </w:r>
          </w:p>
        </w:tc>
      </w:tr>
      <w:tr w:rsidR="007467A2" w:rsidRPr="007467A2" w14:paraId="052DCA00"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090787ED"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FOVIMAT</w:t>
            </w:r>
          </w:p>
        </w:tc>
        <w:tc>
          <w:tcPr>
            <w:tcW w:w="1872" w:type="dxa"/>
            <w:tcBorders>
              <w:top w:val="nil"/>
              <w:left w:val="nil"/>
              <w:bottom w:val="single" w:sz="4" w:space="0" w:color="auto"/>
              <w:right w:val="single" w:sz="4" w:space="0" w:color="auto"/>
            </w:tcBorders>
            <w:shd w:val="clear" w:color="auto" w:fill="auto"/>
            <w:noWrap/>
            <w:vAlign w:val="bottom"/>
            <w:hideMark/>
          </w:tcPr>
          <w:p w14:paraId="00F6552A"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27,366,153</w:t>
            </w:r>
          </w:p>
        </w:tc>
      </w:tr>
      <w:tr w:rsidR="007467A2" w:rsidRPr="007467A2" w14:paraId="73AE2398"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48AB0A7E"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Rio Bravo-DONNA</w:t>
            </w:r>
          </w:p>
        </w:tc>
        <w:tc>
          <w:tcPr>
            <w:tcW w:w="1872" w:type="dxa"/>
            <w:tcBorders>
              <w:top w:val="nil"/>
              <w:left w:val="nil"/>
              <w:bottom w:val="single" w:sz="4" w:space="0" w:color="auto"/>
              <w:right w:val="single" w:sz="4" w:space="0" w:color="auto"/>
            </w:tcBorders>
            <w:shd w:val="clear" w:color="auto" w:fill="auto"/>
            <w:noWrap/>
            <w:vAlign w:val="bottom"/>
            <w:hideMark/>
          </w:tcPr>
          <w:p w14:paraId="64BE4D73"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26,228,967</w:t>
            </w:r>
          </w:p>
        </w:tc>
      </w:tr>
      <w:tr w:rsidR="007467A2" w:rsidRPr="007467A2" w14:paraId="23B66D47"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7A9870DB"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para el Desarrollo Forestal Sustentable</w:t>
            </w:r>
          </w:p>
        </w:tc>
        <w:tc>
          <w:tcPr>
            <w:tcW w:w="1872" w:type="dxa"/>
            <w:tcBorders>
              <w:top w:val="nil"/>
              <w:left w:val="nil"/>
              <w:bottom w:val="single" w:sz="4" w:space="0" w:color="auto"/>
              <w:right w:val="single" w:sz="4" w:space="0" w:color="auto"/>
            </w:tcBorders>
            <w:shd w:val="clear" w:color="auto" w:fill="auto"/>
            <w:noWrap/>
            <w:vAlign w:val="bottom"/>
            <w:hideMark/>
          </w:tcPr>
          <w:p w14:paraId="452E7E77"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2,261,598</w:t>
            </w:r>
          </w:p>
        </w:tc>
      </w:tr>
      <w:tr w:rsidR="007467A2" w:rsidRPr="007467A2" w14:paraId="1308FFDE"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288B12AA"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Fondo de Capitalidad</w:t>
            </w:r>
          </w:p>
        </w:tc>
        <w:tc>
          <w:tcPr>
            <w:tcW w:w="1872" w:type="dxa"/>
            <w:tcBorders>
              <w:top w:val="nil"/>
              <w:left w:val="nil"/>
              <w:bottom w:val="single" w:sz="4" w:space="0" w:color="auto"/>
              <w:right w:val="single" w:sz="4" w:space="0" w:color="auto"/>
            </w:tcBorders>
            <w:shd w:val="clear" w:color="auto" w:fill="auto"/>
            <w:noWrap/>
            <w:vAlign w:val="bottom"/>
            <w:hideMark/>
          </w:tcPr>
          <w:p w14:paraId="7A57BD60"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238,898,875</w:t>
            </w:r>
          </w:p>
        </w:tc>
      </w:tr>
      <w:tr w:rsidR="007467A2" w:rsidRPr="007467A2" w14:paraId="11AF06F1"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5B4CA204"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de Garantía Agropecuaria</w:t>
            </w:r>
          </w:p>
        </w:tc>
        <w:tc>
          <w:tcPr>
            <w:tcW w:w="1872" w:type="dxa"/>
            <w:tcBorders>
              <w:top w:val="nil"/>
              <w:left w:val="nil"/>
              <w:bottom w:val="single" w:sz="4" w:space="0" w:color="auto"/>
              <w:right w:val="single" w:sz="4" w:space="0" w:color="auto"/>
            </w:tcBorders>
            <w:shd w:val="clear" w:color="auto" w:fill="auto"/>
            <w:noWrap/>
            <w:vAlign w:val="bottom"/>
            <w:hideMark/>
          </w:tcPr>
          <w:p w14:paraId="25F06067"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3,662,465</w:t>
            </w:r>
          </w:p>
        </w:tc>
      </w:tr>
      <w:tr w:rsidR="007467A2" w:rsidRPr="007467A2" w14:paraId="39B31D06"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02AA15E2"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 xml:space="preserve">Fideicomiso </w:t>
            </w:r>
            <w:proofErr w:type="spellStart"/>
            <w:r w:rsidRPr="007467A2">
              <w:rPr>
                <w:rFonts w:eastAsia="Times New Roman" w:cs="Calibri"/>
                <w:color w:val="000000"/>
                <w:sz w:val="14"/>
                <w:szCs w:val="14"/>
                <w:lang w:eastAsia="es-MX"/>
              </w:rPr>
              <w:t>Banregio</w:t>
            </w:r>
            <w:proofErr w:type="spellEnd"/>
            <w:r w:rsidRPr="007467A2">
              <w:rPr>
                <w:rFonts w:eastAsia="Times New Roman" w:cs="Calibri"/>
                <w:color w:val="000000"/>
                <w:sz w:val="14"/>
                <w:szCs w:val="14"/>
                <w:lang w:eastAsia="es-MX"/>
              </w:rPr>
              <w:t xml:space="preserve"> 851-00901 (CREDITOS)</w:t>
            </w:r>
          </w:p>
        </w:tc>
        <w:tc>
          <w:tcPr>
            <w:tcW w:w="1872" w:type="dxa"/>
            <w:tcBorders>
              <w:top w:val="nil"/>
              <w:left w:val="nil"/>
              <w:bottom w:val="single" w:sz="4" w:space="0" w:color="auto"/>
              <w:right w:val="single" w:sz="4" w:space="0" w:color="auto"/>
            </w:tcBorders>
            <w:shd w:val="clear" w:color="auto" w:fill="auto"/>
            <w:noWrap/>
            <w:vAlign w:val="bottom"/>
            <w:hideMark/>
          </w:tcPr>
          <w:p w14:paraId="521639C5"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3,398,329</w:t>
            </w:r>
          </w:p>
        </w:tc>
      </w:tr>
      <w:tr w:rsidR="007467A2" w:rsidRPr="007467A2" w14:paraId="4A0EE562"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276D5396"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Cd. Judicial</w:t>
            </w:r>
          </w:p>
        </w:tc>
        <w:tc>
          <w:tcPr>
            <w:tcW w:w="1872" w:type="dxa"/>
            <w:tcBorders>
              <w:top w:val="nil"/>
              <w:left w:val="nil"/>
              <w:bottom w:val="single" w:sz="4" w:space="0" w:color="auto"/>
              <w:right w:val="single" w:sz="4" w:space="0" w:color="auto"/>
            </w:tcBorders>
            <w:shd w:val="clear" w:color="auto" w:fill="auto"/>
            <w:noWrap/>
            <w:vAlign w:val="bottom"/>
            <w:hideMark/>
          </w:tcPr>
          <w:p w14:paraId="282C6441"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66,009,540</w:t>
            </w:r>
          </w:p>
        </w:tc>
      </w:tr>
      <w:tr w:rsidR="007467A2" w:rsidRPr="007467A2" w14:paraId="65E11471"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3882BD4A"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FIPAC</w:t>
            </w:r>
          </w:p>
        </w:tc>
        <w:tc>
          <w:tcPr>
            <w:tcW w:w="1872" w:type="dxa"/>
            <w:tcBorders>
              <w:top w:val="nil"/>
              <w:left w:val="nil"/>
              <w:bottom w:val="single" w:sz="4" w:space="0" w:color="auto"/>
              <w:right w:val="single" w:sz="4" w:space="0" w:color="auto"/>
            </w:tcBorders>
            <w:shd w:val="clear" w:color="auto" w:fill="auto"/>
            <w:noWrap/>
            <w:vAlign w:val="bottom"/>
            <w:hideMark/>
          </w:tcPr>
          <w:p w14:paraId="0AA48DD0"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2,670,963</w:t>
            </w:r>
          </w:p>
        </w:tc>
      </w:tr>
      <w:tr w:rsidR="007467A2" w:rsidRPr="007467A2" w14:paraId="58497A10"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06DA0F84"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Tecnologías Educativas</w:t>
            </w:r>
          </w:p>
        </w:tc>
        <w:tc>
          <w:tcPr>
            <w:tcW w:w="1872" w:type="dxa"/>
            <w:tcBorders>
              <w:top w:val="nil"/>
              <w:left w:val="nil"/>
              <w:bottom w:val="single" w:sz="4" w:space="0" w:color="auto"/>
              <w:right w:val="single" w:sz="4" w:space="0" w:color="auto"/>
            </w:tcBorders>
            <w:shd w:val="clear" w:color="auto" w:fill="auto"/>
            <w:noWrap/>
            <w:vAlign w:val="bottom"/>
            <w:hideMark/>
          </w:tcPr>
          <w:p w14:paraId="7691F3F8"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2,517,537</w:t>
            </w:r>
          </w:p>
        </w:tc>
      </w:tr>
      <w:tr w:rsidR="007467A2" w:rsidRPr="007467A2" w14:paraId="63A479CE"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15DC9327"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Garantía Liquida Solidaria</w:t>
            </w:r>
          </w:p>
        </w:tc>
        <w:tc>
          <w:tcPr>
            <w:tcW w:w="1872" w:type="dxa"/>
            <w:tcBorders>
              <w:top w:val="nil"/>
              <w:left w:val="nil"/>
              <w:bottom w:val="single" w:sz="4" w:space="0" w:color="auto"/>
              <w:right w:val="single" w:sz="4" w:space="0" w:color="auto"/>
            </w:tcBorders>
            <w:shd w:val="clear" w:color="auto" w:fill="auto"/>
            <w:noWrap/>
            <w:vAlign w:val="bottom"/>
            <w:hideMark/>
          </w:tcPr>
          <w:p w14:paraId="4A0602C1"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1,456,027</w:t>
            </w:r>
          </w:p>
        </w:tc>
      </w:tr>
      <w:tr w:rsidR="007467A2" w:rsidRPr="007467A2" w14:paraId="2404AABE"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37E1CFEB"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Puerto Seco</w:t>
            </w:r>
          </w:p>
        </w:tc>
        <w:tc>
          <w:tcPr>
            <w:tcW w:w="1872" w:type="dxa"/>
            <w:tcBorders>
              <w:top w:val="nil"/>
              <w:left w:val="nil"/>
              <w:bottom w:val="single" w:sz="4" w:space="0" w:color="auto"/>
              <w:right w:val="single" w:sz="4" w:space="0" w:color="auto"/>
            </w:tcBorders>
            <w:shd w:val="clear" w:color="auto" w:fill="auto"/>
            <w:noWrap/>
            <w:vAlign w:val="bottom"/>
            <w:hideMark/>
          </w:tcPr>
          <w:p w14:paraId="6CF23C6A"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1,029,283</w:t>
            </w:r>
          </w:p>
        </w:tc>
      </w:tr>
      <w:tr w:rsidR="007467A2" w:rsidRPr="007467A2" w14:paraId="68850E30"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6216F4CB"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Fondo Metropolitano de Matamoros</w:t>
            </w:r>
          </w:p>
        </w:tc>
        <w:tc>
          <w:tcPr>
            <w:tcW w:w="1872" w:type="dxa"/>
            <w:tcBorders>
              <w:top w:val="nil"/>
              <w:left w:val="nil"/>
              <w:bottom w:val="single" w:sz="4" w:space="0" w:color="auto"/>
              <w:right w:val="single" w:sz="4" w:space="0" w:color="auto"/>
            </w:tcBorders>
            <w:shd w:val="clear" w:color="auto" w:fill="auto"/>
            <w:noWrap/>
            <w:vAlign w:val="bottom"/>
            <w:hideMark/>
          </w:tcPr>
          <w:p w14:paraId="25B9EB4F"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646,867</w:t>
            </w:r>
          </w:p>
        </w:tc>
      </w:tr>
      <w:tr w:rsidR="007467A2" w:rsidRPr="007467A2" w14:paraId="604AB5A5"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537E3522" w14:textId="187B9975"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 xml:space="preserve">Fideicomiso de Administración y Fuente de Pago APP </w:t>
            </w:r>
          </w:p>
        </w:tc>
        <w:tc>
          <w:tcPr>
            <w:tcW w:w="1872" w:type="dxa"/>
            <w:tcBorders>
              <w:top w:val="nil"/>
              <w:left w:val="nil"/>
              <w:bottom w:val="single" w:sz="4" w:space="0" w:color="auto"/>
              <w:right w:val="single" w:sz="4" w:space="0" w:color="auto"/>
            </w:tcBorders>
            <w:shd w:val="clear" w:color="auto" w:fill="auto"/>
            <w:noWrap/>
            <w:vAlign w:val="bottom"/>
            <w:hideMark/>
          </w:tcPr>
          <w:p w14:paraId="2BC93032"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519,163</w:t>
            </w:r>
          </w:p>
        </w:tc>
      </w:tr>
      <w:tr w:rsidR="007467A2" w:rsidRPr="007467A2" w14:paraId="60AE29F1"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2D275FB9"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del Corredor Económico del Norte</w:t>
            </w:r>
          </w:p>
        </w:tc>
        <w:tc>
          <w:tcPr>
            <w:tcW w:w="1872" w:type="dxa"/>
            <w:tcBorders>
              <w:top w:val="nil"/>
              <w:left w:val="nil"/>
              <w:bottom w:val="single" w:sz="4" w:space="0" w:color="auto"/>
              <w:right w:val="single" w:sz="4" w:space="0" w:color="auto"/>
            </w:tcBorders>
            <w:shd w:val="clear" w:color="auto" w:fill="auto"/>
            <w:noWrap/>
            <w:vAlign w:val="bottom"/>
            <w:hideMark/>
          </w:tcPr>
          <w:p w14:paraId="5A8FFB72"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206,652</w:t>
            </w:r>
          </w:p>
        </w:tc>
      </w:tr>
      <w:tr w:rsidR="007467A2" w:rsidRPr="007467A2" w14:paraId="3F4A7A80"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148BE11D" w14:textId="1559D78B"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Centro Histórico De Tampico</w:t>
            </w:r>
          </w:p>
        </w:tc>
        <w:tc>
          <w:tcPr>
            <w:tcW w:w="1872" w:type="dxa"/>
            <w:tcBorders>
              <w:top w:val="nil"/>
              <w:left w:val="nil"/>
              <w:bottom w:val="single" w:sz="4" w:space="0" w:color="auto"/>
              <w:right w:val="single" w:sz="4" w:space="0" w:color="auto"/>
            </w:tcBorders>
            <w:shd w:val="clear" w:color="auto" w:fill="auto"/>
            <w:noWrap/>
            <w:vAlign w:val="bottom"/>
            <w:hideMark/>
          </w:tcPr>
          <w:p w14:paraId="5547D1DA"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17,763</w:t>
            </w:r>
          </w:p>
        </w:tc>
      </w:tr>
      <w:tr w:rsidR="007467A2" w:rsidRPr="007467A2" w14:paraId="19D2E4B1"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274A6654"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Mante-Ocampo-Tula</w:t>
            </w:r>
          </w:p>
        </w:tc>
        <w:tc>
          <w:tcPr>
            <w:tcW w:w="1872" w:type="dxa"/>
            <w:tcBorders>
              <w:top w:val="nil"/>
              <w:left w:val="nil"/>
              <w:bottom w:val="single" w:sz="4" w:space="0" w:color="auto"/>
              <w:right w:val="single" w:sz="4" w:space="0" w:color="auto"/>
            </w:tcBorders>
            <w:shd w:val="clear" w:color="auto" w:fill="auto"/>
            <w:noWrap/>
            <w:vAlign w:val="bottom"/>
            <w:hideMark/>
          </w:tcPr>
          <w:p w14:paraId="6C447895"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16,027</w:t>
            </w:r>
          </w:p>
        </w:tc>
      </w:tr>
      <w:tr w:rsidR="007467A2" w:rsidRPr="007467A2" w14:paraId="03DBB679"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4A9C17D1"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 xml:space="preserve">Fideicomiso Para el Desarrollo Comercial Ignacio Zaragoza </w:t>
            </w:r>
          </w:p>
        </w:tc>
        <w:tc>
          <w:tcPr>
            <w:tcW w:w="1872" w:type="dxa"/>
            <w:tcBorders>
              <w:top w:val="nil"/>
              <w:left w:val="nil"/>
              <w:bottom w:val="single" w:sz="4" w:space="0" w:color="auto"/>
              <w:right w:val="single" w:sz="4" w:space="0" w:color="auto"/>
            </w:tcBorders>
            <w:shd w:val="clear" w:color="auto" w:fill="auto"/>
            <w:noWrap/>
            <w:vAlign w:val="bottom"/>
            <w:hideMark/>
          </w:tcPr>
          <w:p w14:paraId="614A8BA2"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7,102</w:t>
            </w:r>
          </w:p>
        </w:tc>
      </w:tr>
      <w:tr w:rsidR="007467A2" w:rsidRPr="007467A2" w14:paraId="53BBDFB3"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1EF3F3A9"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 xml:space="preserve">Fideicomiso Centro Histórico De Matamoros </w:t>
            </w:r>
          </w:p>
        </w:tc>
        <w:tc>
          <w:tcPr>
            <w:tcW w:w="1872" w:type="dxa"/>
            <w:tcBorders>
              <w:top w:val="nil"/>
              <w:left w:val="nil"/>
              <w:bottom w:val="single" w:sz="4" w:space="0" w:color="auto"/>
              <w:right w:val="single" w:sz="4" w:space="0" w:color="auto"/>
            </w:tcBorders>
            <w:shd w:val="clear" w:color="auto" w:fill="auto"/>
            <w:noWrap/>
            <w:vAlign w:val="bottom"/>
            <w:hideMark/>
          </w:tcPr>
          <w:p w14:paraId="0FD75A9D"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3,922</w:t>
            </w:r>
          </w:p>
        </w:tc>
      </w:tr>
      <w:tr w:rsidR="007467A2" w:rsidRPr="007467A2" w14:paraId="299E9F7D"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bottom"/>
            <w:hideMark/>
          </w:tcPr>
          <w:p w14:paraId="6981A560" w14:textId="77777777"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Fideicomisos Nuestros Niños Nuestro Futuro</w:t>
            </w:r>
          </w:p>
        </w:tc>
        <w:tc>
          <w:tcPr>
            <w:tcW w:w="1872" w:type="dxa"/>
            <w:tcBorders>
              <w:top w:val="nil"/>
              <w:left w:val="nil"/>
              <w:bottom w:val="single" w:sz="4" w:space="0" w:color="auto"/>
              <w:right w:val="single" w:sz="4" w:space="0" w:color="auto"/>
            </w:tcBorders>
            <w:shd w:val="clear" w:color="auto" w:fill="auto"/>
            <w:noWrap/>
            <w:vAlign w:val="bottom"/>
            <w:hideMark/>
          </w:tcPr>
          <w:p w14:paraId="2DB23B6D"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2,850</w:t>
            </w:r>
          </w:p>
        </w:tc>
      </w:tr>
      <w:tr w:rsidR="007467A2" w:rsidRPr="007467A2" w14:paraId="168A36A1" w14:textId="77777777" w:rsidTr="00125B84">
        <w:trPr>
          <w:trHeight w:val="257"/>
        </w:trPr>
        <w:tc>
          <w:tcPr>
            <w:tcW w:w="4614" w:type="dxa"/>
            <w:tcBorders>
              <w:top w:val="nil"/>
              <w:left w:val="single" w:sz="4" w:space="0" w:color="auto"/>
              <w:bottom w:val="single" w:sz="4" w:space="0" w:color="auto"/>
              <w:right w:val="single" w:sz="4" w:space="0" w:color="auto"/>
            </w:tcBorders>
            <w:shd w:val="clear" w:color="auto" w:fill="auto"/>
            <w:noWrap/>
            <w:vAlign w:val="center"/>
            <w:hideMark/>
          </w:tcPr>
          <w:p w14:paraId="45593E8C" w14:textId="6FB6D74F" w:rsidR="007467A2" w:rsidRPr="007467A2" w:rsidRDefault="007467A2" w:rsidP="00EC7D22">
            <w:pPr>
              <w:suppressAutoHyphens w:val="0"/>
              <w:overflowPunct/>
              <w:spacing w:after="0" w:line="240" w:lineRule="auto"/>
              <w:rPr>
                <w:rFonts w:eastAsia="Times New Roman" w:cs="Calibri"/>
                <w:color w:val="000000"/>
                <w:sz w:val="14"/>
                <w:szCs w:val="14"/>
                <w:lang w:eastAsia="es-MX"/>
              </w:rPr>
            </w:pPr>
            <w:r w:rsidRPr="007467A2">
              <w:rPr>
                <w:rFonts w:eastAsia="Times New Roman" w:cs="Calibri"/>
                <w:color w:val="000000"/>
                <w:sz w:val="14"/>
                <w:szCs w:val="14"/>
                <w:lang w:eastAsia="es-MX"/>
              </w:rPr>
              <w:t>Fideicomiso Maestro Irrevocable de A</w:t>
            </w:r>
            <w:r w:rsidR="00125B84">
              <w:rPr>
                <w:rFonts w:eastAsia="Times New Roman" w:cs="Calibri"/>
                <w:color w:val="000000"/>
                <w:sz w:val="14"/>
                <w:szCs w:val="14"/>
                <w:lang w:eastAsia="es-MX"/>
              </w:rPr>
              <w:t xml:space="preserve">dministración </w:t>
            </w:r>
            <w:r w:rsidRPr="007467A2">
              <w:rPr>
                <w:rFonts w:eastAsia="Times New Roman" w:cs="Calibri"/>
                <w:color w:val="000000"/>
                <w:sz w:val="14"/>
                <w:szCs w:val="14"/>
                <w:lang w:eastAsia="es-MX"/>
              </w:rPr>
              <w:t>y Fuente de Pago</w:t>
            </w:r>
          </w:p>
        </w:tc>
        <w:tc>
          <w:tcPr>
            <w:tcW w:w="1872" w:type="dxa"/>
            <w:tcBorders>
              <w:top w:val="nil"/>
              <w:left w:val="nil"/>
              <w:bottom w:val="single" w:sz="4" w:space="0" w:color="auto"/>
              <w:right w:val="single" w:sz="4" w:space="0" w:color="auto"/>
            </w:tcBorders>
            <w:shd w:val="clear" w:color="auto" w:fill="auto"/>
            <w:noWrap/>
            <w:vAlign w:val="bottom"/>
            <w:hideMark/>
          </w:tcPr>
          <w:p w14:paraId="0BC16D49"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418</w:t>
            </w:r>
          </w:p>
        </w:tc>
      </w:tr>
      <w:tr w:rsidR="007467A2" w:rsidRPr="007467A2" w14:paraId="685E0358" w14:textId="77777777" w:rsidTr="00125B84">
        <w:trPr>
          <w:trHeight w:val="236"/>
        </w:trPr>
        <w:tc>
          <w:tcPr>
            <w:tcW w:w="4614" w:type="dxa"/>
            <w:tcBorders>
              <w:top w:val="nil"/>
              <w:left w:val="single" w:sz="4" w:space="0" w:color="auto"/>
              <w:bottom w:val="single" w:sz="4" w:space="0" w:color="auto"/>
              <w:right w:val="single" w:sz="4" w:space="0" w:color="auto"/>
            </w:tcBorders>
            <w:shd w:val="clear" w:color="F8CBAD" w:fill="DDC9A3"/>
            <w:vAlign w:val="center"/>
            <w:hideMark/>
          </w:tcPr>
          <w:p w14:paraId="4F5E7F4D" w14:textId="77777777" w:rsidR="007467A2" w:rsidRPr="007467A2" w:rsidRDefault="007467A2" w:rsidP="00EC7D22">
            <w:pPr>
              <w:suppressAutoHyphens w:val="0"/>
              <w:overflowPunct/>
              <w:spacing w:after="0" w:line="240" w:lineRule="auto"/>
              <w:jc w:val="center"/>
              <w:rPr>
                <w:rFonts w:eastAsia="Times New Roman" w:cs="Calibri"/>
                <w:b/>
                <w:bCs/>
                <w:color w:val="000000"/>
                <w:sz w:val="14"/>
                <w:szCs w:val="14"/>
                <w:lang w:eastAsia="es-MX"/>
              </w:rPr>
            </w:pPr>
            <w:r w:rsidRPr="007467A2">
              <w:rPr>
                <w:rFonts w:eastAsia="Times New Roman" w:cs="Calibri"/>
                <w:b/>
                <w:bCs/>
                <w:color w:val="000000"/>
                <w:sz w:val="14"/>
                <w:szCs w:val="14"/>
                <w:lang w:eastAsia="es-MX"/>
              </w:rPr>
              <w:t>TOTAL</w:t>
            </w:r>
          </w:p>
        </w:tc>
        <w:tc>
          <w:tcPr>
            <w:tcW w:w="1872" w:type="dxa"/>
            <w:tcBorders>
              <w:top w:val="nil"/>
              <w:left w:val="nil"/>
              <w:bottom w:val="single" w:sz="4" w:space="0" w:color="auto"/>
              <w:right w:val="single" w:sz="4" w:space="0" w:color="auto"/>
            </w:tcBorders>
            <w:shd w:val="clear" w:color="F8CBAD" w:fill="DDC9A3"/>
            <w:vAlign w:val="center"/>
            <w:hideMark/>
          </w:tcPr>
          <w:p w14:paraId="77468B61" w14:textId="77777777" w:rsidR="007467A2" w:rsidRPr="007467A2" w:rsidRDefault="007467A2" w:rsidP="00EC7D22">
            <w:pPr>
              <w:suppressAutoHyphens w:val="0"/>
              <w:overflowPunct/>
              <w:spacing w:after="0" w:line="240" w:lineRule="auto"/>
              <w:jc w:val="right"/>
              <w:rPr>
                <w:rFonts w:eastAsia="Times New Roman" w:cs="Calibri"/>
                <w:b/>
                <w:bCs/>
                <w:color w:val="000000"/>
                <w:sz w:val="14"/>
                <w:szCs w:val="14"/>
                <w:lang w:eastAsia="es-MX"/>
              </w:rPr>
            </w:pPr>
            <w:r w:rsidRPr="007467A2">
              <w:rPr>
                <w:rFonts w:eastAsia="Times New Roman" w:cs="Calibri"/>
                <w:b/>
                <w:bCs/>
                <w:color w:val="000000"/>
                <w:sz w:val="14"/>
                <w:szCs w:val="14"/>
                <w:lang w:eastAsia="es-MX"/>
              </w:rPr>
              <w:t>2,190,319,252</w:t>
            </w:r>
          </w:p>
        </w:tc>
      </w:tr>
    </w:tbl>
    <w:p w14:paraId="122D7426" w14:textId="77777777" w:rsidR="007745EB" w:rsidRDefault="007745EB" w:rsidP="00EC7D22">
      <w:pPr>
        <w:pStyle w:val="Texto"/>
        <w:spacing w:after="0" w:line="276" w:lineRule="auto"/>
        <w:ind w:firstLine="0"/>
        <w:rPr>
          <w:rFonts w:ascii="Calibri" w:hAnsi="Calibri" w:cs="Calibri"/>
          <w:szCs w:val="18"/>
          <w:lang w:val="es-MX"/>
        </w:rPr>
      </w:pPr>
    </w:p>
    <w:p w14:paraId="0BA56601" w14:textId="45B5EA2B" w:rsidR="007745EB" w:rsidRPr="00820E37" w:rsidRDefault="00C87FDA" w:rsidP="00EC7D22">
      <w:pPr>
        <w:pStyle w:val="Texto"/>
        <w:numPr>
          <w:ilvl w:val="0"/>
          <w:numId w:val="20"/>
        </w:numPr>
        <w:spacing w:after="0" w:line="240" w:lineRule="exact"/>
        <w:ind w:left="0" w:firstLine="0"/>
        <w:rPr>
          <w:rFonts w:ascii="Calibri" w:hAnsi="Calibri" w:cs="Calibri"/>
          <w:sz w:val="20"/>
          <w:lang w:val="es-MX"/>
        </w:rPr>
      </w:pPr>
      <w:r w:rsidRPr="00820E37">
        <w:rPr>
          <w:rFonts w:ascii="Calibri" w:hAnsi="Calibri" w:cs="Calibri"/>
          <w:sz w:val="20"/>
          <w:lang w:val="es-MX"/>
        </w:rPr>
        <w:t>También se refleja un incremento en las Participaciones y Aportaciones de Capital por $</w:t>
      </w:r>
      <w:r w:rsidR="00AD0509">
        <w:rPr>
          <w:rFonts w:ascii="Calibri" w:hAnsi="Calibri" w:cs="Calibri"/>
          <w:sz w:val="20"/>
          <w:lang w:val="es-MX"/>
        </w:rPr>
        <w:t>275,614,12</w:t>
      </w:r>
      <w:r w:rsidR="00125B84">
        <w:rPr>
          <w:rFonts w:ascii="Calibri" w:hAnsi="Calibri" w:cs="Calibri"/>
          <w:sz w:val="20"/>
          <w:lang w:val="es-MX"/>
        </w:rPr>
        <w:t>1</w:t>
      </w:r>
      <w:r w:rsidR="00C762E3">
        <w:rPr>
          <w:rFonts w:ascii="Calibri" w:hAnsi="Calibri" w:cs="Calibri"/>
          <w:sz w:val="20"/>
          <w:lang w:val="es-MX"/>
        </w:rPr>
        <w:t xml:space="preserve">, </w:t>
      </w:r>
      <w:r w:rsidRPr="00820E37">
        <w:rPr>
          <w:rFonts w:ascii="Calibri" w:hAnsi="Calibri" w:cs="Calibri"/>
          <w:sz w:val="20"/>
          <w:lang w:val="es-MX"/>
        </w:rPr>
        <w:t>cantidad que corresponde a las aportaciones entregadas a la empresa Promotora para el Desarrollo de Tamaulipas S.A. de C.V. por $</w:t>
      </w:r>
      <w:r w:rsidR="00AD0509">
        <w:rPr>
          <w:rFonts w:ascii="Calibri" w:hAnsi="Calibri" w:cs="Calibri"/>
          <w:sz w:val="20"/>
          <w:lang w:val="es-MX"/>
        </w:rPr>
        <w:t>170,671,164</w:t>
      </w:r>
      <w:r w:rsidRPr="00820E37">
        <w:rPr>
          <w:rFonts w:ascii="Calibri" w:hAnsi="Calibri" w:cs="Calibri"/>
          <w:sz w:val="20"/>
          <w:lang w:val="es-MX"/>
        </w:rPr>
        <w:t>., y la Paraestatal Administración Portuaria Integral de Tamaulipas S.A. de C.V. por $</w:t>
      </w:r>
      <w:r w:rsidR="00AD0509">
        <w:rPr>
          <w:rFonts w:ascii="Calibri" w:hAnsi="Calibri" w:cs="Calibri"/>
          <w:sz w:val="20"/>
          <w:lang w:val="es-MX"/>
        </w:rPr>
        <w:t>104,942,956</w:t>
      </w:r>
      <w:r w:rsidRPr="00820E37">
        <w:rPr>
          <w:rFonts w:ascii="Calibri" w:hAnsi="Calibri" w:cs="Calibri"/>
          <w:sz w:val="20"/>
          <w:lang w:val="es-MX"/>
        </w:rPr>
        <w:t>., dichas aportaciones serán consideradas para futuros incrementos de capital, a la fecha reflejan los saldos siguientes:</w:t>
      </w:r>
    </w:p>
    <w:p w14:paraId="33E261A3" w14:textId="77777777" w:rsidR="007745EB" w:rsidRDefault="007745EB" w:rsidP="00EC7D22">
      <w:pPr>
        <w:pStyle w:val="Texto"/>
        <w:spacing w:after="0" w:line="240" w:lineRule="exact"/>
        <w:ind w:firstLine="0"/>
        <w:rPr>
          <w:rFonts w:ascii="Calibri" w:hAnsi="Calibri" w:cs="Calibri"/>
          <w:szCs w:val="18"/>
          <w:lang w:val="es-MX"/>
        </w:rPr>
      </w:pPr>
    </w:p>
    <w:tbl>
      <w:tblPr>
        <w:tblW w:w="7834" w:type="dxa"/>
        <w:tblCellMar>
          <w:left w:w="70" w:type="dxa"/>
          <w:right w:w="70" w:type="dxa"/>
        </w:tblCellMar>
        <w:tblLook w:val="04A0" w:firstRow="1" w:lastRow="0" w:firstColumn="1" w:lastColumn="0" w:noHBand="0" w:noVBand="1"/>
      </w:tblPr>
      <w:tblGrid>
        <w:gridCol w:w="3643"/>
        <w:gridCol w:w="1455"/>
        <w:gridCol w:w="1417"/>
        <w:gridCol w:w="1303"/>
        <w:gridCol w:w="16"/>
      </w:tblGrid>
      <w:tr w:rsidR="00125B84" w:rsidRPr="005A5C62" w14:paraId="5E47A013" w14:textId="77777777" w:rsidTr="00E1121C">
        <w:trPr>
          <w:trHeight w:val="227"/>
        </w:trPr>
        <w:tc>
          <w:tcPr>
            <w:tcW w:w="3643" w:type="dxa"/>
            <w:vMerge w:val="restart"/>
            <w:tcBorders>
              <w:top w:val="single" w:sz="4" w:space="0" w:color="auto"/>
              <w:left w:val="single" w:sz="4" w:space="0" w:color="auto"/>
              <w:bottom w:val="single" w:sz="4" w:space="0" w:color="000000"/>
              <w:right w:val="single" w:sz="4" w:space="0" w:color="auto"/>
            </w:tcBorders>
            <w:shd w:val="clear" w:color="800080" w:fill="A90025"/>
            <w:vAlign w:val="center"/>
            <w:hideMark/>
          </w:tcPr>
          <w:p w14:paraId="54990407" w14:textId="77777777" w:rsidR="00125B84" w:rsidRPr="005A5C62" w:rsidRDefault="00125B84" w:rsidP="00EC7D22">
            <w:pPr>
              <w:suppressAutoHyphens w:val="0"/>
              <w:overflowPunct/>
              <w:spacing w:after="0" w:line="240" w:lineRule="auto"/>
              <w:jc w:val="center"/>
              <w:rPr>
                <w:rFonts w:eastAsia="Times New Roman" w:cs="Calibri"/>
                <w:b/>
                <w:bCs/>
                <w:color w:val="FFFFFF"/>
                <w:sz w:val="14"/>
                <w:szCs w:val="14"/>
                <w:lang w:eastAsia="es-MX"/>
              </w:rPr>
            </w:pPr>
            <w:r w:rsidRPr="005A5C62">
              <w:rPr>
                <w:rFonts w:eastAsia="Times New Roman" w:cs="Calibri"/>
                <w:b/>
                <w:bCs/>
                <w:color w:val="FFFFFF"/>
                <w:sz w:val="14"/>
                <w:szCs w:val="14"/>
                <w:lang w:eastAsia="es-MX"/>
              </w:rPr>
              <w:t>Participaciones y Aportaciones</w:t>
            </w:r>
          </w:p>
        </w:tc>
        <w:tc>
          <w:tcPr>
            <w:tcW w:w="4191" w:type="dxa"/>
            <w:gridSpan w:val="4"/>
            <w:tcBorders>
              <w:top w:val="nil"/>
              <w:left w:val="nil"/>
              <w:bottom w:val="nil"/>
              <w:right w:val="nil"/>
            </w:tcBorders>
            <w:shd w:val="clear" w:color="800080" w:fill="A90025"/>
            <w:vAlign w:val="center"/>
            <w:hideMark/>
          </w:tcPr>
          <w:p w14:paraId="0D3C52F8" w14:textId="77777777" w:rsidR="00125B84" w:rsidRPr="005A5C62" w:rsidRDefault="00125B84" w:rsidP="00EC7D22">
            <w:pPr>
              <w:suppressAutoHyphens w:val="0"/>
              <w:overflowPunct/>
              <w:spacing w:after="0" w:line="240" w:lineRule="auto"/>
              <w:jc w:val="center"/>
              <w:rPr>
                <w:rFonts w:eastAsia="Times New Roman" w:cs="Calibri"/>
                <w:b/>
                <w:bCs/>
                <w:color w:val="FFFFFF"/>
                <w:sz w:val="14"/>
                <w:szCs w:val="14"/>
                <w:lang w:eastAsia="es-MX"/>
              </w:rPr>
            </w:pPr>
            <w:r w:rsidRPr="005A5C62">
              <w:rPr>
                <w:rFonts w:eastAsia="Times New Roman" w:cs="Calibri"/>
                <w:b/>
                <w:bCs/>
                <w:color w:val="FFFFFF"/>
                <w:sz w:val="14"/>
                <w:szCs w:val="14"/>
                <w:lang w:eastAsia="es-MX"/>
              </w:rPr>
              <w:t>Importes</w:t>
            </w:r>
          </w:p>
        </w:tc>
      </w:tr>
      <w:tr w:rsidR="00125B84" w:rsidRPr="005A5C62" w14:paraId="6251966A" w14:textId="77777777" w:rsidTr="005A5C62">
        <w:trPr>
          <w:gridAfter w:val="1"/>
          <w:wAfter w:w="16" w:type="dxa"/>
          <w:trHeight w:val="336"/>
        </w:trPr>
        <w:tc>
          <w:tcPr>
            <w:tcW w:w="3643" w:type="dxa"/>
            <w:vMerge/>
            <w:tcBorders>
              <w:top w:val="single" w:sz="4" w:space="0" w:color="auto"/>
              <w:left w:val="single" w:sz="4" w:space="0" w:color="auto"/>
              <w:bottom w:val="single" w:sz="4" w:space="0" w:color="000000"/>
              <w:right w:val="single" w:sz="4" w:space="0" w:color="auto"/>
            </w:tcBorders>
            <w:vAlign w:val="center"/>
            <w:hideMark/>
          </w:tcPr>
          <w:p w14:paraId="7CD4EAA4" w14:textId="77777777" w:rsidR="00125B84" w:rsidRPr="005A5C62" w:rsidRDefault="00125B84" w:rsidP="00EC7D22">
            <w:pPr>
              <w:suppressAutoHyphens w:val="0"/>
              <w:overflowPunct/>
              <w:spacing w:after="0" w:line="240" w:lineRule="auto"/>
              <w:rPr>
                <w:rFonts w:eastAsia="Times New Roman" w:cs="Calibri"/>
                <w:b/>
                <w:bCs/>
                <w:color w:val="FFFFFF"/>
                <w:sz w:val="14"/>
                <w:szCs w:val="14"/>
                <w:lang w:eastAsia="es-MX"/>
              </w:rPr>
            </w:pPr>
          </w:p>
        </w:tc>
        <w:tc>
          <w:tcPr>
            <w:tcW w:w="1455" w:type="dxa"/>
            <w:tcBorders>
              <w:top w:val="single" w:sz="4" w:space="0" w:color="auto"/>
              <w:left w:val="nil"/>
              <w:bottom w:val="single" w:sz="4" w:space="0" w:color="auto"/>
              <w:right w:val="single" w:sz="4" w:space="0" w:color="auto"/>
            </w:tcBorders>
            <w:shd w:val="clear" w:color="800080" w:fill="A90025"/>
            <w:vAlign w:val="center"/>
            <w:hideMark/>
          </w:tcPr>
          <w:p w14:paraId="0F3A8B72" w14:textId="77777777" w:rsidR="00125B84" w:rsidRPr="005A5C62" w:rsidRDefault="00125B84" w:rsidP="00EC7D22">
            <w:pPr>
              <w:suppressAutoHyphens w:val="0"/>
              <w:overflowPunct/>
              <w:spacing w:after="0" w:line="240" w:lineRule="auto"/>
              <w:jc w:val="center"/>
              <w:rPr>
                <w:rFonts w:eastAsia="Times New Roman" w:cs="Calibri"/>
                <w:b/>
                <w:bCs/>
                <w:color w:val="FFFFFF"/>
                <w:sz w:val="14"/>
                <w:szCs w:val="14"/>
                <w:lang w:eastAsia="es-MX"/>
              </w:rPr>
            </w:pPr>
            <w:r w:rsidRPr="005A5C62">
              <w:rPr>
                <w:rFonts w:eastAsia="Times New Roman" w:cs="Calibri"/>
                <w:b/>
                <w:bCs/>
                <w:color w:val="FFFFFF"/>
                <w:sz w:val="14"/>
                <w:szCs w:val="14"/>
                <w:lang w:eastAsia="es-MX"/>
              </w:rPr>
              <w:t>2024</w:t>
            </w:r>
          </w:p>
        </w:tc>
        <w:tc>
          <w:tcPr>
            <w:tcW w:w="1417" w:type="dxa"/>
            <w:tcBorders>
              <w:top w:val="single" w:sz="4" w:space="0" w:color="auto"/>
              <w:left w:val="nil"/>
              <w:bottom w:val="single" w:sz="4" w:space="0" w:color="auto"/>
              <w:right w:val="single" w:sz="4" w:space="0" w:color="auto"/>
            </w:tcBorders>
            <w:shd w:val="clear" w:color="800080" w:fill="A90025"/>
            <w:vAlign w:val="center"/>
            <w:hideMark/>
          </w:tcPr>
          <w:p w14:paraId="54043D40" w14:textId="77777777" w:rsidR="00125B84" w:rsidRPr="005A5C62" w:rsidRDefault="00125B84" w:rsidP="00EC7D22">
            <w:pPr>
              <w:suppressAutoHyphens w:val="0"/>
              <w:overflowPunct/>
              <w:spacing w:after="0" w:line="240" w:lineRule="auto"/>
              <w:jc w:val="center"/>
              <w:rPr>
                <w:rFonts w:eastAsia="Times New Roman" w:cs="Calibri"/>
                <w:b/>
                <w:bCs/>
                <w:color w:val="FFFFFF"/>
                <w:sz w:val="14"/>
                <w:szCs w:val="14"/>
                <w:lang w:eastAsia="es-MX"/>
              </w:rPr>
            </w:pPr>
            <w:r w:rsidRPr="005A5C62">
              <w:rPr>
                <w:rFonts w:eastAsia="Times New Roman" w:cs="Calibri"/>
                <w:b/>
                <w:bCs/>
                <w:color w:val="FFFFFF"/>
                <w:sz w:val="14"/>
                <w:szCs w:val="14"/>
                <w:lang w:eastAsia="es-MX"/>
              </w:rPr>
              <w:t>2023</w:t>
            </w:r>
          </w:p>
        </w:tc>
        <w:tc>
          <w:tcPr>
            <w:tcW w:w="1303" w:type="dxa"/>
            <w:tcBorders>
              <w:top w:val="single" w:sz="4" w:space="0" w:color="auto"/>
              <w:left w:val="nil"/>
              <w:bottom w:val="single" w:sz="4" w:space="0" w:color="auto"/>
              <w:right w:val="single" w:sz="4" w:space="0" w:color="auto"/>
            </w:tcBorders>
            <w:shd w:val="clear" w:color="800080" w:fill="A90025"/>
            <w:vAlign w:val="center"/>
            <w:hideMark/>
          </w:tcPr>
          <w:p w14:paraId="41AE99DD" w14:textId="77777777" w:rsidR="00125B84" w:rsidRPr="005A5C62" w:rsidRDefault="00125B84" w:rsidP="00EC7D22">
            <w:pPr>
              <w:suppressAutoHyphens w:val="0"/>
              <w:overflowPunct/>
              <w:spacing w:after="0" w:line="240" w:lineRule="auto"/>
              <w:jc w:val="center"/>
              <w:rPr>
                <w:rFonts w:eastAsia="Times New Roman" w:cs="Calibri"/>
                <w:b/>
                <w:bCs/>
                <w:color w:val="FFFFFF"/>
                <w:sz w:val="14"/>
                <w:szCs w:val="14"/>
                <w:lang w:eastAsia="es-MX"/>
              </w:rPr>
            </w:pPr>
            <w:r w:rsidRPr="005A5C62">
              <w:rPr>
                <w:rFonts w:eastAsia="Times New Roman" w:cs="Calibri"/>
                <w:b/>
                <w:bCs/>
                <w:color w:val="FFFFFF"/>
                <w:sz w:val="14"/>
                <w:szCs w:val="14"/>
                <w:lang w:eastAsia="es-MX"/>
              </w:rPr>
              <w:t>Incremento</w:t>
            </w:r>
          </w:p>
        </w:tc>
      </w:tr>
      <w:tr w:rsidR="00125B84" w:rsidRPr="00125B84" w14:paraId="520DEDEB" w14:textId="77777777" w:rsidTr="00E1121C">
        <w:trPr>
          <w:gridAfter w:val="1"/>
          <w:wAfter w:w="16" w:type="dxa"/>
          <w:trHeight w:val="255"/>
        </w:trPr>
        <w:tc>
          <w:tcPr>
            <w:tcW w:w="3643" w:type="dxa"/>
            <w:tcBorders>
              <w:top w:val="nil"/>
              <w:left w:val="single" w:sz="4" w:space="0" w:color="auto"/>
              <w:bottom w:val="single" w:sz="4" w:space="0" w:color="auto"/>
              <w:right w:val="single" w:sz="4" w:space="0" w:color="auto"/>
            </w:tcBorders>
            <w:shd w:val="clear" w:color="auto" w:fill="auto"/>
            <w:vAlign w:val="center"/>
            <w:hideMark/>
          </w:tcPr>
          <w:p w14:paraId="6F044642" w14:textId="77777777" w:rsidR="00125B84" w:rsidRPr="00125B84" w:rsidRDefault="00125B84" w:rsidP="00EC7D22">
            <w:pPr>
              <w:suppressAutoHyphens w:val="0"/>
              <w:overflowPunct/>
              <w:spacing w:after="0" w:line="240" w:lineRule="auto"/>
              <w:jc w:val="both"/>
              <w:rPr>
                <w:rFonts w:eastAsia="Times New Roman" w:cs="Calibri"/>
                <w:color w:val="000000"/>
                <w:sz w:val="14"/>
                <w:szCs w:val="14"/>
                <w:lang w:eastAsia="es-MX"/>
              </w:rPr>
            </w:pPr>
            <w:r w:rsidRPr="00125B84">
              <w:rPr>
                <w:rFonts w:eastAsia="Times New Roman" w:cs="Calibri"/>
                <w:color w:val="000000"/>
                <w:sz w:val="14"/>
                <w:szCs w:val="14"/>
                <w:lang w:eastAsia="es-MX"/>
              </w:rPr>
              <w:t>Promotora para el Desarrollo de Tamaulipas S.A de C.V.</w:t>
            </w:r>
          </w:p>
        </w:tc>
        <w:tc>
          <w:tcPr>
            <w:tcW w:w="1455" w:type="dxa"/>
            <w:tcBorders>
              <w:top w:val="nil"/>
              <w:left w:val="nil"/>
              <w:bottom w:val="single" w:sz="4" w:space="0" w:color="auto"/>
              <w:right w:val="single" w:sz="4" w:space="0" w:color="auto"/>
            </w:tcBorders>
            <w:shd w:val="clear" w:color="auto" w:fill="auto"/>
            <w:vAlign w:val="center"/>
            <w:hideMark/>
          </w:tcPr>
          <w:p w14:paraId="12084572" w14:textId="77777777" w:rsidR="00125B84" w:rsidRPr="00125B84" w:rsidRDefault="00125B84" w:rsidP="00EC7D22">
            <w:pPr>
              <w:suppressAutoHyphens w:val="0"/>
              <w:overflowPunct/>
              <w:spacing w:after="0" w:line="240" w:lineRule="auto"/>
              <w:jc w:val="right"/>
              <w:rPr>
                <w:rFonts w:eastAsia="Times New Roman" w:cs="Calibri"/>
                <w:color w:val="000000"/>
                <w:sz w:val="14"/>
                <w:szCs w:val="14"/>
                <w:lang w:eastAsia="es-MX"/>
              </w:rPr>
            </w:pPr>
            <w:r w:rsidRPr="00125B84">
              <w:rPr>
                <w:rFonts w:eastAsia="Times New Roman" w:cs="Calibri"/>
                <w:color w:val="000000"/>
                <w:sz w:val="14"/>
                <w:szCs w:val="14"/>
                <w:lang w:eastAsia="es-MX"/>
              </w:rPr>
              <w:t>446,440,941</w:t>
            </w:r>
          </w:p>
        </w:tc>
        <w:tc>
          <w:tcPr>
            <w:tcW w:w="1417" w:type="dxa"/>
            <w:tcBorders>
              <w:top w:val="nil"/>
              <w:left w:val="nil"/>
              <w:bottom w:val="single" w:sz="4" w:space="0" w:color="auto"/>
              <w:right w:val="single" w:sz="4" w:space="0" w:color="auto"/>
            </w:tcBorders>
            <w:shd w:val="clear" w:color="auto" w:fill="auto"/>
            <w:vAlign w:val="center"/>
            <w:hideMark/>
          </w:tcPr>
          <w:p w14:paraId="625CD671" w14:textId="77777777" w:rsidR="00125B84" w:rsidRPr="00125B84" w:rsidRDefault="00125B84" w:rsidP="00EC7D22">
            <w:pPr>
              <w:suppressAutoHyphens w:val="0"/>
              <w:overflowPunct/>
              <w:spacing w:after="0" w:line="240" w:lineRule="auto"/>
              <w:jc w:val="right"/>
              <w:rPr>
                <w:rFonts w:eastAsia="Times New Roman" w:cs="Calibri"/>
                <w:color w:val="000000"/>
                <w:sz w:val="14"/>
                <w:szCs w:val="14"/>
                <w:lang w:eastAsia="es-MX"/>
              </w:rPr>
            </w:pPr>
            <w:r w:rsidRPr="00125B84">
              <w:rPr>
                <w:rFonts w:eastAsia="Times New Roman" w:cs="Calibri"/>
                <w:color w:val="000000"/>
                <w:sz w:val="14"/>
                <w:szCs w:val="14"/>
                <w:lang w:eastAsia="es-MX"/>
              </w:rPr>
              <w:t>275,769,777</w:t>
            </w:r>
          </w:p>
        </w:tc>
        <w:tc>
          <w:tcPr>
            <w:tcW w:w="1303" w:type="dxa"/>
            <w:tcBorders>
              <w:top w:val="nil"/>
              <w:left w:val="nil"/>
              <w:bottom w:val="single" w:sz="4" w:space="0" w:color="auto"/>
              <w:right w:val="single" w:sz="4" w:space="0" w:color="auto"/>
            </w:tcBorders>
            <w:shd w:val="clear" w:color="auto" w:fill="auto"/>
            <w:vAlign w:val="center"/>
            <w:hideMark/>
          </w:tcPr>
          <w:p w14:paraId="1E9B9774" w14:textId="77777777" w:rsidR="00125B84" w:rsidRPr="00125B84" w:rsidRDefault="00125B84" w:rsidP="00EC7D22">
            <w:pPr>
              <w:suppressAutoHyphens w:val="0"/>
              <w:overflowPunct/>
              <w:spacing w:after="0" w:line="240" w:lineRule="auto"/>
              <w:jc w:val="right"/>
              <w:rPr>
                <w:rFonts w:eastAsia="Times New Roman" w:cs="Calibri"/>
                <w:color w:val="000000"/>
                <w:sz w:val="14"/>
                <w:szCs w:val="14"/>
                <w:lang w:eastAsia="es-MX"/>
              </w:rPr>
            </w:pPr>
            <w:r w:rsidRPr="00125B84">
              <w:rPr>
                <w:rFonts w:eastAsia="Times New Roman" w:cs="Calibri"/>
                <w:color w:val="000000"/>
                <w:sz w:val="14"/>
                <w:szCs w:val="14"/>
                <w:lang w:eastAsia="es-MX"/>
              </w:rPr>
              <w:t>170,671,164</w:t>
            </w:r>
          </w:p>
        </w:tc>
      </w:tr>
      <w:tr w:rsidR="00125B84" w:rsidRPr="00125B84" w14:paraId="7A40C089" w14:textId="77777777" w:rsidTr="00E1121C">
        <w:trPr>
          <w:gridAfter w:val="1"/>
          <w:wAfter w:w="16" w:type="dxa"/>
          <w:trHeight w:val="255"/>
        </w:trPr>
        <w:tc>
          <w:tcPr>
            <w:tcW w:w="3643" w:type="dxa"/>
            <w:tcBorders>
              <w:top w:val="nil"/>
              <w:left w:val="single" w:sz="4" w:space="0" w:color="auto"/>
              <w:bottom w:val="single" w:sz="4" w:space="0" w:color="auto"/>
              <w:right w:val="single" w:sz="4" w:space="0" w:color="auto"/>
            </w:tcBorders>
            <w:shd w:val="clear" w:color="auto" w:fill="auto"/>
            <w:vAlign w:val="center"/>
            <w:hideMark/>
          </w:tcPr>
          <w:p w14:paraId="7B6D33B9" w14:textId="77777777" w:rsidR="00125B84" w:rsidRPr="00125B84" w:rsidRDefault="00125B84" w:rsidP="00EC7D22">
            <w:pPr>
              <w:suppressAutoHyphens w:val="0"/>
              <w:overflowPunct/>
              <w:spacing w:after="0" w:line="240" w:lineRule="auto"/>
              <w:jc w:val="both"/>
              <w:rPr>
                <w:rFonts w:eastAsia="Times New Roman" w:cs="Calibri"/>
                <w:color w:val="000000"/>
                <w:sz w:val="14"/>
                <w:szCs w:val="14"/>
                <w:lang w:eastAsia="es-MX"/>
              </w:rPr>
            </w:pPr>
            <w:r w:rsidRPr="00125B84">
              <w:rPr>
                <w:rFonts w:eastAsia="Times New Roman" w:cs="Calibri"/>
                <w:color w:val="000000"/>
                <w:sz w:val="14"/>
                <w:szCs w:val="14"/>
                <w:lang w:eastAsia="es-MX"/>
              </w:rPr>
              <w:t xml:space="preserve">Administración Portuaria Integral de Tamaulipas S.A. de C.V. </w:t>
            </w:r>
          </w:p>
        </w:tc>
        <w:tc>
          <w:tcPr>
            <w:tcW w:w="1455" w:type="dxa"/>
            <w:tcBorders>
              <w:top w:val="nil"/>
              <w:left w:val="nil"/>
              <w:bottom w:val="single" w:sz="4" w:space="0" w:color="auto"/>
              <w:right w:val="single" w:sz="4" w:space="0" w:color="auto"/>
            </w:tcBorders>
            <w:shd w:val="clear" w:color="auto" w:fill="auto"/>
            <w:vAlign w:val="center"/>
            <w:hideMark/>
          </w:tcPr>
          <w:p w14:paraId="27663ADE" w14:textId="77777777" w:rsidR="00125B84" w:rsidRPr="00125B84" w:rsidRDefault="00125B84" w:rsidP="00EC7D22">
            <w:pPr>
              <w:suppressAutoHyphens w:val="0"/>
              <w:overflowPunct/>
              <w:spacing w:after="0" w:line="240" w:lineRule="auto"/>
              <w:jc w:val="right"/>
              <w:rPr>
                <w:rFonts w:eastAsia="Times New Roman" w:cs="Calibri"/>
                <w:color w:val="000000"/>
                <w:sz w:val="14"/>
                <w:szCs w:val="14"/>
                <w:lang w:eastAsia="es-MX"/>
              </w:rPr>
            </w:pPr>
            <w:r w:rsidRPr="00125B84">
              <w:rPr>
                <w:rFonts w:eastAsia="Times New Roman" w:cs="Calibri"/>
                <w:color w:val="000000"/>
                <w:sz w:val="14"/>
                <w:szCs w:val="14"/>
                <w:lang w:eastAsia="es-MX"/>
              </w:rPr>
              <w:t>318,837,382</w:t>
            </w:r>
          </w:p>
        </w:tc>
        <w:tc>
          <w:tcPr>
            <w:tcW w:w="1417" w:type="dxa"/>
            <w:tcBorders>
              <w:top w:val="nil"/>
              <w:left w:val="nil"/>
              <w:bottom w:val="single" w:sz="4" w:space="0" w:color="auto"/>
              <w:right w:val="single" w:sz="4" w:space="0" w:color="auto"/>
            </w:tcBorders>
            <w:shd w:val="clear" w:color="auto" w:fill="auto"/>
            <w:vAlign w:val="center"/>
            <w:hideMark/>
          </w:tcPr>
          <w:p w14:paraId="17ED1777" w14:textId="77777777" w:rsidR="00125B84" w:rsidRPr="00125B84" w:rsidRDefault="00125B84" w:rsidP="00EC7D22">
            <w:pPr>
              <w:suppressAutoHyphens w:val="0"/>
              <w:overflowPunct/>
              <w:spacing w:after="0" w:line="240" w:lineRule="auto"/>
              <w:jc w:val="right"/>
              <w:rPr>
                <w:rFonts w:eastAsia="Times New Roman" w:cs="Calibri"/>
                <w:color w:val="000000"/>
                <w:sz w:val="14"/>
                <w:szCs w:val="14"/>
                <w:lang w:eastAsia="es-MX"/>
              </w:rPr>
            </w:pPr>
            <w:r w:rsidRPr="00125B84">
              <w:rPr>
                <w:rFonts w:eastAsia="Times New Roman" w:cs="Calibri"/>
                <w:color w:val="000000"/>
                <w:sz w:val="14"/>
                <w:szCs w:val="14"/>
                <w:lang w:eastAsia="es-MX"/>
              </w:rPr>
              <w:t>213,894,426</w:t>
            </w:r>
          </w:p>
        </w:tc>
        <w:tc>
          <w:tcPr>
            <w:tcW w:w="1303" w:type="dxa"/>
            <w:tcBorders>
              <w:top w:val="nil"/>
              <w:left w:val="nil"/>
              <w:bottom w:val="single" w:sz="4" w:space="0" w:color="auto"/>
              <w:right w:val="single" w:sz="4" w:space="0" w:color="auto"/>
            </w:tcBorders>
            <w:shd w:val="clear" w:color="auto" w:fill="auto"/>
            <w:vAlign w:val="center"/>
            <w:hideMark/>
          </w:tcPr>
          <w:p w14:paraId="7DA9E846" w14:textId="77777777" w:rsidR="00125B84" w:rsidRPr="00125B84" w:rsidRDefault="00125B84" w:rsidP="00EC7D22">
            <w:pPr>
              <w:suppressAutoHyphens w:val="0"/>
              <w:overflowPunct/>
              <w:spacing w:after="0" w:line="240" w:lineRule="auto"/>
              <w:jc w:val="right"/>
              <w:rPr>
                <w:rFonts w:eastAsia="Times New Roman" w:cs="Calibri"/>
                <w:color w:val="000000"/>
                <w:sz w:val="14"/>
                <w:szCs w:val="14"/>
                <w:lang w:eastAsia="es-MX"/>
              </w:rPr>
            </w:pPr>
            <w:r w:rsidRPr="00125B84">
              <w:rPr>
                <w:rFonts w:eastAsia="Times New Roman" w:cs="Calibri"/>
                <w:color w:val="000000"/>
                <w:sz w:val="14"/>
                <w:szCs w:val="14"/>
                <w:lang w:eastAsia="es-MX"/>
              </w:rPr>
              <w:t>104,942,956</w:t>
            </w:r>
          </w:p>
        </w:tc>
      </w:tr>
      <w:tr w:rsidR="00125B84" w:rsidRPr="00125B84" w14:paraId="615B05A8" w14:textId="77777777" w:rsidTr="00E1121C">
        <w:trPr>
          <w:gridAfter w:val="1"/>
          <w:wAfter w:w="16" w:type="dxa"/>
          <w:trHeight w:val="255"/>
        </w:trPr>
        <w:tc>
          <w:tcPr>
            <w:tcW w:w="3643" w:type="dxa"/>
            <w:tcBorders>
              <w:top w:val="nil"/>
              <w:left w:val="single" w:sz="4" w:space="0" w:color="auto"/>
              <w:bottom w:val="single" w:sz="4" w:space="0" w:color="auto"/>
              <w:right w:val="single" w:sz="4" w:space="0" w:color="auto"/>
            </w:tcBorders>
            <w:shd w:val="clear" w:color="auto" w:fill="auto"/>
            <w:vAlign w:val="center"/>
            <w:hideMark/>
          </w:tcPr>
          <w:p w14:paraId="21273265" w14:textId="77777777" w:rsidR="00125B84" w:rsidRPr="00125B84" w:rsidRDefault="00125B84" w:rsidP="00EC7D22">
            <w:pPr>
              <w:suppressAutoHyphens w:val="0"/>
              <w:overflowPunct/>
              <w:spacing w:after="0" w:line="240" w:lineRule="auto"/>
              <w:jc w:val="both"/>
              <w:rPr>
                <w:rFonts w:eastAsia="Times New Roman" w:cs="Calibri"/>
                <w:color w:val="000000"/>
                <w:sz w:val="14"/>
                <w:szCs w:val="14"/>
                <w:lang w:eastAsia="es-MX"/>
              </w:rPr>
            </w:pPr>
            <w:proofErr w:type="spellStart"/>
            <w:r w:rsidRPr="00125B84">
              <w:rPr>
                <w:rFonts w:eastAsia="Times New Roman" w:cs="Calibri"/>
                <w:color w:val="000000"/>
                <w:sz w:val="14"/>
                <w:szCs w:val="14"/>
                <w:lang w:eastAsia="es-MX"/>
              </w:rPr>
              <w:t>Tam</w:t>
            </w:r>
            <w:proofErr w:type="spellEnd"/>
            <w:r w:rsidRPr="00125B84">
              <w:rPr>
                <w:rFonts w:eastAsia="Times New Roman" w:cs="Calibri"/>
                <w:color w:val="000000"/>
                <w:sz w:val="14"/>
                <w:szCs w:val="14"/>
                <w:lang w:eastAsia="es-MX"/>
              </w:rPr>
              <w:t xml:space="preserve">. Energía Alianza S.A. de C.V.  </w:t>
            </w:r>
          </w:p>
        </w:tc>
        <w:tc>
          <w:tcPr>
            <w:tcW w:w="1455" w:type="dxa"/>
            <w:tcBorders>
              <w:top w:val="nil"/>
              <w:left w:val="nil"/>
              <w:bottom w:val="single" w:sz="4" w:space="0" w:color="auto"/>
              <w:right w:val="single" w:sz="4" w:space="0" w:color="auto"/>
            </w:tcBorders>
            <w:shd w:val="clear" w:color="auto" w:fill="auto"/>
            <w:vAlign w:val="center"/>
            <w:hideMark/>
          </w:tcPr>
          <w:p w14:paraId="77C51272" w14:textId="77777777" w:rsidR="00125B84" w:rsidRPr="00125B84" w:rsidRDefault="00125B84" w:rsidP="00EC7D22">
            <w:pPr>
              <w:suppressAutoHyphens w:val="0"/>
              <w:overflowPunct/>
              <w:spacing w:after="0" w:line="240" w:lineRule="auto"/>
              <w:jc w:val="right"/>
              <w:rPr>
                <w:rFonts w:eastAsia="Times New Roman" w:cs="Calibri"/>
                <w:color w:val="000000"/>
                <w:sz w:val="14"/>
                <w:szCs w:val="14"/>
                <w:lang w:eastAsia="es-MX"/>
              </w:rPr>
            </w:pPr>
            <w:r w:rsidRPr="00125B84">
              <w:rPr>
                <w:rFonts w:eastAsia="Times New Roman" w:cs="Calibri"/>
                <w:color w:val="000000"/>
                <w:sz w:val="14"/>
                <w:szCs w:val="14"/>
                <w:lang w:eastAsia="es-MX"/>
              </w:rPr>
              <w:t>99,907,073</w:t>
            </w:r>
          </w:p>
        </w:tc>
        <w:tc>
          <w:tcPr>
            <w:tcW w:w="1417" w:type="dxa"/>
            <w:tcBorders>
              <w:top w:val="nil"/>
              <w:left w:val="nil"/>
              <w:bottom w:val="single" w:sz="4" w:space="0" w:color="auto"/>
              <w:right w:val="single" w:sz="4" w:space="0" w:color="auto"/>
            </w:tcBorders>
            <w:shd w:val="clear" w:color="auto" w:fill="auto"/>
            <w:vAlign w:val="center"/>
            <w:hideMark/>
          </w:tcPr>
          <w:p w14:paraId="5E61A3BC" w14:textId="77777777" w:rsidR="00125B84" w:rsidRPr="00125B84" w:rsidRDefault="00125B84" w:rsidP="00EC7D22">
            <w:pPr>
              <w:suppressAutoHyphens w:val="0"/>
              <w:overflowPunct/>
              <w:spacing w:after="0" w:line="240" w:lineRule="auto"/>
              <w:jc w:val="right"/>
              <w:rPr>
                <w:rFonts w:eastAsia="Times New Roman" w:cs="Calibri"/>
                <w:color w:val="000000"/>
                <w:sz w:val="14"/>
                <w:szCs w:val="14"/>
                <w:lang w:eastAsia="es-MX"/>
              </w:rPr>
            </w:pPr>
            <w:r w:rsidRPr="00125B84">
              <w:rPr>
                <w:rFonts w:eastAsia="Times New Roman" w:cs="Calibri"/>
                <w:color w:val="000000"/>
                <w:sz w:val="14"/>
                <w:szCs w:val="14"/>
                <w:lang w:eastAsia="es-MX"/>
              </w:rPr>
              <w:t>99,907,073</w:t>
            </w:r>
          </w:p>
        </w:tc>
        <w:tc>
          <w:tcPr>
            <w:tcW w:w="1303" w:type="dxa"/>
            <w:tcBorders>
              <w:top w:val="nil"/>
              <w:left w:val="nil"/>
              <w:bottom w:val="single" w:sz="4" w:space="0" w:color="auto"/>
              <w:right w:val="single" w:sz="4" w:space="0" w:color="auto"/>
            </w:tcBorders>
            <w:shd w:val="clear" w:color="auto" w:fill="auto"/>
            <w:vAlign w:val="center"/>
            <w:hideMark/>
          </w:tcPr>
          <w:p w14:paraId="62D35B1B" w14:textId="77777777" w:rsidR="00125B84" w:rsidRPr="00125B84" w:rsidRDefault="00125B84" w:rsidP="00EC7D22">
            <w:pPr>
              <w:suppressAutoHyphens w:val="0"/>
              <w:overflowPunct/>
              <w:spacing w:after="0" w:line="240" w:lineRule="auto"/>
              <w:jc w:val="right"/>
              <w:rPr>
                <w:rFonts w:eastAsia="Times New Roman" w:cs="Calibri"/>
                <w:color w:val="000000"/>
                <w:sz w:val="14"/>
                <w:szCs w:val="14"/>
                <w:lang w:eastAsia="es-MX"/>
              </w:rPr>
            </w:pPr>
            <w:r w:rsidRPr="00125B84">
              <w:rPr>
                <w:rFonts w:eastAsia="Times New Roman" w:cs="Calibri"/>
                <w:color w:val="000000"/>
                <w:sz w:val="14"/>
                <w:szCs w:val="14"/>
                <w:lang w:eastAsia="es-MX"/>
              </w:rPr>
              <w:t>0</w:t>
            </w:r>
          </w:p>
        </w:tc>
      </w:tr>
      <w:tr w:rsidR="00125B84" w:rsidRPr="00125B84" w14:paraId="6BBE8E51" w14:textId="77777777" w:rsidTr="005A5C62">
        <w:trPr>
          <w:gridAfter w:val="1"/>
          <w:wAfter w:w="16" w:type="dxa"/>
          <w:trHeight w:val="284"/>
        </w:trPr>
        <w:tc>
          <w:tcPr>
            <w:tcW w:w="3643" w:type="dxa"/>
            <w:tcBorders>
              <w:top w:val="nil"/>
              <w:left w:val="single" w:sz="4" w:space="0" w:color="auto"/>
              <w:bottom w:val="single" w:sz="4" w:space="0" w:color="auto"/>
              <w:right w:val="single" w:sz="4" w:space="0" w:color="auto"/>
            </w:tcBorders>
            <w:shd w:val="clear" w:color="F8CBAD" w:fill="DDC9A3"/>
            <w:vAlign w:val="center"/>
            <w:hideMark/>
          </w:tcPr>
          <w:p w14:paraId="7BF4D89E" w14:textId="77777777" w:rsidR="00125B84" w:rsidRPr="00125B84" w:rsidRDefault="00125B84" w:rsidP="00EC7D22">
            <w:pPr>
              <w:suppressAutoHyphens w:val="0"/>
              <w:overflowPunct/>
              <w:spacing w:after="0" w:line="240" w:lineRule="auto"/>
              <w:jc w:val="center"/>
              <w:rPr>
                <w:rFonts w:eastAsia="Times New Roman" w:cs="Calibri"/>
                <w:b/>
                <w:bCs/>
                <w:color w:val="000000"/>
                <w:sz w:val="14"/>
                <w:szCs w:val="14"/>
                <w:lang w:eastAsia="es-MX"/>
              </w:rPr>
            </w:pPr>
            <w:r w:rsidRPr="00125B84">
              <w:rPr>
                <w:rFonts w:eastAsia="Times New Roman" w:cs="Calibri"/>
                <w:b/>
                <w:bCs/>
                <w:color w:val="000000"/>
                <w:sz w:val="14"/>
                <w:szCs w:val="14"/>
                <w:lang w:eastAsia="es-MX"/>
              </w:rPr>
              <w:t>TOTAL</w:t>
            </w:r>
          </w:p>
        </w:tc>
        <w:tc>
          <w:tcPr>
            <w:tcW w:w="1455" w:type="dxa"/>
            <w:tcBorders>
              <w:top w:val="nil"/>
              <w:left w:val="nil"/>
              <w:bottom w:val="single" w:sz="4" w:space="0" w:color="auto"/>
              <w:right w:val="single" w:sz="4" w:space="0" w:color="auto"/>
            </w:tcBorders>
            <w:shd w:val="clear" w:color="F8CBAD" w:fill="DDC9A3"/>
            <w:vAlign w:val="center"/>
            <w:hideMark/>
          </w:tcPr>
          <w:p w14:paraId="7B271663" w14:textId="77777777" w:rsidR="00125B84" w:rsidRPr="00125B84" w:rsidRDefault="00125B84" w:rsidP="00EC7D22">
            <w:pPr>
              <w:suppressAutoHyphens w:val="0"/>
              <w:overflowPunct/>
              <w:spacing w:after="0" w:line="240" w:lineRule="auto"/>
              <w:jc w:val="right"/>
              <w:rPr>
                <w:rFonts w:eastAsia="Times New Roman" w:cs="Calibri"/>
                <w:b/>
                <w:bCs/>
                <w:color w:val="000000"/>
                <w:sz w:val="14"/>
                <w:szCs w:val="14"/>
                <w:lang w:eastAsia="es-MX"/>
              </w:rPr>
            </w:pPr>
            <w:r w:rsidRPr="00125B84">
              <w:rPr>
                <w:rFonts w:eastAsia="Times New Roman" w:cs="Calibri"/>
                <w:b/>
                <w:bCs/>
                <w:color w:val="000000"/>
                <w:sz w:val="14"/>
                <w:szCs w:val="14"/>
                <w:lang w:eastAsia="es-MX"/>
              </w:rPr>
              <w:t>865,185,397</w:t>
            </w:r>
          </w:p>
        </w:tc>
        <w:tc>
          <w:tcPr>
            <w:tcW w:w="1417" w:type="dxa"/>
            <w:tcBorders>
              <w:top w:val="nil"/>
              <w:left w:val="nil"/>
              <w:bottom w:val="single" w:sz="4" w:space="0" w:color="auto"/>
              <w:right w:val="single" w:sz="4" w:space="0" w:color="auto"/>
            </w:tcBorders>
            <w:shd w:val="clear" w:color="F8CBAD" w:fill="DDC9A3"/>
            <w:vAlign w:val="center"/>
            <w:hideMark/>
          </w:tcPr>
          <w:p w14:paraId="2592D0DF" w14:textId="77777777" w:rsidR="00125B84" w:rsidRPr="00125B84" w:rsidRDefault="00125B84" w:rsidP="00EC7D22">
            <w:pPr>
              <w:suppressAutoHyphens w:val="0"/>
              <w:overflowPunct/>
              <w:spacing w:after="0" w:line="240" w:lineRule="auto"/>
              <w:jc w:val="right"/>
              <w:rPr>
                <w:rFonts w:eastAsia="Times New Roman" w:cs="Calibri"/>
                <w:b/>
                <w:bCs/>
                <w:color w:val="000000"/>
                <w:sz w:val="14"/>
                <w:szCs w:val="14"/>
                <w:lang w:eastAsia="es-MX"/>
              </w:rPr>
            </w:pPr>
            <w:r w:rsidRPr="00125B84">
              <w:rPr>
                <w:rFonts w:eastAsia="Times New Roman" w:cs="Calibri"/>
                <w:b/>
                <w:bCs/>
                <w:color w:val="000000"/>
                <w:sz w:val="14"/>
                <w:szCs w:val="14"/>
                <w:lang w:eastAsia="es-MX"/>
              </w:rPr>
              <w:t>589,571,276</w:t>
            </w:r>
          </w:p>
        </w:tc>
        <w:tc>
          <w:tcPr>
            <w:tcW w:w="1303" w:type="dxa"/>
            <w:tcBorders>
              <w:top w:val="nil"/>
              <w:left w:val="nil"/>
              <w:bottom w:val="single" w:sz="4" w:space="0" w:color="auto"/>
              <w:right w:val="single" w:sz="4" w:space="0" w:color="auto"/>
            </w:tcBorders>
            <w:shd w:val="clear" w:color="F8CBAD" w:fill="DDC9A3"/>
            <w:vAlign w:val="center"/>
            <w:hideMark/>
          </w:tcPr>
          <w:p w14:paraId="0C63CD10" w14:textId="77777777" w:rsidR="00125B84" w:rsidRPr="00125B84" w:rsidRDefault="00125B84" w:rsidP="00EC7D22">
            <w:pPr>
              <w:suppressAutoHyphens w:val="0"/>
              <w:overflowPunct/>
              <w:spacing w:after="0" w:line="240" w:lineRule="auto"/>
              <w:jc w:val="right"/>
              <w:rPr>
                <w:rFonts w:eastAsia="Times New Roman" w:cs="Calibri"/>
                <w:b/>
                <w:bCs/>
                <w:color w:val="000000"/>
                <w:sz w:val="14"/>
                <w:szCs w:val="14"/>
                <w:lang w:eastAsia="es-MX"/>
              </w:rPr>
            </w:pPr>
            <w:r w:rsidRPr="00125B84">
              <w:rPr>
                <w:rFonts w:eastAsia="Times New Roman" w:cs="Calibri"/>
                <w:b/>
                <w:bCs/>
                <w:color w:val="000000"/>
                <w:sz w:val="14"/>
                <w:szCs w:val="14"/>
                <w:lang w:eastAsia="es-MX"/>
              </w:rPr>
              <w:t>275,614,121</w:t>
            </w:r>
          </w:p>
        </w:tc>
      </w:tr>
    </w:tbl>
    <w:p w14:paraId="3094805C" w14:textId="77777777" w:rsidR="00A743DD" w:rsidRDefault="00A743DD" w:rsidP="00EC7D22">
      <w:pPr>
        <w:pStyle w:val="Texto"/>
        <w:spacing w:after="0" w:line="240" w:lineRule="exact"/>
        <w:ind w:firstLine="0"/>
        <w:rPr>
          <w:rFonts w:ascii="Calibri" w:hAnsi="Calibri" w:cs="Calibri"/>
          <w:b/>
          <w:i/>
          <w:sz w:val="20"/>
          <w:szCs w:val="18"/>
          <w:u w:val="single"/>
          <w:lang w:val="es-MX"/>
        </w:rPr>
      </w:pPr>
    </w:p>
    <w:p w14:paraId="133D548F" w14:textId="0C944E82" w:rsidR="007745EB" w:rsidRDefault="00694CE6" w:rsidP="00EC7D22">
      <w:pPr>
        <w:pStyle w:val="Texto"/>
        <w:spacing w:after="0" w:line="240" w:lineRule="exact"/>
        <w:ind w:firstLine="0"/>
        <w:rPr>
          <w:rFonts w:ascii="Calibri" w:hAnsi="Calibri" w:cs="Calibri"/>
          <w:b/>
          <w:i/>
          <w:sz w:val="20"/>
          <w:szCs w:val="18"/>
          <w:u w:val="single"/>
          <w:lang w:val="es-MX"/>
        </w:rPr>
      </w:pPr>
      <w:r>
        <w:rPr>
          <w:rFonts w:ascii="Calibri" w:hAnsi="Calibri" w:cs="Calibri"/>
          <w:b/>
          <w:i/>
          <w:sz w:val="20"/>
          <w:szCs w:val="18"/>
          <w:u w:val="single"/>
          <w:lang w:val="es-MX"/>
        </w:rPr>
        <w:lastRenderedPageBreak/>
        <w:t xml:space="preserve">Derechos </w:t>
      </w:r>
      <w:r w:rsidR="0079655D">
        <w:rPr>
          <w:rFonts w:ascii="Calibri" w:hAnsi="Calibri" w:cs="Calibri"/>
          <w:b/>
          <w:i/>
          <w:sz w:val="20"/>
          <w:szCs w:val="18"/>
          <w:u w:val="single"/>
          <w:lang w:val="es-MX"/>
        </w:rPr>
        <w:t>a</w:t>
      </w:r>
      <w:r>
        <w:rPr>
          <w:rFonts w:ascii="Calibri" w:hAnsi="Calibri" w:cs="Calibri"/>
          <w:b/>
          <w:i/>
          <w:sz w:val="20"/>
          <w:szCs w:val="18"/>
          <w:u w:val="single"/>
          <w:lang w:val="es-MX"/>
        </w:rPr>
        <w:t xml:space="preserve"> Recibir Efectivo </w:t>
      </w:r>
      <w:r w:rsidR="0079655D">
        <w:rPr>
          <w:rFonts w:ascii="Calibri" w:hAnsi="Calibri" w:cs="Calibri"/>
          <w:b/>
          <w:i/>
          <w:sz w:val="20"/>
          <w:szCs w:val="18"/>
          <w:u w:val="single"/>
          <w:lang w:val="es-MX"/>
        </w:rPr>
        <w:t>o</w:t>
      </w:r>
      <w:r>
        <w:rPr>
          <w:rFonts w:ascii="Calibri" w:hAnsi="Calibri" w:cs="Calibri"/>
          <w:b/>
          <w:i/>
          <w:sz w:val="20"/>
          <w:szCs w:val="18"/>
          <w:u w:val="single"/>
          <w:lang w:val="es-MX"/>
        </w:rPr>
        <w:t xml:space="preserve"> Equivalentes </w:t>
      </w:r>
      <w:r w:rsidR="0079655D">
        <w:rPr>
          <w:rFonts w:ascii="Calibri" w:hAnsi="Calibri" w:cs="Calibri"/>
          <w:b/>
          <w:i/>
          <w:sz w:val="20"/>
          <w:szCs w:val="18"/>
          <w:u w:val="single"/>
          <w:lang w:val="es-MX"/>
        </w:rPr>
        <w:t>a</w:t>
      </w:r>
      <w:r>
        <w:rPr>
          <w:rFonts w:ascii="Calibri" w:hAnsi="Calibri" w:cs="Calibri"/>
          <w:b/>
          <w:i/>
          <w:sz w:val="20"/>
          <w:szCs w:val="18"/>
          <w:u w:val="single"/>
          <w:lang w:val="es-MX"/>
        </w:rPr>
        <w:t xml:space="preserve"> Largo Plazo</w:t>
      </w:r>
    </w:p>
    <w:p w14:paraId="16886D48" w14:textId="77777777" w:rsidR="007745EB" w:rsidRPr="005A5C62" w:rsidRDefault="007745EB" w:rsidP="00EC7D22">
      <w:pPr>
        <w:pStyle w:val="Texto"/>
        <w:spacing w:after="0" w:line="240" w:lineRule="exact"/>
        <w:ind w:firstLine="0"/>
        <w:rPr>
          <w:rFonts w:ascii="Calibri" w:hAnsi="Calibri" w:cs="Calibri"/>
          <w:b/>
          <w:sz w:val="20"/>
          <w:szCs w:val="18"/>
          <w:u w:val="single"/>
          <w:lang w:val="es-MX"/>
        </w:rPr>
      </w:pPr>
    </w:p>
    <w:tbl>
      <w:tblPr>
        <w:tblW w:w="6294" w:type="dxa"/>
        <w:tblCellMar>
          <w:left w:w="70" w:type="dxa"/>
          <w:right w:w="70" w:type="dxa"/>
        </w:tblCellMar>
        <w:tblLook w:val="04A0" w:firstRow="1" w:lastRow="0" w:firstColumn="1" w:lastColumn="0" w:noHBand="0" w:noVBand="1"/>
      </w:tblPr>
      <w:tblGrid>
        <w:gridCol w:w="4280"/>
        <w:gridCol w:w="2014"/>
      </w:tblGrid>
      <w:tr w:rsidR="007467A2" w:rsidRPr="007467A2" w14:paraId="2F0ECF16" w14:textId="77777777" w:rsidTr="007467A2">
        <w:trPr>
          <w:trHeight w:val="351"/>
        </w:trPr>
        <w:tc>
          <w:tcPr>
            <w:tcW w:w="4280"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592B1F69" w14:textId="77777777" w:rsidR="007467A2" w:rsidRPr="007467A2" w:rsidRDefault="007467A2" w:rsidP="00EC7D22">
            <w:pPr>
              <w:suppressAutoHyphens w:val="0"/>
              <w:overflowPunct/>
              <w:spacing w:after="0" w:line="240" w:lineRule="auto"/>
              <w:jc w:val="center"/>
              <w:rPr>
                <w:rFonts w:eastAsia="Times New Roman" w:cs="Calibri"/>
                <w:b/>
                <w:bCs/>
                <w:color w:val="FFFFFF"/>
                <w:sz w:val="16"/>
                <w:szCs w:val="16"/>
                <w:lang w:eastAsia="es-MX"/>
              </w:rPr>
            </w:pPr>
            <w:r w:rsidRPr="007467A2">
              <w:rPr>
                <w:rFonts w:eastAsia="Times New Roman" w:cs="Calibri"/>
                <w:b/>
                <w:bCs/>
                <w:color w:val="FFFFFF"/>
                <w:sz w:val="16"/>
                <w:szCs w:val="16"/>
                <w:lang w:eastAsia="es-MX"/>
              </w:rPr>
              <w:t xml:space="preserve">Descripción de la Cuenta </w:t>
            </w:r>
          </w:p>
        </w:tc>
        <w:tc>
          <w:tcPr>
            <w:tcW w:w="2014" w:type="dxa"/>
            <w:tcBorders>
              <w:top w:val="single" w:sz="4" w:space="0" w:color="auto"/>
              <w:left w:val="nil"/>
              <w:bottom w:val="single" w:sz="4" w:space="0" w:color="auto"/>
              <w:right w:val="single" w:sz="4" w:space="0" w:color="auto"/>
            </w:tcBorders>
            <w:shd w:val="clear" w:color="800080" w:fill="A90025"/>
            <w:vAlign w:val="center"/>
            <w:hideMark/>
          </w:tcPr>
          <w:p w14:paraId="6660EA71" w14:textId="77777777" w:rsidR="007467A2" w:rsidRPr="007467A2" w:rsidRDefault="007467A2" w:rsidP="00EC7D22">
            <w:pPr>
              <w:suppressAutoHyphens w:val="0"/>
              <w:overflowPunct/>
              <w:spacing w:after="0" w:line="240" w:lineRule="auto"/>
              <w:jc w:val="center"/>
              <w:rPr>
                <w:rFonts w:eastAsia="Times New Roman" w:cs="Calibri"/>
                <w:b/>
                <w:bCs/>
                <w:color w:val="FFFFFF"/>
                <w:sz w:val="16"/>
                <w:szCs w:val="16"/>
                <w:lang w:eastAsia="es-MX"/>
              </w:rPr>
            </w:pPr>
            <w:r w:rsidRPr="007467A2">
              <w:rPr>
                <w:rFonts w:eastAsia="Times New Roman" w:cs="Calibri"/>
                <w:b/>
                <w:bCs/>
                <w:color w:val="FFFFFF"/>
                <w:sz w:val="16"/>
                <w:szCs w:val="16"/>
                <w:lang w:eastAsia="es-MX"/>
              </w:rPr>
              <w:t>Importe</w:t>
            </w:r>
          </w:p>
        </w:tc>
      </w:tr>
      <w:tr w:rsidR="007467A2" w:rsidRPr="007467A2" w14:paraId="7296DD68" w14:textId="77777777" w:rsidTr="007467A2">
        <w:trPr>
          <w:trHeight w:val="368"/>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62B5741" w14:textId="77777777" w:rsidR="007467A2" w:rsidRPr="007467A2" w:rsidRDefault="007467A2" w:rsidP="00EC7D22">
            <w:pPr>
              <w:suppressAutoHyphens w:val="0"/>
              <w:overflowPunct/>
              <w:spacing w:after="0" w:line="240" w:lineRule="auto"/>
              <w:jc w:val="both"/>
              <w:rPr>
                <w:rFonts w:eastAsia="Times New Roman" w:cs="Calibri"/>
                <w:color w:val="000000"/>
                <w:sz w:val="14"/>
                <w:szCs w:val="14"/>
                <w:lang w:eastAsia="es-MX"/>
              </w:rPr>
            </w:pPr>
            <w:r w:rsidRPr="007467A2">
              <w:rPr>
                <w:rFonts w:eastAsia="Times New Roman" w:cs="Calibri"/>
                <w:color w:val="000000"/>
                <w:sz w:val="14"/>
                <w:szCs w:val="14"/>
                <w:lang w:eastAsia="es-MX"/>
              </w:rPr>
              <w:t>Deudores Diversos a Largo Plazo</w:t>
            </w:r>
          </w:p>
        </w:tc>
        <w:tc>
          <w:tcPr>
            <w:tcW w:w="2014" w:type="dxa"/>
            <w:tcBorders>
              <w:top w:val="nil"/>
              <w:left w:val="nil"/>
              <w:bottom w:val="single" w:sz="4" w:space="0" w:color="auto"/>
              <w:right w:val="single" w:sz="4" w:space="0" w:color="auto"/>
            </w:tcBorders>
            <w:shd w:val="clear" w:color="auto" w:fill="auto"/>
            <w:vAlign w:val="center"/>
            <w:hideMark/>
          </w:tcPr>
          <w:p w14:paraId="27BF57C5"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52,719,884</w:t>
            </w:r>
          </w:p>
        </w:tc>
      </w:tr>
      <w:tr w:rsidR="007467A2" w:rsidRPr="007467A2" w14:paraId="4E1F0108" w14:textId="77777777" w:rsidTr="007467A2">
        <w:trPr>
          <w:trHeight w:val="368"/>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0B8CB81" w14:textId="77777777" w:rsidR="007467A2" w:rsidRPr="007467A2" w:rsidRDefault="007467A2" w:rsidP="00EC7D22">
            <w:pPr>
              <w:suppressAutoHyphens w:val="0"/>
              <w:overflowPunct/>
              <w:spacing w:after="0" w:line="240" w:lineRule="auto"/>
              <w:jc w:val="both"/>
              <w:rPr>
                <w:rFonts w:eastAsia="Times New Roman" w:cs="Calibri"/>
                <w:color w:val="000000"/>
                <w:sz w:val="14"/>
                <w:szCs w:val="14"/>
                <w:lang w:eastAsia="es-MX"/>
              </w:rPr>
            </w:pPr>
            <w:r w:rsidRPr="007467A2">
              <w:rPr>
                <w:rFonts w:eastAsia="Times New Roman" w:cs="Calibri"/>
                <w:color w:val="000000"/>
                <w:sz w:val="14"/>
                <w:szCs w:val="14"/>
                <w:lang w:eastAsia="es-MX"/>
              </w:rPr>
              <w:t>Préstamos Otorgados a Largo Plazo</w:t>
            </w:r>
          </w:p>
        </w:tc>
        <w:tc>
          <w:tcPr>
            <w:tcW w:w="2014" w:type="dxa"/>
            <w:tcBorders>
              <w:top w:val="nil"/>
              <w:left w:val="nil"/>
              <w:bottom w:val="single" w:sz="4" w:space="0" w:color="auto"/>
              <w:right w:val="single" w:sz="4" w:space="0" w:color="auto"/>
            </w:tcBorders>
            <w:shd w:val="clear" w:color="auto" w:fill="auto"/>
            <w:vAlign w:val="center"/>
            <w:hideMark/>
          </w:tcPr>
          <w:p w14:paraId="6C63DCEA"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0</w:t>
            </w:r>
          </w:p>
        </w:tc>
      </w:tr>
      <w:tr w:rsidR="007467A2" w:rsidRPr="007467A2" w14:paraId="52DD2BC7" w14:textId="77777777" w:rsidTr="007467A2">
        <w:trPr>
          <w:trHeight w:val="42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6776BD9" w14:textId="77777777" w:rsidR="007467A2" w:rsidRPr="007467A2" w:rsidRDefault="007467A2" w:rsidP="00EC7D22">
            <w:pPr>
              <w:suppressAutoHyphens w:val="0"/>
              <w:overflowPunct/>
              <w:spacing w:after="0" w:line="240" w:lineRule="auto"/>
              <w:jc w:val="both"/>
              <w:rPr>
                <w:rFonts w:eastAsia="Times New Roman" w:cs="Calibri"/>
                <w:color w:val="000000"/>
                <w:sz w:val="14"/>
                <w:szCs w:val="14"/>
                <w:lang w:eastAsia="es-MX"/>
              </w:rPr>
            </w:pPr>
            <w:r w:rsidRPr="007467A2">
              <w:rPr>
                <w:rFonts w:eastAsia="Times New Roman" w:cs="Calibri"/>
                <w:color w:val="000000"/>
                <w:sz w:val="14"/>
                <w:szCs w:val="14"/>
                <w:lang w:eastAsia="es-MX"/>
              </w:rPr>
              <w:t>Otros Derechos a recibir Efectivo o Equivalentes a Largo Plazo</w:t>
            </w:r>
          </w:p>
        </w:tc>
        <w:tc>
          <w:tcPr>
            <w:tcW w:w="2014" w:type="dxa"/>
            <w:tcBorders>
              <w:top w:val="nil"/>
              <w:left w:val="nil"/>
              <w:bottom w:val="single" w:sz="4" w:space="0" w:color="auto"/>
              <w:right w:val="single" w:sz="4" w:space="0" w:color="auto"/>
            </w:tcBorders>
            <w:shd w:val="clear" w:color="auto" w:fill="auto"/>
            <w:vAlign w:val="center"/>
            <w:hideMark/>
          </w:tcPr>
          <w:p w14:paraId="7E71126F" w14:textId="77777777" w:rsidR="007467A2" w:rsidRPr="007467A2" w:rsidRDefault="007467A2" w:rsidP="00EC7D22">
            <w:pPr>
              <w:suppressAutoHyphens w:val="0"/>
              <w:overflowPunct/>
              <w:spacing w:after="0" w:line="240" w:lineRule="auto"/>
              <w:jc w:val="right"/>
              <w:rPr>
                <w:rFonts w:eastAsia="Times New Roman" w:cs="Calibri"/>
                <w:color w:val="000000"/>
                <w:sz w:val="14"/>
                <w:szCs w:val="14"/>
                <w:lang w:eastAsia="es-MX"/>
              </w:rPr>
            </w:pPr>
            <w:r w:rsidRPr="007467A2">
              <w:rPr>
                <w:rFonts w:eastAsia="Times New Roman" w:cs="Calibri"/>
                <w:color w:val="000000"/>
                <w:sz w:val="14"/>
                <w:szCs w:val="14"/>
                <w:lang w:eastAsia="es-MX"/>
              </w:rPr>
              <w:t>296,462,645</w:t>
            </w:r>
          </w:p>
        </w:tc>
      </w:tr>
      <w:tr w:rsidR="007467A2" w:rsidRPr="007467A2" w14:paraId="13D8DA1A" w14:textId="77777777" w:rsidTr="005A5C62">
        <w:trPr>
          <w:trHeight w:val="340"/>
        </w:trPr>
        <w:tc>
          <w:tcPr>
            <w:tcW w:w="4280" w:type="dxa"/>
            <w:tcBorders>
              <w:top w:val="nil"/>
              <w:left w:val="single" w:sz="4" w:space="0" w:color="auto"/>
              <w:bottom w:val="single" w:sz="4" w:space="0" w:color="auto"/>
              <w:right w:val="single" w:sz="4" w:space="0" w:color="auto"/>
            </w:tcBorders>
            <w:shd w:val="clear" w:color="F8CBAD" w:fill="DDC9A3"/>
            <w:vAlign w:val="center"/>
            <w:hideMark/>
          </w:tcPr>
          <w:p w14:paraId="09E54A16" w14:textId="77777777" w:rsidR="007467A2" w:rsidRPr="007467A2" w:rsidRDefault="007467A2" w:rsidP="00EC7D22">
            <w:pPr>
              <w:suppressAutoHyphens w:val="0"/>
              <w:overflowPunct/>
              <w:spacing w:after="0" w:line="240" w:lineRule="auto"/>
              <w:jc w:val="center"/>
              <w:rPr>
                <w:rFonts w:eastAsia="Times New Roman" w:cs="Calibri"/>
                <w:b/>
                <w:bCs/>
                <w:color w:val="000000"/>
                <w:sz w:val="14"/>
                <w:szCs w:val="14"/>
                <w:lang w:eastAsia="es-MX"/>
              </w:rPr>
            </w:pPr>
            <w:r w:rsidRPr="007467A2">
              <w:rPr>
                <w:rFonts w:eastAsia="Times New Roman" w:cs="Calibri"/>
                <w:b/>
                <w:bCs/>
                <w:color w:val="000000"/>
                <w:sz w:val="14"/>
                <w:szCs w:val="14"/>
                <w:lang w:eastAsia="es-MX"/>
              </w:rPr>
              <w:t>TOTAL</w:t>
            </w:r>
          </w:p>
        </w:tc>
        <w:tc>
          <w:tcPr>
            <w:tcW w:w="2014" w:type="dxa"/>
            <w:tcBorders>
              <w:top w:val="nil"/>
              <w:left w:val="nil"/>
              <w:bottom w:val="single" w:sz="4" w:space="0" w:color="auto"/>
              <w:right w:val="single" w:sz="4" w:space="0" w:color="auto"/>
            </w:tcBorders>
            <w:shd w:val="clear" w:color="F8CBAD" w:fill="DDC9A3"/>
            <w:vAlign w:val="center"/>
            <w:hideMark/>
          </w:tcPr>
          <w:p w14:paraId="3C57EAD6" w14:textId="77777777" w:rsidR="007467A2" w:rsidRPr="007467A2" w:rsidRDefault="007467A2" w:rsidP="00EC7D22">
            <w:pPr>
              <w:suppressAutoHyphens w:val="0"/>
              <w:overflowPunct/>
              <w:spacing w:after="0" w:line="240" w:lineRule="auto"/>
              <w:jc w:val="right"/>
              <w:rPr>
                <w:rFonts w:eastAsia="Times New Roman" w:cs="Calibri"/>
                <w:b/>
                <w:bCs/>
                <w:color w:val="000000"/>
                <w:sz w:val="14"/>
                <w:szCs w:val="14"/>
                <w:lang w:eastAsia="es-MX"/>
              </w:rPr>
            </w:pPr>
            <w:r w:rsidRPr="007467A2">
              <w:rPr>
                <w:rFonts w:eastAsia="Times New Roman" w:cs="Calibri"/>
                <w:b/>
                <w:bCs/>
                <w:color w:val="000000"/>
                <w:sz w:val="14"/>
                <w:szCs w:val="14"/>
                <w:lang w:eastAsia="es-MX"/>
              </w:rPr>
              <w:t>349,182,529</w:t>
            </w:r>
          </w:p>
        </w:tc>
      </w:tr>
    </w:tbl>
    <w:p w14:paraId="367714C6" w14:textId="77777777" w:rsidR="00F373EF" w:rsidRDefault="00F373EF" w:rsidP="00EC7D22">
      <w:pPr>
        <w:spacing w:after="0" w:line="240" w:lineRule="auto"/>
        <w:jc w:val="both"/>
        <w:rPr>
          <w:rFonts w:eastAsia="Times New Roman" w:cs="Calibri"/>
          <w:sz w:val="20"/>
          <w:szCs w:val="20"/>
          <w:lang w:val="es-ES" w:eastAsia="es-ES"/>
        </w:rPr>
      </w:pPr>
    </w:p>
    <w:p w14:paraId="7DA8BA25" w14:textId="2EFD5BE5" w:rsidR="00827DA1" w:rsidRDefault="00C87FDA" w:rsidP="00EC7D22">
      <w:pPr>
        <w:spacing w:after="0" w:line="240" w:lineRule="auto"/>
        <w:jc w:val="both"/>
        <w:rPr>
          <w:rFonts w:eastAsia="Times New Roman" w:cs="Calibri"/>
          <w:sz w:val="20"/>
          <w:szCs w:val="20"/>
          <w:lang w:val="es-ES" w:eastAsia="es-ES"/>
        </w:rPr>
      </w:pPr>
      <w:r w:rsidRPr="00820E37">
        <w:rPr>
          <w:rFonts w:eastAsia="Times New Roman" w:cs="Calibri"/>
          <w:sz w:val="20"/>
          <w:szCs w:val="20"/>
          <w:lang w:val="es-ES" w:eastAsia="es-ES"/>
        </w:rPr>
        <w:t xml:space="preserve">Dentro de este rubro se contemplan </w:t>
      </w:r>
      <w:r w:rsidR="00827DA1">
        <w:rPr>
          <w:rFonts w:eastAsia="Times New Roman" w:cs="Calibri"/>
          <w:sz w:val="20"/>
          <w:szCs w:val="20"/>
          <w:lang w:val="es-ES" w:eastAsia="es-ES"/>
        </w:rPr>
        <w:t xml:space="preserve">los </w:t>
      </w:r>
      <w:r w:rsidR="00ED0C5F">
        <w:rPr>
          <w:rFonts w:eastAsia="Times New Roman" w:cs="Calibri"/>
          <w:sz w:val="20"/>
          <w:szCs w:val="20"/>
          <w:lang w:val="es-ES" w:eastAsia="es-ES"/>
        </w:rPr>
        <w:t>siguientes conceptos</w:t>
      </w:r>
      <w:r w:rsidR="00F807CB">
        <w:rPr>
          <w:rFonts w:eastAsia="Times New Roman" w:cs="Calibri"/>
          <w:sz w:val="20"/>
          <w:szCs w:val="20"/>
          <w:lang w:val="es-ES" w:eastAsia="es-ES"/>
        </w:rPr>
        <w:t xml:space="preserve"> más significativos</w:t>
      </w:r>
      <w:r w:rsidR="00827DA1">
        <w:rPr>
          <w:rFonts w:eastAsia="Times New Roman" w:cs="Calibri"/>
          <w:sz w:val="20"/>
          <w:szCs w:val="20"/>
          <w:lang w:val="es-ES" w:eastAsia="es-ES"/>
        </w:rPr>
        <w:t>:</w:t>
      </w:r>
    </w:p>
    <w:p w14:paraId="1C558A89" w14:textId="77777777" w:rsidR="00827DA1" w:rsidRDefault="00827DA1" w:rsidP="00EC7D22">
      <w:pPr>
        <w:spacing w:after="0" w:line="240" w:lineRule="auto"/>
        <w:jc w:val="both"/>
        <w:rPr>
          <w:rFonts w:eastAsia="Times New Roman" w:cs="Calibri"/>
          <w:sz w:val="20"/>
          <w:szCs w:val="20"/>
          <w:lang w:val="es-ES" w:eastAsia="es-ES"/>
        </w:rPr>
      </w:pPr>
    </w:p>
    <w:p w14:paraId="6E0460C6" w14:textId="2A515D00" w:rsidR="007745EB" w:rsidRDefault="00827DA1" w:rsidP="00EC7D22">
      <w:pPr>
        <w:pStyle w:val="Prrafodelista"/>
        <w:numPr>
          <w:ilvl w:val="0"/>
          <w:numId w:val="63"/>
        </w:numPr>
        <w:spacing w:after="0" w:line="240" w:lineRule="auto"/>
        <w:ind w:left="0" w:firstLine="0"/>
        <w:jc w:val="both"/>
        <w:rPr>
          <w:rFonts w:eastAsia="Times New Roman" w:cs="Calibri"/>
          <w:sz w:val="20"/>
          <w:szCs w:val="20"/>
          <w:lang w:val="es-ES" w:eastAsia="es-ES"/>
        </w:rPr>
      </w:pPr>
      <w:r>
        <w:rPr>
          <w:rFonts w:eastAsia="Times New Roman" w:cs="Calibri"/>
          <w:sz w:val="20"/>
          <w:szCs w:val="20"/>
          <w:lang w:val="es-ES" w:eastAsia="es-ES"/>
        </w:rPr>
        <w:t>Las fi</w:t>
      </w:r>
      <w:r w:rsidR="00C87FDA" w:rsidRPr="00827DA1">
        <w:rPr>
          <w:rFonts w:eastAsia="Times New Roman" w:cs="Calibri"/>
          <w:sz w:val="20"/>
          <w:szCs w:val="20"/>
          <w:lang w:val="es-ES" w:eastAsia="es-ES"/>
        </w:rPr>
        <w:t>anzas en garantía que se tienen contratadas con la compañía Afianzadora Insurgentes lo cuales son: Desarrollo la Pesca por $</w:t>
      </w:r>
      <w:r w:rsidR="007807F1" w:rsidRPr="00827DA1">
        <w:rPr>
          <w:rFonts w:eastAsia="Times New Roman" w:cs="Calibri"/>
          <w:sz w:val="20"/>
          <w:szCs w:val="20"/>
          <w:lang w:val="es-ES" w:eastAsia="es-ES"/>
        </w:rPr>
        <w:t>8,063,779</w:t>
      </w:r>
      <w:r w:rsidR="00C87FDA" w:rsidRPr="00827DA1">
        <w:rPr>
          <w:rFonts w:eastAsia="Times New Roman" w:cs="Calibri"/>
          <w:sz w:val="20"/>
          <w:szCs w:val="20"/>
          <w:lang w:val="es-ES" w:eastAsia="es-ES"/>
        </w:rPr>
        <w:t>, Corredor Urbano Reynosa-</w:t>
      </w:r>
      <w:r w:rsidR="009E1DAB" w:rsidRPr="00827DA1">
        <w:rPr>
          <w:rFonts w:eastAsia="Times New Roman" w:cs="Calibri"/>
          <w:sz w:val="20"/>
          <w:szCs w:val="20"/>
          <w:lang w:val="es-ES" w:eastAsia="es-ES"/>
        </w:rPr>
        <w:t>Río Bravo por $</w:t>
      </w:r>
      <w:r w:rsidR="007807F1" w:rsidRPr="00827DA1">
        <w:rPr>
          <w:rFonts w:eastAsia="Times New Roman" w:cs="Calibri"/>
          <w:sz w:val="20"/>
          <w:szCs w:val="20"/>
          <w:lang w:val="es-ES" w:eastAsia="es-ES"/>
        </w:rPr>
        <w:t>8,642,317,</w:t>
      </w:r>
      <w:r w:rsidR="00C87FDA" w:rsidRPr="00827DA1">
        <w:rPr>
          <w:rFonts w:eastAsia="Times New Roman" w:cs="Calibri"/>
          <w:sz w:val="20"/>
          <w:szCs w:val="20"/>
          <w:lang w:val="es-ES" w:eastAsia="es-ES"/>
        </w:rPr>
        <w:t xml:space="preserve"> y el Proyecto Laguna del Carpintero por $1</w:t>
      </w:r>
      <w:r w:rsidR="007807F1" w:rsidRPr="00827DA1">
        <w:rPr>
          <w:rFonts w:eastAsia="Times New Roman" w:cs="Calibri"/>
          <w:sz w:val="20"/>
          <w:szCs w:val="20"/>
          <w:lang w:val="es-ES" w:eastAsia="es-ES"/>
        </w:rPr>
        <w:t>9,606,564</w:t>
      </w:r>
      <w:r w:rsidR="00C87FDA" w:rsidRPr="00827DA1">
        <w:rPr>
          <w:rFonts w:eastAsia="Times New Roman" w:cs="Calibri"/>
          <w:sz w:val="20"/>
          <w:szCs w:val="20"/>
          <w:lang w:val="es-ES" w:eastAsia="es-ES"/>
        </w:rPr>
        <w:t>.</w:t>
      </w:r>
    </w:p>
    <w:p w14:paraId="39017B93" w14:textId="77777777" w:rsidR="007745EB" w:rsidRPr="00820E37" w:rsidRDefault="007745EB" w:rsidP="00EC7D22">
      <w:pPr>
        <w:spacing w:after="0" w:line="240" w:lineRule="auto"/>
        <w:jc w:val="both"/>
        <w:rPr>
          <w:rFonts w:eastAsia="Times New Roman" w:cs="Calibri"/>
          <w:sz w:val="20"/>
          <w:szCs w:val="20"/>
          <w:lang w:val="es-ES" w:eastAsia="es-ES"/>
        </w:rPr>
      </w:pPr>
    </w:p>
    <w:p w14:paraId="08EE82C2" w14:textId="6AF9D8EB" w:rsidR="007745EB" w:rsidRDefault="005A5C62" w:rsidP="00EC7D22">
      <w:pPr>
        <w:pStyle w:val="Prrafodelista"/>
        <w:numPr>
          <w:ilvl w:val="0"/>
          <w:numId w:val="63"/>
        </w:numPr>
        <w:tabs>
          <w:tab w:val="left" w:pos="567"/>
        </w:tabs>
        <w:spacing w:after="0" w:line="240" w:lineRule="auto"/>
        <w:ind w:left="0" w:firstLine="0"/>
        <w:jc w:val="both"/>
        <w:rPr>
          <w:rFonts w:eastAsia="Times New Roman" w:cs="Calibri"/>
          <w:sz w:val="20"/>
          <w:szCs w:val="20"/>
          <w:lang w:val="es-ES" w:eastAsia="es-ES"/>
        </w:rPr>
      </w:pPr>
      <w:r>
        <w:rPr>
          <w:rFonts w:eastAsia="Times New Roman" w:cs="Calibri"/>
          <w:sz w:val="20"/>
          <w:szCs w:val="20"/>
          <w:lang w:val="es-ES" w:eastAsia="es-ES"/>
        </w:rPr>
        <w:t xml:space="preserve">       </w:t>
      </w:r>
      <w:r w:rsidR="00694CE6">
        <w:rPr>
          <w:rFonts w:eastAsia="Times New Roman" w:cs="Calibri"/>
          <w:sz w:val="20"/>
          <w:szCs w:val="20"/>
          <w:lang w:val="es-ES" w:eastAsia="es-ES"/>
        </w:rPr>
        <w:t>S</w:t>
      </w:r>
      <w:r w:rsidR="00C87FDA" w:rsidRPr="00827DA1">
        <w:rPr>
          <w:rFonts w:eastAsia="Times New Roman" w:cs="Calibri"/>
          <w:sz w:val="20"/>
          <w:szCs w:val="20"/>
          <w:lang w:val="es-ES" w:eastAsia="es-ES"/>
        </w:rPr>
        <w:t>e refleja en Otros Derechos a Recibir Efectivo y Equivalentes la cantidad de $1</w:t>
      </w:r>
      <w:r w:rsidR="00ED5F8B" w:rsidRPr="00827DA1">
        <w:rPr>
          <w:rFonts w:eastAsia="Times New Roman" w:cs="Calibri"/>
          <w:sz w:val="20"/>
          <w:szCs w:val="20"/>
          <w:lang w:val="es-ES" w:eastAsia="es-ES"/>
        </w:rPr>
        <w:t>79</w:t>
      </w:r>
      <w:r w:rsidR="00C87FDA" w:rsidRPr="00827DA1">
        <w:rPr>
          <w:rFonts w:eastAsia="Times New Roman" w:cs="Calibri"/>
          <w:sz w:val="20"/>
          <w:szCs w:val="20"/>
          <w:lang w:val="es-ES" w:eastAsia="es-ES"/>
        </w:rPr>
        <w:t>,</w:t>
      </w:r>
      <w:r w:rsidR="00ED5F8B" w:rsidRPr="00827DA1">
        <w:rPr>
          <w:rFonts w:eastAsia="Times New Roman" w:cs="Calibri"/>
          <w:sz w:val="20"/>
          <w:szCs w:val="20"/>
          <w:lang w:val="es-ES" w:eastAsia="es-ES"/>
        </w:rPr>
        <w:t>044</w:t>
      </w:r>
      <w:r w:rsidR="00C87FDA" w:rsidRPr="00827DA1">
        <w:rPr>
          <w:rFonts w:eastAsia="Times New Roman" w:cs="Calibri"/>
          <w:sz w:val="20"/>
          <w:szCs w:val="20"/>
          <w:lang w:val="es-ES" w:eastAsia="es-ES"/>
        </w:rPr>
        <w:t>,</w:t>
      </w:r>
      <w:r w:rsidR="00ED5F8B" w:rsidRPr="00827DA1">
        <w:rPr>
          <w:rFonts w:eastAsia="Times New Roman" w:cs="Calibri"/>
          <w:sz w:val="20"/>
          <w:szCs w:val="20"/>
          <w:lang w:val="es-ES" w:eastAsia="es-ES"/>
        </w:rPr>
        <w:t>933</w:t>
      </w:r>
      <w:r w:rsidR="00C87FDA" w:rsidRPr="00827DA1">
        <w:rPr>
          <w:rFonts w:eastAsia="Times New Roman" w:cs="Calibri"/>
          <w:sz w:val="20"/>
          <w:szCs w:val="20"/>
          <w:lang w:val="es-ES" w:eastAsia="es-ES"/>
        </w:rPr>
        <w:t xml:space="preserve">., derivado de los depósitos en la cuenta bancaria del </w:t>
      </w:r>
      <w:r w:rsidR="007807F1" w:rsidRPr="00827DA1">
        <w:rPr>
          <w:rFonts w:eastAsia="Times New Roman" w:cs="Calibri"/>
          <w:sz w:val="20"/>
          <w:szCs w:val="20"/>
          <w:lang w:val="es-ES" w:eastAsia="es-ES"/>
        </w:rPr>
        <w:t>BANCO ACCENDO</w:t>
      </w:r>
      <w:r w:rsidR="008E103D" w:rsidRPr="00827DA1">
        <w:rPr>
          <w:rFonts w:eastAsia="Times New Roman" w:cs="Calibri"/>
          <w:sz w:val="20"/>
          <w:szCs w:val="20"/>
          <w:lang w:val="es-ES" w:eastAsia="es-ES"/>
        </w:rPr>
        <w:t>, S.A,</w:t>
      </w:r>
      <w:r w:rsidR="00C87FDA" w:rsidRPr="00827DA1">
        <w:rPr>
          <w:rFonts w:eastAsia="Times New Roman" w:cs="Calibri"/>
          <w:sz w:val="20"/>
          <w:szCs w:val="20"/>
          <w:lang w:val="es-ES" w:eastAsia="es-ES"/>
        </w:rPr>
        <w:t xml:space="preserve"> el 6 de agosto de 2021 por la cantidad de $139,328,239, y el 6 de septiembre del mismo año por la cantidad de $42,126,376., rendimientos financieros de $358,486.</w:t>
      </w:r>
    </w:p>
    <w:p w14:paraId="66DC9844" w14:textId="37CA54AD" w:rsidR="00ED0C5F" w:rsidRDefault="00ED0C5F" w:rsidP="00EC7D22">
      <w:pPr>
        <w:pStyle w:val="Prrafodelista"/>
        <w:tabs>
          <w:tab w:val="left" w:pos="567"/>
        </w:tabs>
        <w:spacing w:after="0" w:line="240" w:lineRule="auto"/>
        <w:ind w:left="0"/>
        <w:jc w:val="both"/>
        <w:rPr>
          <w:rFonts w:eastAsia="Times New Roman" w:cs="Calibri"/>
          <w:sz w:val="20"/>
          <w:szCs w:val="20"/>
          <w:lang w:val="es-ES" w:eastAsia="es-ES"/>
        </w:rPr>
      </w:pPr>
    </w:p>
    <w:p w14:paraId="681F40DE" w14:textId="6CE8349C" w:rsidR="00ED0C5F" w:rsidRDefault="00ED0C5F" w:rsidP="00EC7D22">
      <w:pPr>
        <w:pStyle w:val="Prrafodelista"/>
        <w:tabs>
          <w:tab w:val="left" w:pos="567"/>
        </w:tabs>
        <w:spacing w:after="0" w:line="240" w:lineRule="auto"/>
        <w:ind w:left="0"/>
        <w:jc w:val="both"/>
        <w:rPr>
          <w:rFonts w:eastAsia="Times New Roman" w:cs="Calibri"/>
          <w:sz w:val="20"/>
          <w:szCs w:val="20"/>
          <w:lang w:val="es-ES" w:eastAsia="es-ES"/>
        </w:rPr>
      </w:pPr>
      <w:r>
        <w:rPr>
          <w:rFonts w:eastAsia="Times New Roman" w:cs="Calibri"/>
          <w:sz w:val="20"/>
          <w:szCs w:val="20"/>
          <w:lang w:val="es-ES" w:eastAsia="es-ES"/>
        </w:rPr>
        <w:t xml:space="preserve">Debido a la publicación en el diario Oficial de la Federación de los “ACUERDOS de la Junta de Gobierno de la Comisión Nacional Bancaria y de Valores, </w:t>
      </w:r>
      <w:r w:rsidRPr="00820E37">
        <w:rPr>
          <w:rFonts w:eastAsia="Times New Roman" w:cs="Calibri"/>
          <w:sz w:val="20"/>
          <w:szCs w:val="20"/>
          <w:lang w:val="es-ES" w:eastAsia="es-ES"/>
        </w:rPr>
        <w:t>a través de los cuales se resuelve la revocación que le</w:t>
      </w:r>
      <w:r>
        <w:rPr>
          <w:rFonts w:eastAsia="Times New Roman" w:cs="Calibri"/>
          <w:sz w:val="20"/>
          <w:szCs w:val="20"/>
          <w:lang w:val="es-ES" w:eastAsia="es-ES"/>
        </w:rPr>
        <w:t xml:space="preserve"> </w:t>
      </w:r>
      <w:r w:rsidRPr="00820E37">
        <w:rPr>
          <w:rFonts w:eastAsia="Times New Roman" w:cs="Calibri"/>
          <w:sz w:val="20"/>
          <w:szCs w:val="20"/>
          <w:lang w:val="es-ES" w:eastAsia="es-ES"/>
        </w:rPr>
        <w:t>fue otorgada a BANCO ACCENDO, S.A. Institución de Banca Múltiple para organizarse y operar como</w:t>
      </w:r>
      <w:r>
        <w:rPr>
          <w:rFonts w:eastAsia="Times New Roman" w:cs="Calibri"/>
          <w:sz w:val="20"/>
          <w:szCs w:val="20"/>
          <w:lang w:val="es-ES" w:eastAsia="es-ES"/>
        </w:rPr>
        <w:t xml:space="preserve"> </w:t>
      </w:r>
      <w:r w:rsidRPr="00820E37">
        <w:rPr>
          <w:rFonts w:eastAsia="Times New Roman" w:cs="Calibri"/>
          <w:sz w:val="20"/>
          <w:szCs w:val="20"/>
          <w:lang w:val="es-ES" w:eastAsia="es-ES"/>
        </w:rPr>
        <w:t>institución de banca múltiple”, los depósitos mencionados fueron registrados como deudores a largo</w:t>
      </w:r>
      <w:r>
        <w:rPr>
          <w:rFonts w:eastAsia="Times New Roman" w:cs="Calibri"/>
          <w:sz w:val="20"/>
          <w:szCs w:val="20"/>
          <w:lang w:val="es-ES" w:eastAsia="es-ES"/>
        </w:rPr>
        <w:t xml:space="preserve"> plazo.</w:t>
      </w:r>
    </w:p>
    <w:p w14:paraId="233743D4" w14:textId="1A31D8EF" w:rsidR="00ED0C5F" w:rsidRDefault="00ED0C5F" w:rsidP="00EC7D22">
      <w:pPr>
        <w:pStyle w:val="Prrafodelista"/>
        <w:tabs>
          <w:tab w:val="left" w:pos="567"/>
        </w:tabs>
        <w:spacing w:after="0" w:line="240" w:lineRule="auto"/>
        <w:ind w:left="0"/>
        <w:jc w:val="both"/>
        <w:rPr>
          <w:rFonts w:eastAsia="Times New Roman" w:cs="Calibri"/>
          <w:sz w:val="20"/>
          <w:szCs w:val="20"/>
          <w:lang w:val="es-ES" w:eastAsia="es-ES"/>
        </w:rPr>
      </w:pPr>
    </w:p>
    <w:p w14:paraId="055C1627" w14:textId="79E67ADC" w:rsidR="00ED0C5F" w:rsidRDefault="00ED0C5F" w:rsidP="00EC7D22">
      <w:pPr>
        <w:pStyle w:val="Prrafodelista"/>
        <w:tabs>
          <w:tab w:val="left" w:pos="567"/>
        </w:tabs>
        <w:spacing w:after="0" w:line="240" w:lineRule="auto"/>
        <w:ind w:left="0"/>
        <w:jc w:val="both"/>
        <w:rPr>
          <w:rFonts w:eastAsia="Times New Roman" w:cs="Calibri"/>
          <w:sz w:val="20"/>
          <w:szCs w:val="20"/>
          <w:lang w:val="es-ES" w:eastAsia="es-ES"/>
        </w:rPr>
      </w:pPr>
      <w:r>
        <w:rPr>
          <w:rFonts w:eastAsia="Times New Roman" w:cs="Calibri"/>
          <w:sz w:val="20"/>
          <w:szCs w:val="20"/>
          <w:lang w:val="es-ES" w:eastAsia="es-ES"/>
        </w:rPr>
        <w:t xml:space="preserve">Con fecha 16 de junio de 2022, </w:t>
      </w:r>
      <w:r w:rsidRPr="00820E37">
        <w:rPr>
          <w:rFonts w:eastAsia="Times New Roman" w:cs="Calibri"/>
          <w:sz w:val="20"/>
          <w:szCs w:val="20"/>
          <w:lang w:val="es-ES" w:eastAsia="es-ES"/>
        </w:rPr>
        <w:t>se realizó al Gobierno del Estado un depósito por la cantidad de</w:t>
      </w:r>
      <w:r>
        <w:rPr>
          <w:rFonts w:eastAsia="Times New Roman" w:cs="Calibri"/>
          <w:sz w:val="20"/>
          <w:szCs w:val="20"/>
          <w:lang w:val="es-ES" w:eastAsia="es-ES"/>
        </w:rPr>
        <w:t xml:space="preserve"> $2,768,169 </w:t>
      </w:r>
      <w:r w:rsidRPr="00820E37">
        <w:rPr>
          <w:rFonts w:eastAsia="Times New Roman" w:cs="Calibri"/>
          <w:sz w:val="20"/>
          <w:szCs w:val="20"/>
          <w:lang w:val="es-ES" w:eastAsia="es-ES"/>
        </w:rPr>
        <w:t>(Dos Millones Setecientos Sesenta y Ocho Mil Cientos Sesenta y Nueve Pesos 00/100 M.N.),</w:t>
      </w:r>
      <w:r>
        <w:rPr>
          <w:rFonts w:eastAsia="Times New Roman" w:cs="Calibri"/>
          <w:sz w:val="20"/>
          <w:szCs w:val="20"/>
          <w:lang w:val="es-ES" w:eastAsia="es-ES"/>
        </w:rPr>
        <w:t xml:space="preserve"> derivado </w:t>
      </w:r>
      <w:r w:rsidRPr="00820E37">
        <w:rPr>
          <w:rFonts w:eastAsia="Times New Roman" w:cs="Calibri"/>
          <w:sz w:val="20"/>
          <w:szCs w:val="20"/>
          <w:lang w:val="es-ES" w:eastAsia="es-ES"/>
        </w:rPr>
        <w:t>de la aprobación de la Junta de Gobierno del Instituto para la Protección al Ahorro (IPAB),</w:t>
      </w:r>
      <w:r>
        <w:rPr>
          <w:rFonts w:eastAsia="Times New Roman" w:cs="Calibri"/>
          <w:sz w:val="20"/>
          <w:szCs w:val="20"/>
          <w:lang w:val="es-ES" w:eastAsia="es-ES"/>
        </w:rPr>
        <w:t xml:space="preserve"> mediante el cual</w:t>
      </w:r>
      <w:r w:rsidRPr="00820E37">
        <w:rPr>
          <w:rFonts w:eastAsia="Times New Roman" w:cs="Calibri"/>
          <w:sz w:val="20"/>
          <w:szCs w:val="20"/>
          <w:lang w:val="es-ES" w:eastAsia="es-ES"/>
        </w:rPr>
        <w:t xml:space="preserve"> se procedió al Pago de las Obligaciones Garantizadas, es decir pagar a las personas</w:t>
      </w:r>
      <w:r>
        <w:rPr>
          <w:rFonts w:eastAsia="Times New Roman" w:cs="Calibri"/>
          <w:sz w:val="20"/>
          <w:szCs w:val="20"/>
          <w:lang w:val="es-ES" w:eastAsia="es-ES"/>
        </w:rPr>
        <w:t xml:space="preserve"> ahorradores </w:t>
      </w:r>
      <w:r w:rsidRPr="00820E37">
        <w:rPr>
          <w:rFonts w:eastAsia="Times New Roman" w:cs="Calibri"/>
          <w:sz w:val="20"/>
          <w:szCs w:val="20"/>
          <w:lang w:val="es-ES" w:eastAsia="es-ES"/>
        </w:rPr>
        <w:t>de BANCO ACCENDO, S.A, en virtud del proceso de liquidación de este último, esta misma</w:t>
      </w:r>
      <w:r w:rsidR="00A624C8">
        <w:rPr>
          <w:rFonts w:eastAsia="Times New Roman" w:cs="Calibri"/>
          <w:sz w:val="20"/>
          <w:szCs w:val="20"/>
          <w:lang w:val="es-ES" w:eastAsia="es-ES"/>
        </w:rPr>
        <w:t xml:space="preserve"> cantidad </w:t>
      </w:r>
      <w:r w:rsidR="00A624C8" w:rsidRPr="00820E37">
        <w:rPr>
          <w:rFonts w:eastAsia="Times New Roman" w:cs="Calibri"/>
          <w:sz w:val="20"/>
          <w:szCs w:val="20"/>
          <w:lang w:val="es-ES" w:eastAsia="es-ES"/>
        </w:rPr>
        <w:t>fue abonada a dicho deudor quedando un saldo por la cantidad de $ 179,044,933.</w:t>
      </w:r>
      <w:r w:rsidR="00A624C8">
        <w:rPr>
          <w:rFonts w:eastAsia="Times New Roman" w:cs="Calibri"/>
          <w:sz w:val="20"/>
          <w:szCs w:val="20"/>
          <w:lang w:val="es-ES" w:eastAsia="es-ES"/>
        </w:rPr>
        <w:t xml:space="preserve"> </w:t>
      </w:r>
      <w:r>
        <w:rPr>
          <w:rFonts w:eastAsia="Times New Roman" w:cs="Calibri"/>
          <w:sz w:val="20"/>
          <w:szCs w:val="20"/>
          <w:lang w:val="es-ES" w:eastAsia="es-ES"/>
        </w:rPr>
        <w:t xml:space="preserve">  </w:t>
      </w:r>
    </w:p>
    <w:p w14:paraId="1A04311A" w14:textId="77777777" w:rsidR="00A624C8" w:rsidRDefault="00A624C8" w:rsidP="00EC7D22">
      <w:pPr>
        <w:pStyle w:val="Prrafodelista"/>
        <w:tabs>
          <w:tab w:val="left" w:pos="567"/>
        </w:tabs>
        <w:spacing w:after="0" w:line="240" w:lineRule="auto"/>
        <w:ind w:left="0"/>
        <w:jc w:val="both"/>
        <w:rPr>
          <w:rFonts w:eastAsia="Times New Roman" w:cs="Calibri"/>
          <w:sz w:val="20"/>
          <w:szCs w:val="20"/>
          <w:lang w:val="es-ES" w:eastAsia="es-ES"/>
        </w:rPr>
      </w:pPr>
    </w:p>
    <w:p w14:paraId="36B286B4" w14:textId="7D5DFFF5" w:rsidR="00A624C8" w:rsidRDefault="00A624C8" w:rsidP="00EC7D22">
      <w:pPr>
        <w:spacing w:after="0" w:line="240" w:lineRule="auto"/>
        <w:jc w:val="both"/>
        <w:rPr>
          <w:rFonts w:eastAsia="Times New Roman" w:cs="Calibri"/>
          <w:sz w:val="20"/>
          <w:szCs w:val="20"/>
          <w:lang w:val="es-ES" w:eastAsia="es-ES"/>
        </w:rPr>
      </w:pPr>
      <w:r w:rsidRPr="00820E37">
        <w:rPr>
          <w:rFonts w:eastAsia="Times New Roman" w:cs="Calibri"/>
          <w:sz w:val="20"/>
          <w:szCs w:val="20"/>
          <w:lang w:val="es-ES" w:eastAsia="es-ES"/>
        </w:rPr>
        <w:t>El proceso legal para la recuperación del monto a cargo del deudor continúa en seguimiento al</w:t>
      </w:r>
      <w:r>
        <w:rPr>
          <w:rFonts w:eastAsia="Times New Roman" w:cs="Calibri"/>
          <w:sz w:val="20"/>
          <w:szCs w:val="20"/>
          <w:lang w:val="es-ES" w:eastAsia="es-ES"/>
        </w:rPr>
        <w:t xml:space="preserve"> </w:t>
      </w:r>
      <w:r w:rsidRPr="00820E37">
        <w:rPr>
          <w:rFonts w:eastAsia="Times New Roman" w:cs="Calibri"/>
          <w:sz w:val="20"/>
          <w:szCs w:val="20"/>
          <w:lang w:val="es-ES" w:eastAsia="es-ES"/>
        </w:rPr>
        <w:t>expediente de</w:t>
      </w:r>
      <w:r>
        <w:rPr>
          <w:rFonts w:eastAsia="Times New Roman" w:cs="Calibri"/>
          <w:sz w:val="20"/>
          <w:szCs w:val="20"/>
          <w:lang w:val="es-ES" w:eastAsia="es-ES"/>
        </w:rPr>
        <w:t xml:space="preserve"> </w:t>
      </w:r>
      <w:r w:rsidRPr="00820E37">
        <w:rPr>
          <w:rFonts w:eastAsia="Times New Roman" w:cs="Calibri"/>
          <w:sz w:val="20"/>
          <w:szCs w:val="20"/>
          <w:lang w:val="es-ES" w:eastAsia="es-ES"/>
        </w:rPr>
        <w:t xml:space="preserve">Liquidación Judicial del BANCO ACCENDO S.A., a fin de que sea </w:t>
      </w:r>
      <w:r>
        <w:rPr>
          <w:rFonts w:eastAsia="Times New Roman" w:cs="Calibri"/>
          <w:sz w:val="20"/>
          <w:szCs w:val="20"/>
          <w:lang w:val="es-ES" w:eastAsia="es-ES"/>
        </w:rPr>
        <w:t xml:space="preserve">recuperado el </w:t>
      </w:r>
      <w:r w:rsidRPr="00820E37">
        <w:rPr>
          <w:rFonts w:eastAsia="Times New Roman" w:cs="Calibri"/>
          <w:sz w:val="20"/>
          <w:szCs w:val="20"/>
          <w:lang w:val="es-ES" w:eastAsia="es-ES"/>
        </w:rPr>
        <w:t>crédito a</w:t>
      </w:r>
      <w:r>
        <w:rPr>
          <w:rFonts w:eastAsia="Times New Roman" w:cs="Calibri"/>
          <w:sz w:val="20"/>
          <w:szCs w:val="20"/>
          <w:lang w:val="es-ES" w:eastAsia="es-ES"/>
        </w:rPr>
        <w:t xml:space="preserve"> </w:t>
      </w:r>
      <w:r w:rsidRPr="00820E37">
        <w:rPr>
          <w:rFonts w:eastAsia="Times New Roman" w:cs="Calibri"/>
          <w:sz w:val="20"/>
          <w:szCs w:val="20"/>
          <w:lang w:val="es-ES" w:eastAsia="es-ES"/>
        </w:rPr>
        <w:t>favor del Gobierno del Estado de Tamaulipas.</w:t>
      </w:r>
    </w:p>
    <w:p w14:paraId="1A316692" w14:textId="7438BF96" w:rsidR="00A624C8" w:rsidRDefault="00A624C8" w:rsidP="00EC7D22">
      <w:pPr>
        <w:spacing w:after="0"/>
        <w:jc w:val="both"/>
        <w:rPr>
          <w:rFonts w:eastAsia="Times New Roman" w:cs="Calibri"/>
          <w:sz w:val="20"/>
          <w:szCs w:val="20"/>
          <w:lang w:val="es-ES" w:eastAsia="es-ES"/>
        </w:rPr>
      </w:pPr>
    </w:p>
    <w:p w14:paraId="401AC172" w14:textId="5E1B178C" w:rsidR="00A624C8" w:rsidRPr="00A624C8" w:rsidRDefault="00A624C8" w:rsidP="00EC7D22">
      <w:pPr>
        <w:pStyle w:val="Prrafodelista"/>
        <w:numPr>
          <w:ilvl w:val="0"/>
          <w:numId w:val="63"/>
        </w:numPr>
        <w:spacing w:after="0"/>
        <w:ind w:left="0" w:firstLine="0"/>
        <w:jc w:val="both"/>
        <w:rPr>
          <w:rFonts w:eastAsia="Times New Roman" w:cs="Calibri"/>
          <w:sz w:val="20"/>
          <w:szCs w:val="20"/>
          <w:lang w:val="es-ES" w:eastAsia="es-ES"/>
        </w:rPr>
      </w:pPr>
      <w:r>
        <w:rPr>
          <w:rFonts w:eastAsia="Times New Roman" w:cs="Calibri"/>
          <w:sz w:val="20"/>
          <w:szCs w:val="20"/>
          <w:lang w:val="es-ES" w:eastAsia="es-ES"/>
        </w:rPr>
        <w:t xml:space="preserve">Además, de </w:t>
      </w:r>
      <w:r w:rsidRPr="00827DA1">
        <w:rPr>
          <w:rFonts w:cs="Calibri"/>
          <w:sz w:val="20"/>
        </w:rPr>
        <w:t>en este rubro por lo que respecta a los Fideicomisos incorporados el Fideicomiso Nuevo</w:t>
      </w:r>
      <w:r>
        <w:rPr>
          <w:rFonts w:cs="Calibri"/>
          <w:sz w:val="20"/>
        </w:rPr>
        <w:t xml:space="preserve"> Santander </w:t>
      </w:r>
      <w:r w:rsidRPr="00820E37">
        <w:rPr>
          <w:rFonts w:cs="Calibri"/>
          <w:sz w:val="20"/>
        </w:rPr>
        <w:t>mantiene $</w:t>
      </w:r>
      <w:r>
        <w:rPr>
          <w:rFonts w:cs="Calibri"/>
          <w:sz w:val="20"/>
        </w:rPr>
        <w:t>25,389,818</w:t>
      </w:r>
      <w:r w:rsidRPr="00820E37">
        <w:rPr>
          <w:rFonts w:cs="Calibri"/>
          <w:sz w:val="20"/>
        </w:rPr>
        <w:t>, por concepto de ventas de terrenos, Fideicomiso de Garantía</w:t>
      </w:r>
      <w:r>
        <w:rPr>
          <w:rFonts w:cs="Calibri"/>
          <w:sz w:val="20"/>
        </w:rPr>
        <w:t xml:space="preserve"> Solidaria del</w:t>
      </w:r>
      <w:r w:rsidRPr="00820E37">
        <w:rPr>
          <w:rFonts w:cs="Calibri"/>
          <w:sz w:val="20"/>
        </w:rPr>
        <w:t xml:space="preserve"> Estado de Tamaulipas</w:t>
      </w:r>
      <w:r>
        <w:rPr>
          <w:rFonts w:cs="Calibri"/>
          <w:sz w:val="20"/>
        </w:rPr>
        <w:t xml:space="preserve"> (</w:t>
      </w:r>
      <w:proofErr w:type="spellStart"/>
      <w:r>
        <w:rPr>
          <w:rFonts w:cs="Calibri"/>
          <w:sz w:val="20"/>
        </w:rPr>
        <w:t>Fidegad</w:t>
      </w:r>
      <w:proofErr w:type="spellEnd"/>
      <w:r>
        <w:rPr>
          <w:rFonts w:cs="Calibri"/>
          <w:sz w:val="20"/>
        </w:rPr>
        <w:t>)</w:t>
      </w:r>
      <w:r w:rsidRPr="00820E37">
        <w:rPr>
          <w:rFonts w:cs="Calibri"/>
          <w:sz w:val="20"/>
        </w:rPr>
        <w:t xml:space="preserve"> por </w:t>
      </w:r>
      <w:r>
        <w:rPr>
          <w:rFonts w:cs="Calibri"/>
          <w:sz w:val="20"/>
        </w:rPr>
        <w:t>$</w:t>
      </w:r>
      <w:r w:rsidRPr="00820E37">
        <w:rPr>
          <w:rFonts w:cs="Calibri"/>
          <w:sz w:val="20"/>
        </w:rPr>
        <w:t>14,730,895., y</w:t>
      </w:r>
    </w:p>
    <w:p w14:paraId="5BAF9970" w14:textId="77777777" w:rsidR="00A624C8" w:rsidRPr="00A624C8" w:rsidRDefault="00A624C8" w:rsidP="00EC7D22">
      <w:pPr>
        <w:pStyle w:val="Prrafodelista"/>
        <w:spacing w:after="0"/>
        <w:ind w:left="0"/>
        <w:jc w:val="both"/>
        <w:rPr>
          <w:rFonts w:eastAsia="Times New Roman" w:cs="Calibri"/>
          <w:sz w:val="20"/>
          <w:szCs w:val="20"/>
          <w:lang w:val="es-ES" w:eastAsia="es-ES"/>
        </w:rPr>
      </w:pPr>
    </w:p>
    <w:p w14:paraId="588E400E" w14:textId="37729836" w:rsidR="007745EB" w:rsidRPr="00443A54" w:rsidRDefault="00F807CB" w:rsidP="00EC7D22">
      <w:pPr>
        <w:pStyle w:val="Prrafodelista"/>
        <w:numPr>
          <w:ilvl w:val="0"/>
          <w:numId w:val="63"/>
        </w:numPr>
        <w:spacing w:after="0"/>
        <w:ind w:left="0" w:firstLine="0"/>
        <w:jc w:val="both"/>
        <w:rPr>
          <w:rFonts w:cs="Calibri"/>
          <w:b/>
          <w:sz w:val="20"/>
          <w:szCs w:val="18"/>
        </w:rPr>
      </w:pPr>
      <w:r>
        <w:rPr>
          <w:rFonts w:cs="Calibri"/>
          <w:sz w:val="20"/>
          <w:lang w:val="es-ES"/>
        </w:rPr>
        <w:t>R</w:t>
      </w:r>
      <w:proofErr w:type="spellStart"/>
      <w:r w:rsidRPr="00443A54">
        <w:rPr>
          <w:rFonts w:cs="Calibri"/>
          <w:sz w:val="20"/>
        </w:rPr>
        <w:t>egistro</w:t>
      </w:r>
      <w:proofErr w:type="spellEnd"/>
      <w:r w:rsidR="00A624C8" w:rsidRPr="00443A54">
        <w:rPr>
          <w:rFonts w:cs="Calibri"/>
          <w:sz w:val="20"/>
        </w:rPr>
        <w:t xml:space="preserve"> del pago de la Deuda a Largo Plazo de la COMAPA Río Bravo por $ 64,030,582</w:t>
      </w:r>
      <w:r>
        <w:rPr>
          <w:rFonts w:cs="Calibri"/>
          <w:sz w:val="20"/>
        </w:rPr>
        <w:t xml:space="preserve">. Correspondiente al </w:t>
      </w:r>
      <w:r w:rsidRPr="00443A54">
        <w:rPr>
          <w:rFonts w:cs="Calibri"/>
          <w:sz w:val="20"/>
        </w:rPr>
        <w:t>crédito</w:t>
      </w:r>
      <w:r w:rsidR="00443A54" w:rsidRPr="00443A54">
        <w:rPr>
          <w:rFonts w:cs="Calibri"/>
          <w:sz w:val="20"/>
        </w:rPr>
        <w:t xml:space="preserve"> con Corporación Financiera de América del Norte, S.A. de C.V. (COFIDAN) TM </w:t>
      </w:r>
      <w:r w:rsidR="005A5C62" w:rsidRPr="00443A54">
        <w:rPr>
          <w:rFonts w:cs="Calibri"/>
          <w:sz w:val="20"/>
        </w:rPr>
        <w:t>9140,</w:t>
      </w:r>
      <w:r w:rsidR="00443A54" w:rsidRPr="00443A54">
        <w:rPr>
          <w:rFonts w:cs="Calibri"/>
          <w:sz w:val="20"/>
        </w:rPr>
        <w:t xml:space="preserve"> del cual el Gobierno del Estado es el Obligado Solidario</w:t>
      </w:r>
      <w:r>
        <w:rPr>
          <w:rFonts w:cs="Calibri"/>
          <w:sz w:val="20"/>
        </w:rPr>
        <w:t xml:space="preserve"> por </w:t>
      </w:r>
      <w:r w:rsidR="00B62C59">
        <w:rPr>
          <w:rFonts w:cs="Calibri"/>
          <w:sz w:val="20"/>
        </w:rPr>
        <w:t>lo que se</w:t>
      </w:r>
      <w:r>
        <w:rPr>
          <w:rFonts w:cs="Calibri"/>
          <w:sz w:val="20"/>
        </w:rPr>
        <w:t xml:space="preserve"> cargan los pagos mensualmente a través del Fideicomiso No.025381-8 de Banco Mercantil del Norte S.A de C.V.,</w:t>
      </w:r>
      <w:r w:rsidR="00443A54">
        <w:rPr>
          <w:rFonts w:cs="Calibri"/>
          <w:sz w:val="20"/>
        </w:rPr>
        <w:t xml:space="preserve"> desde el año 2010</w:t>
      </w:r>
      <w:r>
        <w:rPr>
          <w:rFonts w:cs="Calibri"/>
          <w:sz w:val="20"/>
        </w:rPr>
        <w:t>, debido a la insuficiencia de recursos de la COMAPA Río Bravo.</w:t>
      </w:r>
    </w:p>
    <w:p w14:paraId="4B58DC11" w14:textId="77777777" w:rsidR="00443A54" w:rsidRPr="00443A54" w:rsidRDefault="00443A54" w:rsidP="00EC7D22">
      <w:pPr>
        <w:pStyle w:val="Prrafodelista"/>
        <w:ind w:left="0"/>
        <w:rPr>
          <w:rFonts w:cs="Calibri"/>
          <w:b/>
          <w:sz w:val="20"/>
          <w:szCs w:val="18"/>
        </w:rPr>
      </w:pPr>
    </w:p>
    <w:p w14:paraId="77A68C14" w14:textId="77777777" w:rsidR="00443A54" w:rsidRDefault="00443A54" w:rsidP="00EC7D22">
      <w:pPr>
        <w:pStyle w:val="Prrafodelista"/>
        <w:spacing w:after="0"/>
        <w:ind w:left="0"/>
        <w:jc w:val="both"/>
        <w:rPr>
          <w:rFonts w:cs="Calibri"/>
          <w:b/>
          <w:sz w:val="20"/>
          <w:szCs w:val="18"/>
        </w:rPr>
      </w:pPr>
    </w:p>
    <w:p w14:paraId="643C3924" w14:textId="68684AA9" w:rsidR="007745EB" w:rsidRDefault="00694CE6" w:rsidP="00EC7D22">
      <w:pPr>
        <w:pStyle w:val="Texto"/>
        <w:spacing w:after="0" w:line="240" w:lineRule="exact"/>
        <w:ind w:firstLine="0"/>
        <w:rPr>
          <w:rFonts w:ascii="Calibri" w:hAnsi="Calibri" w:cs="Calibri"/>
          <w:b/>
          <w:i/>
          <w:sz w:val="20"/>
          <w:szCs w:val="18"/>
          <w:u w:val="single"/>
          <w:lang w:val="es-MX"/>
        </w:rPr>
      </w:pPr>
      <w:r>
        <w:rPr>
          <w:rFonts w:ascii="Calibri" w:hAnsi="Calibri" w:cs="Calibri"/>
          <w:b/>
          <w:i/>
          <w:sz w:val="20"/>
          <w:szCs w:val="18"/>
          <w:u w:val="single"/>
          <w:lang w:val="es-MX"/>
        </w:rPr>
        <w:lastRenderedPageBreak/>
        <w:t xml:space="preserve">Bienes Muebles, Inmuebles </w:t>
      </w:r>
      <w:r w:rsidR="0079655D">
        <w:rPr>
          <w:rFonts w:ascii="Calibri" w:hAnsi="Calibri" w:cs="Calibri"/>
          <w:b/>
          <w:i/>
          <w:sz w:val="20"/>
          <w:szCs w:val="18"/>
          <w:u w:val="single"/>
          <w:lang w:val="es-MX"/>
        </w:rPr>
        <w:t>e</w:t>
      </w:r>
      <w:r>
        <w:rPr>
          <w:rFonts w:ascii="Calibri" w:hAnsi="Calibri" w:cs="Calibri"/>
          <w:b/>
          <w:i/>
          <w:sz w:val="20"/>
          <w:szCs w:val="18"/>
          <w:u w:val="single"/>
          <w:lang w:val="es-MX"/>
        </w:rPr>
        <w:t xml:space="preserve"> Intangibles    </w:t>
      </w:r>
    </w:p>
    <w:p w14:paraId="75691508" w14:textId="77777777" w:rsidR="007745EB" w:rsidRDefault="007745EB" w:rsidP="00EC7D22">
      <w:pPr>
        <w:pStyle w:val="Texto"/>
        <w:spacing w:after="0" w:line="240" w:lineRule="exact"/>
        <w:ind w:firstLine="0"/>
        <w:rPr>
          <w:rFonts w:ascii="Calibri" w:hAnsi="Calibri" w:cs="Calibri"/>
          <w:szCs w:val="18"/>
          <w:lang w:val="es-MX"/>
        </w:rPr>
      </w:pPr>
    </w:p>
    <w:p w14:paraId="5B58D6E1" w14:textId="45B4AC62" w:rsidR="007745EB" w:rsidRPr="00820E37" w:rsidRDefault="00C87FDA" w:rsidP="00EC7D22">
      <w:pPr>
        <w:pStyle w:val="Prrafodelista"/>
        <w:numPr>
          <w:ilvl w:val="0"/>
          <w:numId w:val="18"/>
        </w:numPr>
        <w:ind w:left="0" w:firstLine="0"/>
        <w:jc w:val="both"/>
        <w:rPr>
          <w:rFonts w:eastAsia="Times New Roman" w:cs="Calibri"/>
          <w:sz w:val="20"/>
          <w:szCs w:val="20"/>
          <w:lang w:eastAsia="es-ES"/>
        </w:rPr>
      </w:pPr>
      <w:r w:rsidRPr="00820E37">
        <w:rPr>
          <w:rFonts w:eastAsia="Times New Roman" w:cs="Calibri"/>
          <w:sz w:val="20"/>
          <w:szCs w:val="20"/>
          <w:lang w:eastAsia="es-ES"/>
        </w:rPr>
        <w:t xml:space="preserve">El método de depreciación para los Bienes Muebles, Inmuebles e Intangibles es el de línea recta, método que se aplica en forma consistente en cada clase de activo, y </w:t>
      </w:r>
      <w:r w:rsidR="00943BD8" w:rsidRPr="00820E37">
        <w:rPr>
          <w:rFonts w:eastAsia="Times New Roman" w:cs="Calibri"/>
          <w:sz w:val="20"/>
          <w:szCs w:val="20"/>
          <w:lang w:eastAsia="es-ES"/>
        </w:rPr>
        <w:t>de acuerdo con</w:t>
      </w:r>
      <w:r w:rsidRPr="00820E37">
        <w:rPr>
          <w:rFonts w:eastAsia="Times New Roman" w:cs="Calibri"/>
          <w:sz w:val="20"/>
          <w:szCs w:val="20"/>
          <w:lang w:eastAsia="es-ES"/>
        </w:rPr>
        <w:t xml:space="preserve"> la tabla establecida por el Consejo de Armonización Contable del Estado de Tamaulipas (CACET).</w:t>
      </w:r>
    </w:p>
    <w:p w14:paraId="15EC5691" w14:textId="77777777" w:rsidR="000817F2" w:rsidRDefault="00C87FDA" w:rsidP="00EC7D22">
      <w:pPr>
        <w:rPr>
          <w:rFonts w:eastAsia="Times New Roman" w:cs="Calibri"/>
          <w:b/>
          <w:sz w:val="18"/>
          <w:szCs w:val="18"/>
          <w:u w:val="single"/>
          <w:lang w:eastAsia="es-ES"/>
        </w:rPr>
      </w:pPr>
      <w:r w:rsidRPr="00694CE6">
        <w:rPr>
          <w:rFonts w:eastAsia="Times New Roman" w:cs="Calibri"/>
          <w:b/>
          <w:sz w:val="18"/>
          <w:szCs w:val="18"/>
          <w:u w:val="single"/>
          <w:lang w:eastAsia="es-ES"/>
        </w:rPr>
        <w:t>Bienes Inmuebles</w:t>
      </w:r>
    </w:p>
    <w:tbl>
      <w:tblPr>
        <w:tblW w:w="8601" w:type="dxa"/>
        <w:tblCellMar>
          <w:left w:w="70" w:type="dxa"/>
          <w:right w:w="70" w:type="dxa"/>
        </w:tblCellMar>
        <w:tblLook w:val="04A0" w:firstRow="1" w:lastRow="0" w:firstColumn="1" w:lastColumn="0" w:noHBand="0" w:noVBand="1"/>
      </w:tblPr>
      <w:tblGrid>
        <w:gridCol w:w="3539"/>
        <w:gridCol w:w="1233"/>
        <w:gridCol w:w="1233"/>
        <w:gridCol w:w="1233"/>
        <w:gridCol w:w="1363"/>
      </w:tblGrid>
      <w:tr w:rsidR="00BF0B30" w:rsidRPr="005A5C62" w14:paraId="05937BFE" w14:textId="77777777" w:rsidTr="00E1121C">
        <w:trPr>
          <w:trHeight w:val="851"/>
        </w:trPr>
        <w:tc>
          <w:tcPr>
            <w:tcW w:w="3539" w:type="dxa"/>
            <w:tcBorders>
              <w:top w:val="single" w:sz="4" w:space="0" w:color="auto"/>
              <w:left w:val="single" w:sz="4" w:space="0" w:color="auto"/>
              <w:bottom w:val="single" w:sz="4" w:space="0" w:color="auto"/>
              <w:right w:val="single" w:sz="4" w:space="0" w:color="auto"/>
            </w:tcBorders>
            <w:shd w:val="clear" w:color="000000" w:fill="AB0033"/>
            <w:vAlign w:val="center"/>
            <w:hideMark/>
          </w:tcPr>
          <w:p w14:paraId="7DE3E04C" w14:textId="77777777"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Bienes Inmuebles</w:t>
            </w:r>
          </w:p>
        </w:tc>
        <w:tc>
          <w:tcPr>
            <w:tcW w:w="1233" w:type="dxa"/>
            <w:tcBorders>
              <w:top w:val="single" w:sz="4" w:space="0" w:color="auto"/>
              <w:left w:val="nil"/>
              <w:bottom w:val="single" w:sz="4" w:space="0" w:color="auto"/>
              <w:right w:val="single" w:sz="4" w:space="0" w:color="auto"/>
            </w:tcBorders>
            <w:shd w:val="clear" w:color="000000" w:fill="AB0033"/>
            <w:vAlign w:val="center"/>
            <w:hideMark/>
          </w:tcPr>
          <w:p w14:paraId="2A20B0C8" w14:textId="77777777"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Importe</w:t>
            </w:r>
          </w:p>
        </w:tc>
        <w:tc>
          <w:tcPr>
            <w:tcW w:w="1233" w:type="dxa"/>
            <w:tcBorders>
              <w:top w:val="single" w:sz="4" w:space="0" w:color="auto"/>
              <w:left w:val="nil"/>
              <w:bottom w:val="single" w:sz="4" w:space="0" w:color="auto"/>
              <w:right w:val="single" w:sz="4" w:space="0" w:color="auto"/>
            </w:tcBorders>
            <w:shd w:val="clear" w:color="000000" w:fill="AB0033"/>
            <w:vAlign w:val="center"/>
            <w:hideMark/>
          </w:tcPr>
          <w:p w14:paraId="432AB528" w14:textId="77777777"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Depreciación Acumulada al 31 de Diciembre de 2023</w:t>
            </w:r>
          </w:p>
        </w:tc>
        <w:tc>
          <w:tcPr>
            <w:tcW w:w="1233" w:type="dxa"/>
            <w:tcBorders>
              <w:top w:val="single" w:sz="4" w:space="0" w:color="auto"/>
              <w:left w:val="nil"/>
              <w:bottom w:val="single" w:sz="4" w:space="0" w:color="auto"/>
              <w:right w:val="single" w:sz="4" w:space="0" w:color="auto"/>
            </w:tcBorders>
            <w:shd w:val="clear" w:color="000000" w:fill="AB0033"/>
            <w:vAlign w:val="center"/>
            <w:hideMark/>
          </w:tcPr>
          <w:p w14:paraId="5874AAD4" w14:textId="77777777"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Depreciación del Ejercicio</w:t>
            </w:r>
          </w:p>
        </w:tc>
        <w:tc>
          <w:tcPr>
            <w:tcW w:w="1363" w:type="dxa"/>
            <w:tcBorders>
              <w:top w:val="single" w:sz="4" w:space="0" w:color="auto"/>
              <w:left w:val="nil"/>
              <w:bottom w:val="single" w:sz="4" w:space="0" w:color="auto"/>
              <w:right w:val="single" w:sz="4" w:space="0" w:color="auto"/>
            </w:tcBorders>
            <w:shd w:val="clear" w:color="000000" w:fill="AB0033"/>
            <w:vAlign w:val="center"/>
            <w:hideMark/>
          </w:tcPr>
          <w:p w14:paraId="792B0E05" w14:textId="77777777" w:rsidR="005A5C62"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 xml:space="preserve">Tasa Anual de </w:t>
            </w:r>
          </w:p>
          <w:p w14:paraId="0ECA650E" w14:textId="5B05661B"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 xml:space="preserve">Depreciación </w:t>
            </w:r>
          </w:p>
        </w:tc>
      </w:tr>
      <w:tr w:rsidR="00BF0B30" w:rsidRPr="00BF0B30" w14:paraId="705B8823"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60871B4"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Terrenos*</w:t>
            </w:r>
          </w:p>
        </w:tc>
        <w:tc>
          <w:tcPr>
            <w:tcW w:w="1233" w:type="dxa"/>
            <w:tcBorders>
              <w:top w:val="nil"/>
              <w:left w:val="nil"/>
              <w:bottom w:val="single" w:sz="4" w:space="0" w:color="auto"/>
              <w:right w:val="single" w:sz="4" w:space="0" w:color="auto"/>
            </w:tcBorders>
            <w:shd w:val="clear" w:color="auto" w:fill="auto"/>
            <w:noWrap/>
            <w:vAlign w:val="center"/>
            <w:hideMark/>
          </w:tcPr>
          <w:p w14:paraId="0CFEC33C"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2,652,574,191</w:t>
            </w:r>
          </w:p>
        </w:tc>
        <w:tc>
          <w:tcPr>
            <w:tcW w:w="1233" w:type="dxa"/>
            <w:tcBorders>
              <w:top w:val="nil"/>
              <w:left w:val="nil"/>
              <w:bottom w:val="single" w:sz="4" w:space="0" w:color="auto"/>
              <w:right w:val="single" w:sz="4" w:space="0" w:color="auto"/>
            </w:tcBorders>
            <w:shd w:val="clear" w:color="auto" w:fill="auto"/>
            <w:noWrap/>
            <w:vAlign w:val="center"/>
            <w:hideMark/>
          </w:tcPr>
          <w:p w14:paraId="24949B28"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233" w:type="dxa"/>
            <w:tcBorders>
              <w:top w:val="nil"/>
              <w:left w:val="nil"/>
              <w:bottom w:val="single" w:sz="4" w:space="0" w:color="auto"/>
              <w:right w:val="single" w:sz="4" w:space="0" w:color="auto"/>
            </w:tcBorders>
            <w:shd w:val="clear" w:color="auto" w:fill="auto"/>
            <w:noWrap/>
            <w:vAlign w:val="center"/>
            <w:hideMark/>
          </w:tcPr>
          <w:p w14:paraId="74111682"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363" w:type="dxa"/>
            <w:tcBorders>
              <w:top w:val="nil"/>
              <w:left w:val="nil"/>
              <w:bottom w:val="single" w:sz="4" w:space="0" w:color="auto"/>
              <w:right w:val="single" w:sz="4" w:space="0" w:color="auto"/>
            </w:tcBorders>
            <w:shd w:val="clear" w:color="auto" w:fill="auto"/>
            <w:noWrap/>
            <w:vAlign w:val="center"/>
            <w:hideMark/>
          </w:tcPr>
          <w:p w14:paraId="4E997648"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0.00%</w:t>
            </w:r>
          </w:p>
        </w:tc>
      </w:tr>
      <w:tr w:rsidR="00BF0B30" w:rsidRPr="00BF0B30" w14:paraId="66F37352"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2829AB5"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Viviendas</w:t>
            </w:r>
          </w:p>
        </w:tc>
        <w:tc>
          <w:tcPr>
            <w:tcW w:w="1233" w:type="dxa"/>
            <w:tcBorders>
              <w:top w:val="nil"/>
              <w:left w:val="nil"/>
              <w:bottom w:val="single" w:sz="4" w:space="0" w:color="auto"/>
              <w:right w:val="single" w:sz="4" w:space="0" w:color="auto"/>
            </w:tcBorders>
            <w:shd w:val="clear" w:color="auto" w:fill="auto"/>
            <w:noWrap/>
            <w:vAlign w:val="center"/>
            <w:hideMark/>
          </w:tcPr>
          <w:p w14:paraId="6775CC1F"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11,839,770</w:t>
            </w:r>
          </w:p>
        </w:tc>
        <w:tc>
          <w:tcPr>
            <w:tcW w:w="1233" w:type="dxa"/>
            <w:tcBorders>
              <w:top w:val="nil"/>
              <w:left w:val="nil"/>
              <w:bottom w:val="single" w:sz="4" w:space="0" w:color="auto"/>
              <w:right w:val="single" w:sz="4" w:space="0" w:color="auto"/>
            </w:tcBorders>
            <w:shd w:val="clear" w:color="auto" w:fill="auto"/>
            <w:noWrap/>
            <w:vAlign w:val="center"/>
            <w:hideMark/>
          </w:tcPr>
          <w:p w14:paraId="2D24AE36"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-2,368,585</w:t>
            </w:r>
          </w:p>
        </w:tc>
        <w:tc>
          <w:tcPr>
            <w:tcW w:w="1233" w:type="dxa"/>
            <w:tcBorders>
              <w:top w:val="nil"/>
              <w:left w:val="nil"/>
              <w:bottom w:val="single" w:sz="4" w:space="0" w:color="auto"/>
              <w:right w:val="single" w:sz="4" w:space="0" w:color="auto"/>
            </w:tcBorders>
            <w:shd w:val="clear" w:color="auto" w:fill="auto"/>
            <w:noWrap/>
            <w:vAlign w:val="center"/>
            <w:hideMark/>
          </w:tcPr>
          <w:p w14:paraId="733C1C24"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-396,822</w:t>
            </w:r>
          </w:p>
        </w:tc>
        <w:tc>
          <w:tcPr>
            <w:tcW w:w="1363" w:type="dxa"/>
            <w:tcBorders>
              <w:top w:val="nil"/>
              <w:left w:val="nil"/>
              <w:bottom w:val="single" w:sz="4" w:space="0" w:color="auto"/>
              <w:right w:val="single" w:sz="4" w:space="0" w:color="auto"/>
            </w:tcBorders>
            <w:shd w:val="clear" w:color="auto" w:fill="auto"/>
            <w:noWrap/>
            <w:vAlign w:val="center"/>
            <w:hideMark/>
          </w:tcPr>
          <w:p w14:paraId="641078B4"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2.00% </w:t>
            </w:r>
          </w:p>
        </w:tc>
      </w:tr>
      <w:tr w:rsidR="00BF0B30" w:rsidRPr="00BF0B30" w14:paraId="272081D7"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49BFA24"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Edificios No habitacionales*</w:t>
            </w:r>
          </w:p>
        </w:tc>
        <w:tc>
          <w:tcPr>
            <w:tcW w:w="1233" w:type="dxa"/>
            <w:tcBorders>
              <w:top w:val="nil"/>
              <w:left w:val="nil"/>
              <w:bottom w:val="single" w:sz="4" w:space="0" w:color="auto"/>
              <w:right w:val="single" w:sz="4" w:space="0" w:color="auto"/>
            </w:tcBorders>
            <w:shd w:val="clear" w:color="auto" w:fill="auto"/>
            <w:noWrap/>
            <w:vAlign w:val="center"/>
            <w:hideMark/>
          </w:tcPr>
          <w:p w14:paraId="0ED7F965"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3,996,004,391</w:t>
            </w:r>
          </w:p>
        </w:tc>
        <w:tc>
          <w:tcPr>
            <w:tcW w:w="1233" w:type="dxa"/>
            <w:tcBorders>
              <w:top w:val="nil"/>
              <w:left w:val="nil"/>
              <w:bottom w:val="single" w:sz="4" w:space="0" w:color="auto"/>
              <w:right w:val="single" w:sz="4" w:space="0" w:color="auto"/>
            </w:tcBorders>
            <w:shd w:val="clear" w:color="auto" w:fill="auto"/>
            <w:noWrap/>
            <w:vAlign w:val="center"/>
            <w:hideMark/>
          </w:tcPr>
          <w:p w14:paraId="0E8741A8"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-1,250,103,526</w:t>
            </w:r>
          </w:p>
        </w:tc>
        <w:tc>
          <w:tcPr>
            <w:tcW w:w="1233" w:type="dxa"/>
            <w:tcBorders>
              <w:top w:val="nil"/>
              <w:left w:val="nil"/>
              <w:bottom w:val="single" w:sz="4" w:space="0" w:color="auto"/>
              <w:right w:val="single" w:sz="4" w:space="0" w:color="auto"/>
            </w:tcBorders>
            <w:shd w:val="clear" w:color="auto" w:fill="auto"/>
            <w:noWrap/>
            <w:vAlign w:val="center"/>
            <w:hideMark/>
          </w:tcPr>
          <w:p w14:paraId="75EE72B7"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-281,335,933</w:t>
            </w:r>
          </w:p>
        </w:tc>
        <w:tc>
          <w:tcPr>
            <w:tcW w:w="1363" w:type="dxa"/>
            <w:tcBorders>
              <w:top w:val="nil"/>
              <w:left w:val="nil"/>
              <w:bottom w:val="single" w:sz="4" w:space="0" w:color="auto"/>
              <w:right w:val="single" w:sz="4" w:space="0" w:color="auto"/>
            </w:tcBorders>
            <w:shd w:val="clear" w:color="auto" w:fill="auto"/>
            <w:noWrap/>
            <w:vAlign w:val="center"/>
            <w:hideMark/>
          </w:tcPr>
          <w:p w14:paraId="57B3C885"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3.33%</w:t>
            </w:r>
          </w:p>
        </w:tc>
      </w:tr>
      <w:tr w:rsidR="00BF0B30" w:rsidRPr="00BF0B30" w14:paraId="7507A09A"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521E1AF"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Infraestructura</w:t>
            </w:r>
          </w:p>
        </w:tc>
        <w:tc>
          <w:tcPr>
            <w:tcW w:w="1233" w:type="dxa"/>
            <w:tcBorders>
              <w:top w:val="nil"/>
              <w:left w:val="nil"/>
              <w:bottom w:val="single" w:sz="4" w:space="0" w:color="auto"/>
              <w:right w:val="single" w:sz="4" w:space="0" w:color="auto"/>
            </w:tcBorders>
            <w:shd w:val="clear" w:color="auto" w:fill="auto"/>
            <w:noWrap/>
            <w:vAlign w:val="center"/>
            <w:hideMark/>
          </w:tcPr>
          <w:p w14:paraId="1FDBC27B"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57,722,288</w:t>
            </w:r>
          </w:p>
        </w:tc>
        <w:tc>
          <w:tcPr>
            <w:tcW w:w="1233" w:type="dxa"/>
            <w:tcBorders>
              <w:top w:val="nil"/>
              <w:left w:val="nil"/>
              <w:bottom w:val="single" w:sz="4" w:space="0" w:color="auto"/>
              <w:right w:val="single" w:sz="4" w:space="0" w:color="auto"/>
            </w:tcBorders>
            <w:shd w:val="clear" w:color="auto" w:fill="auto"/>
            <w:noWrap/>
            <w:vAlign w:val="center"/>
            <w:hideMark/>
          </w:tcPr>
          <w:p w14:paraId="4CC09C3C"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-16,380,649</w:t>
            </w:r>
          </w:p>
        </w:tc>
        <w:tc>
          <w:tcPr>
            <w:tcW w:w="1233" w:type="dxa"/>
            <w:tcBorders>
              <w:top w:val="nil"/>
              <w:left w:val="nil"/>
              <w:bottom w:val="single" w:sz="4" w:space="0" w:color="auto"/>
              <w:right w:val="single" w:sz="4" w:space="0" w:color="auto"/>
            </w:tcBorders>
            <w:shd w:val="clear" w:color="auto" w:fill="auto"/>
            <w:noWrap/>
            <w:vAlign w:val="center"/>
            <w:hideMark/>
          </w:tcPr>
          <w:p w14:paraId="14368271"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-2,340,093</w:t>
            </w:r>
          </w:p>
        </w:tc>
        <w:tc>
          <w:tcPr>
            <w:tcW w:w="1363" w:type="dxa"/>
            <w:tcBorders>
              <w:top w:val="nil"/>
              <w:left w:val="nil"/>
              <w:bottom w:val="single" w:sz="4" w:space="0" w:color="auto"/>
              <w:right w:val="single" w:sz="4" w:space="0" w:color="auto"/>
            </w:tcBorders>
            <w:shd w:val="clear" w:color="auto" w:fill="auto"/>
            <w:noWrap/>
            <w:vAlign w:val="center"/>
            <w:hideMark/>
          </w:tcPr>
          <w:p w14:paraId="0A36D7F6"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3.33%</w:t>
            </w:r>
          </w:p>
        </w:tc>
      </w:tr>
      <w:tr w:rsidR="00BF0B30" w:rsidRPr="00BF0B30" w14:paraId="1E44990B"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0A9228A"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Construcciones en Proceso en Bienes de Dominio Público</w:t>
            </w:r>
          </w:p>
        </w:tc>
        <w:tc>
          <w:tcPr>
            <w:tcW w:w="1233" w:type="dxa"/>
            <w:tcBorders>
              <w:top w:val="nil"/>
              <w:left w:val="nil"/>
              <w:bottom w:val="single" w:sz="4" w:space="0" w:color="auto"/>
              <w:right w:val="single" w:sz="4" w:space="0" w:color="auto"/>
            </w:tcBorders>
            <w:shd w:val="clear" w:color="auto" w:fill="auto"/>
            <w:noWrap/>
            <w:vAlign w:val="center"/>
            <w:hideMark/>
          </w:tcPr>
          <w:p w14:paraId="339EE5DF"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2,961,939,948</w:t>
            </w:r>
          </w:p>
        </w:tc>
        <w:tc>
          <w:tcPr>
            <w:tcW w:w="1233" w:type="dxa"/>
            <w:tcBorders>
              <w:top w:val="nil"/>
              <w:left w:val="nil"/>
              <w:bottom w:val="single" w:sz="4" w:space="0" w:color="auto"/>
              <w:right w:val="single" w:sz="4" w:space="0" w:color="auto"/>
            </w:tcBorders>
            <w:shd w:val="clear" w:color="auto" w:fill="auto"/>
            <w:noWrap/>
            <w:vAlign w:val="center"/>
            <w:hideMark/>
          </w:tcPr>
          <w:p w14:paraId="71E55867"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233" w:type="dxa"/>
            <w:tcBorders>
              <w:top w:val="nil"/>
              <w:left w:val="nil"/>
              <w:bottom w:val="single" w:sz="4" w:space="0" w:color="auto"/>
              <w:right w:val="single" w:sz="4" w:space="0" w:color="auto"/>
            </w:tcBorders>
            <w:shd w:val="clear" w:color="auto" w:fill="auto"/>
            <w:noWrap/>
            <w:vAlign w:val="center"/>
            <w:hideMark/>
          </w:tcPr>
          <w:p w14:paraId="067D50B2"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363" w:type="dxa"/>
            <w:tcBorders>
              <w:top w:val="nil"/>
              <w:left w:val="nil"/>
              <w:bottom w:val="single" w:sz="4" w:space="0" w:color="auto"/>
              <w:right w:val="single" w:sz="4" w:space="0" w:color="auto"/>
            </w:tcBorders>
            <w:shd w:val="clear" w:color="auto" w:fill="auto"/>
            <w:noWrap/>
            <w:vAlign w:val="center"/>
            <w:hideMark/>
          </w:tcPr>
          <w:p w14:paraId="108D7816"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0.00%</w:t>
            </w:r>
          </w:p>
        </w:tc>
      </w:tr>
      <w:tr w:rsidR="00BF0B30" w:rsidRPr="00BF0B30" w14:paraId="45A31635"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8B0058D"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Construcciones en Proceso en Bienes Propios</w:t>
            </w:r>
          </w:p>
        </w:tc>
        <w:tc>
          <w:tcPr>
            <w:tcW w:w="1233" w:type="dxa"/>
            <w:tcBorders>
              <w:top w:val="nil"/>
              <w:left w:val="nil"/>
              <w:bottom w:val="single" w:sz="4" w:space="0" w:color="auto"/>
              <w:right w:val="single" w:sz="4" w:space="0" w:color="auto"/>
            </w:tcBorders>
            <w:shd w:val="clear" w:color="auto" w:fill="auto"/>
            <w:noWrap/>
            <w:vAlign w:val="center"/>
            <w:hideMark/>
          </w:tcPr>
          <w:p w14:paraId="23D1C1CC"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7,065,340,252</w:t>
            </w:r>
          </w:p>
        </w:tc>
        <w:tc>
          <w:tcPr>
            <w:tcW w:w="1233" w:type="dxa"/>
            <w:tcBorders>
              <w:top w:val="nil"/>
              <w:left w:val="nil"/>
              <w:bottom w:val="single" w:sz="4" w:space="0" w:color="auto"/>
              <w:right w:val="single" w:sz="4" w:space="0" w:color="auto"/>
            </w:tcBorders>
            <w:shd w:val="clear" w:color="auto" w:fill="auto"/>
            <w:noWrap/>
            <w:vAlign w:val="center"/>
            <w:hideMark/>
          </w:tcPr>
          <w:p w14:paraId="41048534"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233" w:type="dxa"/>
            <w:tcBorders>
              <w:top w:val="nil"/>
              <w:left w:val="nil"/>
              <w:bottom w:val="single" w:sz="4" w:space="0" w:color="auto"/>
              <w:right w:val="single" w:sz="4" w:space="0" w:color="auto"/>
            </w:tcBorders>
            <w:shd w:val="clear" w:color="auto" w:fill="auto"/>
            <w:noWrap/>
            <w:vAlign w:val="center"/>
            <w:hideMark/>
          </w:tcPr>
          <w:p w14:paraId="6576EA6A"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363" w:type="dxa"/>
            <w:tcBorders>
              <w:top w:val="nil"/>
              <w:left w:val="nil"/>
              <w:bottom w:val="single" w:sz="4" w:space="0" w:color="auto"/>
              <w:right w:val="single" w:sz="4" w:space="0" w:color="auto"/>
            </w:tcBorders>
            <w:shd w:val="clear" w:color="auto" w:fill="auto"/>
            <w:noWrap/>
            <w:vAlign w:val="center"/>
            <w:hideMark/>
          </w:tcPr>
          <w:p w14:paraId="1E0BCC23"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0.00%</w:t>
            </w:r>
          </w:p>
        </w:tc>
      </w:tr>
      <w:tr w:rsidR="00BF0B30" w:rsidRPr="005A5C62" w14:paraId="516E4B4C" w14:textId="77777777" w:rsidTr="00E1121C">
        <w:trPr>
          <w:trHeight w:val="305"/>
        </w:trPr>
        <w:tc>
          <w:tcPr>
            <w:tcW w:w="3539" w:type="dxa"/>
            <w:tcBorders>
              <w:top w:val="nil"/>
              <w:left w:val="single" w:sz="4" w:space="0" w:color="auto"/>
              <w:bottom w:val="single" w:sz="4" w:space="0" w:color="auto"/>
              <w:right w:val="single" w:sz="4" w:space="0" w:color="auto"/>
            </w:tcBorders>
            <w:shd w:val="clear" w:color="000000" w:fill="AB0033"/>
            <w:vAlign w:val="center"/>
            <w:hideMark/>
          </w:tcPr>
          <w:p w14:paraId="1C97D1A3" w14:textId="77777777"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Fideicomisos</w:t>
            </w:r>
          </w:p>
        </w:tc>
        <w:tc>
          <w:tcPr>
            <w:tcW w:w="1233" w:type="dxa"/>
            <w:tcBorders>
              <w:top w:val="nil"/>
              <w:left w:val="nil"/>
              <w:bottom w:val="single" w:sz="4" w:space="0" w:color="auto"/>
              <w:right w:val="single" w:sz="4" w:space="0" w:color="auto"/>
            </w:tcBorders>
            <w:shd w:val="clear" w:color="000000" w:fill="AB0033"/>
            <w:vAlign w:val="center"/>
            <w:hideMark/>
          </w:tcPr>
          <w:p w14:paraId="075220A7" w14:textId="77777777"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 </w:t>
            </w:r>
          </w:p>
        </w:tc>
        <w:tc>
          <w:tcPr>
            <w:tcW w:w="1233" w:type="dxa"/>
            <w:tcBorders>
              <w:top w:val="nil"/>
              <w:left w:val="nil"/>
              <w:bottom w:val="single" w:sz="4" w:space="0" w:color="auto"/>
              <w:right w:val="single" w:sz="4" w:space="0" w:color="auto"/>
            </w:tcBorders>
            <w:shd w:val="clear" w:color="000000" w:fill="AB0033"/>
            <w:vAlign w:val="center"/>
            <w:hideMark/>
          </w:tcPr>
          <w:p w14:paraId="74BB5040" w14:textId="77777777"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 </w:t>
            </w:r>
          </w:p>
        </w:tc>
        <w:tc>
          <w:tcPr>
            <w:tcW w:w="1233" w:type="dxa"/>
            <w:tcBorders>
              <w:top w:val="nil"/>
              <w:left w:val="nil"/>
              <w:bottom w:val="single" w:sz="4" w:space="0" w:color="auto"/>
              <w:right w:val="single" w:sz="4" w:space="0" w:color="auto"/>
            </w:tcBorders>
            <w:shd w:val="clear" w:color="000000" w:fill="AB0033"/>
            <w:vAlign w:val="center"/>
            <w:hideMark/>
          </w:tcPr>
          <w:p w14:paraId="5102A02F" w14:textId="77777777"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 </w:t>
            </w:r>
          </w:p>
        </w:tc>
        <w:tc>
          <w:tcPr>
            <w:tcW w:w="1363" w:type="dxa"/>
            <w:tcBorders>
              <w:top w:val="nil"/>
              <w:left w:val="nil"/>
              <w:bottom w:val="single" w:sz="4" w:space="0" w:color="auto"/>
              <w:right w:val="single" w:sz="4" w:space="0" w:color="auto"/>
            </w:tcBorders>
            <w:shd w:val="clear" w:color="000000" w:fill="AB0033"/>
            <w:vAlign w:val="center"/>
            <w:hideMark/>
          </w:tcPr>
          <w:p w14:paraId="6CC80B81" w14:textId="77777777" w:rsidR="00BF0B30" w:rsidRPr="005A5C62" w:rsidRDefault="00BF0B30" w:rsidP="00EC7D22">
            <w:pPr>
              <w:suppressAutoHyphens w:val="0"/>
              <w:overflowPunct/>
              <w:spacing w:after="0" w:line="240" w:lineRule="auto"/>
              <w:jc w:val="center"/>
              <w:rPr>
                <w:rFonts w:eastAsia="Times New Roman" w:cs="Calibri"/>
                <w:b/>
                <w:bCs/>
                <w:color w:val="FFFFFF"/>
                <w:sz w:val="16"/>
                <w:szCs w:val="16"/>
                <w:lang w:eastAsia="es-MX"/>
              </w:rPr>
            </w:pPr>
            <w:r w:rsidRPr="005A5C62">
              <w:rPr>
                <w:rFonts w:eastAsia="Times New Roman" w:cs="Calibri"/>
                <w:b/>
                <w:bCs/>
                <w:color w:val="FFFFFF"/>
                <w:sz w:val="16"/>
                <w:szCs w:val="16"/>
                <w:lang w:eastAsia="es-MX"/>
              </w:rPr>
              <w:t> </w:t>
            </w:r>
          </w:p>
        </w:tc>
      </w:tr>
      <w:tr w:rsidR="00BF0B30" w:rsidRPr="00BF0B30" w14:paraId="4D0CC1A6"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F4B9122"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Terrenos</w:t>
            </w:r>
          </w:p>
        </w:tc>
        <w:tc>
          <w:tcPr>
            <w:tcW w:w="1233" w:type="dxa"/>
            <w:tcBorders>
              <w:top w:val="nil"/>
              <w:left w:val="nil"/>
              <w:bottom w:val="single" w:sz="4" w:space="0" w:color="auto"/>
              <w:right w:val="single" w:sz="4" w:space="0" w:color="auto"/>
            </w:tcBorders>
            <w:shd w:val="clear" w:color="auto" w:fill="auto"/>
            <w:noWrap/>
            <w:vAlign w:val="center"/>
            <w:hideMark/>
          </w:tcPr>
          <w:p w14:paraId="610B75C1"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141,627,993</w:t>
            </w:r>
          </w:p>
        </w:tc>
        <w:tc>
          <w:tcPr>
            <w:tcW w:w="1233" w:type="dxa"/>
            <w:tcBorders>
              <w:top w:val="nil"/>
              <w:left w:val="nil"/>
              <w:bottom w:val="single" w:sz="4" w:space="0" w:color="auto"/>
              <w:right w:val="single" w:sz="4" w:space="0" w:color="auto"/>
            </w:tcBorders>
            <w:shd w:val="clear" w:color="auto" w:fill="auto"/>
            <w:noWrap/>
            <w:vAlign w:val="center"/>
            <w:hideMark/>
          </w:tcPr>
          <w:p w14:paraId="0FB153FE"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233" w:type="dxa"/>
            <w:tcBorders>
              <w:top w:val="nil"/>
              <w:left w:val="nil"/>
              <w:bottom w:val="single" w:sz="4" w:space="0" w:color="auto"/>
              <w:right w:val="single" w:sz="4" w:space="0" w:color="auto"/>
            </w:tcBorders>
            <w:shd w:val="clear" w:color="auto" w:fill="auto"/>
            <w:noWrap/>
            <w:vAlign w:val="center"/>
            <w:hideMark/>
          </w:tcPr>
          <w:p w14:paraId="20EFF9D0"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363" w:type="dxa"/>
            <w:tcBorders>
              <w:top w:val="nil"/>
              <w:left w:val="nil"/>
              <w:bottom w:val="single" w:sz="4" w:space="0" w:color="auto"/>
              <w:right w:val="single" w:sz="4" w:space="0" w:color="auto"/>
            </w:tcBorders>
            <w:shd w:val="clear" w:color="auto" w:fill="auto"/>
            <w:noWrap/>
            <w:vAlign w:val="center"/>
            <w:hideMark/>
          </w:tcPr>
          <w:p w14:paraId="314F5F6E"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0.00%</w:t>
            </w:r>
          </w:p>
        </w:tc>
      </w:tr>
      <w:tr w:rsidR="00BF0B30" w:rsidRPr="00BF0B30" w14:paraId="7EF63E93"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D6DCA1A"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Edificios No habitacionales</w:t>
            </w:r>
          </w:p>
        </w:tc>
        <w:tc>
          <w:tcPr>
            <w:tcW w:w="1233" w:type="dxa"/>
            <w:tcBorders>
              <w:top w:val="nil"/>
              <w:left w:val="nil"/>
              <w:bottom w:val="single" w:sz="4" w:space="0" w:color="auto"/>
              <w:right w:val="single" w:sz="4" w:space="0" w:color="auto"/>
            </w:tcBorders>
            <w:shd w:val="clear" w:color="auto" w:fill="auto"/>
            <w:noWrap/>
            <w:vAlign w:val="center"/>
            <w:hideMark/>
          </w:tcPr>
          <w:p w14:paraId="77EF4E9D"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3,253,500</w:t>
            </w:r>
          </w:p>
        </w:tc>
        <w:tc>
          <w:tcPr>
            <w:tcW w:w="1233" w:type="dxa"/>
            <w:tcBorders>
              <w:top w:val="nil"/>
              <w:left w:val="nil"/>
              <w:bottom w:val="single" w:sz="4" w:space="0" w:color="auto"/>
              <w:right w:val="single" w:sz="4" w:space="0" w:color="auto"/>
            </w:tcBorders>
            <w:shd w:val="clear" w:color="auto" w:fill="auto"/>
            <w:noWrap/>
            <w:vAlign w:val="center"/>
            <w:hideMark/>
          </w:tcPr>
          <w:p w14:paraId="32A7D0F3"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233" w:type="dxa"/>
            <w:tcBorders>
              <w:top w:val="nil"/>
              <w:left w:val="nil"/>
              <w:bottom w:val="single" w:sz="4" w:space="0" w:color="auto"/>
              <w:right w:val="single" w:sz="4" w:space="0" w:color="auto"/>
            </w:tcBorders>
            <w:shd w:val="clear" w:color="auto" w:fill="auto"/>
            <w:noWrap/>
            <w:vAlign w:val="center"/>
            <w:hideMark/>
          </w:tcPr>
          <w:p w14:paraId="6B07D41D"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363" w:type="dxa"/>
            <w:tcBorders>
              <w:top w:val="nil"/>
              <w:left w:val="nil"/>
              <w:bottom w:val="single" w:sz="4" w:space="0" w:color="auto"/>
              <w:right w:val="single" w:sz="4" w:space="0" w:color="auto"/>
            </w:tcBorders>
            <w:shd w:val="clear" w:color="auto" w:fill="auto"/>
            <w:noWrap/>
            <w:vAlign w:val="center"/>
            <w:hideMark/>
          </w:tcPr>
          <w:p w14:paraId="26615492"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3.33%</w:t>
            </w:r>
          </w:p>
        </w:tc>
      </w:tr>
      <w:tr w:rsidR="00BF0B30" w:rsidRPr="00BF0B30" w14:paraId="3CC9AA57"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7CB8FED"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Infraestructura</w:t>
            </w:r>
          </w:p>
        </w:tc>
        <w:tc>
          <w:tcPr>
            <w:tcW w:w="1233" w:type="dxa"/>
            <w:tcBorders>
              <w:top w:val="nil"/>
              <w:left w:val="nil"/>
              <w:bottom w:val="single" w:sz="4" w:space="0" w:color="auto"/>
              <w:right w:val="single" w:sz="4" w:space="0" w:color="auto"/>
            </w:tcBorders>
            <w:shd w:val="clear" w:color="auto" w:fill="auto"/>
            <w:noWrap/>
            <w:vAlign w:val="center"/>
            <w:hideMark/>
          </w:tcPr>
          <w:p w14:paraId="675D611E"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727,143,750</w:t>
            </w:r>
          </w:p>
        </w:tc>
        <w:tc>
          <w:tcPr>
            <w:tcW w:w="1233" w:type="dxa"/>
            <w:tcBorders>
              <w:top w:val="nil"/>
              <w:left w:val="nil"/>
              <w:bottom w:val="single" w:sz="4" w:space="0" w:color="auto"/>
              <w:right w:val="single" w:sz="4" w:space="0" w:color="auto"/>
            </w:tcBorders>
            <w:shd w:val="clear" w:color="auto" w:fill="auto"/>
            <w:noWrap/>
            <w:vAlign w:val="center"/>
            <w:hideMark/>
          </w:tcPr>
          <w:p w14:paraId="0463BCEE"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233" w:type="dxa"/>
            <w:tcBorders>
              <w:top w:val="nil"/>
              <w:left w:val="nil"/>
              <w:bottom w:val="single" w:sz="4" w:space="0" w:color="auto"/>
              <w:right w:val="single" w:sz="4" w:space="0" w:color="auto"/>
            </w:tcBorders>
            <w:shd w:val="clear" w:color="auto" w:fill="auto"/>
            <w:noWrap/>
            <w:vAlign w:val="center"/>
            <w:hideMark/>
          </w:tcPr>
          <w:p w14:paraId="0153A1B3"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363" w:type="dxa"/>
            <w:tcBorders>
              <w:top w:val="nil"/>
              <w:left w:val="nil"/>
              <w:bottom w:val="single" w:sz="4" w:space="0" w:color="auto"/>
              <w:right w:val="single" w:sz="4" w:space="0" w:color="auto"/>
            </w:tcBorders>
            <w:shd w:val="clear" w:color="auto" w:fill="auto"/>
            <w:noWrap/>
            <w:vAlign w:val="center"/>
            <w:hideMark/>
          </w:tcPr>
          <w:p w14:paraId="006EFC17"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4.00%</w:t>
            </w:r>
          </w:p>
        </w:tc>
      </w:tr>
      <w:tr w:rsidR="00BF0B30" w:rsidRPr="00BF0B30" w14:paraId="014FAA25"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F98A27C"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Construcciones en Proceso en Bienes de Dominio Público</w:t>
            </w:r>
          </w:p>
        </w:tc>
        <w:tc>
          <w:tcPr>
            <w:tcW w:w="1233" w:type="dxa"/>
            <w:tcBorders>
              <w:top w:val="nil"/>
              <w:left w:val="nil"/>
              <w:bottom w:val="single" w:sz="4" w:space="0" w:color="auto"/>
              <w:right w:val="single" w:sz="4" w:space="0" w:color="auto"/>
            </w:tcBorders>
            <w:shd w:val="clear" w:color="auto" w:fill="auto"/>
            <w:noWrap/>
            <w:vAlign w:val="center"/>
            <w:hideMark/>
          </w:tcPr>
          <w:p w14:paraId="3D9E363B"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248,756,950</w:t>
            </w:r>
          </w:p>
        </w:tc>
        <w:tc>
          <w:tcPr>
            <w:tcW w:w="1233" w:type="dxa"/>
            <w:tcBorders>
              <w:top w:val="nil"/>
              <w:left w:val="nil"/>
              <w:bottom w:val="single" w:sz="4" w:space="0" w:color="auto"/>
              <w:right w:val="single" w:sz="4" w:space="0" w:color="auto"/>
            </w:tcBorders>
            <w:shd w:val="clear" w:color="auto" w:fill="auto"/>
            <w:noWrap/>
            <w:vAlign w:val="center"/>
            <w:hideMark/>
          </w:tcPr>
          <w:p w14:paraId="79933E56"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233" w:type="dxa"/>
            <w:tcBorders>
              <w:top w:val="nil"/>
              <w:left w:val="nil"/>
              <w:bottom w:val="single" w:sz="4" w:space="0" w:color="auto"/>
              <w:right w:val="single" w:sz="4" w:space="0" w:color="auto"/>
            </w:tcBorders>
            <w:shd w:val="clear" w:color="auto" w:fill="auto"/>
            <w:noWrap/>
            <w:vAlign w:val="center"/>
            <w:hideMark/>
          </w:tcPr>
          <w:p w14:paraId="20CB5F55"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363" w:type="dxa"/>
            <w:tcBorders>
              <w:top w:val="nil"/>
              <w:left w:val="nil"/>
              <w:bottom w:val="single" w:sz="4" w:space="0" w:color="auto"/>
              <w:right w:val="single" w:sz="4" w:space="0" w:color="auto"/>
            </w:tcBorders>
            <w:shd w:val="clear" w:color="auto" w:fill="auto"/>
            <w:noWrap/>
            <w:vAlign w:val="center"/>
            <w:hideMark/>
          </w:tcPr>
          <w:p w14:paraId="3514FD8C"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0.00%</w:t>
            </w:r>
          </w:p>
        </w:tc>
      </w:tr>
      <w:tr w:rsidR="00BF0B30" w:rsidRPr="00BF0B30" w14:paraId="45310570"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83F0F73"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Construcciones en Proceso en Bienes Propios</w:t>
            </w:r>
          </w:p>
        </w:tc>
        <w:tc>
          <w:tcPr>
            <w:tcW w:w="1233" w:type="dxa"/>
            <w:tcBorders>
              <w:top w:val="nil"/>
              <w:left w:val="nil"/>
              <w:bottom w:val="single" w:sz="4" w:space="0" w:color="auto"/>
              <w:right w:val="single" w:sz="4" w:space="0" w:color="auto"/>
            </w:tcBorders>
            <w:shd w:val="clear" w:color="auto" w:fill="auto"/>
            <w:noWrap/>
            <w:vAlign w:val="center"/>
            <w:hideMark/>
          </w:tcPr>
          <w:p w14:paraId="5640AFF4"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10,421,900</w:t>
            </w:r>
          </w:p>
        </w:tc>
        <w:tc>
          <w:tcPr>
            <w:tcW w:w="1233" w:type="dxa"/>
            <w:tcBorders>
              <w:top w:val="nil"/>
              <w:left w:val="nil"/>
              <w:bottom w:val="single" w:sz="4" w:space="0" w:color="auto"/>
              <w:right w:val="single" w:sz="4" w:space="0" w:color="auto"/>
            </w:tcBorders>
            <w:shd w:val="clear" w:color="auto" w:fill="auto"/>
            <w:noWrap/>
            <w:vAlign w:val="center"/>
            <w:hideMark/>
          </w:tcPr>
          <w:p w14:paraId="0AAB0EA4"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 </w:t>
            </w:r>
          </w:p>
        </w:tc>
        <w:tc>
          <w:tcPr>
            <w:tcW w:w="1233" w:type="dxa"/>
            <w:tcBorders>
              <w:top w:val="nil"/>
              <w:left w:val="nil"/>
              <w:bottom w:val="single" w:sz="4" w:space="0" w:color="auto"/>
              <w:right w:val="single" w:sz="4" w:space="0" w:color="auto"/>
            </w:tcBorders>
            <w:shd w:val="clear" w:color="auto" w:fill="auto"/>
            <w:noWrap/>
            <w:vAlign w:val="center"/>
            <w:hideMark/>
          </w:tcPr>
          <w:p w14:paraId="5F5D6BBD"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 </w:t>
            </w:r>
          </w:p>
        </w:tc>
        <w:tc>
          <w:tcPr>
            <w:tcW w:w="1363" w:type="dxa"/>
            <w:tcBorders>
              <w:top w:val="nil"/>
              <w:left w:val="nil"/>
              <w:bottom w:val="single" w:sz="4" w:space="0" w:color="auto"/>
              <w:right w:val="single" w:sz="4" w:space="0" w:color="auto"/>
            </w:tcBorders>
            <w:shd w:val="clear" w:color="auto" w:fill="auto"/>
            <w:noWrap/>
            <w:vAlign w:val="center"/>
            <w:hideMark/>
          </w:tcPr>
          <w:p w14:paraId="1DFB1A6A"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 </w:t>
            </w:r>
          </w:p>
        </w:tc>
      </w:tr>
      <w:tr w:rsidR="00BF0B30" w:rsidRPr="00BF0B30" w14:paraId="6146EA79" w14:textId="77777777" w:rsidTr="00E1121C">
        <w:trPr>
          <w:trHeight w:val="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4AA649F" w14:textId="77777777" w:rsidR="00BF0B30" w:rsidRPr="00BF0B30" w:rsidRDefault="00BF0B30" w:rsidP="00EC7D22">
            <w:pPr>
              <w:suppressAutoHyphens w:val="0"/>
              <w:overflowPunct/>
              <w:spacing w:after="0" w:line="240" w:lineRule="auto"/>
              <w:rPr>
                <w:rFonts w:eastAsia="Times New Roman" w:cs="Calibri"/>
                <w:color w:val="000000"/>
                <w:sz w:val="14"/>
                <w:szCs w:val="14"/>
                <w:lang w:eastAsia="es-MX"/>
              </w:rPr>
            </w:pPr>
            <w:r w:rsidRPr="00BF0B30">
              <w:rPr>
                <w:rFonts w:eastAsia="Times New Roman" w:cs="Calibri"/>
                <w:color w:val="000000"/>
                <w:sz w:val="14"/>
                <w:szCs w:val="14"/>
                <w:lang w:eastAsia="es-MX"/>
              </w:rPr>
              <w:t>Otros Bienes Inmuebles</w:t>
            </w:r>
          </w:p>
        </w:tc>
        <w:tc>
          <w:tcPr>
            <w:tcW w:w="1233" w:type="dxa"/>
            <w:tcBorders>
              <w:top w:val="nil"/>
              <w:left w:val="nil"/>
              <w:bottom w:val="single" w:sz="4" w:space="0" w:color="auto"/>
              <w:right w:val="single" w:sz="4" w:space="0" w:color="auto"/>
            </w:tcBorders>
            <w:shd w:val="clear" w:color="auto" w:fill="auto"/>
            <w:noWrap/>
            <w:vAlign w:val="center"/>
            <w:hideMark/>
          </w:tcPr>
          <w:p w14:paraId="17E2CD74"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534,987</w:t>
            </w:r>
          </w:p>
        </w:tc>
        <w:tc>
          <w:tcPr>
            <w:tcW w:w="1233" w:type="dxa"/>
            <w:tcBorders>
              <w:top w:val="nil"/>
              <w:left w:val="nil"/>
              <w:bottom w:val="single" w:sz="4" w:space="0" w:color="auto"/>
              <w:right w:val="single" w:sz="4" w:space="0" w:color="auto"/>
            </w:tcBorders>
            <w:shd w:val="clear" w:color="auto" w:fill="auto"/>
            <w:noWrap/>
            <w:vAlign w:val="center"/>
            <w:hideMark/>
          </w:tcPr>
          <w:p w14:paraId="72F09CA0"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0 </w:t>
            </w:r>
          </w:p>
        </w:tc>
        <w:tc>
          <w:tcPr>
            <w:tcW w:w="1233" w:type="dxa"/>
            <w:tcBorders>
              <w:top w:val="nil"/>
              <w:left w:val="nil"/>
              <w:bottom w:val="single" w:sz="4" w:space="0" w:color="auto"/>
              <w:right w:val="single" w:sz="4" w:space="0" w:color="auto"/>
            </w:tcBorders>
            <w:shd w:val="clear" w:color="auto" w:fill="auto"/>
            <w:noWrap/>
            <w:vAlign w:val="center"/>
            <w:hideMark/>
          </w:tcPr>
          <w:p w14:paraId="13B59CE4" w14:textId="77777777" w:rsidR="00BF0B30" w:rsidRPr="00BF0B30" w:rsidRDefault="00BF0B30" w:rsidP="00EC7D22">
            <w:pPr>
              <w:suppressAutoHyphens w:val="0"/>
              <w:overflowPunct/>
              <w:spacing w:after="0" w:line="240" w:lineRule="auto"/>
              <w:jc w:val="right"/>
              <w:rPr>
                <w:rFonts w:eastAsia="Times New Roman" w:cs="Calibri"/>
                <w:color w:val="000000"/>
                <w:sz w:val="14"/>
                <w:szCs w:val="14"/>
                <w:lang w:eastAsia="es-MX"/>
              </w:rPr>
            </w:pPr>
            <w:r w:rsidRPr="00BF0B30">
              <w:rPr>
                <w:rFonts w:eastAsia="Times New Roman" w:cs="Calibri"/>
                <w:color w:val="000000"/>
                <w:sz w:val="14"/>
                <w:szCs w:val="14"/>
                <w:lang w:eastAsia="es-MX"/>
              </w:rPr>
              <w:t>0</w:t>
            </w:r>
          </w:p>
        </w:tc>
        <w:tc>
          <w:tcPr>
            <w:tcW w:w="1363" w:type="dxa"/>
            <w:tcBorders>
              <w:top w:val="nil"/>
              <w:left w:val="nil"/>
              <w:bottom w:val="single" w:sz="4" w:space="0" w:color="auto"/>
              <w:right w:val="single" w:sz="4" w:space="0" w:color="auto"/>
            </w:tcBorders>
            <w:shd w:val="clear" w:color="auto" w:fill="auto"/>
            <w:noWrap/>
            <w:vAlign w:val="center"/>
            <w:hideMark/>
          </w:tcPr>
          <w:p w14:paraId="3950868F" w14:textId="77777777" w:rsidR="00BF0B30" w:rsidRPr="00BF0B30" w:rsidRDefault="00BF0B30" w:rsidP="00EC7D22">
            <w:pPr>
              <w:suppressAutoHyphens w:val="0"/>
              <w:overflowPunct/>
              <w:spacing w:after="0" w:line="240" w:lineRule="auto"/>
              <w:jc w:val="center"/>
              <w:rPr>
                <w:rFonts w:eastAsia="Times New Roman" w:cs="Calibri"/>
                <w:color w:val="000000"/>
                <w:sz w:val="14"/>
                <w:szCs w:val="14"/>
                <w:lang w:eastAsia="es-MX"/>
              </w:rPr>
            </w:pPr>
            <w:r w:rsidRPr="00BF0B30">
              <w:rPr>
                <w:rFonts w:eastAsia="Times New Roman" w:cs="Calibri"/>
                <w:color w:val="000000"/>
                <w:sz w:val="14"/>
                <w:szCs w:val="14"/>
                <w:lang w:eastAsia="es-MX"/>
              </w:rPr>
              <w:t>0.00%</w:t>
            </w:r>
          </w:p>
        </w:tc>
      </w:tr>
      <w:tr w:rsidR="00BF0B30" w:rsidRPr="00BF0B30" w14:paraId="6AC2720D" w14:textId="77777777" w:rsidTr="00E1121C">
        <w:trPr>
          <w:trHeight w:val="305"/>
        </w:trPr>
        <w:tc>
          <w:tcPr>
            <w:tcW w:w="3539" w:type="dxa"/>
            <w:tcBorders>
              <w:top w:val="nil"/>
              <w:left w:val="single" w:sz="4" w:space="0" w:color="auto"/>
              <w:bottom w:val="single" w:sz="4" w:space="0" w:color="auto"/>
              <w:right w:val="single" w:sz="4" w:space="0" w:color="auto"/>
            </w:tcBorders>
            <w:shd w:val="clear" w:color="000000" w:fill="DDC9A3"/>
            <w:vAlign w:val="center"/>
            <w:hideMark/>
          </w:tcPr>
          <w:p w14:paraId="789E0B94" w14:textId="77777777" w:rsidR="00BF0B30" w:rsidRPr="00BF0B30" w:rsidRDefault="00BF0B30" w:rsidP="00EC7D22">
            <w:pPr>
              <w:suppressAutoHyphens w:val="0"/>
              <w:overflowPunct/>
              <w:spacing w:after="0" w:line="240" w:lineRule="auto"/>
              <w:jc w:val="center"/>
              <w:rPr>
                <w:rFonts w:eastAsia="Times New Roman" w:cs="Calibri"/>
                <w:b/>
                <w:bCs/>
                <w:color w:val="000000"/>
                <w:sz w:val="16"/>
                <w:szCs w:val="16"/>
                <w:lang w:eastAsia="es-MX"/>
              </w:rPr>
            </w:pPr>
            <w:r w:rsidRPr="00BF0B30">
              <w:rPr>
                <w:rFonts w:eastAsia="Times New Roman" w:cs="Calibri"/>
                <w:b/>
                <w:bCs/>
                <w:color w:val="000000"/>
                <w:sz w:val="16"/>
                <w:szCs w:val="16"/>
                <w:lang w:eastAsia="es-MX"/>
              </w:rPr>
              <w:t>TOTAL</w:t>
            </w:r>
          </w:p>
        </w:tc>
        <w:tc>
          <w:tcPr>
            <w:tcW w:w="1233" w:type="dxa"/>
            <w:tcBorders>
              <w:top w:val="nil"/>
              <w:left w:val="nil"/>
              <w:bottom w:val="single" w:sz="4" w:space="0" w:color="auto"/>
              <w:right w:val="single" w:sz="4" w:space="0" w:color="auto"/>
            </w:tcBorders>
            <w:shd w:val="clear" w:color="000000" w:fill="DDC9A3"/>
            <w:vAlign w:val="center"/>
            <w:hideMark/>
          </w:tcPr>
          <w:p w14:paraId="622F34FC" w14:textId="77777777" w:rsidR="00BF0B30" w:rsidRPr="00BF0B30" w:rsidRDefault="00BF0B30" w:rsidP="00EC7D22">
            <w:pPr>
              <w:suppressAutoHyphens w:val="0"/>
              <w:overflowPunct/>
              <w:spacing w:after="0" w:line="240" w:lineRule="auto"/>
              <w:jc w:val="right"/>
              <w:rPr>
                <w:rFonts w:eastAsia="Times New Roman" w:cs="Calibri"/>
                <w:b/>
                <w:bCs/>
                <w:color w:val="000000"/>
                <w:sz w:val="16"/>
                <w:szCs w:val="16"/>
                <w:lang w:eastAsia="es-MX"/>
              </w:rPr>
            </w:pPr>
            <w:r w:rsidRPr="00BF0B30">
              <w:rPr>
                <w:rFonts w:eastAsia="Times New Roman" w:cs="Calibri"/>
                <w:b/>
                <w:bCs/>
                <w:color w:val="000000"/>
                <w:sz w:val="16"/>
                <w:szCs w:val="16"/>
                <w:lang w:eastAsia="es-MX"/>
              </w:rPr>
              <w:t>17,877,159,921</w:t>
            </w:r>
          </w:p>
        </w:tc>
        <w:tc>
          <w:tcPr>
            <w:tcW w:w="1233" w:type="dxa"/>
            <w:tcBorders>
              <w:top w:val="nil"/>
              <w:left w:val="nil"/>
              <w:bottom w:val="single" w:sz="4" w:space="0" w:color="auto"/>
              <w:right w:val="single" w:sz="4" w:space="0" w:color="auto"/>
            </w:tcBorders>
            <w:shd w:val="clear" w:color="000000" w:fill="DDC9A3"/>
            <w:vAlign w:val="center"/>
            <w:hideMark/>
          </w:tcPr>
          <w:p w14:paraId="48108A14" w14:textId="77777777" w:rsidR="00BF0B30" w:rsidRPr="00BF0B30" w:rsidRDefault="00BF0B30" w:rsidP="00EC7D22">
            <w:pPr>
              <w:suppressAutoHyphens w:val="0"/>
              <w:overflowPunct/>
              <w:spacing w:after="0" w:line="240" w:lineRule="auto"/>
              <w:jc w:val="right"/>
              <w:rPr>
                <w:rFonts w:eastAsia="Times New Roman" w:cs="Calibri"/>
                <w:b/>
                <w:bCs/>
                <w:color w:val="000000"/>
                <w:sz w:val="16"/>
                <w:szCs w:val="16"/>
                <w:lang w:eastAsia="es-MX"/>
              </w:rPr>
            </w:pPr>
            <w:r w:rsidRPr="00BF0B30">
              <w:rPr>
                <w:rFonts w:eastAsia="Times New Roman" w:cs="Calibri"/>
                <w:b/>
                <w:bCs/>
                <w:color w:val="000000"/>
                <w:sz w:val="16"/>
                <w:szCs w:val="16"/>
                <w:lang w:eastAsia="es-MX"/>
              </w:rPr>
              <w:t>-1,268,852,760</w:t>
            </w:r>
          </w:p>
        </w:tc>
        <w:tc>
          <w:tcPr>
            <w:tcW w:w="1233" w:type="dxa"/>
            <w:tcBorders>
              <w:top w:val="nil"/>
              <w:left w:val="nil"/>
              <w:bottom w:val="single" w:sz="4" w:space="0" w:color="auto"/>
              <w:right w:val="single" w:sz="4" w:space="0" w:color="auto"/>
            </w:tcBorders>
            <w:shd w:val="clear" w:color="000000" w:fill="DDC9A3"/>
            <w:vAlign w:val="center"/>
            <w:hideMark/>
          </w:tcPr>
          <w:p w14:paraId="3D8DF5A3" w14:textId="77777777" w:rsidR="00BF0B30" w:rsidRPr="00BF0B30" w:rsidRDefault="00BF0B30" w:rsidP="00EC7D22">
            <w:pPr>
              <w:suppressAutoHyphens w:val="0"/>
              <w:overflowPunct/>
              <w:spacing w:after="0" w:line="240" w:lineRule="auto"/>
              <w:jc w:val="right"/>
              <w:rPr>
                <w:rFonts w:eastAsia="Times New Roman" w:cs="Calibri"/>
                <w:b/>
                <w:bCs/>
                <w:color w:val="000000"/>
                <w:sz w:val="16"/>
                <w:szCs w:val="16"/>
                <w:lang w:eastAsia="es-MX"/>
              </w:rPr>
            </w:pPr>
            <w:r w:rsidRPr="00BF0B30">
              <w:rPr>
                <w:rFonts w:eastAsia="Times New Roman" w:cs="Calibri"/>
                <w:b/>
                <w:bCs/>
                <w:color w:val="000000"/>
                <w:sz w:val="16"/>
                <w:szCs w:val="16"/>
                <w:lang w:eastAsia="es-MX"/>
              </w:rPr>
              <w:t>-284,072,847</w:t>
            </w:r>
          </w:p>
        </w:tc>
        <w:tc>
          <w:tcPr>
            <w:tcW w:w="1363" w:type="dxa"/>
            <w:tcBorders>
              <w:top w:val="nil"/>
              <w:left w:val="nil"/>
              <w:bottom w:val="single" w:sz="4" w:space="0" w:color="auto"/>
              <w:right w:val="single" w:sz="4" w:space="0" w:color="auto"/>
            </w:tcBorders>
            <w:shd w:val="clear" w:color="000000" w:fill="DDC9A3"/>
            <w:vAlign w:val="center"/>
            <w:hideMark/>
          </w:tcPr>
          <w:p w14:paraId="0A1535ED" w14:textId="77777777" w:rsidR="00BF0B30" w:rsidRPr="00BF0B30" w:rsidRDefault="00BF0B30" w:rsidP="00EC7D22">
            <w:pPr>
              <w:suppressAutoHyphens w:val="0"/>
              <w:overflowPunct/>
              <w:spacing w:after="0" w:line="240" w:lineRule="auto"/>
              <w:jc w:val="center"/>
              <w:rPr>
                <w:rFonts w:eastAsia="Times New Roman" w:cs="Calibri"/>
                <w:b/>
                <w:bCs/>
                <w:color w:val="000000"/>
                <w:sz w:val="16"/>
                <w:szCs w:val="16"/>
                <w:lang w:eastAsia="es-MX"/>
              </w:rPr>
            </w:pPr>
            <w:r w:rsidRPr="00BF0B30">
              <w:rPr>
                <w:rFonts w:eastAsia="Times New Roman" w:cs="Calibri"/>
                <w:b/>
                <w:bCs/>
                <w:color w:val="000000"/>
                <w:sz w:val="16"/>
                <w:szCs w:val="16"/>
                <w:lang w:eastAsia="es-MX"/>
              </w:rPr>
              <w:t> </w:t>
            </w:r>
          </w:p>
        </w:tc>
      </w:tr>
    </w:tbl>
    <w:p w14:paraId="7A38630E" w14:textId="6D133BDC" w:rsidR="007745EB" w:rsidRDefault="00C87FDA" w:rsidP="00EC7D22">
      <w:pPr>
        <w:rPr>
          <w:rFonts w:cs="Calibri"/>
          <w:b/>
          <w:sz w:val="20"/>
          <w:u w:val="single"/>
          <w:lang w:val="es-ES" w:eastAsia="es-ES"/>
        </w:rPr>
      </w:pPr>
      <w:r w:rsidRPr="00694CE6">
        <w:rPr>
          <w:rFonts w:cs="Calibri"/>
          <w:b/>
          <w:sz w:val="20"/>
          <w:u w:val="single"/>
          <w:lang w:val="es-ES" w:eastAsia="es-ES"/>
        </w:rPr>
        <w:t xml:space="preserve">  </w:t>
      </w:r>
    </w:p>
    <w:p w14:paraId="0F738664" w14:textId="0B95A2DC" w:rsidR="007745EB" w:rsidRPr="00820E37" w:rsidRDefault="00820E37" w:rsidP="00EC7D22">
      <w:pPr>
        <w:spacing w:after="0"/>
        <w:jc w:val="both"/>
        <w:rPr>
          <w:rFonts w:cs="Calibri"/>
          <w:sz w:val="20"/>
          <w:szCs w:val="20"/>
        </w:rPr>
      </w:pPr>
      <w:r>
        <w:rPr>
          <w:rFonts w:cs="Calibri"/>
          <w:sz w:val="20"/>
          <w:szCs w:val="20"/>
        </w:rPr>
        <w:t>Al cierre de</w:t>
      </w:r>
      <w:r w:rsidR="00EC7942">
        <w:rPr>
          <w:rFonts w:cs="Calibri"/>
          <w:sz w:val="20"/>
          <w:szCs w:val="20"/>
        </w:rPr>
        <w:t xml:space="preserve">l </w:t>
      </w:r>
      <w:r w:rsidR="000817F2">
        <w:rPr>
          <w:rFonts w:cs="Calibri"/>
          <w:sz w:val="20"/>
          <w:szCs w:val="20"/>
        </w:rPr>
        <w:t>ejercicio</w:t>
      </w:r>
      <w:r w:rsidR="00C87FDA" w:rsidRPr="00820E37">
        <w:rPr>
          <w:rFonts w:cs="Calibri"/>
          <w:sz w:val="20"/>
          <w:szCs w:val="20"/>
        </w:rPr>
        <w:t xml:space="preserve"> en los bienes inmuebles se realizaron los siguientes registros:</w:t>
      </w:r>
    </w:p>
    <w:p w14:paraId="5DF75A22" w14:textId="77777777" w:rsidR="007745EB" w:rsidRDefault="007745EB" w:rsidP="00EC7D22">
      <w:pPr>
        <w:spacing w:after="0" w:line="240" w:lineRule="auto"/>
        <w:jc w:val="both"/>
        <w:rPr>
          <w:rFonts w:cs="Calibri"/>
          <w:sz w:val="17"/>
          <w:szCs w:val="17"/>
        </w:rPr>
      </w:pPr>
    </w:p>
    <w:p w14:paraId="75499FD8" w14:textId="01EFFE95" w:rsidR="007745EB" w:rsidRPr="00820E37" w:rsidRDefault="00C87FDA" w:rsidP="00EC7D22">
      <w:pPr>
        <w:pStyle w:val="Prrafodelista"/>
        <w:numPr>
          <w:ilvl w:val="0"/>
          <w:numId w:val="21"/>
        </w:numPr>
        <w:spacing w:after="0" w:line="240" w:lineRule="auto"/>
        <w:ind w:left="0" w:firstLine="0"/>
        <w:jc w:val="both"/>
        <w:rPr>
          <w:rFonts w:cs="Calibri"/>
          <w:sz w:val="20"/>
          <w:szCs w:val="20"/>
        </w:rPr>
      </w:pPr>
      <w:r w:rsidRPr="00820E37">
        <w:rPr>
          <w:rFonts w:cs="Calibri"/>
          <w:sz w:val="20"/>
          <w:szCs w:val="20"/>
        </w:rPr>
        <w:t xml:space="preserve">Registro del Fideicomiso del Puente Internacional Nuevo Laredo III en el concepto de Infraestructura por la cantidad de $ </w:t>
      </w:r>
      <w:r w:rsidR="00C13F3B">
        <w:rPr>
          <w:rFonts w:cs="Calibri"/>
          <w:sz w:val="20"/>
          <w:szCs w:val="20"/>
        </w:rPr>
        <w:t>64,046,816</w:t>
      </w:r>
    </w:p>
    <w:p w14:paraId="248604FA" w14:textId="77777777" w:rsidR="007745EB" w:rsidRPr="00820E37" w:rsidRDefault="007745EB" w:rsidP="00EC7D22">
      <w:pPr>
        <w:pStyle w:val="Prrafodelista"/>
        <w:spacing w:after="0"/>
        <w:ind w:left="0"/>
        <w:jc w:val="both"/>
        <w:rPr>
          <w:rFonts w:cs="Calibri"/>
          <w:sz w:val="20"/>
          <w:szCs w:val="20"/>
        </w:rPr>
      </w:pPr>
    </w:p>
    <w:p w14:paraId="49D93D5A" w14:textId="6E8C329D" w:rsidR="002429E7" w:rsidRPr="002429E7" w:rsidRDefault="00C87FDA" w:rsidP="00EC7D22">
      <w:pPr>
        <w:pStyle w:val="Prrafodelista"/>
        <w:numPr>
          <w:ilvl w:val="0"/>
          <w:numId w:val="21"/>
        </w:numPr>
        <w:spacing w:after="0"/>
        <w:ind w:left="0" w:firstLine="0"/>
        <w:jc w:val="both"/>
        <w:rPr>
          <w:rFonts w:cs="Calibri"/>
          <w:sz w:val="20"/>
          <w:szCs w:val="20"/>
        </w:rPr>
      </w:pPr>
      <w:r w:rsidRPr="00820E37">
        <w:rPr>
          <w:rFonts w:cs="Calibri"/>
          <w:sz w:val="20"/>
          <w:szCs w:val="20"/>
        </w:rPr>
        <w:t>Se realizó el cierre técnico de obra trimestral reclasificando a Obra en Proceso, las obras con indicador de Inversión clasificadas por la Secretar</w:t>
      </w:r>
      <w:r w:rsidR="00EC7942">
        <w:rPr>
          <w:rFonts w:cs="Calibri"/>
          <w:sz w:val="20"/>
          <w:szCs w:val="20"/>
        </w:rPr>
        <w:t>í</w:t>
      </w:r>
      <w:r w:rsidRPr="00820E37">
        <w:rPr>
          <w:rFonts w:cs="Calibri"/>
          <w:sz w:val="20"/>
          <w:szCs w:val="20"/>
        </w:rPr>
        <w:t xml:space="preserve">a de Obras Públicas (capitulo 6000 Inversión Pública), con una afectación </w:t>
      </w:r>
      <w:r w:rsidR="00DE014D">
        <w:rPr>
          <w:rFonts w:cs="Calibri"/>
          <w:sz w:val="20"/>
          <w:szCs w:val="20"/>
        </w:rPr>
        <w:t>global acumulada de</w:t>
      </w:r>
      <w:r w:rsidRPr="00820E37">
        <w:rPr>
          <w:rFonts w:cs="Calibri"/>
          <w:sz w:val="20"/>
          <w:szCs w:val="20"/>
        </w:rPr>
        <w:t xml:space="preserve"> $ </w:t>
      </w:r>
      <w:r w:rsidR="00C13F3B">
        <w:rPr>
          <w:rFonts w:cs="Calibri"/>
          <w:sz w:val="20"/>
          <w:szCs w:val="20"/>
        </w:rPr>
        <w:t>753,671,278</w:t>
      </w:r>
      <w:r w:rsidRPr="00820E37">
        <w:rPr>
          <w:rFonts w:cs="Calibri"/>
          <w:sz w:val="20"/>
          <w:szCs w:val="20"/>
        </w:rPr>
        <w:t xml:space="preserve">., en la cuenta 1235 Construcciones en Proceso en Bienes de Dominio Público y   </w:t>
      </w:r>
      <w:r w:rsidR="00DE014D" w:rsidRPr="00820E37">
        <w:rPr>
          <w:rFonts w:cs="Calibri"/>
          <w:sz w:val="20"/>
          <w:szCs w:val="20"/>
        </w:rPr>
        <w:t>de</w:t>
      </w:r>
      <w:r w:rsidR="00DE014D">
        <w:rPr>
          <w:rFonts w:cs="Calibri"/>
          <w:sz w:val="20"/>
          <w:szCs w:val="20"/>
        </w:rPr>
        <w:t xml:space="preserve"> $</w:t>
      </w:r>
      <w:r w:rsidRPr="00820E37">
        <w:rPr>
          <w:rFonts w:cs="Calibri"/>
          <w:sz w:val="20"/>
          <w:szCs w:val="20"/>
        </w:rPr>
        <w:t xml:space="preserve"> </w:t>
      </w:r>
      <w:r w:rsidR="00311D91">
        <w:rPr>
          <w:rFonts w:cs="Calibri"/>
          <w:sz w:val="20"/>
          <w:szCs w:val="20"/>
        </w:rPr>
        <w:t>365,550,344</w:t>
      </w:r>
      <w:r w:rsidRPr="00820E37">
        <w:rPr>
          <w:rFonts w:cs="Calibri"/>
          <w:sz w:val="20"/>
          <w:szCs w:val="20"/>
        </w:rPr>
        <w:t>., en la cuenta 1236 de Construcciones en Proceso en Bienes Propios.</w:t>
      </w:r>
    </w:p>
    <w:p w14:paraId="38B2464D" w14:textId="00E99169" w:rsidR="007745EB" w:rsidRDefault="00827DA1" w:rsidP="00EC7D22">
      <w:pPr>
        <w:pStyle w:val="Prrafodelista"/>
        <w:numPr>
          <w:ilvl w:val="0"/>
          <w:numId w:val="21"/>
        </w:numPr>
        <w:spacing w:after="0"/>
        <w:ind w:left="0" w:firstLine="0"/>
        <w:jc w:val="both"/>
        <w:rPr>
          <w:rFonts w:cs="Calibri"/>
          <w:sz w:val="20"/>
          <w:szCs w:val="20"/>
        </w:rPr>
      </w:pPr>
      <w:r>
        <w:rPr>
          <w:rFonts w:cs="Calibri"/>
          <w:sz w:val="20"/>
          <w:szCs w:val="20"/>
        </w:rPr>
        <w:t>R</w:t>
      </w:r>
      <w:r w:rsidR="00C87FDA" w:rsidRPr="00820E37">
        <w:rPr>
          <w:rFonts w:cs="Calibri"/>
          <w:sz w:val="20"/>
          <w:szCs w:val="20"/>
        </w:rPr>
        <w:t xml:space="preserve">eclasificación por proyectos de obra identificados como gasto por indicaciones de la Secretaría de Obras Públicas por la cantidad de $ </w:t>
      </w:r>
      <w:r w:rsidR="00F02291">
        <w:rPr>
          <w:rFonts w:cs="Calibri"/>
          <w:sz w:val="20"/>
          <w:szCs w:val="20"/>
        </w:rPr>
        <w:t>420,</w:t>
      </w:r>
      <w:r w:rsidR="00CD16AE">
        <w:rPr>
          <w:rFonts w:cs="Calibri"/>
          <w:sz w:val="20"/>
          <w:szCs w:val="20"/>
        </w:rPr>
        <w:t>367,748.</w:t>
      </w:r>
    </w:p>
    <w:p w14:paraId="1B7C2278" w14:textId="77777777" w:rsidR="00CD16AE" w:rsidRDefault="00CD16AE" w:rsidP="00EC7D22">
      <w:pPr>
        <w:pStyle w:val="Prrafodelista"/>
        <w:spacing w:after="0"/>
        <w:ind w:left="0"/>
        <w:jc w:val="both"/>
        <w:rPr>
          <w:rFonts w:cs="Calibri"/>
          <w:sz w:val="20"/>
          <w:szCs w:val="20"/>
        </w:rPr>
      </w:pPr>
    </w:p>
    <w:p w14:paraId="63733E49" w14:textId="7B8FE640" w:rsidR="00CD16AE" w:rsidRDefault="00CD16AE" w:rsidP="00EC7D22">
      <w:pPr>
        <w:pStyle w:val="Prrafodelista"/>
        <w:numPr>
          <w:ilvl w:val="0"/>
          <w:numId w:val="21"/>
        </w:numPr>
        <w:spacing w:after="0"/>
        <w:ind w:left="0" w:firstLine="0"/>
        <w:jc w:val="both"/>
        <w:rPr>
          <w:rFonts w:cs="Calibri"/>
          <w:sz w:val="20"/>
          <w:szCs w:val="20"/>
        </w:rPr>
      </w:pPr>
      <w:r>
        <w:rPr>
          <w:rFonts w:cs="Calibri"/>
          <w:sz w:val="20"/>
          <w:szCs w:val="20"/>
        </w:rPr>
        <w:lastRenderedPageBreak/>
        <w:t xml:space="preserve">La desincorporación del inmueble ubicado en calle Nuevo Libramiento </w:t>
      </w:r>
      <w:r w:rsidRPr="00DE014D">
        <w:rPr>
          <w:rFonts w:cs="Calibri"/>
          <w:sz w:val="20"/>
          <w:szCs w:val="20"/>
        </w:rPr>
        <w:t>Altamira Km 3, Colonia</w:t>
      </w:r>
      <w:r>
        <w:rPr>
          <w:rFonts w:cs="Calibri"/>
          <w:sz w:val="20"/>
          <w:szCs w:val="20"/>
        </w:rPr>
        <w:t xml:space="preserve"> Santa Amalia, del Municipio de</w:t>
      </w:r>
      <w:r w:rsidRPr="00DE014D">
        <w:rPr>
          <w:rFonts w:cs="Calibri"/>
          <w:sz w:val="20"/>
          <w:szCs w:val="20"/>
        </w:rPr>
        <w:t xml:space="preserve"> Altamira</w:t>
      </w:r>
      <w:r>
        <w:rPr>
          <w:rFonts w:cs="Calibri"/>
          <w:sz w:val="20"/>
          <w:szCs w:val="20"/>
        </w:rPr>
        <w:t xml:space="preserve">, por donación a la </w:t>
      </w:r>
      <w:r w:rsidRPr="00DE014D">
        <w:rPr>
          <w:rFonts w:cs="Calibri"/>
          <w:sz w:val="20"/>
          <w:szCs w:val="20"/>
        </w:rPr>
        <w:t>Universidad Politécnica de Altamira</w:t>
      </w:r>
      <w:r>
        <w:rPr>
          <w:rFonts w:cs="Calibri"/>
          <w:sz w:val="20"/>
          <w:szCs w:val="20"/>
        </w:rPr>
        <w:t xml:space="preserve"> por el valor de $22,000,000.</w:t>
      </w:r>
    </w:p>
    <w:p w14:paraId="5A812E5E" w14:textId="77777777" w:rsidR="00CD16AE" w:rsidRDefault="00CD16AE" w:rsidP="00EC7D22">
      <w:pPr>
        <w:pStyle w:val="Prrafodelista"/>
        <w:spacing w:after="0"/>
        <w:ind w:left="0"/>
        <w:jc w:val="both"/>
        <w:rPr>
          <w:rFonts w:cs="Calibri"/>
          <w:sz w:val="20"/>
          <w:szCs w:val="20"/>
        </w:rPr>
      </w:pPr>
    </w:p>
    <w:p w14:paraId="45DA1ABD" w14:textId="6295A087" w:rsidR="00CD16AE" w:rsidRDefault="00CD16AE" w:rsidP="00EC7D22">
      <w:pPr>
        <w:pStyle w:val="Prrafodelista"/>
        <w:numPr>
          <w:ilvl w:val="0"/>
          <w:numId w:val="21"/>
        </w:numPr>
        <w:spacing w:after="0"/>
        <w:ind w:left="0" w:firstLine="0"/>
        <w:jc w:val="both"/>
        <w:rPr>
          <w:rFonts w:cs="Calibri"/>
          <w:sz w:val="20"/>
          <w:szCs w:val="20"/>
        </w:rPr>
      </w:pPr>
      <w:r>
        <w:rPr>
          <w:rFonts w:cs="Calibri"/>
          <w:sz w:val="20"/>
          <w:szCs w:val="20"/>
        </w:rPr>
        <w:t>Se incluye en Obra en Proceso el registro del Fideicomiso de Ciudad Judicial por la cantidad de $ 10,421,900.</w:t>
      </w:r>
    </w:p>
    <w:p w14:paraId="213C47FE" w14:textId="77777777" w:rsidR="00CD16AE" w:rsidRDefault="00CD16AE" w:rsidP="00EC7D22">
      <w:pPr>
        <w:pStyle w:val="Prrafodelista"/>
        <w:spacing w:after="0"/>
        <w:ind w:left="0"/>
        <w:jc w:val="both"/>
        <w:rPr>
          <w:rFonts w:cs="Calibri"/>
          <w:sz w:val="20"/>
          <w:szCs w:val="20"/>
        </w:rPr>
      </w:pPr>
    </w:p>
    <w:p w14:paraId="3EDED38E" w14:textId="7D2738BA" w:rsidR="00074FD7" w:rsidRPr="00B62C59" w:rsidRDefault="00074FD7" w:rsidP="00EC7D22">
      <w:pPr>
        <w:spacing w:after="0"/>
        <w:jc w:val="both"/>
        <w:rPr>
          <w:rFonts w:cs="Calibri"/>
          <w:sz w:val="20"/>
          <w:szCs w:val="20"/>
        </w:rPr>
      </w:pPr>
      <w:r w:rsidRPr="00B62C59">
        <w:rPr>
          <w:rFonts w:cs="Calibri"/>
          <w:sz w:val="20"/>
          <w:szCs w:val="20"/>
        </w:rPr>
        <w:t xml:space="preserve">Al cierre del ejercicio las observaciones </w:t>
      </w:r>
      <w:r w:rsidRPr="00DF7120">
        <w:rPr>
          <w:rFonts w:cs="Calibri"/>
          <w:sz w:val="20"/>
          <w:szCs w:val="20"/>
        </w:rPr>
        <w:t>pendientes</w:t>
      </w:r>
      <w:r w:rsidR="00D43723">
        <w:rPr>
          <w:rFonts w:cs="Calibri"/>
          <w:sz w:val="20"/>
          <w:szCs w:val="20"/>
        </w:rPr>
        <w:t>,</w:t>
      </w:r>
      <w:r w:rsidRPr="00DF7120">
        <w:rPr>
          <w:rFonts w:cs="Calibri"/>
          <w:sz w:val="20"/>
          <w:szCs w:val="20"/>
        </w:rPr>
        <w:t xml:space="preserve"> reportadas por la Dirección de Patrimonio se encuentran en la siguiente situación:</w:t>
      </w:r>
    </w:p>
    <w:p w14:paraId="5493BEB7" w14:textId="77777777" w:rsidR="00074FD7" w:rsidRPr="00B62C59" w:rsidRDefault="00074FD7" w:rsidP="00EC7D22">
      <w:pPr>
        <w:pStyle w:val="Prrafodelista"/>
        <w:spacing w:after="0"/>
        <w:ind w:left="0"/>
        <w:jc w:val="both"/>
        <w:rPr>
          <w:rFonts w:cs="Calibri"/>
          <w:sz w:val="20"/>
          <w:szCs w:val="20"/>
        </w:rPr>
      </w:pPr>
    </w:p>
    <w:p w14:paraId="43085576" w14:textId="114FD0A6" w:rsidR="00074FD7" w:rsidRPr="007108F8" w:rsidRDefault="00074FD7" w:rsidP="00EC7D22">
      <w:pPr>
        <w:pStyle w:val="Prrafodelista"/>
        <w:numPr>
          <w:ilvl w:val="0"/>
          <w:numId w:val="69"/>
        </w:numPr>
        <w:suppressAutoHyphens w:val="0"/>
        <w:overflowPunct/>
        <w:spacing w:after="0"/>
        <w:ind w:left="0" w:firstLine="0"/>
        <w:jc w:val="both"/>
        <w:rPr>
          <w:rFonts w:cs="Calibri"/>
          <w:sz w:val="20"/>
          <w:szCs w:val="20"/>
        </w:rPr>
      </w:pPr>
      <w:r w:rsidRPr="007108F8">
        <w:rPr>
          <w:rFonts w:cs="Calibri"/>
          <w:sz w:val="20"/>
          <w:szCs w:val="20"/>
        </w:rPr>
        <w:t xml:space="preserve">El inmueble de 60-02-79 hectáreas ubicado en el ejido la Retama, Municipio de Reynosa se encuentra en proceso de desincorporación </w:t>
      </w:r>
      <w:r w:rsidR="00346D64" w:rsidRPr="007108F8">
        <w:rPr>
          <w:rFonts w:cs="Calibri"/>
          <w:sz w:val="20"/>
          <w:szCs w:val="20"/>
        </w:rPr>
        <w:t xml:space="preserve">de 46-74-74.363 hectáreas </w:t>
      </w:r>
      <w:r w:rsidRPr="007108F8">
        <w:rPr>
          <w:rFonts w:cs="Calibri"/>
          <w:sz w:val="20"/>
          <w:szCs w:val="20"/>
        </w:rPr>
        <w:t xml:space="preserve">por la autorización contenida en el Decreto del </w:t>
      </w:r>
      <w:r w:rsidR="00346D64" w:rsidRPr="007108F8">
        <w:rPr>
          <w:rFonts w:cs="Calibri"/>
          <w:sz w:val="20"/>
          <w:szCs w:val="20"/>
        </w:rPr>
        <w:t xml:space="preserve">08 de junio de 2022 </w:t>
      </w:r>
      <w:r w:rsidRPr="007108F8">
        <w:rPr>
          <w:rFonts w:cs="Calibri"/>
          <w:sz w:val="20"/>
          <w:szCs w:val="20"/>
        </w:rPr>
        <w:t>en la modalidad de dación en pago a la Universidad Autónoma de Tamaulipas</w:t>
      </w:r>
      <w:r w:rsidR="00346D64" w:rsidRPr="007108F8">
        <w:rPr>
          <w:rFonts w:cs="Calibri"/>
          <w:sz w:val="20"/>
          <w:szCs w:val="20"/>
        </w:rPr>
        <w:t xml:space="preserve">, por lo que </w:t>
      </w:r>
      <w:r w:rsidR="002C2C7A" w:rsidRPr="007108F8">
        <w:rPr>
          <w:rFonts w:cs="Calibri"/>
          <w:sz w:val="20"/>
          <w:szCs w:val="20"/>
        </w:rPr>
        <w:t>está</w:t>
      </w:r>
      <w:r w:rsidR="00346D64" w:rsidRPr="007108F8">
        <w:rPr>
          <w:rFonts w:cs="Calibri"/>
          <w:sz w:val="20"/>
          <w:szCs w:val="20"/>
        </w:rPr>
        <w:t xml:space="preserve"> en proceso de subdivisión por parte del Municipio de Reynosa, los cuales al cierre del ejercicio están en proceso de concluir los trámites de Donación ante Notario </w:t>
      </w:r>
      <w:r w:rsidR="00CD16AE" w:rsidRPr="007108F8">
        <w:rPr>
          <w:rFonts w:cs="Calibri"/>
          <w:sz w:val="20"/>
          <w:szCs w:val="20"/>
        </w:rPr>
        <w:t>Público designado</w:t>
      </w:r>
      <w:r w:rsidR="00346D64" w:rsidRPr="007108F8">
        <w:rPr>
          <w:rFonts w:cs="Calibri"/>
          <w:sz w:val="20"/>
          <w:szCs w:val="20"/>
        </w:rPr>
        <w:t xml:space="preserve"> por la Universidad Autónoma de Tamaulipas. </w:t>
      </w:r>
    </w:p>
    <w:p w14:paraId="72EB01F0" w14:textId="77777777" w:rsidR="00074FD7" w:rsidRPr="00B62C59" w:rsidRDefault="00074FD7" w:rsidP="00EC7D22">
      <w:pPr>
        <w:spacing w:after="0"/>
        <w:jc w:val="both"/>
        <w:rPr>
          <w:rFonts w:cs="Calibri"/>
          <w:sz w:val="20"/>
          <w:szCs w:val="20"/>
        </w:rPr>
      </w:pPr>
    </w:p>
    <w:p w14:paraId="3CB63EA9" w14:textId="4C825621" w:rsidR="00074FD7" w:rsidRPr="00B62C59" w:rsidRDefault="00074FD7" w:rsidP="00EC7D22">
      <w:pPr>
        <w:pStyle w:val="Prrafodelista"/>
        <w:numPr>
          <w:ilvl w:val="0"/>
          <w:numId w:val="69"/>
        </w:numPr>
        <w:suppressAutoHyphens w:val="0"/>
        <w:overflowPunct/>
        <w:spacing w:after="0"/>
        <w:ind w:left="0" w:firstLine="0"/>
        <w:jc w:val="both"/>
        <w:rPr>
          <w:rFonts w:cs="Calibri"/>
          <w:sz w:val="20"/>
          <w:szCs w:val="20"/>
        </w:rPr>
      </w:pPr>
      <w:r w:rsidRPr="00B62C59">
        <w:rPr>
          <w:rFonts w:cs="Calibri"/>
          <w:sz w:val="20"/>
          <w:szCs w:val="20"/>
        </w:rPr>
        <w:t>Por lo que respecta al polígono rústico en la carretera Nacional Estación Manuel-Soto la Marina, Km 35, del Municipio de Aldama, se autorizó mediante decreto</w:t>
      </w:r>
      <w:r w:rsidR="00346D64" w:rsidRPr="00B62C59">
        <w:rPr>
          <w:rFonts w:cs="Calibri"/>
          <w:sz w:val="20"/>
          <w:szCs w:val="20"/>
        </w:rPr>
        <w:t xml:space="preserve"> 65-168 </w:t>
      </w:r>
      <w:r w:rsidR="00BE59F8" w:rsidRPr="00B62C59">
        <w:rPr>
          <w:rFonts w:cs="Calibri"/>
          <w:sz w:val="20"/>
          <w:szCs w:val="20"/>
        </w:rPr>
        <w:t>publicado en el Periódico Oficial del Estado</w:t>
      </w:r>
      <w:r w:rsidR="000A1CF9" w:rsidRPr="00B62C59">
        <w:rPr>
          <w:rFonts w:cs="Calibri"/>
          <w:sz w:val="20"/>
          <w:szCs w:val="20"/>
        </w:rPr>
        <w:t xml:space="preserve">, </w:t>
      </w:r>
      <w:r w:rsidR="00BE59F8" w:rsidRPr="00B62C59">
        <w:rPr>
          <w:rFonts w:cs="Calibri"/>
          <w:sz w:val="20"/>
          <w:szCs w:val="20"/>
        </w:rPr>
        <w:t>número 68 del 08 de junio de 202,</w:t>
      </w:r>
      <w:r w:rsidRPr="00B62C59">
        <w:rPr>
          <w:rFonts w:cs="Calibri"/>
          <w:sz w:val="20"/>
          <w:szCs w:val="20"/>
        </w:rPr>
        <w:t xml:space="preserve"> la Donación a Título Gratuito </w:t>
      </w:r>
      <w:r w:rsidR="000A1CF9" w:rsidRPr="00B62C59">
        <w:rPr>
          <w:rFonts w:cs="Calibri"/>
          <w:sz w:val="20"/>
          <w:szCs w:val="20"/>
        </w:rPr>
        <w:t xml:space="preserve">a </w:t>
      </w:r>
      <w:r w:rsidRPr="00B62C59">
        <w:rPr>
          <w:rFonts w:cs="Calibri"/>
          <w:sz w:val="20"/>
          <w:szCs w:val="20"/>
        </w:rPr>
        <w:t>favor de Servicios de Salud de Tamaulipa</w:t>
      </w:r>
      <w:r w:rsidR="000A1CF9" w:rsidRPr="00B62C59">
        <w:rPr>
          <w:rFonts w:cs="Calibri"/>
          <w:sz w:val="20"/>
          <w:szCs w:val="20"/>
        </w:rPr>
        <w:t>s, a la fecha se cuenta con acuerdo Administrativo número SA/AA45/2022</w:t>
      </w:r>
      <w:r w:rsidR="00BB7815" w:rsidRPr="00B62C59">
        <w:rPr>
          <w:rFonts w:cs="Calibri"/>
          <w:sz w:val="20"/>
          <w:szCs w:val="20"/>
        </w:rPr>
        <w:t xml:space="preserve"> de fecha 09 de septiembre de 2022, quedando pendiente la publicación del mismo en el Periódico Oficial del Estado y la escrituración del inmueble e inscripción registral.</w:t>
      </w:r>
    </w:p>
    <w:p w14:paraId="684ECAD0" w14:textId="77777777" w:rsidR="008011E9" w:rsidRPr="00B62C59" w:rsidRDefault="008011E9" w:rsidP="00EC7D22">
      <w:pPr>
        <w:pStyle w:val="Prrafodelista"/>
        <w:ind w:left="0"/>
        <w:rPr>
          <w:rFonts w:cs="Calibri"/>
          <w:sz w:val="20"/>
          <w:szCs w:val="20"/>
        </w:rPr>
      </w:pPr>
    </w:p>
    <w:p w14:paraId="69320460" w14:textId="100B89DA" w:rsidR="00074FD7" w:rsidRPr="00B62C59" w:rsidRDefault="008011E9" w:rsidP="00EC7D22">
      <w:pPr>
        <w:pStyle w:val="Prrafodelista"/>
        <w:numPr>
          <w:ilvl w:val="0"/>
          <w:numId w:val="69"/>
        </w:numPr>
        <w:suppressAutoHyphens w:val="0"/>
        <w:overflowPunct/>
        <w:spacing w:after="0"/>
        <w:ind w:left="0" w:firstLine="0"/>
        <w:jc w:val="both"/>
        <w:rPr>
          <w:rFonts w:cs="Calibri"/>
          <w:sz w:val="20"/>
          <w:szCs w:val="20"/>
        </w:rPr>
      </w:pPr>
      <w:r w:rsidRPr="00B62C59">
        <w:rPr>
          <w:rFonts w:cs="Calibri"/>
          <w:sz w:val="20"/>
          <w:szCs w:val="20"/>
        </w:rPr>
        <w:t xml:space="preserve">En relación con el avance en el proceso de desincorporación de los inmuebles identificados como </w:t>
      </w:r>
      <w:r w:rsidR="007108F8">
        <w:rPr>
          <w:rFonts w:cs="Calibri"/>
          <w:sz w:val="20"/>
          <w:szCs w:val="20"/>
        </w:rPr>
        <w:t xml:space="preserve">transferibles </w:t>
      </w:r>
      <w:r w:rsidRPr="00B62C59">
        <w:rPr>
          <w:rFonts w:cs="Calibri"/>
          <w:sz w:val="20"/>
          <w:szCs w:val="20"/>
        </w:rPr>
        <w:t>en los registros, actualmente se encuentra en análisis con las dependencias involucradas.</w:t>
      </w:r>
    </w:p>
    <w:p w14:paraId="41A324CB" w14:textId="77777777" w:rsidR="003D6CB5" w:rsidRPr="00B62C59" w:rsidRDefault="003D6CB5" w:rsidP="00EC7D22">
      <w:pPr>
        <w:suppressAutoHyphens w:val="0"/>
        <w:overflowPunct/>
        <w:spacing w:after="0"/>
        <w:jc w:val="both"/>
        <w:rPr>
          <w:rFonts w:cs="Calibri"/>
          <w:sz w:val="20"/>
          <w:szCs w:val="20"/>
        </w:rPr>
      </w:pPr>
    </w:p>
    <w:p w14:paraId="1DBC900D" w14:textId="77777777" w:rsidR="000E40F1" w:rsidRPr="00B62C59" w:rsidRDefault="00DE014D" w:rsidP="00EC7D22">
      <w:pPr>
        <w:suppressAutoHyphens w:val="0"/>
        <w:overflowPunct/>
        <w:spacing w:after="0"/>
        <w:jc w:val="both"/>
        <w:rPr>
          <w:rFonts w:cs="Calibri"/>
          <w:sz w:val="20"/>
          <w:szCs w:val="20"/>
        </w:rPr>
      </w:pPr>
      <w:r w:rsidRPr="00B62C59">
        <w:rPr>
          <w:rFonts w:cs="Calibri"/>
          <w:sz w:val="20"/>
          <w:szCs w:val="20"/>
        </w:rPr>
        <w:t>Co</w:t>
      </w:r>
      <w:r w:rsidR="00C143CF" w:rsidRPr="00B62C59">
        <w:rPr>
          <w:rFonts w:cs="Calibri"/>
          <w:sz w:val="20"/>
          <w:szCs w:val="20"/>
        </w:rPr>
        <w:t xml:space="preserve">n referencia </w:t>
      </w:r>
      <w:r w:rsidR="00B741B2" w:rsidRPr="00B62C59">
        <w:rPr>
          <w:rFonts w:cs="Calibri"/>
          <w:sz w:val="20"/>
          <w:szCs w:val="20"/>
        </w:rPr>
        <w:t xml:space="preserve">a la situación jurídica del inmueble con una superficie de 428,117.95 metros cuadrados ubicado en el Ejido la Pesca del Municipio de Soto La Marina, Tamaulipas, del cual se recibió en la Secretaría de </w:t>
      </w:r>
      <w:r w:rsidR="008609CD" w:rsidRPr="00B62C59">
        <w:rPr>
          <w:rFonts w:cs="Calibri"/>
          <w:sz w:val="20"/>
          <w:szCs w:val="20"/>
        </w:rPr>
        <w:t>Finanzas del</w:t>
      </w:r>
      <w:r w:rsidR="00B741B2" w:rsidRPr="00B62C59">
        <w:rPr>
          <w:rFonts w:cs="Calibri"/>
          <w:sz w:val="20"/>
          <w:szCs w:val="20"/>
        </w:rPr>
        <w:t xml:space="preserve"> Gobierno del Estado, la cantidad de </w:t>
      </w:r>
      <w:r w:rsidR="00C143CF" w:rsidRPr="00B62C59">
        <w:rPr>
          <w:rFonts w:cs="Calibri"/>
          <w:sz w:val="20"/>
          <w:szCs w:val="20"/>
        </w:rPr>
        <w:t>$35,320,000.,</w:t>
      </w:r>
      <w:r w:rsidR="00B741B2" w:rsidRPr="00B62C59">
        <w:rPr>
          <w:rFonts w:cs="Calibri"/>
          <w:sz w:val="20"/>
          <w:szCs w:val="20"/>
        </w:rPr>
        <w:t xml:space="preserve"> y a la fecha no ha sido desincorporado del Patrimonio del Estado;  al respecto se informa que la desincorporación no resulta procedente, en virtud de que existen </w:t>
      </w:r>
      <w:r w:rsidR="008609CD" w:rsidRPr="00B62C59">
        <w:rPr>
          <w:rFonts w:cs="Calibri"/>
          <w:sz w:val="20"/>
          <w:szCs w:val="20"/>
        </w:rPr>
        <w:t xml:space="preserve">los juicios de Amparo 1749/2022 y  698/2022, en los que el Juzgado Primero de Distrito </w:t>
      </w:r>
      <w:r w:rsidR="000E40F1" w:rsidRPr="00B62C59">
        <w:rPr>
          <w:rFonts w:cs="Calibri"/>
          <w:sz w:val="20"/>
          <w:szCs w:val="20"/>
        </w:rPr>
        <w:t>en el</w:t>
      </w:r>
      <w:r w:rsidR="008609CD" w:rsidRPr="00B62C59">
        <w:rPr>
          <w:rFonts w:cs="Calibri"/>
          <w:sz w:val="20"/>
          <w:szCs w:val="20"/>
        </w:rPr>
        <w:t xml:space="preserve"> Estado</w:t>
      </w:r>
      <w:r w:rsidR="000E40F1" w:rsidRPr="00B62C59">
        <w:rPr>
          <w:rFonts w:cs="Calibri"/>
          <w:sz w:val="20"/>
          <w:szCs w:val="20"/>
        </w:rPr>
        <w:t xml:space="preserve"> de Tamaulipas</w:t>
      </w:r>
      <w:r w:rsidR="008609CD" w:rsidRPr="00B62C59">
        <w:rPr>
          <w:rFonts w:cs="Calibri"/>
          <w:sz w:val="20"/>
          <w:szCs w:val="20"/>
        </w:rPr>
        <w:t xml:space="preserve">, concedió Suspensión Definitiva y Suspensión Provisional respectivamente en favor del quejoso José Toribio González Ramírez, por si y como Albacea de los bienes de José Toribio González Alvarado. De igual forma, dicha autoridad federal, ordeno disponer lo necesario para que no se hagan movimientos registrales del citado inmueble, hasta en tanto cause estado la sentencia que en su momento procesal </w:t>
      </w:r>
      <w:r w:rsidR="000E40F1" w:rsidRPr="00B62C59">
        <w:rPr>
          <w:rFonts w:cs="Calibri"/>
          <w:sz w:val="20"/>
          <w:szCs w:val="20"/>
        </w:rPr>
        <w:t>oportuno se dicte en el juicio principal del que se deriva la suspensión definitiva. Por lo que hasta en tanto se resuelvan de manera definitiva los juicios de Amparo, se estará en posibilidades de efectuar los trámites administrativos que se deriven de la resolución.</w:t>
      </w:r>
    </w:p>
    <w:p w14:paraId="031EFB54" w14:textId="3BA400B9" w:rsidR="00C143CF" w:rsidRPr="00B62C59" w:rsidRDefault="000E40F1" w:rsidP="00EC7D22">
      <w:pPr>
        <w:suppressAutoHyphens w:val="0"/>
        <w:overflowPunct/>
        <w:spacing w:after="0"/>
        <w:jc w:val="both"/>
        <w:rPr>
          <w:rFonts w:cs="Calibri"/>
          <w:sz w:val="20"/>
          <w:szCs w:val="20"/>
        </w:rPr>
      </w:pPr>
      <w:r w:rsidRPr="00B62C59">
        <w:rPr>
          <w:rFonts w:cs="Calibri"/>
          <w:sz w:val="20"/>
          <w:szCs w:val="20"/>
        </w:rPr>
        <w:t xml:space="preserve"> </w:t>
      </w:r>
    </w:p>
    <w:p w14:paraId="569C8641" w14:textId="11D24F42" w:rsidR="00C143CF" w:rsidRDefault="00F63648" w:rsidP="00EC7D22">
      <w:pPr>
        <w:spacing w:after="0"/>
        <w:jc w:val="both"/>
        <w:rPr>
          <w:rFonts w:cs="Calibri"/>
          <w:sz w:val="20"/>
          <w:szCs w:val="20"/>
        </w:rPr>
      </w:pPr>
      <w:r w:rsidRPr="00B62C59">
        <w:rPr>
          <w:rFonts w:cs="Calibri"/>
          <w:sz w:val="20"/>
          <w:szCs w:val="20"/>
        </w:rPr>
        <w:t>En la</w:t>
      </w:r>
      <w:r w:rsidR="00C143CF" w:rsidRPr="00B62C59">
        <w:rPr>
          <w:rFonts w:cs="Calibri"/>
          <w:sz w:val="20"/>
          <w:szCs w:val="20"/>
        </w:rPr>
        <w:t xml:space="preserve"> cuenta de Obra en Proceso</w:t>
      </w:r>
      <w:r w:rsidRPr="00B62C59">
        <w:rPr>
          <w:rFonts w:cs="Calibri"/>
          <w:sz w:val="20"/>
          <w:szCs w:val="20"/>
        </w:rPr>
        <w:t>,</w:t>
      </w:r>
      <w:r w:rsidR="00C143CF" w:rsidRPr="00B62C59">
        <w:rPr>
          <w:rFonts w:cs="Calibri"/>
          <w:sz w:val="20"/>
          <w:szCs w:val="20"/>
        </w:rPr>
        <w:t xml:space="preserve"> la cual trae un saldo por</w:t>
      </w:r>
      <w:r w:rsidR="00943BD8" w:rsidRPr="00B62C59">
        <w:rPr>
          <w:rFonts w:cs="Calibri"/>
          <w:sz w:val="20"/>
          <w:szCs w:val="20"/>
        </w:rPr>
        <w:t xml:space="preserve"> la cantidad de</w:t>
      </w:r>
      <w:r w:rsidR="00C143CF" w:rsidRPr="00B62C59">
        <w:rPr>
          <w:rFonts w:cs="Calibri"/>
          <w:sz w:val="20"/>
          <w:szCs w:val="20"/>
        </w:rPr>
        <w:t xml:space="preserve"> $</w:t>
      </w:r>
      <w:r w:rsidR="009E1DAB" w:rsidRPr="00B62C59">
        <w:rPr>
          <w:rFonts w:cs="Calibri"/>
          <w:sz w:val="20"/>
          <w:szCs w:val="20"/>
        </w:rPr>
        <w:t xml:space="preserve"> 10,</w:t>
      </w:r>
      <w:r w:rsidR="00311D91" w:rsidRPr="00B62C59">
        <w:rPr>
          <w:rFonts w:cs="Calibri"/>
          <w:sz w:val="20"/>
          <w:szCs w:val="20"/>
        </w:rPr>
        <w:t>286,459,050</w:t>
      </w:r>
      <w:r w:rsidR="00B827F9" w:rsidRPr="00B62C59">
        <w:rPr>
          <w:rFonts w:cs="Calibri"/>
          <w:sz w:val="20"/>
          <w:szCs w:val="20"/>
        </w:rPr>
        <w:t>.</w:t>
      </w:r>
      <w:r w:rsidR="00C143CF" w:rsidRPr="00B62C59">
        <w:rPr>
          <w:rFonts w:cs="Calibri"/>
          <w:sz w:val="20"/>
          <w:szCs w:val="20"/>
        </w:rPr>
        <w:t xml:space="preserve">, </w:t>
      </w:r>
      <w:r w:rsidR="00943BD8" w:rsidRPr="00B62C59">
        <w:rPr>
          <w:rFonts w:cs="Calibri"/>
          <w:sz w:val="20"/>
          <w:szCs w:val="20"/>
        </w:rPr>
        <w:t>mism</w:t>
      </w:r>
      <w:r w:rsidRPr="00B62C59">
        <w:rPr>
          <w:rFonts w:cs="Calibri"/>
          <w:sz w:val="20"/>
          <w:szCs w:val="20"/>
        </w:rPr>
        <w:t>o</w:t>
      </w:r>
      <w:r w:rsidR="00943BD8" w:rsidRPr="00B62C59">
        <w:rPr>
          <w:rFonts w:cs="Calibri"/>
          <w:sz w:val="20"/>
          <w:szCs w:val="20"/>
        </w:rPr>
        <w:t xml:space="preserve"> que se viene acumulando </w:t>
      </w:r>
      <w:r w:rsidR="00C143CF" w:rsidRPr="00B62C59">
        <w:rPr>
          <w:rFonts w:cs="Calibri"/>
          <w:sz w:val="20"/>
          <w:szCs w:val="20"/>
        </w:rPr>
        <w:t xml:space="preserve">desde el mes de </w:t>
      </w:r>
      <w:r w:rsidR="008F6566" w:rsidRPr="00B62C59">
        <w:rPr>
          <w:rFonts w:cs="Calibri"/>
          <w:sz w:val="20"/>
          <w:szCs w:val="20"/>
        </w:rPr>
        <w:t>agosto</w:t>
      </w:r>
      <w:r w:rsidR="00C143CF" w:rsidRPr="00B62C59">
        <w:rPr>
          <w:rFonts w:cs="Calibri"/>
          <w:sz w:val="20"/>
          <w:szCs w:val="20"/>
        </w:rPr>
        <w:t xml:space="preserve"> de 2012, a continuación, se detalla la situación </w:t>
      </w:r>
      <w:r w:rsidR="00DE014D" w:rsidRPr="00B62C59">
        <w:rPr>
          <w:rFonts w:cs="Calibri"/>
          <w:sz w:val="20"/>
          <w:szCs w:val="20"/>
        </w:rPr>
        <w:t>de acuerdo con el</w:t>
      </w:r>
      <w:r w:rsidR="00C143CF" w:rsidRPr="00B62C59">
        <w:rPr>
          <w:rFonts w:cs="Calibri"/>
          <w:sz w:val="20"/>
          <w:szCs w:val="20"/>
        </w:rPr>
        <w:t xml:space="preserve"> número de obras pendientes de trabajar en el sistema y dependencia responsable de ello.</w:t>
      </w:r>
    </w:p>
    <w:p w14:paraId="4C3740F0" w14:textId="00EFD427" w:rsidR="00501DD1" w:rsidRDefault="00501DD1" w:rsidP="00EC7D22">
      <w:pPr>
        <w:spacing w:after="0"/>
        <w:jc w:val="both"/>
        <w:rPr>
          <w:rFonts w:cs="Calibri"/>
          <w:sz w:val="20"/>
          <w:szCs w:val="20"/>
        </w:rPr>
      </w:pPr>
    </w:p>
    <w:p w14:paraId="2AC1A48C" w14:textId="77777777" w:rsidR="00A743DD" w:rsidRDefault="00A743DD" w:rsidP="00EC7D22">
      <w:pPr>
        <w:spacing w:after="0"/>
        <w:jc w:val="both"/>
        <w:rPr>
          <w:rFonts w:cs="Calibri"/>
          <w:sz w:val="20"/>
          <w:szCs w:val="20"/>
        </w:rPr>
      </w:pPr>
    </w:p>
    <w:p w14:paraId="5B08463F" w14:textId="77777777" w:rsidR="00A743DD" w:rsidRDefault="00A743DD" w:rsidP="00EC7D22">
      <w:pPr>
        <w:spacing w:after="0"/>
        <w:jc w:val="both"/>
        <w:rPr>
          <w:rFonts w:cs="Calibri"/>
          <w:sz w:val="20"/>
          <w:szCs w:val="20"/>
        </w:rPr>
      </w:pPr>
    </w:p>
    <w:p w14:paraId="0BAA8682" w14:textId="38D0DCB1" w:rsidR="00501DD1" w:rsidRDefault="00501DD1" w:rsidP="00EC7D22">
      <w:pPr>
        <w:spacing w:after="0"/>
        <w:jc w:val="both"/>
        <w:rPr>
          <w:rFonts w:cs="Calibri"/>
          <w:sz w:val="20"/>
          <w:szCs w:val="20"/>
        </w:rPr>
      </w:pPr>
    </w:p>
    <w:p w14:paraId="56345FF4" w14:textId="2B2C4B2A" w:rsidR="007745EB" w:rsidRDefault="00C87FDA" w:rsidP="00EC7D22">
      <w:pPr>
        <w:rPr>
          <w:rFonts w:eastAsia="Times New Roman" w:cs="Calibri"/>
          <w:b/>
          <w:sz w:val="20"/>
          <w:szCs w:val="20"/>
          <w:u w:val="single"/>
          <w:lang w:eastAsia="es-ES"/>
        </w:rPr>
      </w:pPr>
      <w:r w:rsidRPr="00694CE6">
        <w:rPr>
          <w:rFonts w:eastAsia="Times New Roman" w:cs="Calibri"/>
          <w:b/>
          <w:sz w:val="20"/>
          <w:szCs w:val="20"/>
          <w:u w:val="single"/>
          <w:lang w:eastAsia="es-ES"/>
        </w:rPr>
        <w:lastRenderedPageBreak/>
        <w:t>Construcciones en proceso en Bienes de Dominio Público.</w:t>
      </w:r>
    </w:p>
    <w:tbl>
      <w:tblPr>
        <w:tblW w:w="7915" w:type="dxa"/>
        <w:tblInd w:w="-5" w:type="dxa"/>
        <w:tblCellMar>
          <w:left w:w="70" w:type="dxa"/>
          <w:right w:w="70" w:type="dxa"/>
        </w:tblCellMar>
        <w:tblLook w:val="04A0" w:firstRow="1" w:lastRow="0" w:firstColumn="1" w:lastColumn="0" w:noHBand="0" w:noVBand="1"/>
      </w:tblPr>
      <w:tblGrid>
        <w:gridCol w:w="1200"/>
        <w:gridCol w:w="1200"/>
        <w:gridCol w:w="2845"/>
        <w:gridCol w:w="1470"/>
        <w:gridCol w:w="1200"/>
      </w:tblGrid>
      <w:tr w:rsidR="00797579" w:rsidRPr="00797579" w14:paraId="2609B037" w14:textId="77777777" w:rsidTr="00797579">
        <w:trPr>
          <w:trHeight w:val="315"/>
        </w:trPr>
        <w:tc>
          <w:tcPr>
            <w:tcW w:w="1200" w:type="dxa"/>
            <w:tcBorders>
              <w:top w:val="single" w:sz="4" w:space="0" w:color="auto"/>
              <w:left w:val="single" w:sz="4" w:space="0" w:color="auto"/>
              <w:bottom w:val="single" w:sz="8" w:space="0" w:color="auto"/>
              <w:right w:val="nil"/>
            </w:tcBorders>
            <w:shd w:val="clear" w:color="000000" w:fill="A90025"/>
            <w:vAlign w:val="center"/>
            <w:hideMark/>
          </w:tcPr>
          <w:p w14:paraId="0C1CAC91" w14:textId="77777777" w:rsidR="00797579" w:rsidRPr="00797579" w:rsidRDefault="00797579" w:rsidP="00EC7D22">
            <w:pPr>
              <w:suppressAutoHyphens w:val="0"/>
              <w:overflowPunct/>
              <w:spacing w:after="0" w:line="240" w:lineRule="auto"/>
              <w:jc w:val="center"/>
              <w:rPr>
                <w:rFonts w:eastAsia="Times New Roman" w:cs="Calibri"/>
                <w:b/>
                <w:bCs/>
                <w:color w:val="FFFFFF"/>
                <w:sz w:val="16"/>
                <w:szCs w:val="16"/>
                <w:lang w:eastAsia="es-MX"/>
              </w:rPr>
            </w:pPr>
            <w:r w:rsidRPr="00797579">
              <w:rPr>
                <w:rFonts w:eastAsia="Times New Roman" w:cs="Calibri"/>
                <w:b/>
                <w:bCs/>
                <w:color w:val="FFFFFF"/>
                <w:sz w:val="16"/>
                <w:szCs w:val="16"/>
                <w:lang w:eastAsia="es-MX"/>
              </w:rPr>
              <w:t> </w:t>
            </w:r>
          </w:p>
        </w:tc>
        <w:tc>
          <w:tcPr>
            <w:tcW w:w="1200" w:type="dxa"/>
            <w:tcBorders>
              <w:top w:val="single" w:sz="4" w:space="0" w:color="auto"/>
              <w:left w:val="single" w:sz="4" w:space="0" w:color="auto"/>
              <w:bottom w:val="single" w:sz="4" w:space="0" w:color="auto"/>
              <w:right w:val="single" w:sz="4" w:space="0" w:color="auto"/>
            </w:tcBorders>
            <w:shd w:val="clear" w:color="000000" w:fill="A90025"/>
            <w:vAlign w:val="center"/>
            <w:hideMark/>
          </w:tcPr>
          <w:p w14:paraId="4314F3D1" w14:textId="77777777" w:rsidR="00797579" w:rsidRPr="00797579" w:rsidRDefault="00797579" w:rsidP="00EC7D22">
            <w:pPr>
              <w:suppressAutoHyphens w:val="0"/>
              <w:overflowPunct/>
              <w:spacing w:after="0" w:line="240" w:lineRule="auto"/>
              <w:jc w:val="center"/>
              <w:rPr>
                <w:rFonts w:eastAsia="Times New Roman" w:cs="Calibri"/>
                <w:b/>
                <w:bCs/>
                <w:color w:val="FFFFFF"/>
                <w:sz w:val="16"/>
                <w:szCs w:val="16"/>
                <w:lang w:eastAsia="es-MX"/>
              </w:rPr>
            </w:pPr>
            <w:r w:rsidRPr="00797579">
              <w:rPr>
                <w:rFonts w:eastAsia="Times New Roman" w:cs="Calibri"/>
                <w:b/>
                <w:bCs/>
                <w:color w:val="FFFFFF"/>
                <w:sz w:val="16"/>
                <w:szCs w:val="16"/>
                <w:lang w:eastAsia="es-MX"/>
              </w:rPr>
              <w:t>No. DE OBRAS</w:t>
            </w:r>
          </w:p>
        </w:tc>
        <w:tc>
          <w:tcPr>
            <w:tcW w:w="2845" w:type="dxa"/>
            <w:tcBorders>
              <w:top w:val="single" w:sz="4" w:space="0" w:color="auto"/>
              <w:left w:val="nil"/>
              <w:bottom w:val="single" w:sz="4" w:space="0" w:color="auto"/>
              <w:right w:val="single" w:sz="4" w:space="0" w:color="auto"/>
            </w:tcBorders>
            <w:shd w:val="clear" w:color="000000" w:fill="A90025"/>
            <w:vAlign w:val="center"/>
            <w:hideMark/>
          </w:tcPr>
          <w:p w14:paraId="15DA7B29" w14:textId="77777777" w:rsidR="00797579" w:rsidRPr="00797579" w:rsidRDefault="00797579" w:rsidP="00EC7D22">
            <w:pPr>
              <w:suppressAutoHyphens w:val="0"/>
              <w:overflowPunct/>
              <w:spacing w:after="0" w:line="240" w:lineRule="auto"/>
              <w:jc w:val="center"/>
              <w:rPr>
                <w:rFonts w:eastAsia="Times New Roman" w:cs="Calibri"/>
                <w:b/>
                <w:bCs/>
                <w:color w:val="FFFFFF"/>
                <w:sz w:val="16"/>
                <w:szCs w:val="16"/>
                <w:lang w:eastAsia="es-MX"/>
              </w:rPr>
            </w:pPr>
            <w:r w:rsidRPr="00797579">
              <w:rPr>
                <w:rFonts w:eastAsia="Times New Roman" w:cs="Calibri"/>
                <w:b/>
                <w:bCs/>
                <w:color w:val="FFFFFF"/>
                <w:sz w:val="16"/>
                <w:szCs w:val="16"/>
                <w:lang w:eastAsia="es-MX"/>
              </w:rPr>
              <w:t>DEPENDENCIAS</w:t>
            </w:r>
          </w:p>
        </w:tc>
        <w:tc>
          <w:tcPr>
            <w:tcW w:w="1470" w:type="dxa"/>
            <w:tcBorders>
              <w:top w:val="single" w:sz="4" w:space="0" w:color="auto"/>
              <w:left w:val="nil"/>
              <w:bottom w:val="single" w:sz="4" w:space="0" w:color="auto"/>
              <w:right w:val="single" w:sz="4" w:space="0" w:color="auto"/>
            </w:tcBorders>
            <w:shd w:val="clear" w:color="000000" w:fill="A90025"/>
            <w:vAlign w:val="center"/>
            <w:hideMark/>
          </w:tcPr>
          <w:p w14:paraId="79B38C63" w14:textId="77777777" w:rsidR="00797579" w:rsidRPr="00797579" w:rsidRDefault="00797579" w:rsidP="00EC7D22">
            <w:pPr>
              <w:suppressAutoHyphens w:val="0"/>
              <w:overflowPunct/>
              <w:spacing w:after="0" w:line="240" w:lineRule="auto"/>
              <w:jc w:val="center"/>
              <w:rPr>
                <w:rFonts w:eastAsia="Times New Roman" w:cs="Calibri"/>
                <w:b/>
                <w:bCs/>
                <w:color w:val="FFFFFF"/>
                <w:sz w:val="16"/>
                <w:szCs w:val="16"/>
                <w:lang w:eastAsia="es-MX"/>
              </w:rPr>
            </w:pPr>
            <w:r w:rsidRPr="00797579">
              <w:rPr>
                <w:rFonts w:eastAsia="Times New Roman" w:cs="Calibri"/>
                <w:b/>
                <w:bCs/>
                <w:color w:val="FFFFFF"/>
                <w:sz w:val="16"/>
                <w:szCs w:val="16"/>
                <w:lang w:eastAsia="es-MX"/>
              </w:rPr>
              <w:t xml:space="preserve">IMPORTE </w:t>
            </w:r>
          </w:p>
        </w:tc>
        <w:tc>
          <w:tcPr>
            <w:tcW w:w="1200" w:type="dxa"/>
            <w:tcBorders>
              <w:top w:val="single" w:sz="4" w:space="0" w:color="auto"/>
              <w:left w:val="nil"/>
              <w:bottom w:val="single" w:sz="8" w:space="0" w:color="auto"/>
              <w:right w:val="single" w:sz="4" w:space="0" w:color="auto"/>
            </w:tcBorders>
            <w:shd w:val="clear" w:color="000000" w:fill="A90025"/>
            <w:vAlign w:val="center"/>
            <w:hideMark/>
          </w:tcPr>
          <w:p w14:paraId="781DB084" w14:textId="77777777" w:rsidR="00797579" w:rsidRPr="00797579" w:rsidRDefault="00797579" w:rsidP="00EC7D22">
            <w:pPr>
              <w:suppressAutoHyphens w:val="0"/>
              <w:overflowPunct/>
              <w:spacing w:after="0" w:line="240" w:lineRule="auto"/>
              <w:jc w:val="center"/>
              <w:rPr>
                <w:rFonts w:eastAsia="Times New Roman" w:cs="Calibri"/>
                <w:b/>
                <w:bCs/>
                <w:color w:val="FFFFFF"/>
                <w:sz w:val="16"/>
                <w:szCs w:val="16"/>
                <w:lang w:eastAsia="es-MX"/>
              </w:rPr>
            </w:pPr>
            <w:r w:rsidRPr="00797579">
              <w:rPr>
                <w:rFonts w:eastAsia="Times New Roman" w:cs="Calibri"/>
                <w:b/>
                <w:bCs/>
                <w:color w:val="FFFFFF"/>
                <w:sz w:val="16"/>
                <w:szCs w:val="16"/>
                <w:lang w:eastAsia="es-MX"/>
              </w:rPr>
              <w:t>TOTAL</w:t>
            </w:r>
          </w:p>
        </w:tc>
      </w:tr>
      <w:tr w:rsidR="00797579" w:rsidRPr="00797579" w14:paraId="26FD36B0" w14:textId="77777777" w:rsidTr="00797579">
        <w:trPr>
          <w:trHeight w:val="360"/>
        </w:trPr>
        <w:tc>
          <w:tcPr>
            <w:tcW w:w="1200" w:type="dxa"/>
            <w:tcBorders>
              <w:top w:val="nil"/>
              <w:left w:val="single" w:sz="4" w:space="0" w:color="auto"/>
              <w:bottom w:val="nil"/>
              <w:right w:val="nil"/>
            </w:tcBorders>
            <w:shd w:val="clear" w:color="auto" w:fill="auto"/>
            <w:vAlign w:val="bottom"/>
            <w:hideMark/>
          </w:tcPr>
          <w:p w14:paraId="5CB9F5FC" w14:textId="77777777" w:rsidR="00797579" w:rsidRPr="00797579" w:rsidRDefault="00797579" w:rsidP="00EC7D22">
            <w:pPr>
              <w:suppressAutoHyphens w:val="0"/>
              <w:overflowPunct/>
              <w:spacing w:after="0" w:line="240" w:lineRule="auto"/>
              <w:jc w:val="right"/>
              <w:rPr>
                <w:rFonts w:eastAsia="Times New Roman" w:cs="Calibri"/>
                <w:color w:val="000000"/>
                <w:sz w:val="14"/>
                <w:szCs w:val="14"/>
                <w:lang w:eastAsia="es-MX"/>
              </w:rPr>
            </w:pPr>
            <w:r w:rsidRPr="00797579">
              <w:rPr>
                <w:rFonts w:eastAsia="Times New Roman" w:cs="Calibri"/>
                <w:color w:val="000000"/>
                <w:sz w:val="14"/>
                <w:szCs w:val="14"/>
                <w:lang w:eastAsia="es-MX"/>
              </w:rPr>
              <w:t>1235</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51EB3BD" w14:textId="77777777" w:rsidR="00797579" w:rsidRPr="00797579" w:rsidRDefault="00797579" w:rsidP="00EC7D22">
            <w:pPr>
              <w:suppressAutoHyphens w:val="0"/>
              <w:overflowPunct/>
              <w:spacing w:after="0" w:line="240" w:lineRule="auto"/>
              <w:jc w:val="center"/>
              <w:rPr>
                <w:rFonts w:eastAsia="Times New Roman" w:cs="Calibri"/>
                <w:color w:val="000000"/>
                <w:sz w:val="14"/>
                <w:szCs w:val="14"/>
                <w:lang w:eastAsia="es-MX"/>
              </w:rPr>
            </w:pPr>
            <w:r w:rsidRPr="00797579">
              <w:rPr>
                <w:rFonts w:eastAsia="Times New Roman" w:cs="Calibri"/>
                <w:color w:val="000000"/>
                <w:sz w:val="14"/>
                <w:szCs w:val="14"/>
                <w:lang w:eastAsia="es-MX"/>
              </w:rPr>
              <w:t>575</w:t>
            </w:r>
          </w:p>
        </w:tc>
        <w:tc>
          <w:tcPr>
            <w:tcW w:w="2845" w:type="dxa"/>
            <w:tcBorders>
              <w:top w:val="nil"/>
              <w:left w:val="nil"/>
              <w:bottom w:val="single" w:sz="4" w:space="0" w:color="auto"/>
              <w:right w:val="single" w:sz="4" w:space="0" w:color="auto"/>
            </w:tcBorders>
            <w:shd w:val="clear" w:color="auto" w:fill="auto"/>
            <w:vAlign w:val="center"/>
            <w:hideMark/>
          </w:tcPr>
          <w:p w14:paraId="65E248C7" w14:textId="77777777" w:rsidR="00797579" w:rsidRPr="00797579" w:rsidRDefault="00797579" w:rsidP="00EC7D22">
            <w:pPr>
              <w:suppressAutoHyphens w:val="0"/>
              <w:overflowPunct/>
              <w:spacing w:after="0" w:line="240" w:lineRule="auto"/>
              <w:jc w:val="center"/>
              <w:rPr>
                <w:rFonts w:eastAsia="Times New Roman" w:cs="Calibri"/>
                <w:color w:val="000000"/>
                <w:sz w:val="14"/>
                <w:szCs w:val="14"/>
                <w:lang w:eastAsia="es-MX"/>
              </w:rPr>
            </w:pPr>
            <w:r w:rsidRPr="00797579">
              <w:rPr>
                <w:rFonts w:eastAsia="Times New Roman" w:cs="Calibri"/>
                <w:color w:val="000000"/>
                <w:sz w:val="14"/>
                <w:szCs w:val="14"/>
                <w:lang w:eastAsia="es-MX"/>
              </w:rPr>
              <w:t>Secretaría de Obras Públicas</w:t>
            </w:r>
          </w:p>
        </w:tc>
        <w:tc>
          <w:tcPr>
            <w:tcW w:w="1470" w:type="dxa"/>
            <w:tcBorders>
              <w:top w:val="nil"/>
              <w:left w:val="nil"/>
              <w:bottom w:val="single" w:sz="4" w:space="0" w:color="auto"/>
              <w:right w:val="single" w:sz="4" w:space="0" w:color="auto"/>
            </w:tcBorders>
            <w:shd w:val="clear" w:color="auto" w:fill="auto"/>
            <w:vAlign w:val="center"/>
            <w:hideMark/>
          </w:tcPr>
          <w:p w14:paraId="350EE272" w14:textId="77777777" w:rsidR="00797579" w:rsidRPr="00797579" w:rsidRDefault="00797579" w:rsidP="00EC7D22">
            <w:pPr>
              <w:suppressAutoHyphens w:val="0"/>
              <w:overflowPunct/>
              <w:spacing w:after="0" w:line="240" w:lineRule="auto"/>
              <w:jc w:val="center"/>
              <w:rPr>
                <w:rFonts w:eastAsia="Times New Roman" w:cs="Calibri"/>
                <w:color w:val="000000"/>
                <w:sz w:val="14"/>
                <w:szCs w:val="14"/>
                <w:lang w:eastAsia="es-MX"/>
              </w:rPr>
            </w:pPr>
            <w:r w:rsidRPr="00797579">
              <w:rPr>
                <w:rFonts w:eastAsia="Times New Roman" w:cs="Calibri"/>
                <w:color w:val="000000"/>
                <w:sz w:val="14"/>
                <w:szCs w:val="14"/>
                <w:lang w:eastAsia="es-MX"/>
              </w:rPr>
              <w:t>2,961,939,948</w:t>
            </w:r>
          </w:p>
        </w:tc>
        <w:tc>
          <w:tcPr>
            <w:tcW w:w="1200" w:type="dxa"/>
            <w:tcBorders>
              <w:top w:val="nil"/>
              <w:left w:val="nil"/>
              <w:bottom w:val="nil"/>
              <w:right w:val="single" w:sz="4" w:space="0" w:color="auto"/>
            </w:tcBorders>
            <w:shd w:val="clear" w:color="auto" w:fill="auto"/>
            <w:vAlign w:val="bottom"/>
            <w:hideMark/>
          </w:tcPr>
          <w:p w14:paraId="1711F553" w14:textId="77777777" w:rsidR="00797579" w:rsidRPr="00797579" w:rsidRDefault="00797579" w:rsidP="00EC7D22">
            <w:pPr>
              <w:suppressAutoHyphens w:val="0"/>
              <w:overflowPunct/>
              <w:spacing w:after="0" w:line="240" w:lineRule="auto"/>
              <w:jc w:val="right"/>
              <w:rPr>
                <w:rFonts w:eastAsia="Times New Roman" w:cs="Calibri"/>
                <w:color w:val="000000"/>
                <w:sz w:val="14"/>
                <w:szCs w:val="14"/>
                <w:lang w:eastAsia="es-MX"/>
              </w:rPr>
            </w:pPr>
            <w:r w:rsidRPr="00797579">
              <w:rPr>
                <w:rFonts w:eastAsia="Times New Roman" w:cs="Calibri"/>
                <w:color w:val="000000"/>
                <w:sz w:val="14"/>
                <w:szCs w:val="14"/>
                <w:lang w:eastAsia="es-MX"/>
              </w:rPr>
              <w:t>3,210,696,898</w:t>
            </w:r>
          </w:p>
        </w:tc>
      </w:tr>
      <w:tr w:rsidR="00797579" w:rsidRPr="00797579" w14:paraId="5A7C5131" w14:textId="77777777" w:rsidTr="00797579">
        <w:trPr>
          <w:trHeight w:val="300"/>
        </w:trPr>
        <w:tc>
          <w:tcPr>
            <w:tcW w:w="1200" w:type="dxa"/>
            <w:tcBorders>
              <w:top w:val="nil"/>
              <w:left w:val="single" w:sz="4" w:space="0" w:color="auto"/>
              <w:bottom w:val="single" w:sz="4" w:space="0" w:color="auto"/>
              <w:right w:val="nil"/>
            </w:tcBorders>
            <w:shd w:val="clear" w:color="auto" w:fill="auto"/>
            <w:vAlign w:val="center"/>
            <w:hideMark/>
          </w:tcPr>
          <w:p w14:paraId="5B27C6FE" w14:textId="77777777" w:rsidR="00797579" w:rsidRPr="00797579" w:rsidRDefault="00797579" w:rsidP="00EC7D22">
            <w:pPr>
              <w:suppressAutoHyphens w:val="0"/>
              <w:overflowPunct/>
              <w:spacing w:after="0" w:line="240" w:lineRule="auto"/>
              <w:rPr>
                <w:rFonts w:eastAsia="Times New Roman" w:cs="Calibri"/>
                <w:color w:val="000000"/>
                <w:sz w:val="14"/>
                <w:szCs w:val="14"/>
                <w:lang w:eastAsia="es-MX"/>
              </w:rPr>
            </w:pPr>
            <w:r w:rsidRPr="00797579">
              <w:rPr>
                <w:rFonts w:eastAsia="Times New Roman" w:cs="Calibri"/>
                <w:color w:val="000000"/>
                <w:sz w:val="14"/>
                <w:szCs w:val="14"/>
                <w:lang w:eastAsia="es-MX"/>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009DBF0" w14:textId="77777777" w:rsidR="00797579" w:rsidRPr="00797579" w:rsidRDefault="00797579" w:rsidP="00EC7D22">
            <w:pPr>
              <w:suppressAutoHyphens w:val="0"/>
              <w:overflowPunct/>
              <w:spacing w:after="0" w:line="240" w:lineRule="auto"/>
              <w:jc w:val="center"/>
              <w:rPr>
                <w:rFonts w:eastAsia="Times New Roman" w:cs="Calibri"/>
                <w:color w:val="000000"/>
                <w:sz w:val="14"/>
                <w:szCs w:val="14"/>
                <w:lang w:eastAsia="es-MX"/>
              </w:rPr>
            </w:pPr>
            <w:r w:rsidRPr="00797579">
              <w:rPr>
                <w:rFonts w:eastAsia="Times New Roman" w:cs="Calibri"/>
                <w:color w:val="000000"/>
                <w:sz w:val="14"/>
                <w:szCs w:val="14"/>
                <w:lang w:eastAsia="es-MX"/>
              </w:rPr>
              <w:t>155</w:t>
            </w:r>
          </w:p>
        </w:tc>
        <w:tc>
          <w:tcPr>
            <w:tcW w:w="2845" w:type="dxa"/>
            <w:tcBorders>
              <w:top w:val="nil"/>
              <w:left w:val="nil"/>
              <w:bottom w:val="single" w:sz="4" w:space="0" w:color="auto"/>
              <w:right w:val="single" w:sz="4" w:space="0" w:color="auto"/>
            </w:tcBorders>
            <w:shd w:val="clear" w:color="auto" w:fill="auto"/>
            <w:vAlign w:val="center"/>
            <w:hideMark/>
          </w:tcPr>
          <w:p w14:paraId="35473B9D" w14:textId="77777777" w:rsidR="00797579" w:rsidRPr="00797579" w:rsidRDefault="00797579" w:rsidP="00EC7D22">
            <w:pPr>
              <w:suppressAutoHyphens w:val="0"/>
              <w:overflowPunct/>
              <w:spacing w:after="0" w:line="240" w:lineRule="auto"/>
              <w:jc w:val="center"/>
              <w:rPr>
                <w:rFonts w:eastAsia="Times New Roman" w:cs="Calibri"/>
                <w:color w:val="000000"/>
                <w:sz w:val="14"/>
                <w:szCs w:val="14"/>
                <w:lang w:eastAsia="es-MX"/>
              </w:rPr>
            </w:pPr>
            <w:r w:rsidRPr="00797579">
              <w:rPr>
                <w:rFonts w:eastAsia="Times New Roman" w:cs="Calibri"/>
                <w:color w:val="000000"/>
                <w:sz w:val="14"/>
                <w:szCs w:val="14"/>
                <w:lang w:eastAsia="es-MX"/>
              </w:rPr>
              <w:t>Fideicomisos</w:t>
            </w:r>
          </w:p>
        </w:tc>
        <w:tc>
          <w:tcPr>
            <w:tcW w:w="1470" w:type="dxa"/>
            <w:tcBorders>
              <w:top w:val="nil"/>
              <w:left w:val="nil"/>
              <w:bottom w:val="single" w:sz="4" w:space="0" w:color="auto"/>
              <w:right w:val="single" w:sz="4" w:space="0" w:color="auto"/>
            </w:tcBorders>
            <w:shd w:val="clear" w:color="auto" w:fill="auto"/>
            <w:vAlign w:val="center"/>
            <w:hideMark/>
          </w:tcPr>
          <w:p w14:paraId="08C6BD12" w14:textId="77777777" w:rsidR="00797579" w:rsidRPr="00797579" w:rsidRDefault="00797579" w:rsidP="00EC7D22">
            <w:pPr>
              <w:suppressAutoHyphens w:val="0"/>
              <w:overflowPunct/>
              <w:spacing w:after="0" w:line="240" w:lineRule="auto"/>
              <w:jc w:val="center"/>
              <w:rPr>
                <w:rFonts w:eastAsia="Times New Roman" w:cs="Calibri"/>
                <w:color w:val="000000"/>
                <w:sz w:val="14"/>
                <w:szCs w:val="14"/>
                <w:lang w:eastAsia="es-MX"/>
              </w:rPr>
            </w:pPr>
            <w:r w:rsidRPr="00797579">
              <w:rPr>
                <w:rFonts w:eastAsia="Times New Roman" w:cs="Calibri"/>
                <w:color w:val="000000"/>
                <w:sz w:val="14"/>
                <w:szCs w:val="14"/>
                <w:lang w:eastAsia="es-MX"/>
              </w:rPr>
              <w:t>248,756,950</w:t>
            </w:r>
          </w:p>
        </w:tc>
        <w:tc>
          <w:tcPr>
            <w:tcW w:w="1200" w:type="dxa"/>
            <w:tcBorders>
              <w:top w:val="nil"/>
              <w:left w:val="nil"/>
              <w:bottom w:val="single" w:sz="4" w:space="0" w:color="auto"/>
              <w:right w:val="single" w:sz="4" w:space="0" w:color="auto"/>
            </w:tcBorders>
            <w:shd w:val="clear" w:color="auto" w:fill="auto"/>
            <w:vAlign w:val="center"/>
            <w:hideMark/>
          </w:tcPr>
          <w:p w14:paraId="4B501682" w14:textId="77777777" w:rsidR="00797579" w:rsidRPr="00797579" w:rsidRDefault="00797579" w:rsidP="00EC7D22">
            <w:pPr>
              <w:suppressAutoHyphens w:val="0"/>
              <w:overflowPunct/>
              <w:spacing w:after="0" w:line="240" w:lineRule="auto"/>
              <w:rPr>
                <w:rFonts w:eastAsia="Times New Roman" w:cs="Calibri"/>
                <w:color w:val="000000"/>
                <w:sz w:val="14"/>
                <w:szCs w:val="14"/>
                <w:lang w:eastAsia="es-MX"/>
              </w:rPr>
            </w:pPr>
            <w:r w:rsidRPr="00797579">
              <w:rPr>
                <w:rFonts w:eastAsia="Times New Roman" w:cs="Calibri"/>
                <w:color w:val="000000"/>
                <w:sz w:val="14"/>
                <w:szCs w:val="14"/>
                <w:lang w:eastAsia="es-MX"/>
              </w:rPr>
              <w:t> </w:t>
            </w:r>
          </w:p>
        </w:tc>
      </w:tr>
    </w:tbl>
    <w:p w14:paraId="6B775D28" w14:textId="77777777" w:rsidR="006E09CA" w:rsidRDefault="006E09CA" w:rsidP="00EC7D22">
      <w:pPr>
        <w:pStyle w:val="ROMANOS"/>
        <w:tabs>
          <w:tab w:val="clear" w:pos="720"/>
          <w:tab w:val="left" w:pos="426"/>
        </w:tabs>
        <w:spacing w:after="0" w:line="240" w:lineRule="exact"/>
        <w:ind w:left="0" w:firstLine="0"/>
        <w:rPr>
          <w:rFonts w:ascii="Calibri" w:hAnsi="Calibri" w:cs="Calibri"/>
          <w:b/>
          <w:sz w:val="20"/>
          <w:u w:val="single"/>
          <w:lang w:val="es-MX"/>
        </w:rPr>
      </w:pPr>
    </w:p>
    <w:p w14:paraId="012703DA" w14:textId="367CC3FC" w:rsidR="007745EB" w:rsidRPr="00694CE6" w:rsidRDefault="00C87FDA" w:rsidP="00EC7D22">
      <w:pPr>
        <w:pStyle w:val="ROMANOS"/>
        <w:tabs>
          <w:tab w:val="clear" w:pos="720"/>
          <w:tab w:val="left" w:pos="426"/>
        </w:tabs>
        <w:spacing w:after="0" w:line="240" w:lineRule="exact"/>
        <w:ind w:left="0" w:firstLine="0"/>
        <w:rPr>
          <w:rFonts w:ascii="Calibri" w:hAnsi="Calibri" w:cs="Calibri"/>
          <w:b/>
          <w:sz w:val="20"/>
          <w:u w:val="single"/>
          <w:lang w:val="es-MX"/>
        </w:rPr>
      </w:pPr>
      <w:r w:rsidRPr="00694CE6">
        <w:rPr>
          <w:rFonts w:ascii="Calibri" w:hAnsi="Calibri" w:cs="Calibri"/>
          <w:b/>
          <w:sz w:val="20"/>
          <w:u w:val="single"/>
          <w:lang w:val="es-MX"/>
        </w:rPr>
        <w:t>Construcciones en Proceso en Bienes Propios</w:t>
      </w:r>
      <w:r w:rsidR="00694CE6">
        <w:rPr>
          <w:rFonts w:ascii="Calibri" w:hAnsi="Calibri" w:cs="Calibri"/>
          <w:b/>
          <w:sz w:val="20"/>
          <w:u w:val="single"/>
          <w:lang w:val="es-MX"/>
        </w:rPr>
        <w:t>.</w:t>
      </w:r>
      <w:r w:rsidRPr="00694CE6">
        <w:rPr>
          <w:rFonts w:ascii="Calibri" w:hAnsi="Calibri" w:cs="Calibri"/>
          <w:b/>
          <w:sz w:val="20"/>
          <w:u w:val="single"/>
          <w:lang w:val="es-MX"/>
        </w:rPr>
        <w:t xml:space="preserve"> </w:t>
      </w:r>
    </w:p>
    <w:p w14:paraId="136D626C" w14:textId="66657285" w:rsidR="004B552A" w:rsidRDefault="004B552A" w:rsidP="00EC7D22">
      <w:pPr>
        <w:pStyle w:val="ROMANOS"/>
        <w:tabs>
          <w:tab w:val="clear" w:pos="720"/>
          <w:tab w:val="left" w:pos="426"/>
        </w:tabs>
        <w:spacing w:after="0" w:line="240" w:lineRule="exact"/>
        <w:ind w:left="0" w:firstLine="0"/>
        <w:rPr>
          <w:rFonts w:ascii="Calibri" w:hAnsi="Calibri" w:cs="Calibri"/>
          <w:b/>
          <w:sz w:val="20"/>
          <w:lang w:val="es-MX"/>
        </w:rPr>
      </w:pPr>
    </w:p>
    <w:tbl>
      <w:tblPr>
        <w:tblW w:w="7923" w:type="dxa"/>
        <w:tblInd w:w="-5" w:type="dxa"/>
        <w:tblCellMar>
          <w:left w:w="70" w:type="dxa"/>
          <w:right w:w="70" w:type="dxa"/>
        </w:tblCellMar>
        <w:tblLook w:val="04A0" w:firstRow="1" w:lastRow="0" w:firstColumn="1" w:lastColumn="0" w:noHBand="0" w:noVBand="1"/>
      </w:tblPr>
      <w:tblGrid>
        <w:gridCol w:w="1276"/>
        <w:gridCol w:w="1429"/>
        <w:gridCol w:w="2585"/>
        <w:gridCol w:w="1374"/>
        <w:gridCol w:w="1259"/>
      </w:tblGrid>
      <w:tr w:rsidR="004B552A" w:rsidRPr="004B552A" w14:paraId="00445755" w14:textId="77777777" w:rsidTr="00797579">
        <w:trPr>
          <w:trHeight w:val="354"/>
        </w:trPr>
        <w:tc>
          <w:tcPr>
            <w:tcW w:w="1276" w:type="dxa"/>
            <w:tcBorders>
              <w:top w:val="single" w:sz="4" w:space="0" w:color="auto"/>
              <w:left w:val="single" w:sz="4" w:space="0" w:color="auto"/>
              <w:bottom w:val="single" w:sz="4" w:space="0" w:color="auto"/>
              <w:right w:val="single" w:sz="4" w:space="0" w:color="auto"/>
            </w:tcBorders>
            <w:shd w:val="clear" w:color="000000" w:fill="A90025"/>
            <w:vAlign w:val="center"/>
            <w:hideMark/>
          </w:tcPr>
          <w:p w14:paraId="76AF4A76" w14:textId="77777777" w:rsidR="004B552A" w:rsidRPr="004B552A" w:rsidRDefault="004B552A" w:rsidP="00EC7D22">
            <w:pPr>
              <w:suppressAutoHyphens w:val="0"/>
              <w:overflowPunct/>
              <w:spacing w:after="0" w:line="240" w:lineRule="auto"/>
              <w:jc w:val="center"/>
              <w:rPr>
                <w:rFonts w:eastAsia="Times New Roman" w:cs="Calibri"/>
                <w:b/>
                <w:bCs/>
                <w:color w:val="FFFFFF"/>
                <w:sz w:val="16"/>
                <w:szCs w:val="16"/>
                <w:lang w:eastAsia="es-MX"/>
              </w:rPr>
            </w:pPr>
            <w:r w:rsidRPr="004B552A">
              <w:rPr>
                <w:rFonts w:eastAsia="Times New Roman" w:cs="Calibri"/>
                <w:b/>
                <w:bCs/>
                <w:color w:val="FFFFFF"/>
                <w:sz w:val="16"/>
                <w:szCs w:val="16"/>
                <w:lang w:eastAsia="es-MX"/>
              </w:rPr>
              <w:t> </w:t>
            </w:r>
          </w:p>
        </w:tc>
        <w:tc>
          <w:tcPr>
            <w:tcW w:w="1429" w:type="dxa"/>
            <w:tcBorders>
              <w:top w:val="single" w:sz="4" w:space="0" w:color="auto"/>
              <w:left w:val="nil"/>
              <w:bottom w:val="single" w:sz="4" w:space="0" w:color="auto"/>
              <w:right w:val="single" w:sz="4" w:space="0" w:color="auto"/>
            </w:tcBorders>
            <w:shd w:val="clear" w:color="000000" w:fill="A90025"/>
            <w:vAlign w:val="center"/>
            <w:hideMark/>
          </w:tcPr>
          <w:p w14:paraId="3DC87532" w14:textId="77777777" w:rsidR="004B552A" w:rsidRPr="004B552A" w:rsidRDefault="004B552A" w:rsidP="00EC7D22">
            <w:pPr>
              <w:suppressAutoHyphens w:val="0"/>
              <w:overflowPunct/>
              <w:spacing w:after="0" w:line="240" w:lineRule="auto"/>
              <w:jc w:val="center"/>
              <w:rPr>
                <w:rFonts w:eastAsia="Times New Roman" w:cs="Calibri"/>
                <w:b/>
                <w:bCs/>
                <w:color w:val="FFFFFF"/>
                <w:sz w:val="16"/>
                <w:szCs w:val="16"/>
                <w:lang w:eastAsia="es-MX"/>
              </w:rPr>
            </w:pPr>
            <w:r w:rsidRPr="004B552A">
              <w:rPr>
                <w:rFonts w:eastAsia="Times New Roman" w:cs="Calibri"/>
                <w:b/>
                <w:bCs/>
                <w:color w:val="FFFFFF"/>
                <w:sz w:val="16"/>
                <w:szCs w:val="16"/>
                <w:lang w:eastAsia="es-MX"/>
              </w:rPr>
              <w:t>No. DE OBRAS</w:t>
            </w:r>
          </w:p>
        </w:tc>
        <w:tc>
          <w:tcPr>
            <w:tcW w:w="2585" w:type="dxa"/>
            <w:tcBorders>
              <w:top w:val="single" w:sz="4" w:space="0" w:color="auto"/>
              <w:left w:val="nil"/>
              <w:bottom w:val="single" w:sz="4" w:space="0" w:color="auto"/>
              <w:right w:val="single" w:sz="4" w:space="0" w:color="auto"/>
            </w:tcBorders>
            <w:shd w:val="clear" w:color="000000" w:fill="A90025"/>
            <w:vAlign w:val="center"/>
            <w:hideMark/>
          </w:tcPr>
          <w:p w14:paraId="4E44E165" w14:textId="77777777" w:rsidR="004B552A" w:rsidRPr="004B552A" w:rsidRDefault="004B552A" w:rsidP="00EC7D22">
            <w:pPr>
              <w:suppressAutoHyphens w:val="0"/>
              <w:overflowPunct/>
              <w:spacing w:after="0" w:line="240" w:lineRule="auto"/>
              <w:jc w:val="center"/>
              <w:rPr>
                <w:rFonts w:eastAsia="Times New Roman" w:cs="Calibri"/>
                <w:b/>
                <w:bCs/>
                <w:color w:val="FFFFFF"/>
                <w:sz w:val="16"/>
                <w:szCs w:val="16"/>
                <w:lang w:eastAsia="es-MX"/>
              </w:rPr>
            </w:pPr>
            <w:r w:rsidRPr="004B552A">
              <w:rPr>
                <w:rFonts w:eastAsia="Times New Roman" w:cs="Calibri"/>
                <w:b/>
                <w:bCs/>
                <w:color w:val="FFFFFF"/>
                <w:sz w:val="16"/>
                <w:szCs w:val="16"/>
                <w:lang w:eastAsia="es-MX"/>
              </w:rPr>
              <w:t>DEPENDENCIAS</w:t>
            </w:r>
          </w:p>
        </w:tc>
        <w:tc>
          <w:tcPr>
            <w:tcW w:w="1374" w:type="dxa"/>
            <w:tcBorders>
              <w:top w:val="single" w:sz="4" w:space="0" w:color="auto"/>
              <w:left w:val="nil"/>
              <w:bottom w:val="single" w:sz="4" w:space="0" w:color="auto"/>
              <w:right w:val="single" w:sz="4" w:space="0" w:color="auto"/>
            </w:tcBorders>
            <w:shd w:val="clear" w:color="000000" w:fill="A90025"/>
            <w:vAlign w:val="center"/>
            <w:hideMark/>
          </w:tcPr>
          <w:p w14:paraId="4387BE8D" w14:textId="77777777" w:rsidR="004B552A" w:rsidRPr="004B552A" w:rsidRDefault="004B552A" w:rsidP="00EC7D22">
            <w:pPr>
              <w:suppressAutoHyphens w:val="0"/>
              <w:overflowPunct/>
              <w:spacing w:after="0" w:line="240" w:lineRule="auto"/>
              <w:jc w:val="center"/>
              <w:rPr>
                <w:rFonts w:eastAsia="Times New Roman" w:cs="Calibri"/>
                <w:b/>
                <w:bCs/>
                <w:color w:val="FFFFFF"/>
                <w:sz w:val="16"/>
                <w:szCs w:val="16"/>
                <w:lang w:eastAsia="es-MX"/>
              </w:rPr>
            </w:pPr>
            <w:r w:rsidRPr="004B552A">
              <w:rPr>
                <w:rFonts w:eastAsia="Times New Roman" w:cs="Calibri"/>
                <w:b/>
                <w:bCs/>
                <w:color w:val="FFFFFF"/>
                <w:sz w:val="16"/>
                <w:szCs w:val="16"/>
                <w:lang w:eastAsia="es-MX"/>
              </w:rPr>
              <w:t xml:space="preserve">IMPORTE </w:t>
            </w:r>
          </w:p>
        </w:tc>
        <w:tc>
          <w:tcPr>
            <w:tcW w:w="1259" w:type="dxa"/>
            <w:tcBorders>
              <w:top w:val="single" w:sz="4" w:space="0" w:color="auto"/>
              <w:left w:val="nil"/>
              <w:bottom w:val="single" w:sz="4" w:space="0" w:color="auto"/>
              <w:right w:val="single" w:sz="4" w:space="0" w:color="auto"/>
            </w:tcBorders>
            <w:shd w:val="clear" w:color="000000" w:fill="A90025"/>
            <w:vAlign w:val="center"/>
            <w:hideMark/>
          </w:tcPr>
          <w:p w14:paraId="49A5FF6A" w14:textId="77777777" w:rsidR="004B552A" w:rsidRPr="004B552A" w:rsidRDefault="004B552A" w:rsidP="00EC7D22">
            <w:pPr>
              <w:suppressAutoHyphens w:val="0"/>
              <w:overflowPunct/>
              <w:spacing w:after="0" w:line="240" w:lineRule="auto"/>
              <w:jc w:val="center"/>
              <w:rPr>
                <w:rFonts w:eastAsia="Times New Roman" w:cs="Calibri"/>
                <w:b/>
                <w:bCs/>
                <w:color w:val="FFFFFF"/>
                <w:sz w:val="16"/>
                <w:szCs w:val="16"/>
                <w:lang w:eastAsia="es-MX"/>
              </w:rPr>
            </w:pPr>
            <w:r w:rsidRPr="004B552A">
              <w:rPr>
                <w:rFonts w:eastAsia="Times New Roman" w:cs="Calibri"/>
                <w:b/>
                <w:bCs/>
                <w:color w:val="FFFFFF"/>
                <w:sz w:val="16"/>
                <w:szCs w:val="16"/>
                <w:lang w:eastAsia="es-MX"/>
              </w:rPr>
              <w:t>TOTAL</w:t>
            </w:r>
          </w:p>
        </w:tc>
      </w:tr>
      <w:tr w:rsidR="004B552A" w:rsidRPr="004B552A" w14:paraId="3CC57E57" w14:textId="77777777" w:rsidTr="00797579">
        <w:trPr>
          <w:trHeight w:val="427"/>
        </w:trPr>
        <w:tc>
          <w:tcPr>
            <w:tcW w:w="1276" w:type="dxa"/>
            <w:tcBorders>
              <w:top w:val="nil"/>
              <w:left w:val="single" w:sz="4" w:space="0" w:color="auto"/>
              <w:bottom w:val="nil"/>
              <w:right w:val="single" w:sz="4" w:space="0" w:color="auto"/>
            </w:tcBorders>
            <w:shd w:val="clear" w:color="auto" w:fill="auto"/>
            <w:vAlign w:val="center"/>
            <w:hideMark/>
          </w:tcPr>
          <w:p w14:paraId="58D718D7" w14:textId="77777777" w:rsidR="004B552A" w:rsidRPr="004B552A" w:rsidRDefault="004B552A" w:rsidP="00EC7D22">
            <w:pPr>
              <w:suppressAutoHyphens w:val="0"/>
              <w:overflowPunct/>
              <w:spacing w:after="0" w:line="240" w:lineRule="auto"/>
              <w:rPr>
                <w:rFonts w:eastAsia="Times New Roman" w:cs="Calibri"/>
                <w:color w:val="000000"/>
                <w:sz w:val="14"/>
                <w:szCs w:val="14"/>
                <w:lang w:eastAsia="es-MX"/>
              </w:rPr>
            </w:pPr>
            <w:r w:rsidRPr="004B552A">
              <w:rPr>
                <w:rFonts w:eastAsia="Times New Roman" w:cs="Calibri"/>
                <w:color w:val="000000"/>
                <w:sz w:val="14"/>
                <w:szCs w:val="14"/>
                <w:lang w:eastAsia="es-MX"/>
              </w:rPr>
              <w:t> </w:t>
            </w:r>
          </w:p>
        </w:tc>
        <w:tc>
          <w:tcPr>
            <w:tcW w:w="1429" w:type="dxa"/>
            <w:tcBorders>
              <w:top w:val="nil"/>
              <w:left w:val="nil"/>
              <w:bottom w:val="single" w:sz="4" w:space="0" w:color="auto"/>
              <w:right w:val="single" w:sz="4" w:space="0" w:color="auto"/>
            </w:tcBorders>
            <w:shd w:val="clear" w:color="auto" w:fill="auto"/>
            <w:vAlign w:val="center"/>
            <w:hideMark/>
          </w:tcPr>
          <w:p w14:paraId="4EE0DC74" w14:textId="77777777" w:rsidR="004B552A" w:rsidRPr="004B552A" w:rsidRDefault="004B552A" w:rsidP="00EC7D22">
            <w:pPr>
              <w:suppressAutoHyphens w:val="0"/>
              <w:overflowPunct/>
              <w:spacing w:after="0" w:line="240" w:lineRule="auto"/>
              <w:jc w:val="center"/>
              <w:rPr>
                <w:rFonts w:eastAsia="Times New Roman" w:cs="Calibri"/>
                <w:color w:val="000000"/>
                <w:sz w:val="14"/>
                <w:szCs w:val="14"/>
                <w:lang w:eastAsia="es-MX"/>
              </w:rPr>
            </w:pPr>
            <w:r w:rsidRPr="004B552A">
              <w:rPr>
                <w:rFonts w:eastAsia="Times New Roman" w:cs="Calibri"/>
                <w:color w:val="000000"/>
                <w:sz w:val="14"/>
                <w:szCs w:val="14"/>
                <w:lang w:eastAsia="es-MX"/>
              </w:rPr>
              <w:t>1024</w:t>
            </w:r>
          </w:p>
        </w:tc>
        <w:tc>
          <w:tcPr>
            <w:tcW w:w="2585" w:type="dxa"/>
            <w:tcBorders>
              <w:top w:val="nil"/>
              <w:left w:val="nil"/>
              <w:bottom w:val="single" w:sz="4" w:space="0" w:color="auto"/>
              <w:right w:val="single" w:sz="4" w:space="0" w:color="auto"/>
            </w:tcBorders>
            <w:shd w:val="clear" w:color="auto" w:fill="auto"/>
            <w:vAlign w:val="center"/>
            <w:hideMark/>
          </w:tcPr>
          <w:p w14:paraId="23762908" w14:textId="77777777" w:rsidR="004B552A" w:rsidRPr="004B552A" w:rsidRDefault="004B552A" w:rsidP="00EC7D22">
            <w:pPr>
              <w:suppressAutoHyphens w:val="0"/>
              <w:overflowPunct/>
              <w:spacing w:after="0" w:line="240" w:lineRule="auto"/>
              <w:jc w:val="center"/>
              <w:rPr>
                <w:rFonts w:eastAsia="Times New Roman" w:cs="Calibri"/>
                <w:color w:val="000000"/>
                <w:sz w:val="14"/>
                <w:szCs w:val="14"/>
                <w:lang w:eastAsia="es-MX"/>
              </w:rPr>
            </w:pPr>
            <w:r w:rsidRPr="004B552A">
              <w:rPr>
                <w:rFonts w:eastAsia="Times New Roman" w:cs="Calibri"/>
                <w:color w:val="000000"/>
                <w:sz w:val="14"/>
                <w:szCs w:val="14"/>
                <w:lang w:eastAsia="es-MX"/>
              </w:rPr>
              <w:t>Instituto Tamaulipeco de Infraestructura Física Educativa</w:t>
            </w:r>
          </w:p>
        </w:tc>
        <w:tc>
          <w:tcPr>
            <w:tcW w:w="1374" w:type="dxa"/>
            <w:tcBorders>
              <w:top w:val="nil"/>
              <w:left w:val="nil"/>
              <w:bottom w:val="single" w:sz="4" w:space="0" w:color="auto"/>
              <w:right w:val="single" w:sz="4" w:space="0" w:color="auto"/>
            </w:tcBorders>
            <w:shd w:val="clear" w:color="auto" w:fill="auto"/>
            <w:vAlign w:val="center"/>
            <w:hideMark/>
          </w:tcPr>
          <w:p w14:paraId="0710D80C" w14:textId="77777777" w:rsidR="004B552A" w:rsidRPr="004B552A" w:rsidRDefault="004B552A" w:rsidP="00EC7D22">
            <w:pPr>
              <w:suppressAutoHyphens w:val="0"/>
              <w:overflowPunct/>
              <w:spacing w:after="0" w:line="240" w:lineRule="auto"/>
              <w:jc w:val="center"/>
              <w:rPr>
                <w:rFonts w:eastAsia="Times New Roman" w:cs="Calibri"/>
                <w:color w:val="000000"/>
                <w:sz w:val="14"/>
                <w:szCs w:val="14"/>
                <w:lang w:eastAsia="es-MX"/>
              </w:rPr>
            </w:pPr>
            <w:r w:rsidRPr="004B552A">
              <w:rPr>
                <w:rFonts w:eastAsia="Times New Roman" w:cs="Calibri"/>
                <w:color w:val="000000"/>
                <w:sz w:val="14"/>
                <w:szCs w:val="14"/>
                <w:lang w:eastAsia="es-MX"/>
              </w:rPr>
              <w:t>1,190,884,407</w:t>
            </w:r>
          </w:p>
        </w:tc>
        <w:tc>
          <w:tcPr>
            <w:tcW w:w="1259" w:type="dxa"/>
            <w:tcBorders>
              <w:top w:val="nil"/>
              <w:left w:val="nil"/>
              <w:bottom w:val="nil"/>
              <w:right w:val="single" w:sz="4" w:space="0" w:color="auto"/>
            </w:tcBorders>
            <w:shd w:val="clear" w:color="auto" w:fill="auto"/>
            <w:vAlign w:val="center"/>
            <w:hideMark/>
          </w:tcPr>
          <w:p w14:paraId="2C3D0A6B" w14:textId="77777777" w:rsidR="004B552A" w:rsidRPr="004B552A" w:rsidRDefault="004B552A" w:rsidP="00EC7D22">
            <w:pPr>
              <w:suppressAutoHyphens w:val="0"/>
              <w:overflowPunct/>
              <w:spacing w:after="0" w:line="240" w:lineRule="auto"/>
              <w:rPr>
                <w:rFonts w:eastAsia="Times New Roman" w:cs="Calibri"/>
                <w:color w:val="000000"/>
                <w:sz w:val="14"/>
                <w:szCs w:val="14"/>
                <w:lang w:eastAsia="es-MX"/>
              </w:rPr>
            </w:pPr>
            <w:r w:rsidRPr="004B552A">
              <w:rPr>
                <w:rFonts w:eastAsia="Times New Roman" w:cs="Calibri"/>
                <w:color w:val="000000"/>
                <w:sz w:val="14"/>
                <w:szCs w:val="14"/>
                <w:lang w:eastAsia="es-MX"/>
              </w:rPr>
              <w:t> </w:t>
            </w:r>
          </w:p>
        </w:tc>
      </w:tr>
      <w:tr w:rsidR="004B552A" w:rsidRPr="004B552A" w14:paraId="339B10E4" w14:textId="77777777" w:rsidTr="00797579">
        <w:trPr>
          <w:trHeight w:val="354"/>
        </w:trPr>
        <w:tc>
          <w:tcPr>
            <w:tcW w:w="1276" w:type="dxa"/>
            <w:tcBorders>
              <w:top w:val="nil"/>
              <w:left w:val="single" w:sz="4" w:space="0" w:color="auto"/>
              <w:bottom w:val="nil"/>
              <w:right w:val="single" w:sz="4" w:space="0" w:color="auto"/>
            </w:tcBorders>
            <w:shd w:val="clear" w:color="auto" w:fill="auto"/>
            <w:vAlign w:val="center"/>
            <w:hideMark/>
          </w:tcPr>
          <w:p w14:paraId="7F8CB6C7" w14:textId="77777777" w:rsidR="004B552A" w:rsidRPr="004B552A" w:rsidRDefault="004B552A" w:rsidP="00EC7D22">
            <w:pPr>
              <w:suppressAutoHyphens w:val="0"/>
              <w:overflowPunct/>
              <w:spacing w:after="0" w:line="240" w:lineRule="auto"/>
              <w:jc w:val="right"/>
              <w:rPr>
                <w:rFonts w:eastAsia="Times New Roman" w:cs="Calibri"/>
                <w:color w:val="000000"/>
                <w:sz w:val="14"/>
                <w:szCs w:val="14"/>
                <w:lang w:eastAsia="es-MX"/>
              </w:rPr>
            </w:pPr>
            <w:r w:rsidRPr="004B552A">
              <w:rPr>
                <w:rFonts w:eastAsia="Times New Roman" w:cs="Calibri"/>
                <w:color w:val="000000"/>
                <w:sz w:val="14"/>
                <w:szCs w:val="14"/>
                <w:lang w:eastAsia="es-MX"/>
              </w:rPr>
              <w:t>1236</w:t>
            </w:r>
          </w:p>
        </w:tc>
        <w:tc>
          <w:tcPr>
            <w:tcW w:w="1429" w:type="dxa"/>
            <w:tcBorders>
              <w:top w:val="nil"/>
              <w:left w:val="nil"/>
              <w:bottom w:val="single" w:sz="4" w:space="0" w:color="auto"/>
              <w:right w:val="single" w:sz="4" w:space="0" w:color="auto"/>
            </w:tcBorders>
            <w:shd w:val="clear" w:color="auto" w:fill="auto"/>
            <w:vAlign w:val="center"/>
            <w:hideMark/>
          </w:tcPr>
          <w:p w14:paraId="544CF511" w14:textId="77777777" w:rsidR="004B552A" w:rsidRPr="004B552A" w:rsidRDefault="004B552A" w:rsidP="00EC7D22">
            <w:pPr>
              <w:suppressAutoHyphens w:val="0"/>
              <w:overflowPunct/>
              <w:spacing w:after="0" w:line="240" w:lineRule="auto"/>
              <w:jc w:val="center"/>
              <w:rPr>
                <w:rFonts w:eastAsia="Times New Roman" w:cs="Calibri"/>
                <w:color w:val="000000"/>
                <w:sz w:val="14"/>
                <w:szCs w:val="14"/>
                <w:lang w:eastAsia="es-MX"/>
              </w:rPr>
            </w:pPr>
            <w:r w:rsidRPr="004B552A">
              <w:rPr>
                <w:rFonts w:eastAsia="Times New Roman" w:cs="Calibri"/>
                <w:color w:val="000000"/>
                <w:sz w:val="14"/>
                <w:szCs w:val="14"/>
                <w:lang w:eastAsia="es-MX"/>
              </w:rPr>
              <w:t>1</w:t>
            </w:r>
          </w:p>
        </w:tc>
        <w:tc>
          <w:tcPr>
            <w:tcW w:w="2585" w:type="dxa"/>
            <w:tcBorders>
              <w:top w:val="nil"/>
              <w:left w:val="nil"/>
              <w:bottom w:val="single" w:sz="4" w:space="0" w:color="auto"/>
              <w:right w:val="single" w:sz="4" w:space="0" w:color="auto"/>
            </w:tcBorders>
            <w:shd w:val="clear" w:color="auto" w:fill="auto"/>
            <w:vAlign w:val="center"/>
            <w:hideMark/>
          </w:tcPr>
          <w:p w14:paraId="276261EC" w14:textId="77777777" w:rsidR="004B552A" w:rsidRPr="004B552A" w:rsidRDefault="004B552A" w:rsidP="00EC7D22">
            <w:pPr>
              <w:suppressAutoHyphens w:val="0"/>
              <w:overflowPunct/>
              <w:spacing w:after="0" w:line="240" w:lineRule="auto"/>
              <w:jc w:val="center"/>
              <w:rPr>
                <w:rFonts w:eastAsia="Times New Roman" w:cs="Calibri"/>
                <w:color w:val="000000"/>
                <w:sz w:val="14"/>
                <w:szCs w:val="14"/>
                <w:lang w:eastAsia="es-MX"/>
              </w:rPr>
            </w:pPr>
            <w:r w:rsidRPr="004B552A">
              <w:rPr>
                <w:rFonts w:eastAsia="Times New Roman" w:cs="Calibri"/>
                <w:color w:val="000000"/>
                <w:sz w:val="14"/>
                <w:szCs w:val="14"/>
                <w:lang w:eastAsia="es-MX"/>
              </w:rPr>
              <w:t>Fideicomiso Ciudad Judicial</w:t>
            </w:r>
          </w:p>
        </w:tc>
        <w:tc>
          <w:tcPr>
            <w:tcW w:w="1374" w:type="dxa"/>
            <w:tcBorders>
              <w:top w:val="nil"/>
              <w:left w:val="nil"/>
              <w:bottom w:val="single" w:sz="4" w:space="0" w:color="auto"/>
              <w:right w:val="single" w:sz="4" w:space="0" w:color="auto"/>
            </w:tcBorders>
            <w:shd w:val="clear" w:color="auto" w:fill="auto"/>
            <w:vAlign w:val="center"/>
            <w:hideMark/>
          </w:tcPr>
          <w:p w14:paraId="04535EEC" w14:textId="77777777" w:rsidR="004B552A" w:rsidRPr="004B552A" w:rsidRDefault="004B552A" w:rsidP="00EC7D22">
            <w:pPr>
              <w:suppressAutoHyphens w:val="0"/>
              <w:overflowPunct/>
              <w:spacing w:after="0" w:line="240" w:lineRule="auto"/>
              <w:jc w:val="center"/>
              <w:rPr>
                <w:rFonts w:eastAsia="Times New Roman" w:cs="Calibri"/>
                <w:color w:val="000000"/>
                <w:sz w:val="14"/>
                <w:szCs w:val="14"/>
                <w:lang w:eastAsia="es-MX"/>
              </w:rPr>
            </w:pPr>
            <w:r w:rsidRPr="004B552A">
              <w:rPr>
                <w:rFonts w:eastAsia="Times New Roman" w:cs="Calibri"/>
                <w:color w:val="000000"/>
                <w:sz w:val="14"/>
                <w:szCs w:val="14"/>
                <w:lang w:eastAsia="es-MX"/>
              </w:rPr>
              <w:t>10,421,900</w:t>
            </w:r>
          </w:p>
        </w:tc>
        <w:tc>
          <w:tcPr>
            <w:tcW w:w="1259" w:type="dxa"/>
            <w:tcBorders>
              <w:top w:val="nil"/>
              <w:left w:val="nil"/>
              <w:bottom w:val="nil"/>
              <w:right w:val="single" w:sz="4" w:space="0" w:color="auto"/>
            </w:tcBorders>
            <w:shd w:val="clear" w:color="auto" w:fill="auto"/>
            <w:vAlign w:val="center"/>
            <w:hideMark/>
          </w:tcPr>
          <w:p w14:paraId="0D6D4274" w14:textId="77777777" w:rsidR="004B552A" w:rsidRPr="004B552A" w:rsidRDefault="004B552A" w:rsidP="00EC7D22">
            <w:pPr>
              <w:suppressAutoHyphens w:val="0"/>
              <w:overflowPunct/>
              <w:spacing w:after="0" w:line="240" w:lineRule="auto"/>
              <w:jc w:val="right"/>
              <w:rPr>
                <w:rFonts w:eastAsia="Times New Roman" w:cs="Calibri"/>
                <w:color w:val="000000"/>
                <w:sz w:val="14"/>
                <w:szCs w:val="14"/>
                <w:lang w:eastAsia="es-MX"/>
              </w:rPr>
            </w:pPr>
            <w:r w:rsidRPr="004B552A">
              <w:rPr>
                <w:rFonts w:eastAsia="Times New Roman" w:cs="Calibri"/>
                <w:color w:val="000000"/>
                <w:sz w:val="14"/>
                <w:szCs w:val="14"/>
                <w:lang w:eastAsia="es-MX"/>
              </w:rPr>
              <w:t>7,075,762,152</w:t>
            </w:r>
          </w:p>
        </w:tc>
      </w:tr>
      <w:tr w:rsidR="004B552A" w:rsidRPr="004B552A" w14:paraId="641EB14D" w14:textId="77777777" w:rsidTr="00797579">
        <w:trPr>
          <w:trHeight w:val="35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EE3CFDF" w14:textId="77777777" w:rsidR="004B552A" w:rsidRPr="004B552A" w:rsidRDefault="004B552A" w:rsidP="00EC7D22">
            <w:pPr>
              <w:suppressAutoHyphens w:val="0"/>
              <w:overflowPunct/>
              <w:spacing w:after="0" w:line="240" w:lineRule="auto"/>
              <w:rPr>
                <w:rFonts w:eastAsia="Times New Roman" w:cs="Calibri"/>
                <w:color w:val="000000"/>
                <w:sz w:val="14"/>
                <w:szCs w:val="14"/>
                <w:lang w:eastAsia="es-MX"/>
              </w:rPr>
            </w:pPr>
            <w:r w:rsidRPr="004B552A">
              <w:rPr>
                <w:rFonts w:eastAsia="Times New Roman" w:cs="Calibri"/>
                <w:color w:val="000000"/>
                <w:sz w:val="14"/>
                <w:szCs w:val="14"/>
                <w:lang w:eastAsia="es-MX"/>
              </w:rPr>
              <w:t> </w:t>
            </w:r>
          </w:p>
        </w:tc>
        <w:tc>
          <w:tcPr>
            <w:tcW w:w="1429" w:type="dxa"/>
            <w:tcBorders>
              <w:top w:val="nil"/>
              <w:left w:val="nil"/>
              <w:bottom w:val="single" w:sz="4" w:space="0" w:color="auto"/>
              <w:right w:val="single" w:sz="4" w:space="0" w:color="auto"/>
            </w:tcBorders>
            <w:shd w:val="clear" w:color="auto" w:fill="auto"/>
            <w:vAlign w:val="center"/>
            <w:hideMark/>
          </w:tcPr>
          <w:p w14:paraId="64AA7E11" w14:textId="77777777" w:rsidR="004B552A" w:rsidRPr="004B552A" w:rsidRDefault="004B552A" w:rsidP="00EC7D22">
            <w:pPr>
              <w:suppressAutoHyphens w:val="0"/>
              <w:overflowPunct/>
              <w:spacing w:after="0" w:line="240" w:lineRule="auto"/>
              <w:jc w:val="center"/>
              <w:rPr>
                <w:rFonts w:eastAsia="Times New Roman" w:cs="Calibri"/>
                <w:color w:val="000000"/>
                <w:sz w:val="14"/>
                <w:szCs w:val="14"/>
                <w:lang w:eastAsia="es-MX"/>
              </w:rPr>
            </w:pPr>
            <w:r w:rsidRPr="004B552A">
              <w:rPr>
                <w:rFonts w:eastAsia="Times New Roman" w:cs="Calibri"/>
                <w:color w:val="000000"/>
                <w:sz w:val="14"/>
                <w:szCs w:val="14"/>
                <w:lang w:eastAsia="es-MX"/>
              </w:rPr>
              <w:t>539</w:t>
            </w:r>
          </w:p>
        </w:tc>
        <w:tc>
          <w:tcPr>
            <w:tcW w:w="2585" w:type="dxa"/>
            <w:tcBorders>
              <w:top w:val="nil"/>
              <w:left w:val="nil"/>
              <w:bottom w:val="single" w:sz="4" w:space="0" w:color="auto"/>
              <w:right w:val="single" w:sz="4" w:space="0" w:color="auto"/>
            </w:tcBorders>
            <w:shd w:val="clear" w:color="auto" w:fill="auto"/>
            <w:vAlign w:val="center"/>
            <w:hideMark/>
          </w:tcPr>
          <w:p w14:paraId="7BB34D21" w14:textId="77777777" w:rsidR="004B552A" w:rsidRPr="004B552A" w:rsidRDefault="004B552A" w:rsidP="00EC7D22">
            <w:pPr>
              <w:suppressAutoHyphens w:val="0"/>
              <w:overflowPunct/>
              <w:spacing w:after="0" w:line="240" w:lineRule="auto"/>
              <w:jc w:val="center"/>
              <w:rPr>
                <w:rFonts w:eastAsia="Times New Roman" w:cs="Calibri"/>
                <w:color w:val="000000"/>
                <w:sz w:val="14"/>
                <w:szCs w:val="14"/>
                <w:lang w:eastAsia="es-MX"/>
              </w:rPr>
            </w:pPr>
            <w:r w:rsidRPr="004B552A">
              <w:rPr>
                <w:rFonts w:eastAsia="Times New Roman" w:cs="Calibri"/>
                <w:color w:val="000000"/>
                <w:sz w:val="14"/>
                <w:szCs w:val="14"/>
                <w:lang w:eastAsia="es-MX"/>
              </w:rPr>
              <w:t>Secretaría de Obras Públicas</w:t>
            </w:r>
          </w:p>
        </w:tc>
        <w:tc>
          <w:tcPr>
            <w:tcW w:w="1374" w:type="dxa"/>
            <w:tcBorders>
              <w:top w:val="nil"/>
              <w:left w:val="nil"/>
              <w:bottom w:val="single" w:sz="4" w:space="0" w:color="auto"/>
              <w:right w:val="single" w:sz="4" w:space="0" w:color="auto"/>
            </w:tcBorders>
            <w:shd w:val="clear" w:color="auto" w:fill="auto"/>
            <w:vAlign w:val="center"/>
            <w:hideMark/>
          </w:tcPr>
          <w:p w14:paraId="28A2EDF7" w14:textId="77777777" w:rsidR="004B552A" w:rsidRPr="004B552A" w:rsidRDefault="004B552A" w:rsidP="00EC7D22">
            <w:pPr>
              <w:suppressAutoHyphens w:val="0"/>
              <w:overflowPunct/>
              <w:spacing w:after="0" w:line="240" w:lineRule="auto"/>
              <w:jc w:val="center"/>
              <w:rPr>
                <w:rFonts w:eastAsia="Times New Roman" w:cs="Calibri"/>
                <w:color w:val="000000"/>
                <w:sz w:val="14"/>
                <w:szCs w:val="14"/>
                <w:lang w:eastAsia="es-MX"/>
              </w:rPr>
            </w:pPr>
            <w:r w:rsidRPr="004B552A">
              <w:rPr>
                <w:rFonts w:eastAsia="Times New Roman" w:cs="Calibri"/>
                <w:color w:val="000000"/>
                <w:sz w:val="14"/>
                <w:szCs w:val="14"/>
                <w:lang w:eastAsia="es-MX"/>
              </w:rPr>
              <w:t>5,874,455,846</w:t>
            </w:r>
          </w:p>
        </w:tc>
        <w:tc>
          <w:tcPr>
            <w:tcW w:w="1259" w:type="dxa"/>
            <w:tcBorders>
              <w:top w:val="nil"/>
              <w:left w:val="nil"/>
              <w:bottom w:val="single" w:sz="4" w:space="0" w:color="auto"/>
              <w:right w:val="single" w:sz="4" w:space="0" w:color="auto"/>
            </w:tcBorders>
            <w:shd w:val="clear" w:color="auto" w:fill="auto"/>
            <w:vAlign w:val="center"/>
            <w:hideMark/>
          </w:tcPr>
          <w:p w14:paraId="0D8FE3B1" w14:textId="77777777" w:rsidR="004B552A" w:rsidRPr="004B552A" w:rsidRDefault="004B552A" w:rsidP="00EC7D22">
            <w:pPr>
              <w:suppressAutoHyphens w:val="0"/>
              <w:overflowPunct/>
              <w:spacing w:after="0" w:line="240" w:lineRule="auto"/>
              <w:rPr>
                <w:rFonts w:eastAsia="Times New Roman" w:cs="Calibri"/>
                <w:color w:val="000000"/>
                <w:sz w:val="14"/>
                <w:szCs w:val="14"/>
                <w:lang w:eastAsia="es-MX"/>
              </w:rPr>
            </w:pPr>
            <w:r w:rsidRPr="004B552A">
              <w:rPr>
                <w:rFonts w:eastAsia="Times New Roman" w:cs="Calibri"/>
                <w:color w:val="000000"/>
                <w:sz w:val="14"/>
                <w:szCs w:val="14"/>
                <w:lang w:eastAsia="es-MX"/>
              </w:rPr>
              <w:t> </w:t>
            </w:r>
          </w:p>
        </w:tc>
      </w:tr>
    </w:tbl>
    <w:p w14:paraId="5CE73560" w14:textId="1614C76E" w:rsidR="004B552A" w:rsidRDefault="004B552A" w:rsidP="00EC7D22">
      <w:pPr>
        <w:pStyle w:val="ROMANOS"/>
        <w:tabs>
          <w:tab w:val="clear" w:pos="720"/>
          <w:tab w:val="left" w:pos="426"/>
        </w:tabs>
        <w:spacing w:after="0" w:line="240" w:lineRule="exact"/>
        <w:ind w:left="0" w:firstLine="0"/>
        <w:rPr>
          <w:rFonts w:ascii="Calibri" w:hAnsi="Calibri" w:cs="Calibri"/>
          <w:b/>
          <w:sz w:val="20"/>
          <w:lang w:val="es-MX"/>
        </w:rPr>
      </w:pPr>
    </w:p>
    <w:p w14:paraId="25B7A54A" w14:textId="77777777" w:rsidR="00F63648" w:rsidRDefault="00F63648" w:rsidP="00EC7D22">
      <w:pPr>
        <w:pStyle w:val="ROMANOS"/>
        <w:tabs>
          <w:tab w:val="clear" w:pos="720"/>
          <w:tab w:val="left" w:pos="426"/>
        </w:tabs>
        <w:spacing w:after="0" w:line="240" w:lineRule="exact"/>
        <w:ind w:left="0" w:firstLine="0"/>
        <w:rPr>
          <w:rFonts w:ascii="Calibri" w:hAnsi="Calibri" w:cs="Calibri"/>
          <w:b/>
          <w:sz w:val="20"/>
          <w:lang w:val="es-MX"/>
        </w:rPr>
      </w:pPr>
    </w:p>
    <w:p w14:paraId="7A2ECBC3" w14:textId="77777777" w:rsidR="00925024" w:rsidRDefault="00925024" w:rsidP="00EC7D22">
      <w:pPr>
        <w:pStyle w:val="ROMANOS"/>
        <w:tabs>
          <w:tab w:val="clear" w:pos="720"/>
          <w:tab w:val="left" w:pos="426"/>
        </w:tabs>
        <w:spacing w:after="0" w:line="240" w:lineRule="exact"/>
        <w:ind w:left="0" w:firstLine="0"/>
        <w:rPr>
          <w:rFonts w:ascii="Calibri" w:hAnsi="Calibri" w:cs="Calibri"/>
          <w:b/>
          <w:sz w:val="20"/>
          <w:lang w:val="es-MX"/>
        </w:rPr>
      </w:pPr>
    </w:p>
    <w:p w14:paraId="704BE95B" w14:textId="77777777" w:rsidR="007745EB" w:rsidRDefault="00C87FDA" w:rsidP="00EC7D22">
      <w:pPr>
        <w:spacing w:after="0"/>
        <w:rPr>
          <w:rFonts w:cs="Calibri"/>
          <w:b/>
          <w:sz w:val="20"/>
          <w:u w:val="single"/>
          <w:lang w:val="es-ES" w:eastAsia="es-ES"/>
        </w:rPr>
      </w:pPr>
      <w:r w:rsidRPr="00694CE6">
        <w:rPr>
          <w:rFonts w:cs="Calibri"/>
          <w:b/>
          <w:sz w:val="20"/>
          <w:u w:val="single"/>
          <w:lang w:val="es-ES" w:eastAsia="es-ES"/>
        </w:rPr>
        <w:t>Bienes Muebles</w:t>
      </w:r>
    </w:p>
    <w:tbl>
      <w:tblPr>
        <w:tblW w:w="8060" w:type="dxa"/>
        <w:tblCellMar>
          <w:left w:w="70" w:type="dxa"/>
          <w:right w:w="70" w:type="dxa"/>
        </w:tblCellMar>
        <w:tblLook w:val="04A0" w:firstRow="1" w:lastRow="0" w:firstColumn="1" w:lastColumn="0" w:noHBand="0" w:noVBand="1"/>
      </w:tblPr>
      <w:tblGrid>
        <w:gridCol w:w="3322"/>
        <w:gridCol w:w="1243"/>
        <w:gridCol w:w="1243"/>
        <w:gridCol w:w="1243"/>
        <w:gridCol w:w="1009"/>
      </w:tblGrid>
      <w:tr w:rsidR="008D403E" w:rsidRPr="008D403E" w14:paraId="053AC774" w14:textId="77777777" w:rsidTr="008D403E">
        <w:trPr>
          <w:trHeight w:val="899"/>
        </w:trPr>
        <w:tc>
          <w:tcPr>
            <w:tcW w:w="3324" w:type="dxa"/>
            <w:tcBorders>
              <w:top w:val="single" w:sz="4" w:space="0" w:color="auto"/>
              <w:left w:val="single" w:sz="4" w:space="0" w:color="auto"/>
              <w:bottom w:val="single" w:sz="4" w:space="0" w:color="auto"/>
              <w:right w:val="single" w:sz="4" w:space="0" w:color="auto"/>
            </w:tcBorders>
            <w:shd w:val="clear" w:color="000000" w:fill="AB0033"/>
            <w:vAlign w:val="center"/>
            <w:hideMark/>
          </w:tcPr>
          <w:p w14:paraId="74ECC12C"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xml:space="preserve">Bienes Muebles </w:t>
            </w:r>
          </w:p>
        </w:tc>
        <w:tc>
          <w:tcPr>
            <w:tcW w:w="1243" w:type="dxa"/>
            <w:tcBorders>
              <w:top w:val="single" w:sz="4" w:space="0" w:color="auto"/>
              <w:left w:val="nil"/>
              <w:bottom w:val="single" w:sz="4" w:space="0" w:color="auto"/>
              <w:right w:val="single" w:sz="4" w:space="0" w:color="auto"/>
            </w:tcBorders>
            <w:shd w:val="clear" w:color="000000" w:fill="AB0033"/>
            <w:vAlign w:val="center"/>
            <w:hideMark/>
          </w:tcPr>
          <w:p w14:paraId="39BBB3B0"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Importe</w:t>
            </w:r>
          </w:p>
        </w:tc>
        <w:tc>
          <w:tcPr>
            <w:tcW w:w="1243" w:type="dxa"/>
            <w:tcBorders>
              <w:top w:val="single" w:sz="4" w:space="0" w:color="auto"/>
              <w:left w:val="nil"/>
              <w:bottom w:val="single" w:sz="4" w:space="0" w:color="auto"/>
              <w:right w:val="single" w:sz="4" w:space="0" w:color="auto"/>
            </w:tcBorders>
            <w:shd w:val="clear" w:color="000000" w:fill="AB0033"/>
            <w:vAlign w:val="center"/>
            <w:hideMark/>
          </w:tcPr>
          <w:p w14:paraId="70E946C5"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Depreciación Acumulada al 31 de Diciembre de 2023</w:t>
            </w:r>
          </w:p>
        </w:tc>
        <w:tc>
          <w:tcPr>
            <w:tcW w:w="1243" w:type="dxa"/>
            <w:tcBorders>
              <w:top w:val="single" w:sz="4" w:space="0" w:color="auto"/>
              <w:left w:val="nil"/>
              <w:bottom w:val="single" w:sz="4" w:space="0" w:color="auto"/>
              <w:right w:val="single" w:sz="4" w:space="0" w:color="auto"/>
            </w:tcBorders>
            <w:shd w:val="clear" w:color="000000" w:fill="AB0033"/>
            <w:vAlign w:val="center"/>
            <w:hideMark/>
          </w:tcPr>
          <w:p w14:paraId="404CD99E"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Depreciación del Ejercicio</w:t>
            </w:r>
          </w:p>
        </w:tc>
        <w:tc>
          <w:tcPr>
            <w:tcW w:w="1007" w:type="dxa"/>
            <w:tcBorders>
              <w:top w:val="single" w:sz="4" w:space="0" w:color="auto"/>
              <w:left w:val="nil"/>
              <w:bottom w:val="single" w:sz="4" w:space="0" w:color="auto"/>
              <w:right w:val="single" w:sz="4" w:space="0" w:color="auto"/>
            </w:tcBorders>
            <w:shd w:val="clear" w:color="000000" w:fill="AB0033"/>
            <w:vAlign w:val="center"/>
            <w:hideMark/>
          </w:tcPr>
          <w:p w14:paraId="5F456B85"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xml:space="preserve">Tasa Anual de Depreciación </w:t>
            </w:r>
          </w:p>
        </w:tc>
      </w:tr>
      <w:tr w:rsidR="008D403E" w:rsidRPr="008D403E" w14:paraId="461B1D77"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3B026377"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Mobiliario y Equipo de Administración</w:t>
            </w:r>
          </w:p>
        </w:tc>
        <w:tc>
          <w:tcPr>
            <w:tcW w:w="1243" w:type="dxa"/>
            <w:tcBorders>
              <w:top w:val="nil"/>
              <w:left w:val="nil"/>
              <w:bottom w:val="single" w:sz="4" w:space="0" w:color="auto"/>
              <w:right w:val="single" w:sz="4" w:space="0" w:color="auto"/>
            </w:tcBorders>
            <w:shd w:val="clear" w:color="auto" w:fill="auto"/>
            <w:noWrap/>
            <w:vAlign w:val="center"/>
            <w:hideMark/>
          </w:tcPr>
          <w:p w14:paraId="65AE9A27"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1,117,103,761</w:t>
            </w:r>
          </w:p>
        </w:tc>
        <w:tc>
          <w:tcPr>
            <w:tcW w:w="1243" w:type="dxa"/>
            <w:tcBorders>
              <w:top w:val="nil"/>
              <w:left w:val="nil"/>
              <w:bottom w:val="single" w:sz="4" w:space="0" w:color="auto"/>
              <w:right w:val="single" w:sz="4" w:space="0" w:color="auto"/>
            </w:tcBorders>
            <w:shd w:val="clear" w:color="auto" w:fill="auto"/>
            <w:noWrap/>
            <w:vAlign w:val="center"/>
            <w:hideMark/>
          </w:tcPr>
          <w:p w14:paraId="765CC6C5"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-672,391,783</w:t>
            </w:r>
          </w:p>
        </w:tc>
        <w:tc>
          <w:tcPr>
            <w:tcW w:w="1243" w:type="dxa"/>
            <w:tcBorders>
              <w:top w:val="nil"/>
              <w:left w:val="nil"/>
              <w:bottom w:val="single" w:sz="4" w:space="0" w:color="auto"/>
              <w:right w:val="single" w:sz="4" w:space="0" w:color="auto"/>
            </w:tcBorders>
            <w:shd w:val="clear" w:color="auto" w:fill="auto"/>
            <w:noWrap/>
            <w:vAlign w:val="center"/>
            <w:hideMark/>
          </w:tcPr>
          <w:p w14:paraId="60427664"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-102,740,242</w:t>
            </w:r>
          </w:p>
        </w:tc>
        <w:tc>
          <w:tcPr>
            <w:tcW w:w="1007" w:type="dxa"/>
            <w:tcBorders>
              <w:top w:val="nil"/>
              <w:left w:val="nil"/>
              <w:bottom w:val="single" w:sz="4" w:space="0" w:color="auto"/>
              <w:right w:val="single" w:sz="4" w:space="0" w:color="auto"/>
            </w:tcBorders>
            <w:shd w:val="clear" w:color="auto" w:fill="auto"/>
            <w:noWrap/>
            <w:vAlign w:val="center"/>
            <w:hideMark/>
          </w:tcPr>
          <w:p w14:paraId="70C4B9DC"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10.00%</w:t>
            </w:r>
          </w:p>
        </w:tc>
      </w:tr>
      <w:tr w:rsidR="008D403E" w:rsidRPr="008D403E" w14:paraId="1FA015E7"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1946317A"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Mobiliario y Equipo Educacional y Recreativo</w:t>
            </w:r>
          </w:p>
        </w:tc>
        <w:tc>
          <w:tcPr>
            <w:tcW w:w="1243" w:type="dxa"/>
            <w:tcBorders>
              <w:top w:val="nil"/>
              <w:left w:val="nil"/>
              <w:bottom w:val="single" w:sz="4" w:space="0" w:color="auto"/>
              <w:right w:val="single" w:sz="4" w:space="0" w:color="auto"/>
            </w:tcBorders>
            <w:shd w:val="clear" w:color="auto" w:fill="auto"/>
            <w:noWrap/>
            <w:vAlign w:val="center"/>
            <w:hideMark/>
          </w:tcPr>
          <w:p w14:paraId="34E4E798"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214,918,272</w:t>
            </w:r>
          </w:p>
        </w:tc>
        <w:tc>
          <w:tcPr>
            <w:tcW w:w="1243" w:type="dxa"/>
            <w:tcBorders>
              <w:top w:val="nil"/>
              <w:left w:val="nil"/>
              <w:bottom w:val="single" w:sz="4" w:space="0" w:color="auto"/>
              <w:right w:val="single" w:sz="4" w:space="0" w:color="auto"/>
            </w:tcBorders>
            <w:shd w:val="clear" w:color="auto" w:fill="auto"/>
            <w:noWrap/>
            <w:vAlign w:val="center"/>
            <w:hideMark/>
          </w:tcPr>
          <w:p w14:paraId="4C9576A1"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-156,654,430</w:t>
            </w:r>
          </w:p>
        </w:tc>
        <w:tc>
          <w:tcPr>
            <w:tcW w:w="1243" w:type="dxa"/>
            <w:tcBorders>
              <w:top w:val="nil"/>
              <w:left w:val="nil"/>
              <w:bottom w:val="single" w:sz="4" w:space="0" w:color="auto"/>
              <w:right w:val="single" w:sz="4" w:space="0" w:color="auto"/>
            </w:tcBorders>
            <w:shd w:val="clear" w:color="auto" w:fill="auto"/>
            <w:noWrap/>
            <w:vAlign w:val="center"/>
            <w:hideMark/>
          </w:tcPr>
          <w:p w14:paraId="1CF4D21C"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-15,414,582</w:t>
            </w:r>
          </w:p>
        </w:tc>
        <w:tc>
          <w:tcPr>
            <w:tcW w:w="1007" w:type="dxa"/>
            <w:tcBorders>
              <w:top w:val="nil"/>
              <w:left w:val="nil"/>
              <w:bottom w:val="single" w:sz="4" w:space="0" w:color="auto"/>
              <w:right w:val="single" w:sz="4" w:space="0" w:color="auto"/>
            </w:tcBorders>
            <w:shd w:val="clear" w:color="auto" w:fill="auto"/>
            <w:noWrap/>
            <w:vAlign w:val="center"/>
            <w:hideMark/>
          </w:tcPr>
          <w:p w14:paraId="772D4AEB"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10.00%</w:t>
            </w:r>
          </w:p>
        </w:tc>
      </w:tr>
      <w:tr w:rsidR="008D403E" w:rsidRPr="008D403E" w14:paraId="466FB5D8"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5B75148F"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Equipo e Instrumental Médico y de Laboratorio</w:t>
            </w:r>
          </w:p>
        </w:tc>
        <w:tc>
          <w:tcPr>
            <w:tcW w:w="1243" w:type="dxa"/>
            <w:tcBorders>
              <w:top w:val="nil"/>
              <w:left w:val="nil"/>
              <w:bottom w:val="single" w:sz="4" w:space="0" w:color="auto"/>
              <w:right w:val="single" w:sz="4" w:space="0" w:color="auto"/>
            </w:tcBorders>
            <w:shd w:val="clear" w:color="auto" w:fill="auto"/>
            <w:noWrap/>
            <w:vAlign w:val="center"/>
            <w:hideMark/>
          </w:tcPr>
          <w:p w14:paraId="35A2A364"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70,517,501</w:t>
            </w:r>
          </w:p>
        </w:tc>
        <w:tc>
          <w:tcPr>
            <w:tcW w:w="1243" w:type="dxa"/>
            <w:tcBorders>
              <w:top w:val="nil"/>
              <w:left w:val="nil"/>
              <w:bottom w:val="single" w:sz="4" w:space="0" w:color="auto"/>
              <w:right w:val="single" w:sz="4" w:space="0" w:color="auto"/>
            </w:tcBorders>
            <w:shd w:val="clear" w:color="auto" w:fill="auto"/>
            <w:noWrap/>
            <w:vAlign w:val="center"/>
            <w:hideMark/>
          </w:tcPr>
          <w:p w14:paraId="3B630D51"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-25,452,740</w:t>
            </w:r>
          </w:p>
        </w:tc>
        <w:tc>
          <w:tcPr>
            <w:tcW w:w="1243" w:type="dxa"/>
            <w:tcBorders>
              <w:top w:val="nil"/>
              <w:left w:val="nil"/>
              <w:bottom w:val="single" w:sz="4" w:space="0" w:color="auto"/>
              <w:right w:val="single" w:sz="4" w:space="0" w:color="auto"/>
            </w:tcBorders>
            <w:shd w:val="clear" w:color="auto" w:fill="auto"/>
            <w:noWrap/>
            <w:vAlign w:val="center"/>
            <w:hideMark/>
          </w:tcPr>
          <w:p w14:paraId="6202BC08"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-2,377,734</w:t>
            </w:r>
          </w:p>
        </w:tc>
        <w:tc>
          <w:tcPr>
            <w:tcW w:w="1007" w:type="dxa"/>
            <w:tcBorders>
              <w:top w:val="nil"/>
              <w:left w:val="nil"/>
              <w:bottom w:val="single" w:sz="4" w:space="0" w:color="auto"/>
              <w:right w:val="single" w:sz="4" w:space="0" w:color="auto"/>
            </w:tcBorders>
            <w:shd w:val="clear" w:color="auto" w:fill="auto"/>
            <w:noWrap/>
            <w:vAlign w:val="center"/>
            <w:hideMark/>
          </w:tcPr>
          <w:p w14:paraId="1DF4766B"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491DE39F"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46A00A8B"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Equipo de Transporte</w:t>
            </w:r>
          </w:p>
        </w:tc>
        <w:tc>
          <w:tcPr>
            <w:tcW w:w="1243" w:type="dxa"/>
            <w:tcBorders>
              <w:top w:val="nil"/>
              <w:left w:val="nil"/>
              <w:bottom w:val="single" w:sz="4" w:space="0" w:color="auto"/>
              <w:right w:val="single" w:sz="4" w:space="0" w:color="auto"/>
            </w:tcBorders>
            <w:shd w:val="clear" w:color="auto" w:fill="auto"/>
            <w:noWrap/>
            <w:vAlign w:val="center"/>
            <w:hideMark/>
          </w:tcPr>
          <w:p w14:paraId="04C13FA1"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2,416,205,717</w:t>
            </w:r>
          </w:p>
        </w:tc>
        <w:tc>
          <w:tcPr>
            <w:tcW w:w="1243" w:type="dxa"/>
            <w:tcBorders>
              <w:top w:val="nil"/>
              <w:left w:val="nil"/>
              <w:bottom w:val="single" w:sz="4" w:space="0" w:color="auto"/>
              <w:right w:val="single" w:sz="4" w:space="0" w:color="auto"/>
            </w:tcBorders>
            <w:shd w:val="clear" w:color="auto" w:fill="auto"/>
            <w:noWrap/>
            <w:vAlign w:val="center"/>
            <w:hideMark/>
          </w:tcPr>
          <w:p w14:paraId="04B2C1C2"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-1,261,812,104</w:t>
            </w:r>
          </w:p>
        </w:tc>
        <w:tc>
          <w:tcPr>
            <w:tcW w:w="1243" w:type="dxa"/>
            <w:tcBorders>
              <w:top w:val="nil"/>
              <w:left w:val="nil"/>
              <w:bottom w:val="single" w:sz="4" w:space="0" w:color="auto"/>
              <w:right w:val="single" w:sz="4" w:space="0" w:color="auto"/>
            </w:tcBorders>
            <w:shd w:val="clear" w:color="auto" w:fill="auto"/>
            <w:noWrap/>
            <w:vAlign w:val="center"/>
            <w:hideMark/>
          </w:tcPr>
          <w:p w14:paraId="58BFE0C7"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-158,257,117</w:t>
            </w:r>
          </w:p>
        </w:tc>
        <w:tc>
          <w:tcPr>
            <w:tcW w:w="1007" w:type="dxa"/>
            <w:tcBorders>
              <w:top w:val="nil"/>
              <w:left w:val="nil"/>
              <w:bottom w:val="single" w:sz="4" w:space="0" w:color="auto"/>
              <w:right w:val="single" w:sz="4" w:space="0" w:color="auto"/>
            </w:tcBorders>
            <w:shd w:val="clear" w:color="auto" w:fill="auto"/>
            <w:noWrap/>
            <w:vAlign w:val="center"/>
            <w:hideMark/>
          </w:tcPr>
          <w:p w14:paraId="541F2010"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568457BD"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1AB2347D"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Equipo de Defensa y Seguridad</w:t>
            </w:r>
          </w:p>
        </w:tc>
        <w:tc>
          <w:tcPr>
            <w:tcW w:w="1243" w:type="dxa"/>
            <w:tcBorders>
              <w:top w:val="nil"/>
              <w:left w:val="nil"/>
              <w:bottom w:val="single" w:sz="4" w:space="0" w:color="auto"/>
              <w:right w:val="single" w:sz="4" w:space="0" w:color="auto"/>
            </w:tcBorders>
            <w:shd w:val="clear" w:color="auto" w:fill="auto"/>
            <w:noWrap/>
            <w:vAlign w:val="center"/>
            <w:hideMark/>
          </w:tcPr>
          <w:p w14:paraId="41945E33"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265,292,268</w:t>
            </w:r>
          </w:p>
        </w:tc>
        <w:tc>
          <w:tcPr>
            <w:tcW w:w="1243" w:type="dxa"/>
            <w:tcBorders>
              <w:top w:val="nil"/>
              <w:left w:val="nil"/>
              <w:bottom w:val="single" w:sz="4" w:space="0" w:color="auto"/>
              <w:right w:val="single" w:sz="4" w:space="0" w:color="auto"/>
            </w:tcBorders>
            <w:shd w:val="clear" w:color="auto" w:fill="auto"/>
            <w:noWrap/>
            <w:vAlign w:val="center"/>
            <w:hideMark/>
          </w:tcPr>
          <w:p w14:paraId="73EEAC9B"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-223,595,343</w:t>
            </w:r>
          </w:p>
        </w:tc>
        <w:tc>
          <w:tcPr>
            <w:tcW w:w="1243" w:type="dxa"/>
            <w:tcBorders>
              <w:top w:val="nil"/>
              <w:left w:val="nil"/>
              <w:bottom w:val="single" w:sz="4" w:space="0" w:color="auto"/>
              <w:right w:val="single" w:sz="4" w:space="0" w:color="auto"/>
            </w:tcBorders>
            <w:shd w:val="clear" w:color="auto" w:fill="auto"/>
            <w:noWrap/>
            <w:vAlign w:val="center"/>
            <w:hideMark/>
          </w:tcPr>
          <w:p w14:paraId="2660AD99"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-17,395,326</w:t>
            </w:r>
          </w:p>
        </w:tc>
        <w:tc>
          <w:tcPr>
            <w:tcW w:w="1007" w:type="dxa"/>
            <w:tcBorders>
              <w:top w:val="nil"/>
              <w:left w:val="nil"/>
              <w:bottom w:val="single" w:sz="4" w:space="0" w:color="auto"/>
              <w:right w:val="single" w:sz="4" w:space="0" w:color="auto"/>
            </w:tcBorders>
            <w:shd w:val="clear" w:color="auto" w:fill="auto"/>
            <w:noWrap/>
            <w:vAlign w:val="center"/>
            <w:hideMark/>
          </w:tcPr>
          <w:p w14:paraId="65F080A6"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25.00%</w:t>
            </w:r>
          </w:p>
        </w:tc>
      </w:tr>
      <w:tr w:rsidR="008D403E" w:rsidRPr="008D403E" w14:paraId="283842F2"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2E26DC08"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Maquinaria, Otros Equipos y Herramientas</w:t>
            </w:r>
          </w:p>
        </w:tc>
        <w:tc>
          <w:tcPr>
            <w:tcW w:w="1243" w:type="dxa"/>
            <w:tcBorders>
              <w:top w:val="nil"/>
              <w:left w:val="nil"/>
              <w:bottom w:val="single" w:sz="4" w:space="0" w:color="auto"/>
              <w:right w:val="single" w:sz="4" w:space="0" w:color="auto"/>
            </w:tcBorders>
            <w:shd w:val="clear" w:color="auto" w:fill="auto"/>
            <w:noWrap/>
            <w:vAlign w:val="center"/>
            <w:hideMark/>
          </w:tcPr>
          <w:p w14:paraId="23D3E7BD"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1,217,207,892</w:t>
            </w:r>
          </w:p>
        </w:tc>
        <w:tc>
          <w:tcPr>
            <w:tcW w:w="1243" w:type="dxa"/>
            <w:tcBorders>
              <w:top w:val="nil"/>
              <w:left w:val="nil"/>
              <w:bottom w:val="single" w:sz="4" w:space="0" w:color="auto"/>
              <w:right w:val="single" w:sz="4" w:space="0" w:color="auto"/>
            </w:tcBorders>
            <w:shd w:val="clear" w:color="auto" w:fill="auto"/>
            <w:noWrap/>
            <w:vAlign w:val="center"/>
            <w:hideMark/>
          </w:tcPr>
          <w:p w14:paraId="136E066B"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-338,364,168</w:t>
            </w:r>
          </w:p>
        </w:tc>
        <w:tc>
          <w:tcPr>
            <w:tcW w:w="1243" w:type="dxa"/>
            <w:tcBorders>
              <w:top w:val="nil"/>
              <w:left w:val="nil"/>
              <w:bottom w:val="single" w:sz="4" w:space="0" w:color="auto"/>
              <w:right w:val="single" w:sz="4" w:space="0" w:color="auto"/>
            </w:tcBorders>
            <w:shd w:val="clear" w:color="auto" w:fill="auto"/>
            <w:noWrap/>
            <w:vAlign w:val="center"/>
            <w:hideMark/>
          </w:tcPr>
          <w:p w14:paraId="7EF8F8A8"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-128,674,656</w:t>
            </w:r>
          </w:p>
        </w:tc>
        <w:tc>
          <w:tcPr>
            <w:tcW w:w="1007" w:type="dxa"/>
            <w:tcBorders>
              <w:top w:val="nil"/>
              <w:left w:val="nil"/>
              <w:bottom w:val="single" w:sz="4" w:space="0" w:color="auto"/>
              <w:right w:val="single" w:sz="4" w:space="0" w:color="auto"/>
            </w:tcBorders>
            <w:shd w:val="clear" w:color="auto" w:fill="auto"/>
            <w:noWrap/>
            <w:vAlign w:val="center"/>
            <w:hideMark/>
          </w:tcPr>
          <w:p w14:paraId="3068314E"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36A671F0"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116D0DF1"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Colecciones, Obras de Arte y Objetos Valiosos</w:t>
            </w:r>
          </w:p>
        </w:tc>
        <w:tc>
          <w:tcPr>
            <w:tcW w:w="1243" w:type="dxa"/>
            <w:tcBorders>
              <w:top w:val="nil"/>
              <w:left w:val="nil"/>
              <w:bottom w:val="single" w:sz="4" w:space="0" w:color="auto"/>
              <w:right w:val="single" w:sz="4" w:space="0" w:color="auto"/>
            </w:tcBorders>
            <w:shd w:val="clear" w:color="auto" w:fill="auto"/>
            <w:noWrap/>
            <w:vAlign w:val="center"/>
            <w:hideMark/>
          </w:tcPr>
          <w:p w14:paraId="1FBC89BB"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17,022,057</w:t>
            </w:r>
          </w:p>
        </w:tc>
        <w:tc>
          <w:tcPr>
            <w:tcW w:w="1243" w:type="dxa"/>
            <w:tcBorders>
              <w:top w:val="nil"/>
              <w:left w:val="nil"/>
              <w:bottom w:val="single" w:sz="4" w:space="0" w:color="auto"/>
              <w:right w:val="single" w:sz="4" w:space="0" w:color="auto"/>
            </w:tcBorders>
            <w:shd w:val="clear" w:color="auto" w:fill="auto"/>
            <w:noWrap/>
            <w:vAlign w:val="center"/>
            <w:hideMark/>
          </w:tcPr>
          <w:p w14:paraId="1EFC80BC"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0 </w:t>
            </w:r>
          </w:p>
        </w:tc>
        <w:tc>
          <w:tcPr>
            <w:tcW w:w="1243" w:type="dxa"/>
            <w:tcBorders>
              <w:top w:val="nil"/>
              <w:left w:val="nil"/>
              <w:bottom w:val="single" w:sz="4" w:space="0" w:color="auto"/>
              <w:right w:val="single" w:sz="4" w:space="0" w:color="auto"/>
            </w:tcBorders>
            <w:shd w:val="clear" w:color="auto" w:fill="auto"/>
            <w:noWrap/>
            <w:vAlign w:val="center"/>
            <w:hideMark/>
          </w:tcPr>
          <w:p w14:paraId="57E36FCE"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0 </w:t>
            </w:r>
          </w:p>
        </w:tc>
        <w:tc>
          <w:tcPr>
            <w:tcW w:w="1007" w:type="dxa"/>
            <w:tcBorders>
              <w:top w:val="nil"/>
              <w:left w:val="nil"/>
              <w:bottom w:val="single" w:sz="4" w:space="0" w:color="auto"/>
              <w:right w:val="single" w:sz="4" w:space="0" w:color="auto"/>
            </w:tcBorders>
            <w:shd w:val="clear" w:color="auto" w:fill="auto"/>
            <w:noWrap/>
            <w:vAlign w:val="center"/>
            <w:hideMark/>
          </w:tcPr>
          <w:p w14:paraId="4B4524ED"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0.00%</w:t>
            </w:r>
          </w:p>
        </w:tc>
      </w:tr>
      <w:tr w:rsidR="008D403E" w:rsidRPr="008D403E" w14:paraId="305728D6"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2A6DD5DC"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Activos Biológicos</w:t>
            </w:r>
          </w:p>
        </w:tc>
        <w:tc>
          <w:tcPr>
            <w:tcW w:w="1243" w:type="dxa"/>
            <w:tcBorders>
              <w:top w:val="nil"/>
              <w:left w:val="nil"/>
              <w:bottom w:val="single" w:sz="4" w:space="0" w:color="auto"/>
              <w:right w:val="single" w:sz="4" w:space="0" w:color="auto"/>
            </w:tcBorders>
            <w:shd w:val="clear" w:color="auto" w:fill="auto"/>
            <w:noWrap/>
            <w:vAlign w:val="center"/>
            <w:hideMark/>
          </w:tcPr>
          <w:p w14:paraId="52B2324F"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3,974,720</w:t>
            </w:r>
          </w:p>
        </w:tc>
        <w:tc>
          <w:tcPr>
            <w:tcW w:w="1243" w:type="dxa"/>
            <w:tcBorders>
              <w:top w:val="nil"/>
              <w:left w:val="nil"/>
              <w:bottom w:val="single" w:sz="4" w:space="0" w:color="auto"/>
              <w:right w:val="single" w:sz="4" w:space="0" w:color="auto"/>
            </w:tcBorders>
            <w:shd w:val="clear" w:color="auto" w:fill="auto"/>
            <w:noWrap/>
            <w:vAlign w:val="center"/>
            <w:hideMark/>
          </w:tcPr>
          <w:p w14:paraId="1940F54A"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0 </w:t>
            </w:r>
          </w:p>
        </w:tc>
        <w:tc>
          <w:tcPr>
            <w:tcW w:w="1243" w:type="dxa"/>
            <w:tcBorders>
              <w:top w:val="nil"/>
              <w:left w:val="nil"/>
              <w:bottom w:val="single" w:sz="4" w:space="0" w:color="auto"/>
              <w:right w:val="single" w:sz="4" w:space="0" w:color="auto"/>
            </w:tcBorders>
            <w:shd w:val="clear" w:color="auto" w:fill="auto"/>
            <w:noWrap/>
            <w:vAlign w:val="center"/>
            <w:hideMark/>
          </w:tcPr>
          <w:p w14:paraId="6C0EE3A2"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0 </w:t>
            </w:r>
          </w:p>
        </w:tc>
        <w:tc>
          <w:tcPr>
            <w:tcW w:w="1007" w:type="dxa"/>
            <w:tcBorders>
              <w:top w:val="nil"/>
              <w:left w:val="nil"/>
              <w:bottom w:val="single" w:sz="4" w:space="0" w:color="auto"/>
              <w:right w:val="single" w:sz="4" w:space="0" w:color="auto"/>
            </w:tcBorders>
            <w:shd w:val="clear" w:color="auto" w:fill="auto"/>
            <w:noWrap/>
            <w:vAlign w:val="center"/>
            <w:hideMark/>
          </w:tcPr>
          <w:p w14:paraId="123FB032"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0.00%</w:t>
            </w:r>
          </w:p>
        </w:tc>
      </w:tr>
      <w:tr w:rsidR="008D403E" w:rsidRPr="008D403E" w14:paraId="01A6AB98" w14:textId="77777777" w:rsidTr="008D403E">
        <w:trPr>
          <w:trHeight w:val="292"/>
        </w:trPr>
        <w:tc>
          <w:tcPr>
            <w:tcW w:w="3324" w:type="dxa"/>
            <w:tcBorders>
              <w:top w:val="nil"/>
              <w:left w:val="single" w:sz="4" w:space="0" w:color="auto"/>
              <w:bottom w:val="single" w:sz="4" w:space="0" w:color="auto"/>
              <w:right w:val="single" w:sz="4" w:space="0" w:color="auto"/>
            </w:tcBorders>
            <w:shd w:val="clear" w:color="000000" w:fill="AB0033"/>
            <w:vAlign w:val="center"/>
            <w:hideMark/>
          </w:tcPr>
          <w:p w14:paraId="1AC655D6"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Fideicomisos</w:t>
            </w:r>
          </w:p>
        </w:tc>
        <w:tc>
          <w:tcPr>
            <w:tcW w:w="1243" w:type="dxa"/>
            <w:tcBorders>
              <w:top w:val="nil"/>
              <w:left w:val="nil"/>
              <w:bottom w:val="single" w:sz="4" w:space="0" w:color="auto"/>
              <w:right w:val="single" w:sz="4" w:space="0" w:color="auto"/>
            </w:tcBorders>
            <w:shd w:val="clear" w:color="000000" w:fill="AB0033"/>
            <w:vAlign w:val="center"/>
            <w:hideMark/>
          </w:tcPr>
          <w:p w14:paraId="45D7C025"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w:t>
            </w:r>
          </w:p>
        </w:tc>
        <w:tc>
          <w:tcPr>
            <w:tcW w:w="1243" w:type="dxa"/>
            <w:tcBorders>
              <w:top w:val="nil"/>
              <w:left w:val="nil"/>
              <w:bottom w:val="single" w:sz="4" w:space="0" w:color="auto"/>
              <w:right w:val="single" w:sz="4" w:space="0" w:color="auto"/>
            </w:tcBorders>
            <w:shd w:val="clear" w:color="000000" w:fill="AB0033"/>
            <w:vAlign w:val="center"/>
            <w:hideMark/>
          </w:tcPr>
          <w:p w14:paraId="00F31746"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w:t>
            </w:r>
          </w:p>
        </w:tc>
        <w:tc>
          <w:tcPr>
            <w:tcW w:w="1243" w:type="dxa"/>
            <w:tcBorders>
              <w:top w:val="nil"/>
              <w:left w:val="nil"/>
              <w:bottom w:val="single" w:sz="4" w:space="0" w:color="auto"/>
              <w:right w:val="single" w:sz="4" w:space="0" w:color="auto"/>
            </w:tcBorders>
            <w:shd w:val="clear" w:color="000000" w:fill="AB0033"/>
            <w:vAlign w:val="center"/>
            <w:hideMark/>
          </w:tcPr>
          <w:p w14:paraId="08D08504"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w:t>
            </w:r>
          </w:p>
        </w:tc>
        <w:tc>
          <w:tcPr>
            <w:tcW w:w="1007" w:type="dxa"/>
            <w:tcBorders>
              <w:top w:val="nil"/>
              <w:left w:val="nil"/>
              <w:bottom w:val="single" w:sz="4" w:space="0" w:color="auto"/>
              <w:right w:val="single" w:sz="4" w:space="0" w:color="auto"/>
            </w:tcBorders>
            <w:shd w:val="clear" w:color="000000" w:fill="AB0033"/>
            <w:vAlign w:val="center"/>
            <w:hideMark/>
          </w:tcPr>
          <w:p w14:paraId="428BA0DA"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w:t>
            </w:r>
          </w:p>
        </w:tc>
      </w:tr>
      <w:tr w:rsidR="008D403E" w:rsidRPr="008D403E" w14:paraId="59DCD485"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7211A0A9"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Mobiliario y Equipo de Administración</w:t>
            </w:r>
          </w:p>
        </w:tc>
        <w:tc>
          <w:tcPr>
            <w:tcW w:w="1243" w:type="dxa"/>
            <w:tcBorders>
              <w:top w:val="nil"/>
              <w:left w:val="nil"/>
              <w:bottom w:val="single" w:sz="4" w:space="0" w:color="auto"/>
              <w:right w:val="single" w:sz="4" w:space="0" w:color="auto"/>
            </w:tcBorders>
            <w:shd w:val="clear" w:color="auto" w:fill="auto"/>
            <w:noWrap/>
            <w:vAlign w:val="center"/>
            <w:hideMark/>
          </w:tcPr>
          <w:p w14:paraId="294D6750"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8,841,371</w:t>
            </w:r>
          </w:p>
        </w:tc>
        <w:tc>
          <w:tcPr>
            <w:tcW w:w="1243" w:type="dxa"/>
            <w:tcBorders>
              <w:top w:val="nil"/>
              <w:left w:val="nil"/>
              <w:bottom w:val="single" w:sz="4" w:space="0" w:color="auto"/>
              <w:right w:val="single" w:sz="4" w:space="0" w:color="auto"/>
            </w:tcBorders>
            <w:shd w:val="clear" w:color="auto" w:fill="auto"/>
            <w:noWrap/>
            <w:vAlign w:val="center"/>
            <w:hideMark/>
          </w:tcPr>
          <w:p w14:paraId="19812714"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-12,564,209</w:t>
            </w:r>
          </w:p>
        </w:tc>
        <w:tc>
          <w:tcPr>
            <w:tcW w:w="1243" w:type="dxa"/>
            <w:tcBorders>
              <w:top w:val="nil"/>
              <w:left w:val="nil"/>
              <w:bottom w:val="single" w:sz="4" w:space="0" w:color="auto"/>
              <w:right w:val="single" w:sz="4" w:space="0" w:color="auto"/>
            </w:tcBorders>
            <w:shd w:val="clear" w:color="auto" w:fill="auto"/>
            <w:noWrap/>
            <w:vAlign w:val="center"/>
            <w:hideMark/>
          </w:tcPr>
          <w:p w14:paraId="0AC4FAE4"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-510,519</w:t>
            </w:r>
          </w:p>
        </w:tc>
        <w:tc>
          <w:tcPr>
            <w:tcW w:w="1007" w:type="dxa"/>
            <w:tcBorders>
              <w:top w:val="nil"/>
              <w:left w:val="nil"/>
              <w:bottom w:val="single" w:sz="4" w:space="0" w:color="auto"/>
              <w:right w:val="single" w:sz="4" w:space="0" w:color="auto"/>
            </w:tcBorders>
            <w:shd w:val="clear" w:color="auto" w:fill="auto"/>
            <w:noWrap/>
            <w:vAlign w:val="center"/>
            <w:hideMark/>
          </w:tcPr>
          <w:p w14:paraId="41D9C163"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10.00%</w:t>
            </w:r>
          </w:p>
        </w:tc>
      </w:tr>
      <w:tr w:rsidR="008D403E" w:rsidRPr="008D403E" w14:paraId="6D29B845"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07D1DF31"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Equipo Educacional y Recreativo</w:t>
            </w:r>
          </w:p>
        </w:tc>
        <w:tc>
          <w:tcPr>
            <w:tcW w:w="1243" w:type="dxa"/>
            <w:tcBorders>
              <w:top w:val="nil"/>
              <w:left w:val="nil"/>
              <w:bottom w:val="single" w:sz="4" w:space="0" w:color="auto"/>
              <w:right w:val="single" w:sz="4" w:space="0" w:color="auto"/>
            </w:tcBorders>
            <w:shd w:val="clear" w:color="auto" w:fill="auto"/>
            <w:noWrap/>
            <w:vAlign w:val="center"/>
            <w:hideMark/>
          </w:tcPr>
          <w:p w14:paraId="196C0B5B"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0</w:t>
            </w:r>
          </w:p>
        </w:tc>
        <w:tc>
          <w:tcPr>
            <w:tcW w:w="1243" w:type="dxa"/>
            <w:tcBorders>
              <w:top w:val="nil"/>
              <w:left w:val="nil"/>
              <w:bottom w:val="single" w:sz="4" w:space="0" w:color="auto"/>
              <w:right w:val="single" w:sz="4" w:space="0" w:color="auto"/>
            </w:tcBorders>
            <w:shd w:val="clear" w:color="auto" w:fill="auto"/>
            <w:noWrap/>
            <w:vAlign w:val="center"/>
            <w:hideMark/>
          </w:tcPr>
          <w:p w14:paraId="60FC7082"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0 </w:t>
            </w:r>
          </w:p>
        </w:tc>
        <w:tc>
          <w:tcPr>
            <w:tcW w:w="1243" w:type="dxa"/>
            <w:tcBorders>
              <w:top w:val="nil"/>
              <w:left w:val="nil"/>
              <w:bottom w:val="single" w:sz="4" w:space="0" w:color="auto"/>
              <w:right w:val="single" w:sz="4" w:space="0" w:color="auto"/>
            </w:tcBorders>
            <w:shd w:val="clear" w:color="auto" w:fill="auto"/>
            <w:noWrap/>
            <w:vAlign w:val="center"/>
            <w:hideMark/>
          </w:tcPr>
          <w:p w14:paraId="4F750BE2"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0 </w:t>
            </w:r>
          </w:p>
        </w:tc>
        <w:tc>
          <w:tcPr>
            <w:tcW w:w="1007" w:type="dxa"/>
            <w:tcBorders>
              <w:top w:val="nil"/>
              <w:left w:val="nil"/>
              <w:bottom w:val="single" w:sz="4" w:space="0" w:color="auto"/>
              <w:right w:val="single" w:sz="4" w:space="0" w:color="auto"/>
            </w:tcBorders>
            <w:shd w:val="clear" w:color="auto" w:fill="auto"/>
            <w:noWrap/>
            <w:vAlign w:val="center"/>
            <w:hideMark/>
          </w:tcPr>
          <w:p w14:paraId="5855C314"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10.00%</w:t>
            </w:r>
          </w:p>
        </w:tc>
      </w:tr>
      <w:tr w:rsidR="008D403E" w:rsidRPr="008D403E" w14:paraId="27C5234B"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748F1F62"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Equipo de Transporte</w:t>
            </w:r>
          </w:p>
        </w:tc>
        <w:tc>
          <w:tcPr>
            <w:tcW w:w="1243" w:type="dxa"/>
            <w:tcBorders>
              <w:top w:val="nil"/>
              <w:left w:val="nil"/>
              <w:bottom w:val="single" w:sz="4" w:space="0" w:color="auto"/>
              <w:right w:val="single" w:sz="4" w:space="0" w:color="auto"/>
            </w:tcBorders>
            <w:shd w:val="clear" w:color="auto" w:fill="auto"/>
            <w:noWrap/>
            <w:vAlign w:val="center"/>
            <w:hideMark/>
          </w:tcPr>
          <w:p w14:paraId="31B3D73B"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7,201,835</w:t>
            </w:r>
          </w:p>
        </w:tc>
        <w:tc>
          <w:tcPr>
            <w:tcW w:w="1243" w:type="dxa"/>
            <w:tcBorders>
              <w:top w:val="nil"/>
              <w:left w:val="nil"/>
              <w:bottom w:val="single" w:sz="4" w:space="0" w:color="auto"/>
              <w:right w:val="single" w:sz="4" w:space="0" w:color="auto"/>
            </w:tcBorders>
            <w:shd w:val="clear" w:color="auto" w:fill="auto"/>
            <w:noWrap/>
            <w:vAlign w:val="center"/>
            <w:hideMark/>
          </w:tcPr>
          <w:p w14:paraId="5B54CA2C"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-2,369,331</w:t>
            </w:r>
          </w:p>
        </w:tc>
        <w:tc>
          <w:tcPr>
            <w:tcW w:w="1243" w:type="dxa"/>
            <w:tcBorders>
              <w:top w:val="nil"/>
              <w:left w:val="nil"/>
              <w:bottom w:val="single" w:sz="4" w:space="0" w:color="auto"/>
              <w:right w:val="single" w:sz="4" w:space="0" w:color="auto"/>
            </w:tcBorders>
            <w:shd w:val="clear" w:color="auto" w:fill="auto"/>
            <w:noWrap/>
            <w:vAlign w:val="center"/>
            <w:hideMark/>
          </w:tcPr>
          <w:p w14:paraId="5EDCEEB9"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0 </w:t>
            </w:r>
          </w:p>
        </w:tc>
        <w:tc>
          <w:tcPr>
            <w:tcW w:w="1007" w:type="dxa"/>
            <w:tcBorders>
              <w:top w:val="nil"/>
              <w:left w:val="nil"/>
              <w:bottom w:val="single" w:sz="4" w:space="0" w:color="auto"/>
              <w:right w:val="single" w:sz="4" w:space="0" w:color="auto"/>
            </w:tcBorders>
            <w:shd w:val="clear" w:color="auto" w:fill="auto"/>
            <w:noWrap/>
            <w:vAlign w:val="center"/>
            <w:hideMark/>
          </w:tcPr>
          <w:p w14:paraId="5CBF08E5"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4547458B" w14:textId="77777777" w:rsidTr="008D403E">
        <w:trPr>
          <w:trHeight w:val="292"/>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50E7AF83" w14:textId="77777777" w:rsidR="008D403E" w:rsidRPr="008D403E" w:rsidRDefault="008D403E" w:rsidP="00EC7D22">
            <w:pPr>
              <w:suppressAutoHyphens w:val="0"/>
              <w:overflowPunct/>
              <w:spacing w:after="0" w:line="240" w:lineRule="auto"/>
              <w:rPr>
                <w:rFonts w:eastAsia="Times New Roman" w:cs="Calibri"/>
                <w:color w:val="000000"/>
                <w:sz w:val="14"/>
                <w:szCs w:val="14"/>
                <w:lang w:eastAsia="es-MX"/>
              </w:rPr>
            </w:pPr>
            <w:r w:rsidRPr="008D403E">
              <w:rPr>
                <w:rFonts w:eastAsia="Times New Roman" w:cs="Calibri"/>
                <w:color w:val="000000"/>
                <w:sz w:val="14"/>
                <w:szCs w:val="14"/>
                <w:lang w:eastAsia="es-MX"/>
              </w:rPr>
              <w:t>Maquinaria, Otros Equipos y Herramientas</w:t>
            </w:r>
          </w:p>
        </w:tc>
        <w:tc>
          <w:tcPr>
            <w:tcW w:w="1243" w:type="dxa"/>
            <w:tcBorders>
              <w:top w:val="nil"/>
              <w:left w:val="nil"/>
              <w:bottom w:val="single" w:sz="4" w:space="0" w:color="auto"/>
              <w:right w:val="single" w:sz="4" w:space="0" w:color="auto"/>
            </w:tcBorders>
            <w:shd w:val="clear" w:color="auto" w:fill="auto"/>
            <w:noWrap/>
            <w:vAlign w:val="center"/>
            <w:hideMark/>
          </w:tcPr>
          <w:p w14:paraId="6345286D"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27,151,763</w:t>
            </w:r>
          </w:p>
        </w:tc>
        <w:tc>
          <w:tcPr>
            <w:tcW w:w="1243" w:type="dxa"/>
            <w:tcBorders>
              <w:top w:val="nil"/>
              <w:left w:val="nil"/>
              <w:bottom w:val="single" w:sz="4" w:space="0" w:color="auto"/>
              <w:right w:val="single" w:sz="4" w:space="0" w:color="auto"/>
            </w:tcBorders>
            <w:shd w:val="clear" w:color="auto" w:fill="auto"/>
            <w:noWrap/>
            <w:vAlign w:val="center"/>
            <w:hideMark/>
          </w:tcPr>
          <w:p w14:paraId="6F2CD6C1"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-12,022,939</w:t>
            </w:r>
          </w:p>
        </w:tc>
        <w:tc>
          <w:tcPr>
            <w:tcW w:w="1243" w:type="dxa"/>
            <w:tcBorders>
              <w:top w:val="nil"/>
              <w:left w:val="nil"/>
              <w:bottom w:val="single" w:sz="4" w:space="0" w:color="auto"/>
              <w:right w:val="single" w:sz="4" w:space="0" w:color="auto"/>
            </w:tcBorders>
            <w:shd w:val="clear" w:color="auto" w:fill="auto"/>
            <w:noWrap/>
            <w:vAlign w:val="center"/>
            <w:hideMark/>
          </w:tcPr>
          <w:p w14:paraId="26379F4E"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-2,775,289</w:t>
            </w:r>
          </w:p>
        </w:tc>
        <w:tc>
          <w:tcPr>
            <w:tcW w:w="1007" w:type="dxa"/>
            <w:tcBorders>
              <w:top w:val="nil"/>
              <w:left w:val="nil"/>
              <w:bottom w:val="single" w:sz="4" w:space="0" w:color="auto"/>
              <w:right w:val="single" w:sz="4" w:space="0" w:color="auto"/>
            </w:tcBorders>
            <w:shd w:val="clear" w:color="auto" w:fill="auto"/>
            <w:noWrap/>
            <w:vAlign w:val="center"/>
            <w:hideMark/>
          </w:tcPr>
          <w:p w14:paraId="3EE72A1C"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64D8AF20" w14:textId="77777777" w:rsidTr="008D403E">
        <w:trPr>
          <w:trHeight w:val="292"/>
        </w:trPr>
        <w:tc>
          <w:tcPr>
            <w:tcW w:w="3324" w:type="dxa"/>
            <w:tcBorders>
              <w:top w:val="nil"/>
              <w:left w:val="single" w:sz="4" w:space="0" w:color="auto"/>
              <w:bottom w:val="single" w:sz="4" w:space="0" w:color="auto"/>
              <w:right w:val="single" w:sz="4" w:space="0" w:color="auto"/>
            </w:tcBorders>
            <w:shd w:val="clear" w:color="000000" w:fill="DDC9A3"/>
            <w:vAlign w:val="center"/>
            <w:hideMark/>
          </w:tcPr>
          <w:p w14:paraId="5A43C960" w14:textId="77777777" w:rsidR="008D403E" w:rsidRPr="008D403E" w:rsidRDefault="008D403E" w:rsidP="00EC7D22">
            <w:pPr>
              <w:suppressAutoHyphens w:val="0"/>
              <w:overflowPunct/>
              <w:spacing w:after="0" w:line="240" w:lineRule="auto"/>
              <w:jc w:val="center"/>
              <w:rPr>
                <w:rFonts w:eastAsia="Times New Roman" w:cs="Calibri"/>
                <w:b/>
                <w:bCs/>
                <w:color w:val="000000"/>
                <w:sz w:val="14"/>
                <w:szCs w:val="14"/>
                <w:lang w:eastAsia="es-MX"/>
              </w:rPr>
            </w:pPr>
            <w:r w:rsidRPr="008D403E">
              <w:rPr>
                <w:rFonts w:eastAsia="Times New Roman" w:cs="Calibri"/>
                <w:b/>
                <w:bCs/>
                <w:color w:val="000000"/>
                <w:sz w:val="14"/>
                <w:szCs w:val="14"/>
                <w:lang w:eastAsia="es-MX"/>
              </w:rPr>
              <w:t>TOTAL</w:t>
            </w:r>
          </w:p>
        </w:tc>
        <w:tc>
          <w:tcPr>
            <w:tcW w:w="1243" w:type="dxa"/>
            <w:tcBorders>
              <w:top w:val="nil"/>
              <w:left w:val="nil"/>
              <w:bottom w:val="single" w:sz="4" w:space="0" w:color="auto"/>
              <w:right w:val="single" w:sz="4" w:space="0" w:color="auto"/>
            </w:tcBorders>
            <w:shd w:val="clear" w:color="000000" w:fill="DDC9A3"/>
            <w:vAlign w:val="center"/>
            <w:hideMark/>
          </w:tcPr>
          <w:p w14:paraId="75914695" w14:textId="77777777" w:rsidR="008D403E" w:rsidRPr="008D403E" w:rsidRDefault="008D403E" w:rsidP="00EC7D22">
            <w:pPr>
              <w:suppressAutoHyphens w:val="0"/>
              <w:overflowPunct/>
              <w:spacing w:after="0" w:line="240" w:lineRule="auto"/>
              <w:jc w:val="right"/>
              <w:rPr>
                <w:rFonts w:eastAsia="Times New Roman" w:cs="Calibri"/>
                <w:b/>
                <w:bCs/>
                <w:color w:val="000000"/>
                <w:sz w:val="14"/>
                <w:szCs w:val="14"/>
                <w:lang w:eastAsia="es-MX"/>
              </w:rPr>
            </w:pPr>
            <w:r w:rsidRPr="008D403E">
              <w:rPr>
                <w:rFonts w:eastAsia="Times New Roman" w:cs="Calibri"/>
                <w:b/>
                <w:bCs/>
                <w:color w:val="000000"/>
                <w:sz w:val="14"/>
                <w:szCs w:val="14"/>
                <w:lang w:eastAsia="es-MX"/>
              </w:rPr>
              <w:t>5,365,437,157</w:t>
            </w:r>
          </w:p>
        </w:tc>
        <w:tc>
          <w:tcPr>
            <w:tcW w:w="1243" w:type="dxa"/>
            <w:tcBorders>
              <w:top w:val="nil"/>
              <w:left w:val="nil"/>
              <w:bottom w:val="single" w:sz="4" w:space="0" w:color="auto"/>
              <w:right w:val="single" w:sz="4" w:space="0" w:color="auto"/>
            </w:tcBorders>
            <w:shd w:val="clear" w:color="000000" w:fill="DDC9A3"/>
            <w:vAlign w:val="center"/>
            <w:hideMark/>
          </w:tcPr>
          <w:p w14:paraId="614DB2BF" w14:textId="77777777" w:rsidR="008D403E" w:rsidRPr="008D403E" w:rsidRDefault="008D403E" w:rsidP="00EC7D22">
            <w:pPr>
              <w:suppressAutoHyphens w:val="0"/>
              <w:overflowPunct/>
              <w:spacing w:after="0" w:line="240" w:lineRule="auto"/>
              <w:jc w:val="right"/>
              <w:rPr>
                <w:rFonts w:eastAsia="Times New Roman" w:cs="Calibri"/>
                <w:b/>
                <w:bCs/>
                <w:color w:val="000000"/>
                <w:sz w:val="14"/>
                <w:szCs w:val="14"/>
                <w:lang w:eastAsia="es-MX"/>
              </w:rPr>
            </w:pPr>
            <w:r w:rsidRPr="008D403E">
              <w:rPr>
                <w:rFonts w:eastAsia="Times New Roman" w:cs="Calibri"/>
                <w:b/>
                <w:bCs/>
                <w:color w:val="000000"/>
                <w:sz w:val="14"/>
                <w:szCs w:val="14"/>
                <w:lang w:eastAsia="es-MX"/>
              </w:rPr>
              <w:t>-2,705,227,047</w:t>
            </w:r>
          </w:p>
        </w:tc>
        <w:tc>
          <w:tcPr>
            <w:tcW w:w="1243" w:type="dxa"/>
            <w:tcBorders>
              <w:top w:val="nil"/>
              <w:left w:val="nil"/>
              <w:bottom w:val="single" w:sz="4" w:space="0" w:color="auto"/>
              <w:right w:val="single" w:sz="4" w:space="0" w:color="auto"/>
            </w:tcBorders>
            <w:shd w:val="clear" w:color="000000" w:fill="DDC9A3"/>
            <w:vAlign w:val="center"/>
            <w:hideMark/>
          </w:tcPr>
          <w:p w14:paraId="7CCF2386" w14:textId="77777777" w:rsidR="008D403E" w:rsidRPr="008D403E" w:rsidRDefault="008D403E" w:rsidP="00EC7D22">
            <w:pPr>
              <w:suppressAutoHyphens w:val="0"/>
              <w:overflowPunct/>
              <w:spacing w:after="0" w:line="240" w:lineRule="auto"/>
              <w:jc w:val="right"/>
              <w:rPr>
                <w:rFonts w:eastAsia="Times New Roman" w:cs="Calibri"/>
                <w:b/>
                <w:bCs/>
                <w:color w:val="000000"/>
                <w:sz w:val="14"/>
                <w:szCs w:val="14"/>
                <w:lang w:eastAsia="es-MX"/>
              </w:rPr>
            </w:pPr>
            <w:r w:rsidRPr="008D403E">
              <w:rPr>
                <w:rFonts w:eastAsia="Times New Roman" w:cs="Calibri"/>
                <w:b/>
                <w:bCs/>
                <w:color w:val="000000"/>
                <w:sz w:val="14"/>
                <w:szCs w:val="14"/>
                <w:lang w:eastAsia="es-MX"/>
              </w:rPr>
              <w:t>-428,145,465</w:t>
            </w:r>
          </w:p>
        </w:tc>
        <w:tc>
          <w:tcPr>
            <w:tcW w:w="1007" w:type="dxa"/>
            <w:tcBorders>
              <w:top w:val="nil"/>
              <w:left w:val="nil"/>
              <w:bottom w:val="single" w:sz="4" w:space="0" w:color="auto"/>
              <w:right w:val="single" w:sz="4" w:space="0" w:color="auto"/>
            </w:tcBorders>
            <w:shd w:val="clear" w:color="000000" w:fill="DDC9A3"/>
            <w:vAlign w:val="center"/>
            <w:hideMark/>
          </w:tcPr>
          <w:p w14:paraId="3192B93A" w14:textId="77777777" w:rsidR="008D403E" w:rsidRPr="008D403E" w:rsidRDefault="008D403E" w:rsidP="00EC7D22">
            <w:pPr>
              <w:suppressAutoHyphens w:val="0"/>
              <w:overflowPunct/>
              <w:spacing w:after="0" w:line="240" w:lineRule="auto"/>
              <w:jc w:val="right"/>
              <w:rPr>
                <w:rFonts w:eastAsia="Times New Roman" w:cs="Calibri"/>
                <w:b/>
                <w:bCs/>
                <w:color w:val="000000"/>
                <w:sz w:val="14"/>
                <w:szCs w:val="14"/>
                <w:lang w:eastAsia="es-MX"/>
              </w:rPr>
            </w:pPr>
            <w:r w:rsidRPr="008D403E">
              <w:rPr>
                <w:rFonts w:eastAsia="Times New Roman" w:cs="Calibri"/>
                <w:b/>
                <w:bCs/>
                <w:color w:val="000000"/>
                <w:sz w:val="14"/>
                <w:szCs w:val="14"/>
                <w:lang w:eastAsia="es-MX"/>
              </w:rPr>
              <w:t> </w:t>
            </w:r>
          </w:p>
        </w:tc>
      </w:tr>
    </w:tbl>
    <w:p w14:paraId="6E755BF8" w14:textId="77777777" w:rsidR="008D403E" w:rsidRDefault="008D403E" w:rsidP="00EC7D22">
      <w:pPr>
        <w:spacing w:after="0"/>
        <w:rPr>
          <w:rFonts w:cs="Calibri"/>
          <w:b/>
          <w:sz w:val="20"/>
          <w:u w:val="single"/>
          <w:lang w:val="es-ES" w:eastAsia="es-ES"/>
        </w:rPr>
      </w:pPr>
    </w:p>
    <w:p w14:paraId="7D00B1D2" w14:textId="77777777" w:rsidR="009F11F0" w:rsidRDefault="009F11F0" w:rsidP="00EC7D22">
      <w:pPr>
        <w:spacing w:after="0"/>
        <w:rPr>
          <w:rFonts w:cs="Calibri"/>
          <w:sz w:val="10"/>
          <w:szCs w:val="10"/>
          <w:lang w:val="es-ES" w:eastAsia="es-ES"/>
        </w:rPr>
      </w:pPr>
    </w:p>
    <w:p w14:paraId="0A1956EB" w14:textId="77777777" w:rsidR="000C429E" w:rsidRDefault="000C429E" w:rsidP="00EC7D22">
      <w:pPr>
        <w:spacing w:after="0"/>
        <w:rPr>
          <w:rFonts w:cs="Calibri"/>
          <w:sz w:val="10"/>
          <w:szCs w:val="10"/>
          <w:lang w:val="es-ES" w:eastAsia="es-ES"/>
        </w:rPr>
      </w:pPr>
    </w:p>
    <w:p w14:paraId="63E4E7D0" w14:textId="77777777" w:rsidR="000C429E" w:rsidRDefault="000C429E" w:rsidP="00EC7D22">
      <w:pPr>
        <w:spacing w:after="0"/>
        <w:rPr>
          <w:rFonts w:cs="Calibri"/>
          <w:sz w:val="10"/>
          <w:szCs w:val="10"/>
          <w:lang w:val="es-ES" w:eastAsia="es-ES"/>
        </w:rPr>
      </w:pPr>
    </w:p>
    <w:p w14:paraId="4D44013D" w14:textId="77777777" w:rsidR="000C429E" w:rsidRDefault="000C429E" w:rsidP="00EC7D22">
      <w:pPr>
        <w:spacing w:after="0"/>
        <w:rPr>
          <w:rFonts w:cs="Calibri"/>
          <w:sz w:val="10"/>
          <w:szCs w:val="10"/>
          <w:lang w:val="es-ES" w:eastAsia="es-ES"/>
        </w:rPr>
      </w:pPr>
    </w:p>
    <w:p w14:paraId="554450A2" w14:textId="77777777" w:rsidR="000C429E" w:rsidRDefault="000C429E" w:rsidP="00EC7D22">
      <w:pPr>
        <w:spacing w:after="0"/>
        <w:rPr>
          <w:rFonts w:cs="Calibri"/>
          <w:sz w:val="10"/>
          <w:szCs w:val="10"/>
          <w:lang w:val="es-ES" w:eastAsia="es-ES"/>
        </w:rPr>
      </w:pPr>
    </w:p>
    <w:p w14:paraId="14F6B4DE" w14:textId="77777777" w:rsidR="00A743DD" w:rsidRDefault="00A743DD" w:rsidP="00EC7D22">
      <w:pPr>
        <w:spacing w:after="0"/>
        <w:rPr>
          <w:rFonts w:cs="Calibri"/>
          <w:sz w:val="10"/>
          <w:szCs w:val="10"/>
          <w:lang w:val="es-ES" w:eastAsia="es-ES"/>
        </w:rPr>
      </w:pPr>
    </w:p>
    <w:p w14:paraId="34F2095B" w14:textId="77777777" w:rsidR="00A743DD" w:rsidRDefault="00A743DD" w:rsidP="00EC7D22">
      <w:pPr>
        <w:spacing w:after="0"/>
        <w:rPr>
          <w:rFonts w:cs="Calibri"/>
          <w:sz w:val="10"/>
          <w:szCs w:val="10"/>
          <w:lang w:val="es-ES" w:eastAsia="es-ES"/>
        </w:rPr>
      </w:pPr>
    </w:p>
    <w:p w14:paraId="4C7B1E08" w14:textId="77777777" w:rsidR="009F11F0" w:rsidRDefault="009F11F0" w:rsidP="00EC7D22">
      <w:pPr>
        <w:spacing w:after="0"/>
        <w:rPr>
          <w:rFonts w:cs="Calibri"/>
          <w:sz w:val="10"/>
          <w:szCs w:val="10"/>
          <w:lang w:val="es-ES" w:eastAsia="es-ES"/>
        </w:rPr>
      </w:pPr>
    </w:p>
    <w:p w14:paraId="7FA33ADE" w14:textId="6543EDB6" w:rsidR="00B827F9" w:rsidRDefault="003D6CB5" w:rsidP="00EC7D22">
      <w:pPr>
        <w:pStyle w:val="Prrafodelista"/>
        <w:numPr>
          <w:ilvl w:val="0"/>
          <w:numId w:val="60"/>
        </w:numPr>
        <w:suppressAutoHyphens w:val="0"/>
        <w:overflowPunct/>
        <w:spacing w:after="0"/>
        <w:ind w:left="0" w:firstLine="0"/>
        <w:jc w:val="both"/>
        <w:rPr>
          <w:rFonts w:cs="Calibri"/>
          <w:sz w:val="20"/>
          <w:szCs w:val="20"/>
        </w:rPr>
      </w:pPr>
      <w:r w:rsidRPr="00B827F9">
        <w:rPr>
          <w:rFonts w:cs="Calibri"/>
          <w:sz w:val="20"/>
          <w:szCs w:val="20"/>
        </w:rPr>
        <w:lastRenderedPageBreak/>
        <w:t xml:space="preserve">Registro de la donación de 8 unidades de vehiculares por el Instituto Tamaulipeco de Becas, Estímulos y </w:t>
      </w:r>
      <w:r w:rsidR="00B827F9">
        <w:rPr>
          <w:rFonts w:cs="Calibri"/>
          <w:sz w:val="20"/>
          <w:szCs w:val="20"/>
        </w:rPr>
        <w:t>Créd</w:t>
      </w:r>
      <w:r w:rsidRPr="00B827F9">
        <w:rPr>
          <w:rFonts w:cs="Calibri"/>
          <w:sz w:val="20"/>
          <w:szCs w:val="20"/>
        </w:rPr>
        <w:t>ito Educativo (ITABEC), organismo público descentralizado del Estado, con valor total de $1,443,819.</w:t>
      </w:r>
    </w:p>
    <w:p w14:paraId="6BCDC615" w14:textId="77777777" w:rsidR="00E166CC" w:rsidRDefault="00E166CC" w:rsidP="00EC7D22">
      <w:pPr>
        <w:pStyle w:val="Prrafodelista"/>
        <w:suppressAutoHyphens w:val="0"/>
        <w:overflowPunct/>
        <w:spacing w:after="0"/>
        <w:ind w:left="0"/>
        <w:jc w:val="both"/>
        <w:rPr>
          <w:rFonts w:cs="Calibri"/>
          <w:sz w:val="20"/>
          <w:szCs w:val="20"/>
        </w:rPr>
      </w:pPr>
    </w:p>
    <w:p w14:paraId="0F5D16FD" w14:textId="56A6273D" w:rsidR="00B827F9" w:rsidRPr="00E166CC" w:rsidRDefault="00B827F9" w:rsidP="00EC7D22">
      <w:pPr>
        <w:pStyle w:val="Prrafodelista"/>
        <w:numPr>
          <w:ilvl w:val="0"/>
          <w:numId w:val="60"/>
        </w:numPr>
        <w:suppressAutoHyphens w:val="0"/>
        <w:overflowPunct/>
        <w:spacing w:after="0"/>
        <w:ind w:left="0" w:firstLine="0"/>
        <w:jc w:val="both"/>
        <w:rPr>
          <w:rFonts w:cs="Calibri"/>
          <w:sz w:val="20"/>
          <w:szCs w:val="20"/>
        </w:rPr>
      </w:pPr>
      <w:r w:rsidRPr="00E166CC">
        <w:rPr>
          <w:rFonts w:cs="Calibri"/>
          <w:sz w:val="20"/>
          <w:szCs w:val="20"/>
        </w:rPr>
        <w:t xml:space="preserve">Se </w:t>
      </w:r>
      <w:r w:rsidR="00476876" w:rsidRPr="00E166CC">
        <w:rPr>
          <w:rFonts w:cs="Calibri"/>
          <w:sz w:val="20"/>
          <w:szCs w:val="20"/>
        </w:rPr>
        <w:t>realizó</w:t>
      </w:r>
      <w:r w:rsidRPr="00E166CC">
        <w:rPr>
          <w:rFonts w:cs="Calibri"/>
          <w:sz w:val="20"/>
          <w:szCs w:val="20"/>
        </w:rPr>
        <w:t xml:space="preserve"> la baja por Venta de 42 unidades vehiculares los cuales estaban asignados a la Contraloría                       Gubernamental, por un mo</w:t>
      </w:r>
      <w:r w:rsidR="00E166CC" w:rsidRPr="00E166CC">
        <w:rPr>
          <w:rFonts w:cs="Calibri"/>
          <w:sz w:val="20"/>
          <w:szCs w:val="20"/>
        </w:rPr>
        <w:t>nto de $</w:t>
      </w:r>
      <w:r w:rsidRPr="00E166CC">
        <w:rPr>
          <w:rFonts w:cs="Calibri"/>
          <w:sz w:val="20"/>
          <w:szCs w:val="20"/>
        </w:rPr>
        <w:t>7,132,107</w:t>
      </w:r>
      <w:r w:rsidR="00E166CC" w:rsidRPr="00E166CC">
        <w:rPr>
          <w:rFonts w:cs="Calibri"/>
          <w:sz w:val="20"/>
          <w:szCs w:val="20"/>
        </w:rPr>
        <w:t>.</w:t>
      </w:r>
    </w:p>
    <w:p w14:paraId="1D5B1A2B" w14:textId="77777777" w:rsidR="00E166CC" w:rsidRDefault="00E166CC" w:rsidP="00EC7D22">
      <w:pPr>
        <w:suppressAutoHyphens w:val="0"/>
        <w:overflowPunct/>
        <w:spacing w:after="0"/>
        <w:jc w:val="both"/>
        <w:rPr>
          <w:rFonts w:cs="Calibri"/>
          <w:sz w:val="20"/>
          <w:szCs w:val="20"/>
        </w:rPr>
      </w:pPr>
    </w:p>
    <w:p w14:paraId="3E780553" w14:textId="602F98F7" w:rsidR="00B827F9" w:rsidRDefault="00B827F9" w:rsidP="00EC7D22">
      <w:pPr>
        <w:pStyle w:val="Prrafodelista"/>
        <w:numPr>
          <w:ilvl w:val="0"/>
          <w:numId w:val="60"/>
        </w:numPr>
        <w:suppressAutoHyphens w:val="0"/>
        <w:overflowPunct/>
        <w:spacing w:after="0"/>
        <w:ind w:left="0" w:firstLine="0"/>
        <w:jc w:val="both"/>
        <w:rPr>
          <w:rFonts w:cs="Calibri"/>
          <w:sz w:val="20"/>
          <w:szCs w:val="20"/>
        </w:rPr>
      </w:pPr>
      <w:r>
        <w:rPr>
          <w:rFonts w:cs="Calibri"/>
          <w:sz w:val="20"/>
          <w:szCs w:val="20"/>
        </w:rPr>
        <w:t xml:space="preserve">Las altas por compras ascendieron a </w:t>
      </w:r>
      <w:r w:rsidR="00C83058">
        <w:rPr>
          <w:rFonts w:cs="Calibri"/>
          <w:sz w:val="20"/>
          <w:szCs w:val="20"/>
        </w:rPr>
        <w:t>7,632</w:t>
      </w:r>
      <w:r>
        <w:rPr>
          <w:rFonts w:cs="Calibri"/>
          <w:sz w:val="20"/>
          <w:szCs w:val="20"/>
        </w:rPr>
        <w:t xml:space="preserve"> de bienes muebles e intangibles por un importe de $931,185,375., </w:t>
      </w:r>
      <w:r w:rsidR="00B66063">
        <w:rPr>
          <w:rFonts w:cs="Calibri"/>
          <w:sz w:val="20"/>
          <w:szCs w:val="20"/>
        </w:rPr>
        <w:t xml:space="preserve">los fideicomisos sin estructura dieron de alta mobiliario y equipo de administración por la cantidad de $2,882,184., siendo un total de 13 unidades registradas, así como </w:t>
      </w:r>
      <w:r w:rsidR="00E166CC">
        <w:rPr>
          <w:rFonts w:cs="Calibri"/>
          <w:sz w:val="20"/>
          <w:szCs w:val="20"/>
        </w:rPr>
        <w:t>el alta</w:t>
      </w:r>
      <w:r w:rsidR="00B66063">
        <w:rPr>
          <w:rFonts w:cs="Calibri"/>
          <w:sz w:val="20"/>
          <w:szCs w:val="20"/>
        </w:rPr>
        <w:t xml:space="preserve"> de 3 tractores con el valor total de $2,240,000.</w:t>
      </w:r>
    </w:p>
    <w:p w14:paraId="6654567E" w14:textId="77777777" w:rsidR="00E166CC" w:rsidRDefault="00E166CC" w:rsidP="00EC7D22">
      <w:pPr>
        <w:pStyle w:val="Prrafodelista"/>
        <w:suppressAutoHyphens w:val="0"/>
        <w:overflowPunct/>
        <w:spacing w:after="0"/>
        <w:ind w:left="0"/>
        <w:jc w:val="both"/>
        <w:rPr>
          <w:rFonts w:cs="Calibri"/>
          <w:sz w:val="20"/>
          <w:szCs w:val="20"/>
        </w:rPr>
      </w:pPr>
    </w:p>
    <w:p w14:paraId="7A9BBC6A" w14:textId="1422381F" w:rsidR="00B66063" w:rsidRDefault="00B66063" w:rsidP="00EC7D22">
      <w:pPr>
        <w:pStyle w:val="Prrafodelista"/>
        <w:numPr>
          <w:ilvl w:val="0"/>
          <w:numId w:val="60"/>
        </w:numPr>
        <w:suppressAutoHyphens w:val="0"/>
        <w:overflowPunct/>
        <w:spacing w:after="0"/>
        <w:ind w:left="0" w:firstLine="0"/>
        <w:jc w:val="both"/>
        <w:rPr>
          <w:rFonts w:cs="Calibri"/>
          <w:sz w:val="20"/>
          <w:szCs w:val="20"/>
        </w:rPr>
      </w:pPr>
      <w:r>
        <w:rPr>
          <w:rFonts w:cs="Calibri"/>
          <w:sz w:val="20"/>
          <w:szCs w:val="20"/>
        </w:rPr>
        <w:t xml:space="preserve"> Al cierre del </w:t>
      </w:r>
      <w:r w:rsidR="00311D91">
        <w:rPr>
          <w:rFonts w:cs="Calibri"/>
          <w:sz w:val="20"/>
          <w:szCs w:val="20"/>
        </w:rPr>
        <w:t>ejercicio</w:t>
      </w:r>
      <w:r>
        <w:rPr>
          <w:rFonts w:cs="Calibri"/>
          <w:sz w:val="20"/>
          <w:szCs w:val="20"/>
        </w:rPr>
        <w:t xml:space="preserve"> se acumulan 44</w:t>
      </w:r>
      <w:r w:rsidR="004803D1">
        <w:rPr>
          <w:rFonts w:cs="Calibri"/>
          <w:sz w:val="20"/>
          <w:szCs w:val="20"/>
        </w:rPr>
        <w:t>5</w:t>
      </w:r>
      <w:r>
        <w:rPr>
          <w:rFonts w:cs="Calibri"/>
          <w:sz w:val="20"/>
          <w:szCs w:val="20"/>
        </w:rPr>
        <w:t xml:space="preserve"> bienes desincorporados por concepto de</w:t>
      </w:r>
      <w:r w:rsidR="00E166CC">
        <w:rPr>
          <w:rFonts w:cs="Calibri"/>
          <w:sz w:val="20"/>
          <w:szCs w:val="20"/>
        </w:rPr>
        <w:t xml:space="preserve"> donación, obsolescencia</w:t>
      </w:r>
      <w:r>
        <w:rPr>
          <w:rFonts w:cs="Calibri"/>
          <w:sz w:val="20"/>
          <w:szCs w:val="20"/>
        </w:rPr>
        <w:t>, reclasificaciones al gasto o fallecimiento (activos biológicos), por un importe de $11,</w:t>
      </w:r>
      <w:r w:rsidR="004803D1">
        <w:rPr>
          <w:rFonts w:cs="Calibri"/>
          <w:sz w:val="20"/>
          <w:szCs w:val="20"/>
        </w:rPr>
        <w:t>098,016</w:t>
      </w:r>
      <w:r>
        <w:rPr>
          <w:rFonts w:cs="Calibri"/>
          <w:sz w:val="20"/>
          <w:szCs w:val="20"/>
        </w:rPr>
        <w:t>.</w:t>
      </w:r>
    </w:p>
    <w:p w14:paraId="6B2B03F7" w14:textId="77777777" w:rsidR="00696531" w:rsidRDefault="00696531" w:rsidP="00EC7D22">
      <w:pPr>
        <w:pStyle w:val="Prrafodelista"/>
        <w:suppressAutoHyphens w:val="0"/>
        <w:overflowPunct/>
        <w:spacing w:after="0"/>
        <w:ind w:left="0"/>
        <w:jc w:val="both"/>
        <w:rPr>
          <w:rFonts w:cs="Calibri"/>
          <w:sz w:val="20"/>
          <w:szCs w:val="20"/>
        </w:rPr>
      </w:pPr>
    </w:p>
    <w:p w14:paraId="6789D060" w14:textId="3C8DA3B4" w:rsidR="00A6788C" w:rsidRDefault="00A6788C" w:rsidP="00EC7D22">
      <w:pPr>
        <w:suppressAutoHyphens w:val="0"/>
        <w:overflowPunct/>
        <w:spacing w:after="0"/>
        <w:jc w:val="both"/>
        <w:rPr>
          <w:rFonts w:cs="Calibri"/>
          <w:sz w:val="20"/>
          <w:szCs w:val="20"/>
        </w:rPr>
      </w:pPr>
    </w:p>
    <w:p w14:paraId="4C7CFBEC" w14:textId="19A7FF6A" w:rsidR="007745EB" w:rsidRPr="00694CE6" w:rsidRDefault="00C87FDA" w:rsidP="00EC7D22">
      <w:pPr>
        <w:spacing w:after="0"/>
        <w:rPr>
          <w:rFonts w:eastAsia="Times New Roman" w:cs="Calibri"/>
          <w:b/>
          <w:sz w:val="20"/>
          <w:szCs w:val="18"/>
          <w:u w:val="single"/>
          <w:lang w:eastAsia="es-ES"/>
        </w:rPr>
      </w:pPr>
      <w:r w:rsidRPr="00694CE6">
        <w:rPr>
          <w:rFonts w:eastAsia="Times New Roman" w:cs="Calibri"/>
          <w:b/>
          <w:sz w:val="20"/>
          <w:szCs w:val="18"/>
          <w:u w:val="single"/>
          <w:lang w:eastAsia="es-ES"/>
        </w:rPr>
        <w:t>Activos Intangibles</w:t>
      </w:r>
    </w:p>
    <w:p w14:paraId="5CFE335D" w14:textId="77777777" w:rsidR="00A6788C" w:rsidRDefault="00A6788C" w:rsidP="00EC7D22">
      <w:pPr>
        <w:spacing w:after="0"/>
        <w:rPr>
          <w:rFonts w:eastAsia="Times New Roman" w:cs="Calibri"/>
          <w:b/>
          <w:sz w:val="20"/>
          <w:szCs w:val="18"/>
          <w:lang w:eastAsia="es-ES"/>
        </w:rPr>
      </w:pPr>
    </w:p>
    <w:tbl>
      <w:tblPr>
        <w:tblW w:w="8828" w:type="dxa"/>
        <w:tblCellMar>
          <w:left w:w="70" w:type="dxa"/>
          <w:right w:w="70" w:type="dxa"/>
        </w:tblCellMar>
        <w:tblLook w:val="04A0" w:firstRow="1" w:lastRow="0" w:firstColumn="1" w:lastColumn="0" w:noHBand="0" w:noVBand="1"/>
      </w:tblPr>
      <w:tblGrid>
        <w:gridCol w:w="2972"/>
        <w:gridCol w:w="1418"/>
        <w:gridCol w:w="1744"/>
        <w:gridCol w:w="1225"/>
        <w:gridCol w:w="1469"/>
      </w:tblGrid>
      <w:tr w:rsidR="008D403E" w:rsidRPr="008D403E" w14:paraId="60660AAE" w14:textId="77777777" w:rsidTr="00476876">
        <w:trPr>
          <w:trHeight w:val="737"/>
        </w:trPr>
        <w:tc>
          <w:tcPr>
            <w:tcW w:w="2972" w:type="dxa"/>
            <w:tcBorders>
              <w:top w:val="single" w:sz="4" w:space="0" w:color="auto"/>
              <w:left w:val="single" w:sz="4" w:space="0" w:color="auto"/>
              <w:bottom w:val="single" w:sz="4" w:space="0" w:color="auto"/>
              <w:right w:val="single" w:sz="4" w:space="0" w:color="auto"/>
            </w:tcBorders>
            <w:shd w:val="clear" w:color="000000" w:fill="AB0033"/>
            <w:vAlign w:val="center"/>
            <w:hideMark/>
          </w:tcPr>
          <w:p w14:paraId="112B0EB5"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xml:space="preserve">Activos Intangibles </w:t>
            </w:r>
          </w:p>
        </w:tc>
        <w:tc>
          <w:tcPr>
            <w:tcW w:w="1418" w:type="dxa"/>
            <w:tcBorders>
              <w:top w:val="single" w:sz="4" w:space="0" w:color="auto"/>
              <w:left w:val="nil"/>
              <w:bottom w:val="single" w:sz="4" w:space="0" w:color="auto"/>
              <w:right w:val="single" w:sz="4" w:space="0" w:color="auto"/>
            </w:tcBorders>
            <w:shd w:val="clear" w:color="000000" w:fill="AB0033"/>
            <w:vAlign w:val="center"/>
            <w:hideMark/>
          </w:tcPr>
          <w:p w14:paraId="3BDFDF0A"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Importe</w:t>
            </w:r>
          </w:p>
        </w:tc>
        <w:tc>
          <w:tcPr>
            <w:tcW w:w="1744" w:type="dxa"/>
            <w:tcBorders>
              <w:top w:val="single" w:sz="4" w:space="0" w:color="auto"/>
              <w:left w:val="nil"/>
              <w:bottom w:val="single" w:sz="4" w:space="0" w:color="auto"/>
              <w:right w:val="single" w:sz="4" w:space="0" w:color="auto"/>
            </w:tcBorders>
            <w:shd w:val="clear" w:color="000000" w:fill="AB0033"/>
            <w:vAlign w:val="center"/>
            <w:hideMark/>
          </w:tcPr>
          <w:p w14:paraId="167C5FB2"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Depreciación Acumulada al 31 de Diciembre de 2023</w:t>
            </w:r>
          </w:p>
        </w:tc>
        <w:tc>
          <w:tcPr>
            <w:tcW w:w="1225" w:type="dxa"/>
            <w:tcBorders>
              <w:top w:val="single" w:sz="4" w:space="0" w:color="auto"/>
              <w:left w:val="nil"/>
              <w:bottom w:val="single" w:sz="4" w:space="0" w:color="auto"/>
              <w:right w:val="single" w:sz="4" w:space="0" w:color="auto"/>
            </w:tcBorders>
            <w:shd w:val="clear" w:color="000000" w:fill="AB0033"/>
            <w:vAlign w:val="center"/>
            <w:hideMark/>
          </w:tcPr>
          <w:p w14:paraId="3C6FFA12"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Depreciación del Ejercicio</w:t>
            </w:r>
          </w:p>
        </w:tc>
        <w:tc>
          <w:tcPr>
            <w:tcW w:w="1469" w:type="dxa"/>
            <w:tcBorders>
              <w:top w:val="single" w:sz="4" w:space="0" w:color="auto"/>
              <w:left w:val="nil"/>
              <w:bottom w:val="single" w:sz="4" w:space="0" w:color="auto"/>
              <w:right w:val="single" w:sz="4" w:space="0" w:color="auto"/>
            </w:tcBorders>
            <w:shd w:val="clear" w:color="000000" w:fill="AB0033"/>
            <w:vAlign w:val="center"/>
            <w:hideMark/>
          </w:tcPr>
          <w:p w14:paraId="43FE34CA" w14:textId="77777777" w:rsidR="00476876"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xml:space="preserve">Tasa Anual de </w:t>
            </w:r>
          </w:p>
          <w:p w14:paraId="2ED9462D" w14:textId="1E3074D1"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xml:space="preserve">Depreciación </w:t>
            </w:r>
          </w:p>
        </w:tc>
      </w:tr>
      <w:tr w:rsidR="008D403E" w:rsidRPr="008D403E" w14:paraId="4A9DAC33" w14:textId="77777777" w:rsidTr="00797579">
        <w:trPr>
          <w:trHeight w:val="3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5B4A95A" w14:textId="77777777" w:rsidR="008D403E" w:rsidRPr="008D403E" w:rsidRDefault="008D403E" w:rsidP="00EC7D22">
            <w:pPr>
              <w:suppressAutoHyphens w:val="0"/>
              <w:overflowPunct/>
              <w:spacing w:after="0" w:line="240" w:lineRule="auto"/>
              <w:jc w:val="both"/>
              <w:rPr>
                <w:rFonts w:eastAsia="Times New Roman" w:cs="Calibri"/>
                <w:color w:val="000000"/>
                <w:sz w:val="14"/>
                <w:szCs w:val="14"/>
                <w:lang w:eastAsia="es-MX"/>
              </w:rPr>
            </w:pPr>
            <w:r w:rsidRPr="008D403E">
              <w:rPr>
                <w:rFonts w:eastAsia="Times New Roman" w:cs="Calibri"/>
                <w:color w:val="000000"/>
                <w:sz w:val="14"/>
                <w:szCs w:val="14"/>
                <w:lang w:eastAsia="es-MX"/>
              </w:rPr>
              <w:t>Software</w:t>
            </w:r>
          </w:p>
        </w:tc>
        <w:tc>
          <w:tcPr>
            <w:tcW w:w="1418" w:type="dxa"/>
            <w:tcBorders>
              <w:top w:val="nil"/>
              <w:left w:val="nil"/>
              <w:bottom w:val="single" w:sz="4" w:space="0" w:color="auto"/>
              <w:right w:val="single" w:sz="4" w:space="0" w:color="auto"/>
            </w:tcBorders>
            <w:shd w:val="clear" w:color="auto" w:fill="auto"/>
            <w:vAlign w:val="center"/>
            <w:hideMark/>
          </w:tcPr>
          <w:p w14:paraId="3ED1AA00"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199,295,086</w:t>
            </w:r>
          </w:p>
        </w:tc>
        <w:tc>
          <w:tcPr>
            <w:tcW w:w="1744" w:type="dxa"/>
            <w:tcBorders>
              <w:top w:val="nil"/>
              <w:left w:val="nil"/>
              <w:bottom w:val="single" w:sz="4" w:space="0" w:color="auto"/>
              <w:right w:val="single" w:sz="4" w:space="0" w:color="auto"/>
            </w:tcBorders>
            <w:shd w:val="clear" w:color="auto" w:fill="auto"/>
            <w:vAlign w:val="center"/>
            <w:hideMark/>
          </w:tcPr>
          <w:p w14:paraId="0C73A6B5"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-159,501,107</w:t>
            </w:r>
          </w:p>
        </w:tc>
        <w:tc>
          <w:tcPr>
            <w:tcW w:w="1225" w:type="dxa"/>
            <w:tcBorders>
              <w:top w:val="nil"/>
              <w:left w:val="nil"/>
              <w:bottom w:val="single" w:sz="4" w:space="0" w:color="auto"/>
              <w:right w:val="single" w:sz="4" w:space="0" w:color="auto"/>
            </w:tcBorders>
            <w:shd w:val="clear" w:color="auto" w:fill="auto"/>
            <w:vAlign w:val="center"/>
            <w:hideMark/>
          </w:tcPr>
          <w:p w14:paraId="4BCF2606"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-13,984,320</w:t>
            </w:r>
          </w:p>
        </w:tc>
        <w:tc>
          <w:tcPr>
            <w:tcW w:w="1469" w:type="dxa"/>
            <w:tcBorders>
              <w:top w:val="nil"/>
              <w:left w:val="nil"/>
              <w:bottom w:val="single" w:sz="4" w:space="0" w:color="auto"/>
              <w:right w:val="single" w:sz="4" w:space="0" w:color="auto"/>
            </w:tcBorders>
            <w:shd w:val="clear" w:color="auto" w:fill="auto"/>
            <w:noWrap/>
            <w:vAlign w:val="center"/>
            <w:hideMark/>
          </w:tcPr>
          <w:p w14:paraId="64F29DD4"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2914E598" w14:textId="77777777" w:rsidTr="00797579">
        <w:trPr>
          <w:trHeight w:val="3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DE406BB" w14:textId="77777777" w:rsidR="008D403E" w:rsidRPr="008D403E" w:rsidRDefault="008D403E" w:rsidP="00EC7D22">
            <w:pPr>
              <w:suppressAutoHyphens w:val="0"/>
              <w:overflowPunct/>
              <w:spacing w:after="0" w:line="240" w:lineRule="auto"/>
              <w:jc w:val="both"/>
              <w:rPr>
                <w:rFonts w:eastAsia="Times New Roman" w:cs="Calibri"/>
                <w:color w:val="000000"/>
                <w:sz w:val="14"/>
                <w:szCs w:val="14"/>
                <w:lang w:eastAsia="es-MX"/>
              </w:rPr>
            </w:pPr>
            <w:r w:rsidRPr="008D403E">
              <w:rPr>
                <w:rFonts w:eastAsia="Times New Roman" w:cs="Calibri"/>
                <w:color w:val="000000"/>
                <w:sz w:val="14"/>
                <w:szCs w:val="14"/>
                <w:lang w:eastAsia="es-MX"/>
              </w:rPr>
              <w:t>Patentes Marcas y Derechos</w:t>
            </w:r>
          </w:p>
        </w:tc>
        <w:tc>
          <w:tcPr>
            <w:tcW w:w="1418" w:type="dxa"/>
            <w:tcBorders>
              <w:top w:val="nil"/>
              <w:left w:val="nil"/>
              <w:bottom w:val="single" w:sz="4" w:space="0" w:color="auto"/>
              <w:right w:val="single" w:sz="4" w:space="0" w:color="auto"/>
            </w:tcBorders>
            <w:shd w:val="clear" w:color="auto" w:fill="auto"/>
            <w:vAlign w:val="center"/>
            <w:hideMark/>
          </w:tcPr>
          <w:p w14:paraId="4FE3047B"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5,702</w:t>
            </w:r>
          </w:p>
        </w:tc>
        <w:tc>
          <w:tcPr>
            <w:tcW w:w="1744" w:type="dxa"/>
            <w:tcBorders>
              <w:top w:val="nil"/>
              <w:left w:val="nil"/>
              <w:bottom w:val="single" w:sz="4" w:space="0" w:color="auto"/>
              <w:right w:val="single" w:sz="4" w:space="0" w:color="auto"/>
            </w:tcBorders>
            <w:shd w:val="clear" w:color="auto" w:fill="auto"/>
            <w:vAlign w:val="center"/>
            <w:hideMark/>
          </w:tcPr>
          <w:p w14:paraId="532FC6A3"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-2,732</w:t>
            </w:r>
          </w:p>
        </w:tc>
        <w:tc>
          <w:tcPr>
            <w:tcW w:w="1225" w:type="dxa"/>
            <w:tcBorders>
              <w:top w:val="nil"/>
              <w:left w:val="nil"/>
              <w:bottom w:val="single" w:sz="4" w:space="0" w:color="auto"/>
              <w:right w:val="single" w:sz="4" w:space="0" w:color="auto"/>
            </w:tcBorders>
            <w:shd w:val="clear" w:color="auto" w:fill="auto"/>
            <w:vAlign w:val="center"/>
            <w:hideMark/>
          </w:tcPr>
          <w:p w14:paraId="6AE440E4"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-475</w:t>
            </w:r>
          </w:p>
        </w:tc>
        <w:tc>
          <w:tcPr>
            <w:tcW w:w="1469" w:type="dxa"/>
            <w:tcBorders>
              <w:top w:val="nil"/>
              <w:left w:val="nil"/>
              <w:bottom w:val="single" w:sz="4" w:space="0" w:color="auto"/>
              <w:right w:val="single" w:sz="4" w:space="0" w:color="auto"/>
            </w:tcBorders>
            <w:shd w:val="clear" w:color="auto" w:fill="auto"/>
            <w:noWrap/>
            <w:vAlign w:val="center"/>
            <w:hideMark/>
          </w:tcPr>
          <w:p w14:paraId="519A5753"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6187C649" w14:textId="77777777" w:rsidTr="00797579">
        <w:trPr>
          <w:trHeight w:val="3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1B8B4EA" w14:textId="77777777" w:rsidR="008D403E" w:rsidRPr="008D403E" w:rsidRDefault="008D403E" w:rsidP="00EC7D22">
            <w:pPr>
              <w:suppressAutoHyphens w:val="0"/>
              <w:overflowPunct/>
              <w:spacing w:after="0" w:line="240" w:lineRule="auto"/>
              <w:jc w:val="both"/>
              <w:rPr>
                <w:rFonts w:eastAsia="Times New Roman" w:cs="Calibri"/>
                <w:color w:val="000000"/>
                <w:sz w:val="14"/>
                <w:szCs w:val="14"/>
                <w:lang w:eastAsia="es-MX"/>
              </w:rPr>
            </w:pPr>
            <w:r w:rsidRPr="008D403E">
              <w:rPr>
                <w:rFonts w:eastAsia="Times New Roman" w:cs="Calibri"/>
                <w:color w:val="000000"/>
                <w:sz w:val="14"/>
                <w:szCs w:val="14"/>
                <w:lang w:eastAsia="es-MX"/>
              </w:rPr>
              <w:t>Licencia</w:t>
            </w:r>
          </w:p>
        </w:tc>
        <w:tc>
          <w:tcPr>
            <w:tcW w:w="1418" w:type="dxa"/>
            <w:tcBorders>
              <w:top w:val="nil"/>
              <w:left w:val="nil"/>
              <w:bottom w:val="single" w:sz="4" w:space="0" w:color="auto"/>
              <w:right w:val="single" w:sz="4" w:space="0" w:color="auto"/>
            </w:tcBorders>
            <w:shd w:val="clear" w:color="auto" w:fill="auto"/>
            <w:vAlign w:val="center"/>
            <w:hideMark/>
          </w:tcPr>
          <w:p w14:paraId="46012D6E"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166,913,656</w:t>
            </w:r>
          </w:p>
        </w:tc>
        <w:tc>
          <w:tcPr>
            <w:tcW w:w="1744" w:type="dxa"/>
            <w:tcBorders>
              <w:top w:val="nil"/>
              <w:left w:val="nil"/>
              <w:bottom w:val="single" w:sz="4" w:space="0" w:color="auto"/>
              <w:right w:val="single" w:sz="4" w:space="0" w:color="auto"/>
            </w:tcBorders>
            <w:shd w:val="clear" w:color="auto" w:fill="auto"/>
            <w:vAlign w:val="center"/>
            <w:hideMark/>
          </w:tcPr>
          <w:p w14:paraId="3638A62F"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-94,465,624</w:t>
            </w:r>
          </w:p>
        </w:tc>
        <w:tc>
          <w:tcPr>
            <w:tcW w:w="1225" w:type="dxa"/>
            <w:tcBorders>
              <w:top w:val="nil"/>
              <w:left w:val="nil"/>
              <w:bottom w:val="single" w:sz="4" w:space="0" w:color="auto"/>
              <w:right w:val="single" w:sz="4" w:space="0" w:color="auto"/>
            </w:tcBorders>
            <w:shd w:val="clear" w:color="auto" w:fill="auto"/>
            <w:vAlign w:val="center"/>
            <w:hideMark/>
          </w:tcPr>
          <w:p w14:paraId="364C2F05"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-19,060,758</w:t>
            </w:r>
          </w:p>
        </w:tc>
        <w:tc>
          <w:tcPr>
            <w:tcW w:w="1469" w:type="dxa"/>
            <w:tcBorders>
              <w:top w:val="nil"/>
              <w:left w:val="nil"/>
              <w:bottom w:val="single" w:sz="4" w:space="0" w:color="auto"/>
              <w:right w:val="single" w:sz="4" w:space="0" w:color="auto"/>
            </w:tcBorders>
            <w:shd w:val="clear" w:color="auto" w:fill="auto"/>
            <w:noWrap/>
            <w:vAlign w:val="center"/>
            <w:hideMark/>
          </w:tcPr>
          <w:p w14:paraId="23B49368"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75678C19" w14:textId="77777777" w:rsidTr="00797579">
        <w:trPr>
          <w:trHeight w:val="3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0CEBFA1" w14:textId="77777777" w:rsidR="008D403E" w:rsidRPr="008D403E" w:rsidRDefault="008D403E" w:rsidP="00EC7D22">
            <w:pPr>
              <w:suppressAutoHyphens w:val="0"/>
              <w:overflowPunct/>
              <w:spacing w:after="0" w:line="240" w:lineRule="auto"/>
              <w:jc w:val="both"/>
              <w:rPr>
                <w:rFonts w:eastAsia="Times New Roman" w:cs="Calibri"/>
                <w:color w:val="000000"/>
                <w:sz w:val="14"/>
                <w:szCs w:val="14"/>
                <w:lang w:eastAsia="es-MX"/>
              </w:rPr>
            </w:pPr>
            <w:r w:rsidRPr="008D403E">
              <w:rPr>
                <w:rFonts w:eastAsia="Times New Roman" w:cs="Calibri"/>
                <w:color w:val="000000"/>
                <w:sz w:val="14"/>
                <w:szCs w:val="14"/>
                <w:lang w:eastAsia="es-MX"/>
              </w:rPr>
              <w:t>Otros Activos Intangibles</w:t>
            </w:r>
          </w:p>
        </w:tc>
        <w:tc>
          <w:tcPr>
            <w:tcW w:w="1418" w:type="dxa"/>
            <w:tcBorders>
              <w:top w:val="nil"/>
              <w:left w:val="nil"/>
              <w:bottom w:val="single" w:sz="4" w:space="0" w:color="auto"/>
              <w:right w:val="single" w:sz="4" w:space="0" w:color="auto"/>
            </w:tcBorders>
            <w:shd w:val="clear" w:color="auto" w:fill="auto"/>
            <w:vAlign w:val="center"/>
            <w:hideMark/>
          </w:tcPr>
          <w:p w14:paraId="069A468E"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427,965</w:t>
            </w:r>
          </w:p>
        </w:tc>
        <w:tc>
          <w:tcPr>
            <w:tcW w:w="1744" w:type="dxa"/>
            <w:tcBorders>
              <w:top w:val="nil"/>
              <w:left w:val="nil"/>
              <w:bottom w:val="single" w:sz="4" w:space="0" w:color="auto"/>
              <w:right w:val="single" w:sz="4" w:space="0" w:color="auto"/>
            </w:tcBorders>
            <w:shd w:val="clear" w:color="auto" w:fill="auto"/>
            <w:vAlign w:val="center"/>
            <w:hideMark/>
          </w:tcPr>
          <w:p w14:paraId="67915880"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-427,965</w:t>
            </w:r>
          </w:p>
        </w:tc>
        <w:tc>
          <w:tcPr>
            <w:tcW w:w="1225" w:type="dxa"/>
            <w:tcBorders>
              <w:top w:val="nil"/>
              <w:left w:val="nil"/>
              <w:bottom w:val="single" w:sz="4" w:space="0" w:color="auto"/>
              <w:right w:val="single" w:sz="4" w:space="0" w:color="auto"/>
            </w:tcBorders>
            <w:shd w:val="clear" w:color="auto" w:fill="auto"/>
            <w:vAlign w:val="center"/>
            <w:hideMark/>
          </w:tcPr>
          <w:p w14:paraId="4DFD1911"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 </w:t>
            </w:r>
          </w:p>
        </w:tc>
        <w:tc>
          <w:tcPr>
            <w:tcW w:w="1469" w:type="dxa"/>
            <w:tcBorders>
              <w:top w:val="nil"/>
              <w:left w:val="nil"/>
              <w:bottom w:val="single" w:sz="4" w:space="0" w:color="auto"/>
              <w:right w:val="single" w:sz="4" w:space="0" w:color="auto"/>
            </w:tcBorders>
            <w:shd w:val="clear" w:color="auto" w:fill="auto"/>
            <w:noWrap/>
            <w:vAlign w:val="center"/>
            <w:hideMark/>
          </w:tcPr>
          <w:p w14:paraId="01B7709B"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7CACC836" w14:textId="77777777" w:rsidTr="00797579">
        <w:trPr>
          <w:trHeight w:val="340"/>
        </w:trPr>
        <w:tc>
          <w:tcPr>
            <w:tcW w:w="2972" w:type="dxa"/>
            <w:tcBorders>
              <w:top w:val="nil"/>
              <w:left w:val="single" w:sz="4" w:space="0" w:color="auto"/>
              <w:bottom w:val="single" w:sz="4" w:space="0" w:color="auto"/>
              <w:right w:val="single" w:sz="4" w:space="0" w:color="auto"/>
            </w:tcBorders>
            <w:shd w:val="clear" w:color="000000" w:fill="AB0033"/>
            <w:vAlign w:val="center"/>
            <w:hideMark/>
          </w:tcPr>
          <w:p w14:paraId="20769838"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Fideicomisos</w:t>
            </w:r>
          </w:p>
        </w:tc>
        <w:tc>
          <w:tcPr>
            <w:tcW w:w="1418" w:type="dxa"/>
            <w:tcBorders>
              <w:top w:val="nil"/>
              <w:left w:val="nil"/>
              <w:bottom w:val="single" w:sz="4" w:space="0" w:color="auto"/>
              <w:right w:val="single" w:sz="4" w:space="0" w:color="auto"/>
            </w:tcBorders>
            <w:shd w:val="clear" w:color="000000" w:fill="AB0033"/>
            <w:vAlign w:val="center"/>
            <w:hideMark/>
          </w:tcPr>
          <w:p w14:paraId="00BA4D93"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w:t>
            </w:r>
          </w:p>
        </w:tc>
        <w:tc>
          <w:tcPr>
            <w:tcW w:w="1744" w:type="dxa"/>
            <w:tcBorders>
              <w:top w:val="nil"/>
              <w:left w:val="nil"/>
              <w:bottom w:val="single" w:sz="4" w:space="0" w:color="auto"/>
              <w:right w:val="single" w:sz="4" w:space="0" w:color="auto"/>
            </w:tcBorders>
            <w:shd w:val="clear" w:color="000000" w:fill="AB0033"/>
            <w:vAlign w:val="center"/>
            <w:hideMark/>
          </w:tcPr>
          <w:p w14:paraId="063EC0D8"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w:t>
            </w:r>
          </w:p>
        </w:tc>
        <w:tc>
          <w:tcPr>
            <w:tcW w:w="1225" w:type="dxa"/>
            <w:tcBorders>
              <w:top w:val="nil"/>
              <w:left w:val="nil"/>
              <w:bottom w:val="single" w:sz="4" w:space="0" w:color="auto"/>
              <w:right w:val="single" w:sz="4" w:space="0" w:color="auto"/>
            </w:tcBorders>
            <w:shd w:val="clear" w:color="000000" w:fill="AB0033"/>
            <w:vAlign w:val="center"/>
            <w:hideMark/>
          </w:tcPr>
          <w:p w14:paraId="3078DA0A"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w:t>
            </w:r>
          </w:p>
        </w:tc>
        <w:tc>
          <w:tcPr>
            <w:tcW w:w="1469" w:type="dxa"/>
            <w:tcBorders>
              <w:top w:val="nil"/>
              <w:left w:val="nil"/>
              <w:bottom w:val="single" w:sz="4" w:space="0" w:color="auto"/>
              <w:right w:val="single" w:sz="4" w:space="0" w:color="auto"/>
            </w:tcBorders>
            <w:shd w:val="clear" w:color="000000" w:fill="AB0033"/>
            <w:vAlign w:val="center"/>
            <w:hideMark/>
          </w:tcPr>
          <w:p w14:paraId="2751801E" w14:textId="77777777" w:rsidR="008D403E" w:rsidRPr="008D403E" w:rsidRDefault="008D403E" w:rsidP="00EC7D22">
            <w:pPr>
              <w:suppressAutoHyphens w:val="0"/>
              <w:overflowPunct/>
              <w:spacing w:after="0" w:line="240" w:lineRule="auto"/>
              <w:jc w:val="center"/>
              <w:rPr>
                <w:rFonts w:eastAsia="Times New Roman" w:cs="Calibri"/>
                <w:b/>
                <w:bCs/>
                <w:color w:val="FFFFFF"/>
                <w:sz w:val="16"/>
                <w:szCs w:val="16"/>
                <w:lang w:eastAsia="es-MX"/>
              </w:rPr>
            </w:pPr>
            <w:r w:rsidRPr="008D403E">
              <w:rPr>
                <w:rFonts w:eastAsia="Times New Roman" w:cs="Calibri"/>
                <w:b/>
                <w:bCs/>
                <w:color w:val="FFFFFF"/>
                <w:sz w:val="16"/>
                <w:szCs w:val="16"/>
                <w:lang w:eastAsia="es-MX"/>
              </w:rPr>
              <w:t> </w:t>
            </w:r>
          </w:p>
        </w:tc>
      </w:tr>
      <w:tr w:rsidR="008D403E" w:rsidRPr="008D403E" w14:paraId="7EEFAC53" w14:textId="77777777" w:rsidTr="00797579">
        <w:trPr>
          <w:trHeight w:val="3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B89C8DA" w14:textId="77777777" w:rsidR="008D403E" w:rsidRPr="008D403E" w:rsidRDefault="008D403E" w:rsidP="00EC7D22">
            <w:pPr>
              <w:suppressAutoHyphens w:val="0"/>
              <w:overflowPunct/>
              <w:spacing w:after="0" w:line="240" w:lineRule="auto"/>
              <w:jc w:val="both"/>
              <w:rPr>
                <w:rFonts w:eastAsia="Times New Roman" w:cs="Calibri"/>
                <w:color w:val="000000"/>
                <w:sz w:val="14"/>
                <w:szCs w:val="14"/>
                <w:lang w:eastAsia="es-MX"/>
              </w:rPr>
            </w:pPr>
            <w:r w:rsidRPr="008D403E">
              <w:rPr>
                <w:rFonts w:eastAsia="Times New Roman" w:cs="Calibri"/>
                <w:color w:val="000000"/>
                <w:sz w:val="14"/>
                <w:szCs w:val="14"/>
                <w:lang w:eastAsia="es-MX"/>
              </w:rPr>
              <w:t>Software</w:t>
            </w:r>
          </w:p>
        </w:tc>
        <w:tc>
          <w:tcPr>
            <w:tcW w:w="1418" w:type="dxa"/>
            <w:tcBorders>
              <w:top w:val="nil"/>
              <w:left w:val="nil"/>
              <w:bottom w:val="single" w:sz="4" w:space="0" w:color="auto"/>
              <w:right w:val="single" w:sz="4" w:space="0" w:color="auto"/>
            </w:tcBorders>
            <w:shd w:val="clear" w:color="auto" w:fill="auto"/>
            <w:vAlign w:val="center"/>
            <w:hideMark/>
          </w:tcPr>
          <w:p w14:paraId="3FEB0D6A"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12,282,598</w:t>
            </w:r>
          </w:p>
        </w:tc>
        <w:tc>
          <w:tcPr>
            <w:tcW w:w="1744" w:type="dxa"/>
            <w:tcBorders>
              <w:top w:val="nil"/>
              <w:left w:val="nil"/>
              <w:bottom w:val="single" w:sz="4" w:space="0" w:color="auto"/>
              <w:right w:val="single" w:sz="4" w:space="0" w:color="auto"/>
            </w:tcBorders>
            <w:shd w:val="clear" w:color="auto" w:fill="auto"/>
            <w:vAlign w:val="center"/>
            <w:hideMark/>
          </w:tcPr>
          <w:p w14:paraId="376E7A85"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-3,732,115</w:t>
            </w:r>
          </w:p>
        </w:tc>
        <w:tc>
          <w:tcPr>
            <w:tcW w:w="1225" w:type="dxa"/>
            <w:tcBorders>
              <w:top w:val="nil"/>
              <w:left w:val="nil"/>
              <w:bottom w:val="single" w:sz="4" w:space="0" w:color="auto"/>
              <w:right w:val="single" w:sz="4" w:space="0" w:color="auto"/>
            </w:tcBorders>
            <w:shd w:val="clear" w:color="auto" w:fill="auto"/>
            <w:vAlign w:val="center"/>
            <w:hideMark/>
          </w:tcPr>
          <w:p w14:paraId="245F0015"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-1,059,493</w:t>
            </w:r>
          </w:p>
        </w:tc>
        <w:tc>
          <w:tcPr>
            <w:tcW w:w="1469" w:type="dxa"/>
            <w:tcBorders>
              <w:top w:val="nil"/>
              <w:left w:val="nil"/>
              <w:bottom w:val="single" w:sz="4" w:space="0" w:color="auto"/>
              <w:right w:val="single" w:sz="4" w:space="0" w:color="auto"/>
            </w:tcBorders>
            <w:shd w:val="clear" w:color="auto" w:fill="auto"/>
            <w:vAlign w:val="center"/>
            <w:hideMark/>
          </w:tcPr>
          <w:p w14:paraId="6B92EF35"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2C92B037" w14:textId="77777777" w:rsidTr="00797579">
        <w:trPr>
          <w:trHeight w:val="3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BB2F7E5" w14:textId="77777777" w:rsidR="008D403E" w:rsidRPr="008D403E" w:rsidRDefault="008D403E" w:rsidP="00EC7D22">
            <w:pPr>
              <w:suppressAutoHyphens w:val="0"/>
              <w:overflowPunct/>
              <w:spacing w:after="0" w:line="240" w:lineRule="auto"/>
              <w:jc w:val="both"/>
              <w:rPr>
                <w:rFonts w:eastAsia="Times New Roman" w:cs="Calibri"/>
                <w:color w:val="000000"/>
                <w:sz w:val="14"/>
                <w:szCs w:val="14"/>
                <w:lang w:eastAsia="es-MX"/>
              </w:rPr>
            </w:pPr>
            <w:r w:rsidRPr="008D403E">
              <w:rPr>
                <w:rFonts w:eastAsia="Times New Roman" w:cs="Calibri"/>
                <w:color w:val="000000"/>
                <w:sz w:val="14"/>
                <w:szCs w:val="14"/>
                <w:lang w:eastAsia="es-MX"/>
              </w:rPr>
              <w:t>Licencia</w:t>
            </w:r>
          </w:p>
        </w:tc>
        <w:tc>
          <w:tcPr>
            <w:tcW w:w="1418" w:type="dxa"/>
            <w:tcBorders>
              <w:top w:val="nil"/>
              <w:left w:val="nil"/>
              <w:bottom w:val="single" w:sz="4" w:space="0" w:color="auto"/>
              <w:right w:val="single" w:sz="4" w:space="0" w:color="auto"/>
            </w:tcBorders>
            <w:shd w:val="clear" w:color="auto" w:fill="auto"/>
            <w:vAlign w:val="center"/>
            <w:hideMark/>
          </w:tcPr>
          <w:p w14:paraId="2BDCDCE4"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52,500</w:t>
            </w:r>
          </w:p>
        </w:tc>
        <w:tc>
          <w:tcPr>
            <w:tcW w:w="1744" w:type="dxa"/>
            <w:tcBorders>
              <w:top w:val="nil"/>
              <w:left w:val="nil"/>
              <w:bottom w:val="single" w:sz="4" w:space="0" w:color="auto"/>
              <w:right w:val="single" w:sz="4" w:space="0" w:color="auto"/>
            </w:tcBorders>
            <w:shd w:val="clear" w:color="auto" w:fill="auto"/>
            <w:vAlign w:val="center"/>
            <w:hideMark/>
          </w:tcPr>
          <w:p w14:paraId="5312E25B"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 </w:t>
            </w:r>
          </w:p>
        </w:tc>
        <w:tc>
          <w:tcPr>
            <w:tcW w:w="1225" w:type="dxa"/>
            <w:tcBorders>
              <w:top w:val="nil"/>
              <w:left w:val="nil"/>
              <w:bottom w:val="single" w:sz="4" w:space="0" w:color="auto"/>
              <w:right w:val="single" w:sz="4" w:space="0" w:color="auto"/>
            </w:tcBorders>
            <w:shd w:val="clear" w:color="auto" w:fill="auto"/>
            <w:vAlign w:val="center"/>
            <w:hideMark/>
          </w:tcPr>
          <w:p w14:paraId="16829A7F"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 </w:t>
            </w:r>
          </w:p>
        </w:tc>
        <w:tc>
          <w:tcPr>
            <w:tcW w:w="1469" w:type="dxa"/>
            <w:tcBorders>
              <w:top w:val="nil"/>
              <w:left w:val="nil"/>
              <w:bottom w:val="single" w:sz="4" w:space="0" w:color="auto"/>
              <w:right w:val="single" w:sz="4" w:space="0" w:color="auto"/>
            </w:tcBorders>
            <w:shd w:val="clear" w:color="auto" w:fill="auto"/>
            <w:vAlign w:val="center"/>
            <w:hideMark/>
          </w:tcPr>
          <w:p w14:paraId="2B6DC105"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26DED15F" w14:textId="77777777" w:rsidTr="00797579">
        <w:trPr>
          <w:trHeight w:val="3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27EE7D4" w14:textId="77777777" w:rsidR="008D403E" w:rsidRPr="008D403E" w:rsidRDefault="008D403E" w:rsidP="00EC7D22">
            <w:pPr>
              <w:suppressAutoHyphens w:val="0"/>
              <w:overflowPunct/>
              <w:spacing w:after="0" w:line="240" w:lineRule="auto"/>
              <w:jc w:val="both"/>
              <w:rPr>
                <w:rFonts w:eastAsia="Times New Roman" w:cs="Calibri"/>
                <w:color w:val="000000"/>
                <w:sz w:val="14"/>
                <w:szCs w:val="14"/>
                <w:lang w:eastAsia="es-MX"/>
              </w:rPr>
            </w:pPr>
            <w:r w:rsidRPr="008D403E">
              <w:rPr>
                <w:rFonts w:eastAsia="Times New Roman" w:cs="Calibri"/>
                <w:color w:val="000000"/>
                <w:sz w:val="14"/>
                <w:szCs w:val="14"/>
                <w:lang w:eastAsia="es-MX"/>
              </w:rPr>
              <w:t>Concesiones y Franquicias</w:t>
            </w:r>
          </w:p>
        </w:tc>
        <w:tc>
          <w:tcPr>
            <w:tcW w:w="1418" w:type="dxa"/>
            <w:tcBorders>
              <w:top w:val="nil"/>
              <w:left w:val="nil"/>
              <w:bottom w:val="single" w:sz="4" w:space="0" w:color="auto"/>
              <w:right w:val="single" w:sz="4" w:space="0" w:color="auto"/>
            </w:tcBorders>
            <w:shd w:val="clear" w:color="auto" w:fill="auto"/>
            <w:vAlign w:val="center"/>
            <w:hideMark/>
          </w:tcPr>
          <w:p w14:paraId="29906C2F"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467,533,916</w:t>
            </w:r>
          </w:p>
        </w:tc>
        <w:tc>
          <w:tcPr>
            <w:tcW w:w="1744" w:type="dxa"/>
            <w:tcBorders>
              <w:top w:val="nil"/>
              <w:left w:val="nil"/>
              <w:bottom w:val="single" w:sz="4" w:space="0" w:color="auto"/>
              <w:right w:val="single" w:sz="4" w:space="0" w:color="auto"/>
            </w:tcBorders>
            <w:shd w:val="clear" w:color="auto" w:fill="auto"/>
            <w:vAlign w:val="center"/>
            <w:hideMark/>
          </w:tcPr>
          <w:p w14:paraId="24931B72"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-433,559,877</w:t>
            </w:r>
          </w:p>
        </w:tc>
        <w:tc>
          <w:tcPr>
            <w:tcW w:w="1225" w:type="dxa"/>
            <w:tcBorders>
              <w:top w:val="nil"/>
              <w:left w:val="nil"/>
              <w:bottom w:val="single" w:sz="4" w:space="0" w:color="auto"/>
              <w:right w:val="single" w:sz="4" w:space="0" w:color="auto"/>
            </w:tcBorders>
            <w:shd w:val="clear" w:color="auto" w:fill="auto"/>
            <w:vAlign w:val="center"/>
            <w:hideMark/>
          </w:tcPr>
          <w:p w14:paraId="3A90AC1F" w14:textId="77777777" w:rsidR="008D403E" w:rsidRPr="008D403E" w:rsidRDefault="008D403E" w:rsidP="00EC7D22">
            <w:pPr>
              <w:suppressAutoHyphens w:val="0"/>
              <w:overflowPunct/>
              <w:spacing w:after="0" w:line="240" w:lineRule="auto"/>
              <w:jc w:val="right"/>
              <w:rPr>
                <w:rFonts w:eastAsia="Times New Roman" w:cs="Calibri"/>
                <w:color w:val="000000"/>
                <w:sz w:val="14"/>
                <w:szCs w:val="14"/>
                <w:lang w:eastAsia="es-MX"/>
              </w:rPr>
            </w:pPr>
            <w:r w:rsidRPr="008D403E">
              <w:rPr>
                <w:rFonts w:eastAsia="Times New Roman" w:cs="Calibri"/>
                <w:color w:val="000000"/>
                <w:sz w:val="14"/>
                <w:szCs w:val="14"/>
                <w:lang w:eastAsia="es-MX"/>
              </w:rPr>
              <w:t>-15,584,460</w:t>
            </w:r>
          </w:p>
        </w:tc>
        <w:tc>
          <w:tcPr>
            <w:tcW w:w="1469" w:type="dxa"/>
            <w:tcBorders>
              <w:top w:val="nil"/>
              <w:left w:val="nil"/>
              <w:bottom w:val="single" w:sz="4" w:space="0" w:color="auto"/>
              <w:right w:val="single" w:sz="4" w:space="0" w:color="auto"/>
            </w:tcBorders>
            <w:shd w:val="clear" w:color="auto" w:fill="auto"/>
            <w:vAlign w:val="center"/>
            <w:hideMark/>
          </w:tcPr>
          <w:p w14:paraId="5B27F495" w14:textId="77777777" w:rsidR="008D403E" w:rsidRPr="008D403E" w:rsidRDefault="008D403E" w:rsidP="00EC7D22">
            <w:pPr>
              <w:suppressAutoHyphens w:val="0"/>
              <w:overflowPunct/>
              <w:spacing w:after="0" w:line="240" w:lineRule="auto"/>
              <w:jc w:val="center"/>
              <w:rPr>
                <w:rFonts w:eastAsia="Times New Roman" w:cs="Calibri"/>
                <w:color w:val="000000"/>
                <w:sz w:val="14"/>
                <w:szCs w:val="14"/>
                <w:lang w:eastAsia="es-MX"/>
              </w:rPr>
            </w:pPr>
            <w:r w:rsidRPr="008D403E">
              <w:rPr>
                <w:rFonts w:eastAsia="Times New Roman" w:cs="Calibri"/>
                <w:color w:val="000000"/>
                <w:sz w:val="14"/>
                <w:szCs w:val="14"/>
                <w:lang w:eastAsia="es-MX"/>
              </w:rPr>
              <w:t>*</w:t>
            </w:r>
          </w:p>
        </w:tc>
      </w:tr>
      <w:tr w:rsidR="008D403E" w:rsidRPr="008D403E" w14:paraId="5F61083A" w14:textId="77777777" w:rsidTr="00476876">
        <w:trPr>
          <w:trHeight w:val="392"/>
        </w:trPr>
        <w:tc>
          <w:tcPr>
            <w:tcW w:w="2972" w:type="dxa"/>
            <w:tcBorders>
              <w:top w:val="nil"/>
              <w:left w:val="single" w:sz="4" w:space="0" w:color="auto"/>
              <w:bottom w:val="single" w:sz="4" w:space="0" w:color="auto"/>
              <w:right w:val="single" w:sz="4" w:space="0" w:color="auto"/>
            </w:tcBorders>
            <w:shd w:val="clear" w:color="000000" w:fill="DDC9A3"/>
            <w:vAlign w:val="center"/>
            <w:hideMark/>
          </w:tcPr>
          <w:p w14:paraId="4D12E9CD" w14:textId="77777777" w:rsidR="008D403E" w:rsidRPr="008D403E" w:rsidRDefault="008D403E" w:rsidP="00EC7D22">
            <w:pPr>
              <w:suppressAutoHyphens w:val="0"/>
              <w:overflowPunct/>
              <w:spacing w:after="0" w:line="240" w:lineRule="auto"/>
              <w:jc w:val="center"/>
              <w:rPr>
                <w:rFonts w:eastAsia="Times New Roman" w:cs="Calibri"/>
                <w:b/>
                <w:bCs/>
                <w:color w:val="000000"/>
                <w:sz w:val="16"/>
                <w:szCs w:val="16"/>
                <w:lang w:eastAsia="es-MX"/>
              </w:rPr>
            </w:pPr>
            <w:r w:rsidRPr="008D403E">
              <w:rPr>
                <w:rFonts w:eastAsia="Times New Roman" w:cs="Calibri"/>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DDC9A3"/>
            <w:vAlign w:val="center"/>
            <w:hideMark/>
          </w:tcPr>
          <w:p w14:paraId="69A03177" w14:textId="77777777" w:rsidR="008D403E" w:rsidRPr="008D403E" w:rsidRDefault="008D403E" w:rsidP="00EC7D22">
            <w:pPr>
              <w:suppressAutoHyphens w:val="0"/>
              <w:overflowPunct/>
              <w:spacing w:after="0" w:line="240" w:lineRule="auto"/>
              <w:jc w:val="right"/>
              <w:rPr>
                <w:rFonts w:eastAsia="Times New Roman" w:cs="Calibri"/>
                <w:b/>
                <w:bCs/>
                <w:color w:val="000000"/>
                <w:sz w:val="16"/>
                <w:szCs w:val="16"/>
                <w:lang w:eastAsia="es-MX"/>
              </w:rPr>
            </w:pPr>
            <w:r w:rsidRPr="008D403E">
              <w:rPr>
                <w:rFonts w:eastAsia="Times New Roman" w:cs="Calibri"/>
                <w:b/>
                <w:bCs/>
                <w:color w:val="000000"/>
                <w:sz w:val="16"/>
                <w:szCs w:val="16"/>
                <w:lang w:eastAsia="es-MX"/>
              </w:rPr>
              <w:t>846,511,422</w:t>
            </w:r>
          </w:p>
        </w:tc>
        <w:tc>
          <w:tcPr>
            <w:tcW w:w="1744" w:type="dxa"/>
            <w:tcBorders>
              <w:top w:val="nil"/>
              <w:left w:val="nil"/>
              <w:bottom w:val="single" w:sz="4" w:space="0" w:color="auto"/>
              <w:right w:val="single" w:sz="4" w:space="0" w:color="auto"/>
            </w:tcBorders>
            <w:shd w:val="clear" w:color="000000" w:fill="DDC9A3"/>
            <w:vAlign w:val="center"/>
            <w:hideMark/>
          </w:tcPr>
          <w:p w14:paraId="419693D2" w14:textId="77777777" w:rsidR="008D403E" w:rsidRPr="008D403E" w:rsidRDefault="008D403E" w:rsidP="00EC7D22">
            <w:pPr>
              <w:suppressAutoHyphens w:val="0"/>
              <w:overflowPunct/>
              <w:spacing w:after="0" w:line="240" w:lineRule="auto"/>
              <w:jc w:val="right"/>
              <w:rPr>
                <w:rFonts w:eastAsia="Times New Roman" w:cs="Calibri"/>
                <w:b/>
                <w:bCs/>
                <w:color w:val="000000"/>
                <w:sz w:val="16"/>
                <w:szCs w:val="16"/>
                <w:lang w:eastAsia="es-MX"/>
              </w:rPr>
            </w:pPr>
            <w:r w:rsidRPr="008D403E">
              <w:rPr>
                <w:rFonts w:eastAsia="Times New Roman" w:cs="Calibri"/>
                <w:b/>
                <w:bCs/>
                <w:color w:val="000000"/>
                <w:sz w:val="16"/>
                <w:szCs w:val="16"/>
                <w:lang w:eastAsia="es-MX"/>
              </w:rPr>
              <w:t>-691,689,420</w:t>
            </w:r>
          </w:p>
        </w:tc>
        <w:tc>
          <w:tcPr>
            <w:tcW w:w="1225" w:type="dxa"/>
            <w:tcBorders>
              <w:top w:val="nil"/>
              <w:left w:val="nil"/>
              <w:bottom w:val="single" w:sz="4" w:space="0" w:color="auto"/>
              <w:right w:val="single" w:sz="4" w:space="0" w:color="auto"/>
            </w:tcBorders>
            <w:shd w:val="clear" w:color="000000" w:fill="DDC9A3"/>
            <w:vAlign w:val="center"/>
            <w:hideMark/>
          </w:tcPr>
          <w:p w14:paraId="48B1C737" w14:textId="77777777" w:rsidR="008D403E" w:rsidRPr="008D403E" w:rsidRDefault="008D403E" w:rsidP="00EC7D22">
            <w:pPr>
              <w:suppressAutoHyphens w:val="0"/>
              <w:overflowPunct/>
              <w:spacing w:after="0" w:line="240" w:lineRule="auto"/>
              <w:jc w:val="right"/>
              <w:rPr>
                <w:rFonts w:eastAsia="Times New Roman" w:cs="Calibri"/>
                <w:b/>
                <w:bCs/>
                <w:color w:val="000000"/>
                <w:sz w:val="16"/>
                <w:szCs w:val="16"/>
                <w:lang w:eastAsia="es-MX"/>
              </w:rPr>
            </w:pPr>
            <w:r w:rsidRPr="008D403E">
              <w:rPr>
                <w:rFonts w:eastAsia="Times New Roman" w:cs="Calibri"/>
                <w:b/>
                <w:bCs/>
                <w:color w:val="000000"/>
                <w:sz w:val="16"/>
                <w:szCs w:val="16"/>
                <w:lang w:eastAsia="es-MX"/>
              </w:rPr>
              <w:t>-49,689,506</w:t>
            </w:r>
          </w:p>
        </w:tc>
        <w:tc>
          <w:tcPr>
            <w:tcW w:w="1469" w:type="dxa"/>
            <w:tcBorders>
              <w:top w:val="nil"/>
              <w:left w:val="nil"/>
              <w:bottom w:val="single" w:sz="4" w:space="0" w:color="auto"/>
              <w:right w:val="single" w:sz="4" w:space="0" w:color="auto"/>
            </w:tcBorders>
            <w:shd w:val="clear" w:color="000000" w:fill="DDC9A3"/>
            <w:vAlign w:val="center"/>
            <w:hideMark/>
          </w:tcPr>
          <w:p w14:paraId="67346058" w14:textId="77777777" w:rsidR="008D403E" w:rsidRPr="008D403E" w:rsidRDefault="008D403E" w:rsidP="00EC7D22">
            <w:pPr>
              <w:suppressAutoHyphens w:val="0"/>
              <w:overflowPunct/>
              <w:spacing w:after="0" w:line="240" w:lineRule="auto"/>
              <w:jc w:val="center"/>
              <w:rPr>
                <w:rFonts w:eastAsia="Times New Roman" w:cs="Calibri"/>
                <w:b/>
                <w:bCs/>
                <w:color w:val="000000"/>
                <w:sz w:val="16"/>
                <w:szCs w:val="16"/>
                <w:lang w:eastAsia="es-MX"/>
              </w:rPr>
            </w:pPr>
            <w:r w:rsidRPr="008D403E">
              <w:rPr>
                <w:rFonts w:eastAsia="Times New Roman" w:cs="Calibri"/>
                <w:b/>
                <w:bCs/>
                <w:color w:val="000000"/>
                <w:sz w:val="16"/>
                <w:szCs w:val="16"/>
                <w:lang w:eastAsia="es-MX"/>
              </w:rPr>
              <w:t> </w:t>
            </w:r>
          </w:p>
        </w:tc>
      </w:tr>
    </w:tbl>
    <w:p w14:paraId="4DBEB50D" w14:textId="77777777" w:rsidR="007745EB" w:rsidRDefault="00C87FDA" w:rsidP="00EC7D22">
      <w:pPr>
        <w:spacing w:after="0" w:line="240" w:lineRule="auto"/>
        <w:jc w:val="both"/>
        <w:rPr>
          <w:rFonts w:eastAsia="Times New Roman" w:cs="Calibri"/>
          <w:sz w:val="14"/>
          <w:szCs w:val="14"/>
          <w:lang w:eastAsia="es-ES"/>
        </w:rPr>
      </w:pPr>
      <w:r>
        <w:rPr>
          <w:rFonts w:eastAsia="Times New Roman" w:cs="Calibri"/>
          <w:sz w:val="14"/>
          <w:szCs w:val="14"/>
          <w:lang w:eastAsia="es-ES"/>
        </w:rPr>
        <w:t>*Las tasas exactas de depreciación se enlistan en las notas de gestión administrativa ya que están dadas por clase de activo.</w:t>
      </w:r>
    </w:p>
    <w:p w14:paraId="28349236" w14:textId="77777777" w:rsidR="007745EB" w:rsidRDefault="007745EB" w:rsidP="00EC7D22">
      <w:pPr>
        <w:spacing w:after="0" w:line="240" w:lineRule="auto"/>
        <w:jc w:val="both"/>
        <w:rPr>
          <w:rFonts w:eastAsia="Times New Roman" w:cs="Calibri"/>
          <w:sz w:val="18"/>
          <w:szCs w:val="18"/>
          <w:lang w:eastAsia="es-ES"/>
        </w:rPr>
      </w:pPr>
    </w:p>
    <w:p w14:paraId="03D9D6F8" w14:textId="77777777" w:rsidR="007745EB" w:rsidRDefault="00C87FDA" w:rsidP="00EC7D22">
      <w:pPr>
        <w:spacing w:after="0" w:line="240" w:lineRule="auto"/>
        <w:jc w:val="both"/>
        <w:rPr>
          <w:rFonts w:eastAsia="Times New Roman" w:cs="Calibri"/>
          <w:sz w:val="20"/>
          <w:szCs w:val="20"/>
          <w:lang w:eastAsia="es-ES"/>
        </w:rPr>
      </w:pPr>
      <w:r w:rsidRPr="00820E37">
        <w:rPr>
          <w:rFonts w:eastAsia="Times New Roman" w:cs="Calibri"/>
          <w:sz w:val="20"/>
          <w:szCs w:val="20"/>
          <w:lang w:eastAsia="es-ES"/>
        </w:rPr>
        <w:t>El rubro más significativo de Concesiones corresponde a la inversión inicial de la construcción del Puente Internacional Nuevo Laredo III en base a la concesión otorgada el 30 de julio de 1996 al Gobierno Federal a través de la Secretaría de Comunicaciones y Transportes para construir, operar, explotar, conservar y mantener el puente internacional.</w:t>
      </w:r>
    </w:p>
    <w:p w14:paraId="7FFEACA1" w14:textId="22CEBB46" w:rsidR="00F373EF" w:rsidRDefault="00F373EF" w:rsidP="00EC7D22">
      <w:pPr>
        <w:spacing w:after="0" w:line="240" w:lineRule="auto"/>
        <w:jc w:val="both"/>
        <w:rPr>
          <w:rFonts w:eastAsia="Times New Roman" w:cs="Calibri"/>
          <w:sz w:val="20"/>
          <w:szCs w:val="20"/>
          <w:lang w:eastAsia="es-ES"/>
        </w:rPr>
      </w:pPr>
    </w:p>
    <w:p w14:paraId="6FF341FF" w14:textId="70BC6F1A" w:rsidR="00797579" w:rsidRDefault="00797579" w:rsidP="00EC7D22">
      <w:pPr>
        <w:spacing w:after="0" w:line="240" w:lineRule="auto"/>
        <w:jc w:val="both"/>
        <w:rPr>
          <w:rFonts w:eastAsia="Times New Roman" w:cs="Calibri"/>
          <w:sz w:val="20"/>
          <w:szCs w:val="20"/>
          <w:lang w:eastAsia="es-ES"/>
        </w:rPr>
      </w:pPr>
    </w:p>
    <w:p w14:paraId="07FF2C83" w14:textId="6849EE61" w:rsidR="00797579" w:rsidRDefault="00797579" w:rsidP="00EC7D22">
      <w:pPr>
        <w:spacing w:after="0" w:line="240" w:lineRule="auto"/>
        <w:jc w:val="both"/>
        <w:rPr>
          <w:rFonts w:eastAsia="Times New Roman" w:cs="Calibri"/>
          <w:sz w:val="20"/>
          <w:szCs w:val="20"/>
          <w:lang w:eastAsia="es-ES"/>
        </w:rPr>
      </w:pPr>
    </w:p>
    <w:p w14:paraId="774AFC71" w14:textId="37B4661D" w:rsidR="00797579" w:rsidRDefault="00797579" w:rsidP="00EC7D22">
      <w:pPr>
        <w:spacing w:after="0" w:line="240" w:lineRule="auto"/>
        <w:jc w:val="both"/>
        <w:rPr>
          <w:rFonts w:eastAsia="Times New Roman" w:cs="Calibri"/>
          <w:sz w:val="20"/>
          <w:szCs w:val="20"/>
          <w:lang w:eastAsia="es-ES"/>
        </w:rPr>
      </w:pPr>
    </w:p>
    <w:p w14:paraId="1EBE3330" w14:textId="32B6C647" w:rsidR="00797579" w:rsidRDefault="00797579" w:rsidP="00EC7D22">
      <w:pPr>
        <w:spacing w:after="0" w:line="240" w:lineRule="auto"/>
        <w:jc w:val="both"/>
        <w:rPr>
          <w:rFonts w:eastAsia="Times New Roman" w:cs="Calibri"/>
          <w:sz w:val="20"/>
          <w:szCs w:val="20"/>
          <w:lang w:eastAsia="es-ES"/>
        </w:rPr>
      </w:pPr>
    </w:p>
    <w:p w14:paraId="28E16A83" w14:textId="0485A542" w:rsidR="00797579" w:rsidRDefault="00797579" w:rsidP="00EC7D22">
      <w:pPr>
        <w:spacing w:after="0" w:line="240" w:lineRule="auto"/>
        <w:jc w:val="both"/>
        <w:rPr>
          <w:rFonts w:eastAsia="Times New Roman" w:cs="Calibri"/>
          <w:sz w:val="20"/>
          <w:szCs w:val="20"/>
          <w:lang w:eastAsia="es-ES"/>
        </w:rPr>
      </w:pPr>
    </w:p>
    <w:p w14:paraId="4FB08B96" w14:textId="77777777" w:rsidR="00AA4AEA" w:rsidRDefault="00AA4AEA" w:rsidP="00EC7D22">
      <w:pPr>
        <w:spacing w:after="0" w:line="240" w:lineRule="auto"/>
        <w:jc w:val="both"/>
        <w:rPr>
          <w:rFonts w:eastAsia="Times New Roman" w:cs="Calibri"/>
          <w:sz w:val="20"/>
          <w:szCs w:val="20"/>
          <w:lang w:eastAsia="es-ES"/>
        </w:rPr>
      </w:pPr>
    </w:p>
    <w:p w14:paraId="70FFC3EB" w14:textId="77777777" w:rsidR="00A743DD" w:rsidRDefault="00A743DD" w:rsidP="00EC7D22">
      <w:pPr>
        <w:spacing w:after="0" w:line="240" w:lineRule="auto"/>
        <w:jc w:val="both"/>
        <w:rPr>
          <w:rFonts w:eastAsia="Times New Roman" w:cs="Calibri"/>
          <w:sz w:val="20"/>
          <w:szCs w:val="20"/>
          <w:lang w:eastAsia="es-ES"/>
        </w:rPr>
      </w:pPr>
    </w:p>
    <w:p w14:paraId="54A5BE67" w14:textId="77777777" w:rsidR="00AA4AEA" w:rsidRPr="00820E37" w:rsidRDefault="00AA4AEA" w:rsidP="00EC7D22">
      <w:pPr>
        <w:spacing w:after="0" w:line="240" w:lineRule="auto"/>
        <w:jc w:val="both"/>
        <w:rPr>
          <w:rFonts w:eastAsia="Times New Roman" w:cs="Calibri"/>
          <w:sz w:val="20"/>
          <w:szCs w:val="20"/>
          <w:lang w:eastAsia="es-ES"/>
        </w:rPr>
      </w:pPr>
    </w:p>
    <w:p w14:paraId="5718A828" w14:textId="77777777" w:rsidR="007745EB" w:rsidRPr="00694CE6" w:rsidRDefault="00C87FDA" w:rsidP="00EC7D22">
      <w:pPr>
        <w:pStyle w:val="Texto"/>
        <w:spacing w:after="0" w:line="240" w:lineRule="exact"/>
        <w:ind w:firstLine="0"/>
        <w:rPr>
          <w:rFonts w:ascii="Calibri" w:hAnsi="Calibri" w:cs="Calibri"/>
          <w:b/>
          <w:sz w:val="20"/>
          <w:szCs w:val="18"/>
          <w:u w:val="single"/>
          <w:lang w:val="es-MX"/>
        </w:rPr>
      </w:pPr>
      <w:r w:rsidRPr="00694CE6">
        <w:rPr>
          <w:rFonts w:ascii="Calibri" w:hAnsi="Calibri" w:cs="Calibri"/>
          <w:b/>
          <w:sz w:val="20"/>
          <w:szCs w:val="18"/>
          <w:u w:val="single"/>
          <w:lang w:val="es-MX"/>
        </w:rPr>
        <w:lastRenderedPageBreak/>
        <w:t>Activo Diferido</w:t>
      </w:r>
    </w:p>
    <w:p w14:paraId="67F7EBFB" w14:textId="77777777" w:rsidR="007745EB" w:rsidRDefault="007745EB" w:rsidP="00EC7D22">
      <w:pPr>
        <w:pStyle w:val="Texto"/>
        <w:spacing w:after="0" w:line="240" w:lineRule="exact"/>
        <w:ind w:firstLine="0"/>
        <w:rPr>
          <w:rFonts w:ascii="Calibri" w:hAnsi="Calibri" w:cs="Calibri"/>
          <w:szCs w:val="18"/>
          <w:lang w:val="es-MX"/>
        </w:rPr>
      </w:pPr>
    </w:p>
    <w:p w14:paraId="2D24FA24" w14:textId="77777777" w:rsidR="007745EB" w:rsidRDefault="00C87FDA" w:rsidP="00EC7D22">
      <w:pPr>
        <w:pStyle w:val="Prrafodelista"/>
        <w:numPr>
          <w:ilvl w:val="0"/>
          <w:numId w:val="18"/>
        </w:numPr>
        <w:spacing w:after="0" w:line="240" w:lineRule="auto"/>
        <w:ind w:left="0" w:firstLine="0"/>
        <w:rPr>
          <w:rFonts w:eastAsia="Times New Roman" w:cs="Calibri"/>
          <w:sz w:val="20"/>
          <w:szCs w:val="20"/>
          <w:lang w:eastAsia="es-ES"/>
        </w:rPr>
      </w:pPr>
      <w:r w:rsidRPr="00820E37">
        <w:rPr>
          <w:rFonts w:eastAsia="Times New Roman" w:cs="Calibri"/>
          <w:sz w:val="20"/>
          <w:szCs w:val="20"/>
          <w:lang w:eastAsia="es-ES"/>
        </w:rPr>
        <w:t>El saldo del Activo Diferido se compone de:</w:t>
      </w:r>
    </w:p>
    <w:p w14:paraId="7E9CF783" w14:textId="77777777" w:rsidR="001D2578" w:rsidRDefault="001D2578" w:rsidP="00EC7D22">
      <w:pPr>
        <w:spacing w:after="0" w:line="240" w:lineRule="auto"/>
        <w:rPr>
          <w:rFonts w:eastAsia="Times New Roman" w:cs="Calibri"/>
          <w:sz w:val="20"/>
          <w:szCs w:val="20"/>
          <w:lang w:eastAsia="es-ES"/>
        </w:rPr>
      </w:pPr>
    </w:p>
    <w:tbl>
      <w:tblPr>
        <w:tblW w:w="6546" w:type="dxa"/>
        <w:tblCellMar>
          <w:left w:w="70" w:type="dxa"/>
          <w:right w:w="70" w:type="dxa"/>
        </w:tblCellMar>
        <w:tblLook w:val="04A0" w:firstRow="1" w:lastRow="0" w:firstColumn="1" w:lastColumn="0" w:noHBand="0" w:noVBand="1"/>
      </w:tblPr>
      <w:tblGrid>
        <w:gridCol w:w="4549"/>
        <w:gridCol w:w="1997"/>
      </w:tblGrid>
      <w:tr w:rsidR="009F11F0" w:rsidRPr="009F11F0" w14:paraId="564A1E48" w14:textId="77777777" w:rsidTr="00A6788C">
        <w:trPr>
          <w:trHeight w:val="397"/>
        </w:trPr>
        <w:tc>
          <w:tcPr>
            <w:tcW w:w="4549"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19E5AB18" w14:textId="77777777" w:rsidR="009F11F0" w:rsidRPr="009F11F0" w:rsidRDefault="009F11F0" w:rsidP="00EC7D22">
            <w:pPr>
              <w:suppressAutoHyphens w:val="0"/>
              <w:overflowPunct/>
              <w:spacing w:after="0" w:line="240" w:lineRule="auto"/>
              <w:jc w:val="center"/>
              <w:rPr>
                <w:rFonts w:eastAsia="Times New Roman" w:cs="Calibri"/>
                <w:b/>
                <w:bCs/>
                <w:color w:val="FFFFFF"/>
                <w:sz w:val="16"/>
                <w:szCs w:val="16"/>
                <w:lang w:eastAsia="es-MX"/>
              </w:rPr>
            </w:pPr>
            <w:r w:rsidRPr="009F11F0">
              <w:rPr>
                <w:rFonts w:eastAsia="Times New Roman" w:cs="Calibri"/>
                <w:b/>
                <w:bCs/>
                <w:color w:val="FFFFFF"/>
                <w:sz w:val="16"/>
                <w:szCs w:val="16"/>
                <w:lang w:eastAsia="es-MX"/>
              </w:rPr>
              <w:t>Activos Diferidos</w:t>
            </w:r>
          </w:p>
        </w:tc>
        <w:tc>
          <w:tcPr>
            <w:tcW w:w="1997" w:type="dxa"/>
            <w:tcBorders>
              <w:top w:val="single" w:sz="4" w:space="0" w:color="auto"/>
              <w:left w:val="nil"/>
              <w:bottom w:val="single" w:sz="4" w:space="0" w:color="auto"/>
              <w:right w:val="single" w:sz="4" w:space="0" w:color="auto"/>
            </w:tcBorders>
            <w:shd w:val="clear" w:color="800080" w:fill="A90025"/>
            <w:vAlign w:val="center"/>
            <w:hideMark/>
          </w:tcPr>
          <w:p w14:paraId="1AE174CA" w14:textId="77777777" w:rsidR="009F11F0" w:rsidRPr="009F11F0" w:rsidRDefault="009F11F0" w:rsidP="00EC7D22">
            <w:pPr>
              <w:suppressAutoHyphens w:val="0"/>
              <w:overflowPunct/>
              <w:spacing w:after="0" w:line="240" w:lineRule="auto"/>
              <w:jc w:val="center"/>
              <w:rPr>
                <w:rFonts w:eastAsia="Times New Roman" w:cs="Calibri"/>
                <w:b/>
                <w:bCs/>
                <w:color w:val="FFFFFF"/>
                <w:sz w:val="16"/>
                <w:szCs w:val="16"/>
                <w:lang w:eastAsia="es-MX"/>
              </w:rPr>
            </w:pPr>
            <w:r w:rsidRPr="009F11F0">
              <w:rPr>
                <w:rFonts w:eastAsia="Times New Roman" w:cs="Calibri"/>
                <w:b/>
                <w:bCs/>
                <w:color w:val="FFFFFF"/>
                <w:sz w:val="16"/>
                <w:szCs w:val="16"/>
                <w:lang w:eastAsia="es-MX"/>
              </w:rPr>
              <w:t>Importe</w:t>
            </w:r>
          </w:p>
        </w:tc>
      </w:tr>
      <w:tr w:rsidR="009F11F0" w:rsidRPr="009F11F0" w14:paraId="44299FC0" w14:textId="77777777" w:rsidTr="009F11F0">
        <w:trPr>
          <w:trHeight w:val="353"/>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74789322" w14:textId="08C715C6" w:rsidR="009F11F0" w:rsidRPr="009F11F0" w:rsidRDefault="00AB1C9C" w:rsidP="00EC7D22">
            <w:pPr>
              <w:suppressAutoHyphens w:val="0"/>
              <w:overflowPunct/>
              <w:spacing w:after="0" w:line="240" w:lineRule="auto"/>
              <w:rPr>
                <w:rFonts w:eastAsia="Times New Roman" w:cs="Calibri"/>
                <w:color w:val="000000"/>
                <w:sz w:val="14"/>
                <w:szCs w:val="14"/>
                <w:lang w:eastAsia="es-MX"/>
              </w:rPr>
            </w:pPr>
            <w:r w:rsidRPr="009F11F0">
              <w:rPr>
                <w:rFonts w:eastAsia="Times New Roman" w:cs="Calibri"/>
                <w:color w:val="000000"/>
                <w:sz w:val="14"/>
                <w:szCs w:val="14"/>
                <w:lang w:eastAsia="es-MX"/>
              </w:rPr>
              <w:t>Crédito 6</w:t>
            </w:r>
            <w:r w:rsidR="009F11F0" w:rsidRPr="009F11F0">
              <w:rPr>
                <w:rFonts w:eastAsia="Times New Roman" w:cs="Calibri"/>
                <w:color w:val="000000"/>
                <w:sz w:val="14"/>
                <w:szCs w:val="14"/>
                <w:lang w:eastAsia="es-MX"/>
              </w:rPr>
              <w:t>'000 MDP Fid</w:t>
            </w:r>
            <w:r w:rsidR="00CC751A">
              <w:rPr>
                <w:rFonts w:eastAsia="Times New Roman" w:cs="Calibri"/>
                <w:color w:val="000000"/>
                <w:sz w:val="14"/>
                <w:szCs w:val="14"/>
                <w:lang w:eastAsia="es-MX"/>
              </w:rPr>
              <w:t>eicomiso</w:t>
            </w:r>
            <w:r w:rsidR="009F11F0" w:rsidRPr="009F11F0">
              <w:rPr>
                <w:rFonts w:eastAsia="Times New Roman" w:cs="Calibri"/>
                <w:color w:val="000000"/>
                <w:sz w:val="14"/>
                <w:szCs w:val="14"/>
                <w:lang w:eastAsia="es-MX"/>
              </w:rPr>
              <w:t>. No. 904 ISN Banorte</w:t>
            </w:r>
          </w:p>
        </w:tc>
        <w:tc>
          <w:tcPr>
            <w:tcW w:w="1997" w:type="dxa"/>
            <w:tcBorders>
              <w:top w:val="nil"/>
              <w:left w:val="nil"/>
              <w:bottom w:val="single" w:sz="4" w:space="0" w:color="auto"/>
              <w:right w:val="single" w:sz="4" w:space="0" w:color="auto"/>
            </w:tcBorders>
            <w:shd w:val="clear" w:color="auto" w:fill="auto"/>
            <w:noWrap/>
            <w:vAlign w:val="center"/>
            <w:hideMark/>
          </w:tcPr>
          <w:p w14:paraId="50B17D88"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4,992,606,377</w:t>
            </w:r>
          </w:p>
        </w:tc>
      </w:tr>
      <w:tr w:rsidR="009F11F0" w:rsidRPr="009F11F0" w14:paraId="4158DCAA" w14:textId="77777777" w:rsidTr="009F11F0">
        <w:trPr>
          <w:trHeight w:val="353"/>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0BE25E52" w14:textId="3BE04D22" w:rsidR="009F11F0" w:rsidRPr="009F11F0" w:rsidRDefault="00AB1C9C" w:rsidP="00EC7D22">
            <w:pPr>
              <w:suppressAutoHyphens w:val="0"/>
              <w:overflowPunct/>
              <w:spacing w:after="0" w:line="240" w:lineRule="auto"/>
              <w:rPr>
                <w:rFonts w:eastAsia="Times New Roman" w:cs="Calibri"/>
                <w:color w:val="000000"/>
                <w:sz w:val="14"/>
                <w:szCs w:val="14"/>
                <w:lang w:eastAsia="es-MX"/>
              </w:rPr>
            </w:pPr>
            <w:r w:rsidRPr="009F11F0">
              <w:rPr>
                <w:rFonts w:eastAsia="Times New Roman" w:cs="Calibri"/>
                <w:color w:val="000000"/>
                <w:sz w:val="14"/>
                <w:szCs w:val="14"/>
                <w:lang w:eastAsia="es-MX"/>
              </w:rPr>
              <w:t>Crédito 1</w:t>
            </w:r>
            <w:r w:rsidR="009F11F0" w:rsidRPr="009F11F0">
              <w:rPr>
                <w:rFonts w:eastAsia="Times New Roman" w:cs="Calibri"/>
                <w:color w:val="000000"/>
                <w:sz w:val="14"/>
                <w:szCs w:val="14"/>
                <w:lang w:eastAsia="es-MX"/>
              </w:rPr>
              <w:t>'500  MDP Bancomer</w:t>
            </w:r>
          </w:p>
        </w:tc>
        <w:tc>
          <w:tcPr>
            <w:tcW w:w="1997" w:type="dxa"/>
            <w:tcBorders>
              <w:top w:val="nil"/>
              <w:left w:val="nil"/>
              <w:bottom w:val="single" w:sz="4" w:space="0" w:color="auto"/>
              <w:right w:val="single" w:sz="4" w:space="0" w:color="auto"/>
            </w:tcBorders>
            <w:shd w:val="clear" w:color="auto" w:fill="auto"/>
            <w:noWrap/>
            <w:vAlign w:val="center"/>
            <w:hideMark/>
          </w:tcPr>
          <w:p w14:paraId="064933E7"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1,104,541,135</w:t>
            </w:r>
          </w:p>
        </w:tc>
      </w:tr>
      <w:tr w:rsidR="009F11F0" w:rsidRPr="009F11F0" w14:paraId="59353921" w14:textId="77777777" w:rsidTr="009F11F0">
        <w:trPr>
          <w:trHeight w:val="353"/>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091644FF" w14:textId="4742183D" w:rsidR="009F11F0" w:rsidRPr="009F11F0" w:rsidRDefault="00AB1C9C" w:rsidP="00EC7D22">
            <w:pPr>
              <w:suppressAutoHyphens w:val="0"/>
              <w:overflowPunct/>
              <w:spacing w:after="0" w:line="240" w:lineRule="auto"/>
              <w:rPr>
                <w:rFonts w:eastAsia="Times New Roman" w:cs="Calibri"/>
                <w:color w:val="000000"/>
                <w:sz w:val="14"/>
                <w:szCs w:val="14"/>
                <w:lang w:eastAsia="es-MX"/>
              </w:rPr>
            </w:pPr>
            <w:r w:rsidRPr="009F11F0">
              <w:rPr>
                <w:rFonts w:eastAsia="Times New Roman" w:cs="Calibri"/>
                <w:color w:val="000000"/>
                <w:sz w:val="14"/>
                <w:szCs w:val="14"/>
                <w:lang w:eastAsia="es-MX"/>
              </w:rPr>
              <w:t>Crédito 1</w:t>
            </w:r>
            <w:r w:rsidR="009F11F0" w:rsidRPr="009F11F0">
              <w:rPr>
                <w:rFonts w:eastAsia="Times New Roman" w:cs="Calibri"/>
                <w:color w:val="000000"/>
                <w:sz w:val="14"/>
                <w:szCs w:val="14"/>
                <w:lang w:eastAsia="es-MX"/>
              </w:rPr>
              <w:t>'000  MDP Bancomer</w:t>
            </w:r>
          </w:p>
        </w:tc>
        <w:tc>
          <w:tcPr>
            <w:tcW w:w="1997" w:type="dxa"/>
            <w:tcBorders>
              <w:top w:val="nil"/>
              <w:left w:val="nil"/>
              <w:bottom w:val="single" w:sz="4" w:space="0" w:color="auto"/>
              <w:right w:val="single" w:sz="4" w:space="0" w:color="auto"/>
            </w:tcBorders>
            <w:shd w:val="clear" w:color="auto" w:fill="auto"/>
            <w:noWrap/>
            <w:vAlign w:val="center"/>
            <w:hideMark/>
          </w:tcPr>
          <w:p w14:paraId="366198F1"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279,304,035</w:t>
            </w:r>
          </w:p>
        </w:tc>
      </w:tr>
      <w:tr w:rsidR="009F11F0" w:rsidRPr="009F11F0" w14:paraId="0D6A02EB" w14:textId="77777777" w:rsidTr="009F11F0">
        <w:trPr>
          <w:trHeight w:val="353"/>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69DD902F" w14:textId="77777777" w:rsidR="009F11F0" w:rsidRPr="009F11F0" w:rsidRDefault="009F11F0" w:rsidP="00EC7D22">
            <w:pPr>
              <w:suppressAutoHyphens w:val="0"/>
              <w:overflowPunct/>
              <w:spacing w:after="0" w:line="240" w:lineRule="auto"/>
              <w:rPr>
                <w:rFonts w:eastAsia="Times New Roman" w:cs="Calibri"/>
                <w:color w:val="000000"/>
                <w:sz w:val="14"/>
                <w:szCs w:val="14"/>
                <w:lang w:eastAsia="es-MX"/>
              </w:rPr>
            </w:pPr>
            <w:r w:rsidRPr="009F11F0">
              <w:rPr>
                <w:rFonts w:eastAsia="Times New Roman" w:cs="Calibri"/>
                <w:color w:val="000000"/>
                <w:sz w:val="14"/>
                <w:szCs w:val="14"/>
                <w:lang w:eastAsia="es-MX"/>
              </w:rPr>
              <w:t>Crédito 187 MDP Banobras (Bono Cupón Cero)</w:t>
            </w:r>
          </w:p>
        </w:tc>
        <w:tc>
          <w:tcPr>
            <w:tcW w:w="1997" w:type="dxa"/>
            <w:tcBorders>
              <w:top w:val="nil"/>
              <w:left w:val="nil"/>
              <w:bottom w:val="single" w:sz="4" w:space="0" w:color="auto"/>
              <w:right w:val="single" w:sz="4" w:space="0" w:color="auto"/>
            </w:tcBorders>
            <w:shd w:val="clear" w:color="auto" w:fill="auto"/>
            <w:noWrap/>
            <w:vAlign w:val="center"/>
            <w:hideMark/>
          </w:tcPr>
          <w:p w14:paraId="73F15C2C"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80,943,140</w:t>
            </w:r>
          </w:p>
        </w:tc>
      </w:tr>
      <w:tr w:rsidR="009F11F0" w:rsidRPr="009F11F0" w14:paraId="449050DF" w14:textId="77777777" w:rsidTr="009F11F0">
        <w:trPr>
          <w:trHeight w:val="353"/>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36FE9975" w14:textId="77777777" w:rsidR="009F11F0" w:rsidRPr="009F11F0" w:rsidRDefault="009F11F0" w:rsidP="00EC7D22">
            <w:pPr>
              <w:suppressAutoHyphens w:val="0"/>
              <w:overflowPunct/>
              <w:spacing w:after="0" w:line="240" w:lineRule="auto"/>
              <w:rPr>
                <w:rFonts w:eastAsia="Times New Roman" w:cs="Calibri"/>
                <w:color w:val="000000"/>
                <w:sz w:val="14"/>
                <w:szCs w:val="14"/>
                <w:lang w:eastAsia="es-MX"/>
              </w:rPr>
            </w:pPr>
            <w:r w:rsidRPr="009F11F0">
              <w:rPr>
                <w:rFonts w:eastAsia="Times New Roman" w:cs="Calibri"/>
                <w:color w:val="000000"/>
                <w:sz w:val="14"/>
                <w:szCs w:val="14"/>
                <w:lang w:eastAsia="es-MX"/>
              </w:rPr>
              <w:t>Crédito 183 MDP Banobras (Bono Cupón Cero)</w:t>
            </w:r>
          </w:p>
        </w:tc>
        <w:tc>
          <w:tcPr>
            <w:tcW w:w="1997" w:type="dxa"/>
            <w:tcBorders>
              <w:top w:val="nil"/>
              <w:left w:val="nil"/>
              <w:bottom w:val="single" w:sz="4" w:space="0" w:color="auto"/>
              <w:right w:val="single" w:sz="4" w:space="0" w:color="auto"/>
            </w:tcBorders>
            <w:shd w:val="clear" w:color="auto" w:fill="auto"/>
            <w:noWrap/>
            <w:vAlign w:val="center"/>
            <w:hideMark/>
          </w:tcPr>
          <w:p w14:paraId="6051FE29"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71,013,731</w:t>
            </w:r>
          </w:p>
        </w:tc>
      </w:tr>
      <w:tr w:rsidR="009F11F0" w:rsidRPr="009F11F0" w14:paraId="6FF03431" w14:textId="77777777" w:rsidTr="009F11F0">
        <w:trPr>
          <w:trHeight w:val="353"/>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6F7B5D04" w14:textId="77777777" w:rsidR="009F11F0" w:rsidRPr="009F11F0" w:rsidRDefault="009F11F0" w:rsidP="00EC7D22">
            <w:pPr>
              <w:suppressAutoHyphens w:val="0"/>
              <w:overflowPunct/>
              <w:spacing w:after="0" w:line="240" w:lineRule="auto"/>
              <w:rPr>
                <w:rFonts w:eastAsia="Times New Roman" w:cs="Calibri"/>
                <w:color w:val="000000"/>
                <w:sz w:val="14"/>
                <w:szCs w:val="14"/>
                <w:lang w:eastAsia="es-MX"/>
              </w:rPr>
            </w:pPr>
            <w:r w:rsidRPr="009F11F0">
              <w:rPr>
                <w:rFonts w:eastAsia="Times New Roman" w:cs="Calibri"/>
                <w:color w:val="000000"/>
                <w:sz w:val="14"/>
                <w:szCs w:val="14"/>
                <w:lang w:eastAsia="es-MX"/>
              </w:rPr>
              <w:t>Fideicomiso FITABEC</w:t>
            </w:r>
          </w:p>
        </w:tc>
        <w:tc>
          <w:tcPr>
            <w:tcW w:w="1997" w:type="dxa"/>
            <w:tcBorders>
              <w:top w:val="nil"/>
              <w:left w:val="nil"/>
              <w:bottom w:val="single" w:sz="4" w:space="0" w:color="auto"/>
              <w:right w:val="single" w:sz="4" w:space="0" w:color="auto"/>
            </w:tcBorders>
            <w:shd w:val="clear" w:color="auto" w:fill="auto"/>
            <w:noWrap/>
            <w:vAlign w:val="center"/>
            <w:hideMark/>
          </w:tcPr>
          <w:p w14:paraId="6AAC52C5"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66,724,077</w:t>
            </w:r>
          </w:p>
        </w:tc>
      </w:tr>
      <w:tr w:rsidR="009F11F0" w:rsidRPr="009F11F0" w14:paraId="01E227A6" w14:textId="77777777" w:rsidTr="009F11F0">
        <w:trPr>
          <w:trHeight w:val="353"/>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6D0F39D4" w14:textId="77777777" w:rsidR="009F11F0" w:rsidRPr="009F11F0" w:rsidRDefault="009F11F0" w:rsidP="00EC7D22">
            <w:pPr>
              <w:suppressAutoHyphens w:val="0"/>
              <w:overflowPunct/>
              <w:spacing w:after="0" w:line="240" w:lineRule="auto"/>
              <w:rPr>
                <w:rFonts w:eastAsia="Times New Roman" w:cs="Calibri"/>
                <w:color w:val="000000"/>
                <w:sz w:val="14"/>
                <w:szCs w:val="14"/>
                <w:lang w:eastAsia="es-MX"/>
              </w:rPr>
            </w:pPr>
            <w:r w:rsidRPr="009F11F0">
              <w:rPr>
                <w:rFonts w:eastAsia="Times New Roman" w:cs="Calibri"/>
                <w:color w:val="000000"/>
                <w:sz w:val="14"/>
                <w:szCs w:val="14"/>
                <w:lang w:eastAsia="es-MX"/>
              </w:rPr>
              <w:t>Fideicomiso Fondo M. Reynosa y Río Bravo.</w:t>
            </w:r>
          </w:p>
        </w:tc>
        <w:tc>
          <w:tcPr>
            <w:tcW w:w="1997" w:type="dxa"/>
            <w:tcBorders>
              <w:top w:val="nil"/>
              <w:left w:val="nil"/>
              <w:bottom w:val="single" w:sz="4" w:space="0" w:color="auto"/>
              <w:right w:val="single" w:sz="4" w:space="0" w:color="auto"/>
            </w:tcBorders>
            <w:shd w:val="clear" w:color="auto" w:fill="auto"/>
            <w:noWrap/>
            <w:vAlign w:val="center"/>
            <w:hideMark/>
          </w:tcPr>
          <w:p w14:paraId="7C2A67EF"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1,473,911</w:t>
            </w:r>
          </w:p>
        </w:tc>
      </w:tr>
      <w:tr w:rsidR="009F11F0" w:rsidRPr="009F11F0" w14:paraId="5974297A" w14:textId="77777777" w:rsidTr="009F11F0">
        <w:trPr>
          <w:trHeight w:val="353"/>
        </w:trPr>
        <w:tc>
          <w:tcPr>
            <w:tcW w:w="4549" w:type="dxa"/>
            <w:tcBorders>
              <w:top w:val="nil"/>
              <w:left w:val="single" w:sz="4" w:space="0" w:color="auto"/>
              <w:bottom w:val="single" w:sz="4" w:space="0" w:color="auto"/>
              <w:right w:val="single" w:sz="4" w:space="0" w:color="auto"/>
            </w:tcBorders>
            <w:shd w:val="clear" w:color="auto" w:fill="auto"/>
            <w:vAlign w:val="center"/>
            <w:hideMark/>
          </w:tcPr>
          <w:p w14:paraId="5C17CD77" w14:textId="77777777" w:rsidR="009F11F0" w:rsidRPr="009F11F0" w:rsidRDefault="009F11F0" w:rsidP="00EC7D22">
            <w:pPr>
              <w:suppressAutoHyphens w:val="0"/>
              <w:overflowPunct/>
              <w:spacing w:after="0" w:line="240" w:lineRule="auto"/>
              <w:rPr>
                <w:rFonts w:eastAsia="Times New Roman" w:cs="Calibri"/>
                <w:color w:val="000000"/>
                <w:sz w:val="14"/>
                <w:szCs w:val="14"/>
                <w:lang w:eastAsia="es-MX"/>
              </w:rPr>
            </w:pPr>
            <w:r w:rsidRPr="009F11F0">
              <w:rPr>
                <w:rFonts w:eastAsia="Times New Roman" w:cs="Calibri"/>
                <w:color w:val="000000"/>
                <w:sz w:val="14"/>
                <w:szCs w:val="14"/>
                <w:lang w:eastAsia="es-MX"/>
              </w:rPr>
              <w:t>Fideicomiso Fdo. M Matamoros</w:t>
            </w:r>
          </w:p>
        </w:tc>
        <w:tc>
          <w:tcPr>
            <w:tcW w:w="1997" w:type="dxa"/>
            <w:tcBorders>
              <w:top w:val="nil"/>
              <w:left w:val="nil"/>
              <w:bottom w:val="single" w:sz="4" w:space="0" w:color="auto"/>
              <w:right w:val="single" w:sz="4" w:space="0" w:color="auto"/>
            </w:tcBorders>
            <w:shd w:val="clear" w:color="auto" w:fill="auto"/>
            <w:noWrap/>
            <w:vAlign w:val="center"/>
            <w:hideMark/>
          </w:tcPr>
          <w:p w14:paraId="183236FC"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1,289,672</w:t>
            </w:r>
          </w:p>
        </w:tc>
      </w:tr>
      <w:tr w:rsidR="009F11F0" w:rsidRPr="00A6788C" w14:paraId="2E7CE000" w14:textId="77777777" w:rsidTr="009F11F0">
        <w:trPr>
          <w:trHeight w:val="294"/>
        </w:trPr>
        <w:tc>
          <w:tcPr>
            <w:tcW w:w="4549" w:type="dxa"/>
            <w:tcBorders>
              <w:top w:val="nil"/>
              <w:left w:val="single" w:sz="4" w:space="0" w:color="auto"/>
              <w:bottom w:val="single" w:sz="4" w:space="0" w:color="auto"/>
              <w:right w:val="single" w:sz="4" w:space="0" w:color="auto"/>
            </w:tcBorders>
            <w:shd w:val="clear" w:color="F8CBAD" w:fill="DDC9A3"/>
            <w:vAlign w:val="center"/>
            <w:hideMark/>
          </w:tcPr>
          <w:p w14:paraId="21D48E56" w14:textId="77777777" w:rsidR="009F11F0" w:rsidRPr="00A6788C" w:rsidRDefault="009F11F0" w:rsidP="00EC7D22">
            <w:pPr>
              <w:suppressAutoHyphens w:val="0"/>
              <w:overflowPunct/>
              <w:spacing w:after="0" w:line="240" w:lineRule="auto"/>
              <w:jc w:val="center"/>
              <w:rPr>
                <w:rFonts w:eastAsia="Times New Roman" w:cs="Calibri"/>
                <w:b/>
                <w:bCs/>
                <w:color w:val="000000"/>
                <w:sz w:val="16"/>
                <w:szCs w:val="14"/>
                <w:lang w:eastAsia="es-MX"/>
              </w:rPr>
            </w:pPr>
            <w:r w:rsidRPr="00A6788C">
              <w:rPr>
                <w:rFonts w:eastAsia="Times New Roman" w:cs="Calibri"/>
                <w:b/>
                <w:bCs/>
                <w:color w:val="000000"/>
                <w:sz w:val="16"/>
                <w:szCs w:val="14"/>
                <w:lang w:eastAsia="es-MX"/>
              </w:rPr>
              <w:t>Total</w:t>
            </w:r>
          </w:p>
        </w:tc>
        <w:tc>
          <w:tcPr>
            <w:tcW w:w="1997" w:type="dxa"/>
            <w:tcBorders>
              <w:top w:val="nil"/>
              <w:left w:val="nil"/>
              <w:bottom w:val="single" w:sz="4" w:space="0" w:color="auto"/>
              <w:right w:val="single" w:sz="4" w:space="0" w:color="auto"/>
            </w:tcBorders>
            <w:shd w:val="clear" w:color="F8CBAD" w:fill="DDC9A3"/>
            <w:vAlign w:val="center"/>
            <w:hideMark/>
          </w:tcPr>
          <w:p w14:paraId="72652D04" w14:textId="77777777" w:rsidR="009F11F0" w:rsidRPr="00A6788C" w:rsidRDefault="009F11F0" w:rsidP="00EC7D22">
            <w:pPr>
              <w:suppressAutoHyphens w:val="0"/>
              <w:overflowPunct/>
              <w:spacing w:after="0" w:line="240" w:lineRule="auto"/>
              <w:jc w:val="right"/>
              <w:rPr>
                <w:rFonts w:eastAsia="Times New Roman" w:cs="Calibri"/>
                <w:b/>
                <w:bCs/>
                <w:color w:val="000000"/>
                <w:sz w:val="16"/>
                <w:szCs w:val="14"/>
                <w:lang w:eastAsia="es-MX"/>
              </w:rPr>
            </w:pPr>
            <w:r w:rsidRPr="00A6788C">
              <w:rPr>
                <w:rFonts w:eastAsia="Times New Roman" w:cs="Calibri"/>
                <w:b/>
                <w:bCs/>
                <w:color w:val="000000"/>
                <w:sz w:val="16"/>
                <w:szCs w:val="14"/>
                <w:lang w:eastAsia="es-MX"/>
              </w:rPr>
              <w:t>6,597,896,078</w:t>
            </w:r>
          </w:p>
        </w:tc>
      </w:tr>
    </w:tbl>
    <w:p w14:paraId="4D634CB5" w14:textId="77777777" w:rsidR="001D2578" w:rsidRPr="00A6788C" w:rsidRDefault="001D2578" w:rsidP="00EC7D22">
      <w:pPr>
        <w:spacing w:after="0" w:line="240" w:lineRule="auto"/>
        <w:rPr>
          <w:rFonts w:eastAsia="Times New Roman" w:cs="Calibri"/>
          <w:sz w:val="12"/>
          <w:szCs w:val="20"/>
          <w:lang w:eastAsia="es-ES"/>
        </w:rPr>
      </w:pPr>
    </w:p>
    <w:p w14:paraId="75829D9B" w14:textId="77777777" w:rsidR="007745EB" w:rsidRPr="00A6788C" w:rsidRDefault="007745EB" w:rsidP="00EC7D22">
      <w:pPr>
        <w:spacing w:after="0" w:line="240" w:lineRule="auto"/>
        <w:rPr>
          <w:rFonts w:eastAsia="Times New Roman" w:cs="Calibri"/>
          <w:sz w:val="12"/>
          <w:szCs w:val="18"/>
          <w:lang w:eastAsia="es-ES"/>
        </w:rPr>
      </w:pPr>
    </w:p>
    <w:p w14:paraId="2EE54C0E" w14:textId="3CB518A4" w:rsidR="007745EB" w:rsidRDefault="00C87FDA" w:rsidP="00EC7D22">
      <w:pPr>
        <w:pStyle w:val="ROMANOS"/>
        <w:numPr>
          <w:ilvl w:val="0"/>
          <w:numId w:val="64"/>
        </w:numPr>
        <w:tabs>
          <w:tab w:val="clear" w:pos="720"/>
        </w:tabs>
        <w:spacing w:after="0" w:line="240" w:lineRule="exact"/>
        <w:ind w:left="0" w:firstLine="0"/>
        <w:rPr>
          <w:rFonts w:ascii="Calibri" w:hAnsi="Calibri" w:cs="Calibri"/>
          <w:sz w:val="20"/>
          <w:szCs w:val="20"/>
          <w:lang w:val="es-MX"/>
        </w:rPr>
      </w:pPr>
      <w:r w:rsidRPr="00820E37">
        <w:rPr>
          <w:rFonts w:ascii="Calibri" w:hAnsi="Calibri" w:cs="Calibri"/>
          <w:sz w:val="20"/>
          <w:szCs w:val="20"/>
          <w:lang w:val="es-MX"/>
        </w:rPr>
        <w:t>Dentro de este total, la cantidad de $</w:t>
      </w:r>
      <w:r w:rsidR="000A5926" w:rsidRPr="000A5926">
        <w:rPr>
          <w:rFonts w:ascii="Calibri" w:hAnsi="Calibri" w:cs="Calibri"/>
          <w:sz w:val="20"/>
          <w:szCs w:val="20"/>
          <w:lang w:val="es-MX"/>
        </w:rPr>
        <w:t>6</w:t>
      </w:r>
      <w:r w:rsidR="000A5926">
        <w:rPr>
          <w:rFonts w:ascii="Calibri" w:hAnsi="Calibri" w:cs="Calibri"/>
          <w:sz w:val="20"/>
          <w:szCs w:val="20"/>
          <w:lang w:val="es-MX"/>
        </w:rPr>
        <w:t>,</w:t>
      </w:r>
      <w:r w:rsidR="000A5926" w:rsidRPr="000A5926">
        <w:rPr>
          <w:rFonts w:ascii="Calibri" w:hAnsi="Calibri" w:cs="Calibri"/>
          <w:sz w:val="20"/>
          <w:szCs w:val="20"/>
          <w:lang w:val="es-MX"/>
        </w:rPr>
        <w:t>376</w:t>
      </w:r>
      <w:r w:rsidR="000A5926">
        <w:rPr>
          <w:rFonts w:ascii="Calibri" w:hAnsi="Calibri" w:cs="Calibri"/>
          <w:sz w:val="20"/>
          <w:szCs w:val="20"/>
          <w:lang w:val="es-MX"/>
        </w:rPr>
        <w:t>,</w:t>
      </w:r>
      <w:r w:rsidR="000A5926" w:rsidRPr="000A5926">
        <w:rPr>
          <w:rFonts w:ascii="Calibri" w:hAnsi="Calibri" w:cs="Calibri"/>
          <w:sz w:val="20"/>
          <w:szCs w:val="20"/>
          <w:lang w:val="es-MX"/>
        </w:rPr>
        <w:t>451</w:t>
      </w:r>
      <w:r w:rsidR="000A5926">
        <w:rPr>
          <w:rFonts w:ascii="Calibri" w:hAnsi="Calibri" w:cs="Calibri"/>
          <w:sz w:val="20"/>
          <w:szCs w:val="20"/>
          <w:lang w:val="es-MX"/>
        </w:rPr>
        <w:t>,</w:t>
      </w:r>
      <w:r w:rsidR="000A5926" w:rsidRPr="000A5926">
        <w:rPr>
          <w:rFonts w:ascii="Calibri" w:hAnsi="Calibri" w:cs="Calibri"/>
          <w:sz w:val="20"/>
          <w:szCs w:val="20"/>
          <w:lang w:val="es-MX"/>
        </w:rPr>
        <w:t>547</w:t>
      </w:r>
      <w:r w:rsidR="000A5926">
        <w:rPr>
          <w:rFonts w:ascii="Calibri" w:hAnsi="Calibri" w:cs="Calibri"/>
          <w:sz w:val="20"/>
          <w:szCs w:val="20"/>
          <w:lang w:val="es-MX"/>
        </w:rPr>
        <w:t>.</w:t>
      </w:r>
      <w:r w:rsidRPr="00820E37">
        <w:rPr>
          <w:rFonts w:ascii="Calibri" w:hAnsi="Calibri" w:cs="Calibri"/>
          <w:sz w:val="20"/>
          <w:szCs w:val="20"/>
          <w:lang w:val="es-MX"/>
        </w:rPr>
        <w:t>, corresponde al registro que se acumuló debido al  criterio utilizado anterior a la aplicación de la Ley General de Contabilidad Gubernamental,  el cual tenía el propósito de reflejar el compromiso contraído y que los recursos de la  Deuda Pública se identificaran y ejercieran en acciones de Obra Pública, por lo cual se venían utilizando la cuenta “Capital Obra Pública Financiada”, como cuenta complementaria de Activo  y al realizarse el pago de las obligaciones se utilizaba simultáneamente con la de Pasivo No Circulante (Documentos por Pagar a Largo Plazo), ya que con las nueva disposición de Ley esa cuenta no pudo ser reclasificada a ninguna otra cuenta del Catálogo de Cuentas del Consejo Nacional de Armonización Contable y se dejó en la cuenta de Activo Diferido.</w:t>
      </w:r>
    </w:p>
    <w:p w14:paraId="0A7F18AF" w14:textId="77777777" w:rsidR="00501DD1" w:rsidRPr="00820E37" w:rsidRDefault="00501DD1" w:rsidP="00EC7D22">
      <w:pPr>
        <w:pStyle w:val="ROMANOS"/>
        <w:tabs>
          <w:tab w:val="clear" w:pos="720"/>
          <w:tab w:val="left" w:pos="284"/>
        </w:tabs>
        <w:spacing w:after="0" w:line="240" w:lineRule="exact"/>
        <w:ind w:left="0" w:firstLine="0"/>
        <w:rPr>
          <w:rFonts w:ascii="Calibri" w:hAnsi="Calibri" w:cs="Calibri"/>
          <w:sz w:val="20"/>
          <w:szCs w:val="20"/>
          <w:lang w:val="es-MX"/>
        </w:rPr>
      </w:pPr>
    </w:p>
    <w:p w14:paraId="73C94D22" w14:textId="7AF76E1F" w:rsidR="007745EB" w:rsidRPr="00820E37" w:rsidRDefault="00397C62" w:rsidP="00EC7D22">
      <w:pPr>
        <w:spacing w:after="0" w:line="240" w:lineRule="auto"/>
        <w:jc w:val="both"/>
        <w:rPr>
          <w:rFonts w:eastAsia="Times New Roman" w:cs="Calibri"/>
          <w:sz w:val="20"/>
          <w:szCs w:val="20"/>
          <w:lang w:eastAsia="es-ES"/>
        </w:rPr>
      </w:pPr>
      <w:r>
        <w:rPr>
          <w:rFonts w:eastAsia="Times New Roman" w:cs="Calibri"/>
          <w:sz w:val="20"/>
          <w:szCs w:val="20"/>
          <w:lang w:eastAsia="es-ES"/>
        </w:rPr>
        <w:t xml:space="preserve">                      </w:t>
      </w:r>
      <w:r w:rsidR="00C87FDA" w:rsidRPr="00820E37">
        <w:rPr>
          <w:rFonts w:eastAsia="Times New Roman" w:cs="Calibri"/>
          <w:sz w:val="20"/>
          <w:szCs w:val="20"/>
          <w:lang w:eastAsia="es-ES"/>
        </w:rPr>
        <w:t>Con la finalidad de ir aplicando las amortizaciones de los créditos corres</w:t>
      </w:r>
      <w:r w:rsidR="00501DD1">
        <w:rPr>
          <w:rFonts w:eastAsia="Times New Roman" w:cs="Calibri"/>
          <w:sz w:val="20"/>
          <w:szCs w:val="20"/>
          <w:lang w:eastAsia="es-ES"/>
        </w:rPr>
        <w:t xml:space="preserve">pondientes al registro acumulado antes referido para el cierre </w:t>
      </w:r>
      <w:r w:rsidR="00C87FDA" w:rsidRPr="00820E37">
        <w:rPr>
          <w:rFonts w:eastAsia="Times New Roman" w:cs="Calibri"/>
          <w:sz w:val="20"/>
          <w:szCs w:val="20"/>
          <w:lang w:eastAsia="es-ES"/>
        </w:rPr>
        <w:t xml:space="preserve">de cada ejercicio se determinó aplicar al </w:t>
      </w:r>
      <w:r w:rsidR="00501DD1">
        <w:rPr>
          <w:rFonts w:eastAsia="Times New Roman" w:cs="Calibri"/>
          <w:sz w:val="20"/>
          <w:szCs w:val="20"/>
          <w:lang w:eastAsia="es-ES"/>
        </w:rPr>
        <w:t xml:space="preserve">saldo de esta cuenta la cantidad </w:t>
      </w:r>
      <w:r>
        <w:rPr>
          <w:rFonts w:eastAsia="Times New Roman" w:cs="Calibri"/>
          <w:sz w:val="20"/>
          <w:szCs w:val="20"/>
          <w:lang w:eastAsia="es-ES"/>
        </w:rPr>
        <w:t xml:space="preserve">                      </w:t>
      </w:r>
      <w:r w:rsidR="00C87FDA" w:rsidRPr="00820E37">
        <w:rPr>
          <w:rFonts w:eastAsia="Times New Roman" w:cs="Calibri"/>
          <w:sz w:val="20"/>
          <w:szCs w:val="20"/>
          <w:lang w:eastAsia="es-ES"/>
        </w:rPr>
        <w:t xml:space="preserve">correspondiente a la amortización anual de los créditos de Banorte 6,000 MDP, Bancomer 1,500 MDP, </w:t>
      </w:r>
      <w:r w:rsidR="00501DD1">
        <w:rPr>
          <w:rFonts w:eastAsia="Times New Roman" w:cs="Calibri"/>
          <w:sz w:val="20"/>
          <w:szCs w:val="20"/>
          <w:lang w:eastAsia="es-ES"/>
        </w:rPr>
        <w:t>y Bancomer 1,000</w:t>
      </w:r>
      <w:r w:rsidR="00C87FDA" w:rsidRPr="00820E37">
        <w:rPr>
          <w:rFonts w:eastAsia="Times New Roman" w:cs="Calibri"/>
          <w:sz w:val="20"/>
          <w:szCs w:val="20"/>
          <w:lang w:eastAsia="es-ES"/>
        </w:rPr>
        <w:t xml:space="preserve"> MDP, además de disminuir el saldo por el reconocimie</w:t>
      </w:r>
      <w:r w:rsidR="00501DD1">
        <w:rPr>
          <w:rFonts w:eastAsia="Times New Roman" w:cs="Calibri"/>
          <w:sz w:val="20"/>
          <w:szCs w:val="20"/>
          <w:lang w:eastAsia="es-ES"/>
        </w:rPr>
        <w:t xml:space="preserve">nto de los inmuebles adquiridos </w:t>
      </w:r>
      <w:r w:rsidR="00C87FDA" w:rsidRPr="00820E37">
        <w:rPr>
          <w:rFonts w:eastAsia="Times New Roman" w:cs="Calibri"/>
          <w:sz w:val="20"/>
          <w:szCs w:val="20"/>
          <w:lang w:eastAsia="es-ES"/>
        </w:rPr>
        <w:t xml:space="preserve">en los periodos 2005-2010. </w:t>
      </w:r>
    </w:p>
    <w:p w14:paraId="0CA1062B" w14:textId="77777777" w:rsidR="007745EB" w:rsidRPr="00820E37" w:rsidRDefault="007745EB" w:rsidP="00EC7D22">
      <w:pPr>
        <w:pStyle w:val="ROMANOS"/>
        <w:tabs>
          <w:tab w:val="clear" w:pos="720"/>
          <w:tab w:val="left" w:pos="284"/>
        </w:tabs>
        <w:spacing w:after="0" w:line="240" w:lineRule="exact"/>
        <w:ind w:left="0" w:firstLine="0"/>
        <w:rPr>
          <w:rFonts w:ascii="Calibri" w:hAnsi="Calibri" w:cs="Calibri"/>
          <w:sz w:val="20"/>
          <w:szCs w:val="20"/>
          <w:lang w:val="es-MX"/>
        </w:rPr>
      </w:pPr>
    </w:p>
    <w:p w14:paraId="187659FE" w14:textId="7BD8FC21" w:rsidR="007745EB" w:rsidRPr="00397C62" w:rsidRDefault="00C87FDA" w:rsidP="00EC7D22">
      <w:pPr>
        <w:pStyle w:val="Prrafodelista"/>
        <w:numPr>
          <w:ilvl w:val="0"/>
          <w:numId w:val="64"/>
        </w:numPr>
        <w:spacing w:after="0" w:line="240" w:lineRule="auto"/>
        <w:ind w:left="0" w:firstLine="0"/>
        <w:jc w:val="both"/>
        <w:rPr>
          <w:rFonts w:eastAsia="Times New Roman" w:cs="Calibri"/>
          <w:sz w:val="20"/>
          <w:szCs w:val="20"/>
          <w:lang w:eastAsia="es-ES"/>
        </w:rPr>
      </w:pPr>
      <w:r w:rsidRPr="00397C62">
        <w:rPr>
          <w:rFonts w:eastAsia="Times New Roman" w:cs="Calibri"/>
          <w:sz w:val="20"/>
          <w:szCs w:val="20"/>
          <w:lang w:eastAsia="es-ES"/>
        </w:rPr>
        <w:t>Se incluye también en este Rubro el Activo Diferido, básicamente integrado por el Fideicomiso del Instituto Tamaulipeco de Becas, Estímulos y Créditos Educativos con la cantidad de $</w:t>
      </w:r>
      <w:r w:rsidR="009025EB" w:rsidRPr="00397C62">
        <w:rPr>
          <w:rFonts w:eastAsia="Times New Roman" w:cs="Calibri"/>
          <w:sz w:val="20"/>
          <w:szCs w:val="20"/>
          <w:lang w:eastAsia="es-ES"/>
        </w:rPr>
        <w:t>66,724,077.</w:t>
      </w:r>
      <w:r w:rsidRPr="00397C62">
        <w:rPr>
          <w:rFonts w:eastAsia="Times New Roman" w:cs="Calibri"/>
          <w:sz w:val="20"/>
          <w:szCs w:val="20"/>
          <w:lang w:eastAsia="es-ES"/>
        </w:rPr>
        <w:t>, correspondiente a créditos educativos a largo plazo a la comunidad estudiantil</w:t>
      </w:r>
      <w:r w:rsidR="009025EB" w:rsidRPr="00397C62">
        <w:rPr>
          <w:rFonts w:eastAsia="Times New Roman" w:cs="Calibri"/>
          <w:sz w:val="20"/>
          <w:szCs w:val="20"/>
          <w:lang w:eastAsia="es-ES"/>
        </w:rPr>
        <w:t>.</w:t>
      </w:r>
    </w:p>
    <w:p w14:paraId="0F672BDC" w14:textId="77777777" w:rsidR="007745EB" w:rsidRPr="00820E37" w:rsidRDefault="007745EB" w:rsidP="00EC7D22">
      <w:pPr>
        <w:spacing w:after="0" w:line="240" w:lineRule="auto"/>
        <w:jc w:val="both"/>
        <w:rPr>
          <w:rFonts w:eastAsia="Times New Roman" w:cs="Calibri"/>
          <w:sz w:val="20"/>
          <w:szCs w:val="20"/>
          <w:lang w:eastAsia="es-ES"/>
        </w:rPr>
      </w:pPr>
    </w:p>
    <w:p w14:paraId="040A4E73" w14:textId="3C82D8E6" w:rsidR="007745EB" w:rsidRDefault="00C87FDA" w:rsidP="00EC7D22">
      <w:pPr>
        <w:pStyle w:val="Prrafodelista"/>
        <w:numPr>
          <w:ilvl w:val="0"/>
          <w:numId w:val="64"/>
        </w:numPr>
        <w:tabs>
          <w:tab w:val="left" w:pos="993"/>
        </w:tabs>
        <w:spacing w:after="0" w:line="240" w:lineRule="auto"/>
        <w:ind w:left="0" w:firstLine="0"/>
        <w:jc w:val="both"/>
        <w:rPr>
          <w:rFonts w:eastAsia="Times New Roman" w:cs="Calibri"/>
          <w:sz w:val="20"/>
          <w:szCs w:val="20"/>
          <w:lang w:eastAsia="es-ES"/>
        </w:rPr>
      </w:pPr>
      <w:r w:rsidRPr="00397C62">
        <w:rPr>
          <w:rFonts w:eastAsia="Times New Roman" w:cs="Calibri"/>
          <w:sz w:val="20"/>
          <w:szCs w:val="20"/>
          <w:lang w:eastAsia="es-ES"/>
        </w:rPr>
        <w:t xml:space="preserve">Los saldos de los créditos de Banobras por 183 </w:t>
      </w:r>
      <w:r w:rsidR="00476876">
        <w:rPr>
          <w:rFonts w:eastAsia="Times New Roman" w:cs="Calibri"/>
          <w:sz w:val="20"/>
          <w:szCs w:val="20"/>
          <w:lang w:eastAsia="es-ES"/>
        </w:rPr>
        <w:t>MDP</w:t>
      </w:r>
      <w:r w:rsidRPr="00397C62">
        <w:rPr>
          <w:rFonts w:eastAsia="Times New Roman" w:cs="Calibri"/>
          <w:sz w:val="20"/>
          <w:szCs w:val="20"/>
          <w:lang w:eastAsia="es-ES"/>
        </w:rPr>
        <w:t xml:space="preserve"> y Banobras por 187 </w:t>
      </w:r>
      <w:proofErr w:type="spellStart"/>
      <w:r w:rsidRPr="00397C62">
        <w:rPr>
          <w:rFonts w:eastAsia="Times New Roman" w:cs="Calibri"/>
          <w:sz w:val="20"/>
          <w:szCs w:val="20"/>
          <w:lang w:eastAsia="es-ES"/>
        </w:rPr>
        <w:t>mdp</w:t>
      </w:r>
      <w:proofErr w:type="spellEnd"/>
      <w:r w:rsidRPr="00397C62">
        <w:rPr>
          <w:rFonts w:eastAsia="Times New Roman" w:cs="Calibri"/>
          <w:sz w:val="20"/>
          <w:szCs w:val="20"/>
          <w:lang w:eastAsia="es-ES"/>
        </w:rPr>
        <w:t xml:space="preserve">  denominados Bono Cupón Cero, se disminuyen cada trimestre según la información enviada por la Unidad de Coordinación de Entidades Federativas de la S.H.C.P. del Banco Nacional de Obras y Servicios S.N.C.(BANOBRAS), que en su carácter de Fiduciario del Fideicomiso 2186, Fondo de Reconstrucción para Entidades Federativas (FONREC) y de  acuerdo al contrato del Fideicomiso emite el informe de Derechos Fideicomisarios para el Gobierno de Tamaulipas con el valor nominal correspondiente.</w:t>
      </w:r>
    </w:p>
    <w:p w14:paraId="02C7C7C0" w14:textId="27D0CFA8" w:rsidR="00797579" w:rsidRDefault="00797579" w:rsidP="00EC7D22">
      <w:pPr>
        <w:tabs>
          <w:tab w:val="left" w:pos="993"/>
        </w:tabs>
        <w:spacing w:after="0" w:line="240" w:lineRule="auto"/>
        <w:jc w:val="both"/>
        <w:rPr>
          <w:rFonts w:eastAsia="Times New Roman" w:cs="Calibri"/>
          <w:sz w:val="20"/>
          <w:szCs w:val="20"/>
          <w:lang w:eastAsia="es-ES"/>
        </w:rPr>
      </w:pPr>
    </w:p>
    <w:p w14:paraId="2B811BC5" w14:textId="77777777" w:rsidR="00A743DD" w:rsidRDefault="00A743DD" w:rsidP="00EC7D22">
      <w:pPr>
        <w:tabs>
          <w:tab w:val="left" w:pos="993"/>
        </w:tabs>
        <w:spacing w:after="0" w:line="240" w:lineRule="auto"/>
        <w:jc w:val="both"/>
        <w:rPr>
          <w:rFonts w:eastAsia="Times New Roman" w:cs="Calibri"/>
          <w:sz w:val="20"/>
          <w:szCs w:val="20"/>
          <w:lang w:eastAsia="es-ES"/>
        </w:rPr>
      </w:pPr>
    </w:p>
    <w:p w14:paraId="10BB1F33" w14:textId="77777777" w:rsidR="00797579" w:rsidRPr="00797579" w:rsidRDefault="00797579" w:rsidP="00EC7D22">
      <w:pPr>
        <w:tabs>
          <w:tab w:val="left" w:pos="993"/>
        </w:tabs>
        <w:spacing w:after="0" w:line="240" w:lineRule="auto"/>
        <w:jc w:val="both"/>
        <w:rPr>
          <w:rFonts w:eastAsia="Times New Roman" w:cs="Calibri"/>
          <w:sz w:val="20"/>
          <w:szCs w:val="20"/>
          <w:lang w:eastAsia="es-ES"/>
        </w:rPr>
      </w:pPr>
    </w:p>
    <w:p w14:paraId="1A7035BF" w14:textId="77777777" w:rsidR="007745EB" w:rsidRPr="00820E37" w:rsidRDefault="007745EB" w:rsidP="00EC7D22">
      <w:pPr>
        <w:spacing w:after="0" w:line="240" w:lineRule="auto"/>
        <w:jc w:val="both"/>
        <w:rPr>
          <w:rFonts w:eastAsia="Times New Roman" w:cs="Calibri"/>
          <w:sz w:val="20"/>
          <w:szCs w:val="20"/>
          <w:lang w:eastAsia="es-ES"/>
        </w:rPr>
      </w:pPr>
    </w:p>
    <w:p w14:paraId="5DCA9B0E" w14:textId="77777777" w:rsidR="007745EB" w:rsidRPr="00694CE6" w:rsidRDefault="00C87FDA" w:rsidP="00EC7D22">
      <w:pPr>
        <w:pStyle w:val="Texto"/>
        <w:spacing w:after="0" w:line="240" w:lineRule="exact"/>
        <w:ind w:firstLine="0"/>
        <w:rPr>
          <w:rFonts w:ascii="Calibri" w:hAnsi="Calibri" w:cs="Calibri"/>
          <w:b/>
          <w:sz w:val="20"/>
          <w:u w:val="single"/>
          <w:lang w:val="es-MX"/>
        </w:rPr>
      </w:pPr>
      <w:r w:rsidRPr="00694CE6">
        <w:rPr>
          <w:rFonts w:ascii="Calibri" w:hAnsi="Calibri" w:cs="Calibri"/>
          <w:b/>
          <w:sz w:val="20"/>
          <w:u w:val="single"/>
          <w:lang w:val="es-MX"/>
        </w:rPr>
        <w:lastRenderedPageBreak/>
        <w:t xml:space="preserve">Estimaciones y Deterioros. </w:t>
      </w:r>
    </w:p>
    <w:p w14:paraId="40AB4A8B" w14:textId="77777777" w:rsidR="007745EB" w:rsidRPr="00820E37" w:rsidRDefault="007745EB" w:rsidP="00EC7D22">
      <w:pPr>
        <w:pStyle w:val="Texto"/>
        <w:spacing w:after="0" w:line="240" w:lineRule="exact"/>
        <w:ind w:firstLine="0"/>
        <w:rPr>
          <w:rFonts w:ascii="Calibri" w:hAnsi="Calibri" w:cs="Calibri"/>
          <w:b/>
          <w:sz w:val="20"/>
          <w:lang w:val="es-MX"/>
        </w:rPr>
      </w:pPr>
    </w:p>
    <w:p w14:paraId="2324CB80" w14:textId="77777777" w:rsidR="006E09CA" w:rsidRDefault="00C87FDA" w:rsidP="00EC7D22">
      <w:pPr>
        <w:pStyle w:val="Texto"/>
        <w:numPr>
          <w:ilvl w:val="0"/>
          <w:numId w:val="24"/>
        </w:numPr>
        <w:spacing w:after="0" w:line="240" w:lineRule="exact"/>
        <w:ind w:left="0" w:firstLine="0"/>
        <w:rPr>
          <w:rFonts w:ascii="Calibri" w:hAnsi="Calibri" w:cs="Calibri"/>
          <w:sz w:val="20"/>
          <w:lang w:val="es-MX"/>
        </w:rPr>
      </w:pPr>
      <w:r w:rsidRPr="00820E37">
        <w:rPr>
          <w:rFonts w:ascii="Calibri" w:hAnsi="Calibri" w:cs="Calibri"/>
          <w:sz w:val="20"/>
          <w:lang w:val="es-MX"/>
        </w:rPr>
        <w:t xml:space="preserve">Estimación de cuentas incobrables, estimación por deterioro de inventarios, deterioro de bienes:      </w:t>
      </w:r>
    </w:p>
    <w:p w14:paraId="065783E7" w14:textId="5D3DB3BA" w:rsidR="007745EB" w:rsidRDefault="00C87FDA" w:rsidP="00EC7D22">
      <w:pPr>
        <w:pStyle w:val="Texto"/>
        <w:spacing w:after="0" w:line="240" w:lineRule="exact"/>
        <w:ind w:firstLine="0"/>
        <w:rPr>
          <w:rFonts w:ascii="Calibri" w:hAnsi="Calibri" w:cs="Calibri"/>
          <w:sz w:val="20"/>
          <w:lang w:val="es-MX"/>
        </w:rPr>
      </w:pPr>
      <w:r w:rsidRPr="00820E37">
        <w:rPr>
          <w:rFonts w:ascii="Calibri" w:hAnsi="Calibri" w:cs="Calibri"/>
          <w:b/>
          <w:sz w:val="20"/>
          <w:lang w:val="es-MX"/>
        </w:rPr>
        <w:t>No Aplica</w:t>
      </w:r>
      <w:r w:rsidRPr="00820E37">
        <w:rPr>
          <w:rFonts w:ascii="Calibri" w:hAnsi="Calibri" w:cs="Calibri"/>
          <w:sz w:val="20"/>
          <w:lang w:val="es-MX"/>
        </w:rPr>
        <w:t xml:space="preserve"> </w:t>
      </w:r>
    </w:p>
    <w:p w14:paraId="666BDA61" w14:textId="77777777" w:rsidR="00925024" w:rsidRPr="00820E37" w:rsidRDefault="00925024" w:rsidP="00EC7D22">
      <w:pPr>
        <w:pStyle w:val="Texto"/>
        <w:spacing w:after="0" w:line="240" w:lineRule="exact"/>
        <w:ind w:firstLine="0"/>
        <w:rPr>
          <w:rFonts w:ascii="Calibri" w:hAnsi="Calibri" w:cs="Calibri"/>
          <w:sz w:val="20"/>
          <w:lang w:val="es-MX"/>
        </w:rPr>
      </w:pPr>
    </w:p>
    <w:p w14:paraId="6BC95C22" w14:textId="77777777" w:rsidR="006E09CA" w:rsidRDefault="00C87FDA" w:rsidP="00EC7D22">
      <w:pPr>
        <w:pStyle w:val="Texto"/>
        <w:spacing w:after="0" w:line="240" w:lineRule="exact"/>
        <w:ind w:firstLine="0"/>
        <w:rPr>
          <w:rFonts w:ascii="Calibri" w:hAnsi="Calibri" w:cs="Calibri"/>
          <w:b/>
          <w:sz w:val="20"/>
          <w:lang w:val="es-MX"/>
        </w:rPr>
      </w:pPr>
      <w:r w:rsidRPr="00820E37">
        <w:rPr>
          <w:rFonts w:ascii="Calibri" w:hAnsi="Calibri" w:cs="Calibri"/>
          <w:sz w:val="20"/>
          <w:lang w:val="es-MX"/>
        </w:rPr>
        <w:t xml:space="preserve">  Estimación de Inventarios:          </w:t>
      </w:r>
      <w:r w:rsidRPr="00820E37">
        <w:rPr>
          <w:rFonts w:ascii="Calibri" w:hAnsi="Calibri" w:cs="Calibri"/>
          <w:b/>
          <w:sz w:val="20"/>
          <w:lang w:val="es-MX"/>
        </w:rPr>
        <w:t xml:space="preserve">           </w:t>
      </w:r>
    </w:p>
    <w:p w14:paraId="52A5B48C" w14:textId="78D43AD0" w:rsidR="007745EB" w:rsidRPr="00820E37" w:rsidRDefault="006E09CA" w:rsidP="00EC7D22">
      <w:pPr>
        <w:pStyle w:val="Texto"/>
        <w:spacing w:after="0" w:line="240" w:lineRule="exact"/>
        <w:ind w:firstLine="0"/>
        <w:rPr>
          <w:rFonts w:ascii="Calibri" w:hAnsi="Calibri" w:cs="Calibri"/>
          <w:b/>
          <w:sz w:val="20"/>
          <w:lang w:val="es-MX"/>
        </w:rPr>
      </w:pPr>
      <w:r>
        <w:rPr>
          <w:rFonts w:ascii="Calibri" w:hAnsi="Calibri" w:cs="Calibri"/>
          <w:b/>
          <w:sz w:val="20"/>
          <w:lang w:val="es-MX"/>
        </w:rPr>
        <w:t xml:space="preserve"> </w:t>
      </w:r>
      <w:r w:rsidR="00476876">
        <w:rPr>
          <w:rFonts w:ascii="Calibri" w:hAnsi="Calibri" w:cs="Calibri"/>
          <w:b/>
          <w:sz w:val="20"/>
          <w:lang w:val="es-MX"/>
        </w:rPr>
        <w:t xml:space="preserve">       </w:t>
      </w:r>
      <w:r w:rsidR="00C87FDA" w:rsidRPr="00820E37">
        <w:rPr>
          <w:rFonts w:ascii="Calibri" w:hAnsi="Calibri" w:cs="Calibri"/>
          <w:b/>
          <w:sz w:val="20"/>
          <w:lang w:val="es-MX"/>
        </w:rPr>
        <w:t>No Aplica</w:t>
      </w:r>
    </w:p>
    <w:p w14:paraId="3A0C3B9F" w14:textId="77777777" w:rsidR="007745EB" w:rsidRPr="00820E37" w:rsidRDefault="007745EB" w:rsidP="00EC7D22">
      <w:pPr>
        <w:pStyle w:val="Texto"/>
        <w:spacing w:after="0" w:line="240" w:lineRule="exact"/>
        <w:ind w:firstLine="0"/>
        <w:rPr>
          <w:rFonts w:ascii="Calibri" w:hAnsi="Calibri" w:cs="Calibri"/>
          <w:b/>
          <w:sz w:val="20"/>
          <w:lang w:val="es-MX"/>
        </w:rPr>
      </w:pPr>
    </w:p>
    <w:p w14:paraId="025817A9" w14:textId="77777777" w:rsidR="007745EB" w:rsidRPr="00820E37" w:rsidRDefault="00C87FDA" w:rsidP="00EC7D22">
      <w:pPr>
        <w:pStyle w:val="ROMANOS"/>
        <w:spacing w:after="0" w:line="276" w:lineRule="auto"/>
        <w:ind w:left="0" w:firstLine="0"/>
        <w:rPr>
          <w:rFonts w:ascii="Calibri" w:hAnsi="Calibri" w:cs="Calibri"/>
          <w:sz w:val="20"/>
          <w:szCs w:val="20"/>
          <w:lang w:val="es-MX"/>
        </w:rPr>
      </w:pPr>
      <w:r w:rsidRPr="00820E37">
        <w:rPr>
          <w:rFonts w:ascii="Calibri" w:hAnsi="Calibri" w:cs="Calibri"/>
          <w:sz w:val="20"/>
          <w:szCs w:val="20"/>
          <w:lang w:val="es-MX"/>
        </w:rPr>
        <w:t>En la tabla de depreciación y amortización aprobada por el Consejo de Armonización Contable del Estado de Tamaulipas no se considera aplicar tasas de deterioro para los activos biológicos.</w:t>
      </w:r>
    </w:p>
    <w:p w14:paraId="08905A28" w14:textId="77777777" w:rsidR="007745EB" w:rsidRPr="00820E37" w:rsidRDefault="007745EB" w:rsidP="00EC7D22">
      <w:pPr>
        <w:spacing w:after="0"/>
        <w:rPr>
          <w:rFonts w:eastAsia="Times New Roman" w:cs="Calibri"/>
          <w:sz w:val="20"/>
          <w:szCs w:val="20"/>
          <w:lang w:eastAsia="es-ES"/>
        </w:rPr>
      </w:pPr>
    </w:p>
    <w:p w14:paraId="24DF6702" w14:textId="77777777" w:rsidR="007745EB" w:rsidRPr="00694CE6" w:rsidRDefault="00C87FDA" w:rsidP="00EC7D22">
      <w:pPr>
        <w:pStyle w:val="Texto"/>
        <w:spacing w:after="0" w:line="240" w:lineRule="exact"/>
        <w:ind w:firstLine="0"/>
        <w:rPr>
          <w:rFonts w:ascii="Calibri" w:hAnsi="Calibri" w:cs="Calibri"/>
          <w:b/>
          <w:sz w:val="20"/>
          <w:u w:val="single"/>
          <w:lang w:val="es-MX"/>
        </w:rPr>
      </w:pPr>
      <w:r w:rsidRPr="00694CE6">
        <w:rPr>
          <w:rFonts w:ascii="Calibri" w:hAnsi="Calibri" w:cs="Calibri"/>
          <w:b/>
          <w:sz w:val="20"/>
          <w:u w:val="single"/>
          <w:lang w:val="es-MX"/>
        </w:rPr>
        <w:t xml:space="preserve">Otros Activos </w:t>
      </w:r>
    </w:p>
    <w:p w14:paraId="297F8438" w14:textId="77777777" w:rsidR="007745EB" w:rsidRPr="00820E37" w:rsidRDefault="007745EB" w:rsidP="00EC7D22">
      <w:pPr>
        <w:pStyle w:val="Texto"/>
        <w:spacing w:after="0" w:line="240" w:lineRule="exact"/>
        <w:ind w:firstLine="0"/>
        <w:rPr>
          <w:rFonts w:ascii="Calibri" w:hAnsi="Calibri" w:cs="Calibri"/>
          <w:b/>
          <w:sz w:val="20"/>
          <w:lang w:val="es-MX"/>
        </w:rPr>
      </w:pPr>
    </w:p>
    <w:p w14:paraId="1C003465" w14:textId="52BA4F5B" w:rsidR="007745EB" w:rsidRDefault="00C87FDA" w:rsidP="00EC7D22">
      <w:pPr>
        <w:pStyle w:val="Texto"/>
        <w:numPr>
          <w:ilvl w:val="0"/>
          <w:numId w:val="59"/>
        </w:numPr>
        <w:shd w:val="clear" w:color="auto" w:fill="FFFFFF"/>
        <w:spacing w:after="0" w:line="276" w:lineRule="auto"/>
        <w:ind w:left="0" w:firstLine="0"/>
        <w:rPr>
          <w:rFonts w:ascii="Calibri" w:hAnsi="Calibri" w:cs="Calibri"/>
          <w:sz w:val="20"/>
          <w:lang w:val="es-MX"/>
        </w:rPr>
      </w:pPr>
      <w:r w:rsidRPr="009025EB">
        <w:rPr>
          <w:rFonts w:ascii="Calibri" w:hAnsi="Calibri" w:cs="Calibri"/>
          <w:sz w:val="20"/>
          <w:lang w:val="es-MX"/>
        </w:rPr>
        <w:t xml:space="preserve">En los Bienes en Comodato se registraron </w:t>
      </w:r>
      <w:r w:rsidR="00EC7942" w:rsidRPr="009025EB">
        <w:rPr>
          <w:rFonts w:ascii="Calibri" w:hAnsi="Calibri" w:cs="Calibri"/>
          <w:sz w:val="20"/>
          <w:lang w:val="es-MX"/>
        </w:rPr>
        <w:t xml:space="preserve">13 </w:t>
      </w:r>
      <w:r w:rsidRPr="009025EB">
        <w:rPr>
          <w:rFonts w:ascii="Calibri" w:hAnsi="Calibri" w:cs="Calibri"/>
          <w:sz w:val="20"/>
          <w:lang w:val="es-MX"/>
        </w:rPr>
        <w:t xml:space="preserve">movimientos </w:t>
      </w:r>
      <w:r w:rsidR="00EC7942" w:rsidRPr="009025EB">
        <w:rPr>
          <w:rFonts w:ascii="Calibri" w:hAnsi="Calibri" w:cs="Calibri"/>
          <w:sz w:val="20"/>
          <w:lang w:val="es-MX"/>
        </w:rPr>
        <w:t>por</w:t>
      </w:r>
      <w:r w:rsidRPr="009025EB">
        <w:rPr>
          <w:rFonts w:ascii="Calibri" w:hAnsi="Calibri" w:cs="Calibri"/>
          <w:sz w:val="20"/>
          <w:lang w:val="es-MX"/>
        </w:rPr>
        <w:t xml:space="preserve"> cancelación </w:t>
      </w:r>
      <w:r w:rsidR="00E54A77" w:rsidRPr="009025EB">
        <w:rPr>
          <w:rFonts w:ascii="Calibri" w:hAnsi="Calibri" w:cs="Calibri"/>
          <w:sz w:val="20"/>
          <w:lang w:val="es-MX"/>
        </w:rPr>
        <w:t>en el equipo de transporte de uso administrativo</w:t>
      </w:r>
      <w:r w:rsidR="00EC7942" w:rsidRPr="009025EB">
        <w:rPr>
          <w:rFonts w:ascii="Calibri" w:hAnsi="Calibri" w:cs="Calibri"/>
          <w:sz w:val="20"/>
          <w:lang w:val="es-MX"/>
        </w:rPr>
        <w:t xml:space="preserve"> y diverso mobiliario por</w:t>
      </w:r>
      <w:r w:rsidRPr="009025EB">
        <w:rPr>
          <w:rFonts w:ascii="Calibri" w:hAnsi="Calibri" w:cs="Calibri"/>
          <w:sz w:val="20"/>
          <w:lang w:val="es-MX"/>
        </w:rPr>
        <w:t xml:space="preserve"> $1,</w:t>
      </w:r>
      <w:r w:rsidR="00EC7942" w:rsidRPr="009025EB">
        <w:rPr>
          <w:rFonts w:ascii="Calibri" w:hAnsi="Calibri" w:cs="Calibri"/>
          <w:sz w:val="20"/>
          <w:lang w:val="es-MX"/>
        </w:rPr>
        <w:t>776,461</w:t>
      </w:r>
      <w:r w:rsidR="009025EB">
        <w:rPr>
          <w:rFonts w:ascii="Calibri" w:hAnsi="Calibri" w:cs="Calibri"/>
          <w:sz w:val="20"/>
          <w:lang w:val="es-MX"/>
        </w:rPr>
        <w:t xml:space="preserve">., y </w:t>
      </w:r>
      <w:r w:rsidR="00825972">
        <w:rPr>
          <w:rFonts w:ascii="Calibri" w:hAnsi="Calibri" w:cs="Calibri"/>
          <w:sz w:val="20"/>
          <w:lang w:val="es-MX"/>
        </w:rPr>
        <w:t>5</w:t>
      </w:r>
      <w:r w:rsidR="009025EB">
        <w:rPr>
          <w:rFonts w:ascii="Calibri" w:hAnsi="Calibri" w:cs="Calibri"/>
          <w:sz w:val="20"/>
          <w:lang w:val="es-MX"/>
        </w:rPr>
        <w:t xml:space="preserve"> bajas por la cantidad de $36,615., </w:t>
      </w:r>
      <w:r w:rsidRPr="009025EB">
        <w:rPr>
          <w:rFonts w:ascii="Calibri" w:hAnsi="Calibri" w:cs="Calibri"/>
          <w:sz w:val="20"/>
          <w:lang w:val="es-MX"/>
        </w:rPr>
        <w:t>acumulado al cierre del</w:t>
      </w:r>
      <w:r w:rsidR="00B91DBD" w:rsidRPr="009025EB">
        <w:rPr>
          <w:rFonts w:ascii="Calibri" w:hAnsi="Calibri" w:cs="Calibri"/>
          <w:sz w:val="20"/>
          <w:lang w:val="es-MX"/>
        </w:rPr>
        <w:t xml:space="preserve"> </w:t>
      </w:r>
      <w:r w:rsidR="00825972">
        <w:rPr>
          <w:rFonts w:ascii="Calibri" w:hAnsi="Calibri" w:cs="Calibri"/>
          <w:sz w:val="20"/>
          <w:lang w:val="es-MX"/>
        </w:rPr>
        <w:t>ejercicio</w:t>
      </w:r>
      <w:r w:rsidR="009025EB">
        <w:rPr>
          <w:rFonts w:ascii="Calibri" w:hAnsi="Calibri" w:cs="Calibri"/>
          <w:sz w:val="20"/>
          <w:lang w:val="es-MX"/>
        </w:rPr>
        <w:t xml:space="preserve"> un saldo de $129,075,130.</w:t>
      </w:r>
    </w:p>
    <w:p w14:paraId="76A6A008" w14:textId="77777777" w:rsidR="006B3B09" w:rsidRDefault="006B3B09" w:rsidP="00EC7D22">
      <w:pPr>
        <w:pStyle w:val="Texto"/>
        <w:shd w:val="clear" w:color="auto" w:fill="FFFFFF"/>
        <w:spacing w:after="0" w:line="276" w:lineRule="auto"/>
        <w:ind w:firstLine="0"/>
        <w:rPr>
          <w:rFonts w:ascii="Calibri" w:hAnsi="Calibri" w:cs="Calibri"/>
          <w:sz w:val="20"/>
          <w:lang w:val="es-MX"/>
        </w:rPr>
      </w:pPr>
    </w:p>
    <w:tbl>
      <w:tblPr>
        <w:tblW w:w="7253" w:type="dxa"/>
        <w:tblCellMar>
          <w:left w:w="70" w:type="dxa"/>
          <w:right w:w="70" w:type="dxa"/>
        </w:tblCellMar>
        <w:tblLook w:val="04A0" w:firstRow="1" w:lastRow="0" w:firstColumn="1" w:lastColumn="0" w:noHBand="0" w:noVBand="1"/>
      </w:tblPr>
      <w:tblGrid>
        <w:gridCol w:w="4451"/>
        <w:gridCol w:w="1401"/>
        <w:gridCol w:w="1401"/>
      </w:tblGrid>
      <w:tr w:rsidR="006B3B09" w:rsidRPr="006B3B09" w14:paraId="2F090BA8" w14:textId="77777777" w:rsidTr="00DF32F3">
        <w:trPr>
          <w:trHeight w:val="482"/>
        </w:trPr>
        <w:tc>
          <w:tcPr>
            <w:tcW w:w="4451"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78F793EC" w14:textId="77777777" w:rsidR="006B3B09" w:rsidRPr="006B3B09" w:rsidRDefault="006B3B09" w:rsidP="00EC7D22">
            <w:pPr>
              <w:suppressAutoHyphens w:val="0"/>
              <w:overflowPunct/>
              <w:spacing w:after="0" w:line="240" w:lineRule="auto"/>
              <w:jc w:val="center"/>
              <w:rPr>
                <w:rFonts w:eastAsia="Times New Roman" w:cs="Calibri"/>
                <w:b/>
                <w:bCs/>
                <w:color w:val="FFFFFF"/>
                <w:sz w:val="14"/>
                <w:szCs w:val="14"/>
                <w:lang w:eastAsia="es-MX"/>
              </w:rPr>
            </w:pPr>
            <w:r w:rsidRPr="006B3B09">
              <w:rPr>
                <w:rFonts w:eastAsia="Times New Roman" w:cs="Calibri"/>
                <w:b/>
                <w:bCs/>
                <w:color w:val="FFFFFF"/>
                <w:sz w:val="14"/>
                <w:szCs w:val="14"/>
                <w:lang w:eastAsia="es-MX"/>
              </w:rPr>
              <w:t>BIENES EN COMODATO</w:t>
            </w:r>
          </w:p>
        </w:tc>
        <w:tc>
          <w:tcPr>
            <w:tcW w:w="1401" w:type="dxa"/>
            <w:tcBorders>
              <w:top w:val="single" w:sz="4" w:space="0" w:color="auto"/>
              <w:left w:val="nil"/>
              <w:bottom w:val="single" w:sz="4" w:space="0" w:color="auto"/>
              <w:right w:val="single" w:sz="4" w:space="0" w:color="auto"/>
            </w:tcBorders>
            <w:shd w:val="clear" w:color="800080" w:fill="A90025"/>
            <w:vAlign w:val="center"/>
            <w:hideMark/>
          </w:tcPr>
          <w:p w14:paraId="4CF2B414" w14:textId="77777777" w:rsidR="006B3B09" w:rsidRPr="006B3B09" w:rsidRDefault="006B3B09" w:rsidP="00EC7D22">
            <w:pPr>
              <w:suppressAutoHyphens w:val="0"/>
              <w:overflowPunct/>
              <w:spacing w:after="0" w:line="240" w:lineRule="auto"/>
              <w:jc w:val="center"/>
              <w:rPr>
                <w:rFonts w:eastAsia="Times New Roman" w:cs="Calibri"/>
                <w:b/>
                <w:bCs/>
                <w:color w:val="FFFFFF"/>
                <w:sz w:val="14"/>
                <w:szCs w:val="14"/>
                <w:lang w:eastAsia="es-MX"/>
              </w:rPr>
            </w:pPr>
            <w:r w:rsidRPr="006B3B09">
              <w:rPr>
                <w:rFonts w:eastAsia="Times New Roman" w:cs="Calibri"/>
                <w:b/>
                <w:bCs/>
                <w:color w:val="FFFFFF"/>
                <w:sz w:val="14"/>
                <w:szCs w:val="14"/>
                <w:lang w:eastAsia="es-MX"/>
              </w:rPr>
              <w:t> </w:t>
            </w:r>
          </w:p>
        </w:tc>
        <w:tc>
          <w:tcPr>
            <w:tcW w:w="1401" w:type="dxa"/>
            <w:tcBorders>
              <w:top w:val="single" w:sz="4" w:space="0" w:color="auto"/>
              <w:left w:val="nil"/>
              <w:bottom w:val="single" w:sz="4" w:space="0" w:color="auto"/>
              <w:right w:val="single" w:sz="4" w:space="0" w:color="auto"/>
            </w:tcBorders>
            <w:shd w:val="clear" w:color="800080" w:fill="A90025"/>
            <w:vAlign w:val="center"/>
            <w:hideMark/>
          </w:tcPr>
          <w:p w14:paraId="15F33A1C" w14:textId="77777777" w:rsidR="006B3B09" w:rsidRPr="006B3B09" w:rsidRDefault="006B3B09" w:rsidP="00EC7D22">
            <w:pPr>
              <w:suppressAutoHyphens w:val="0"/>
              <w:overflowPunct/>
              <w:spacing w:after="0" w:line="240" w:lineRule="auto"/>
              <w:jc w:val="center"/>
              <w:rPr>
                <w:rFonts w:eastAsia="Times New Roman" w:cs="Calibri"/>
                <w:b/>
                <w:bCs/>
                <w:color w:val="FFFFFF"/>
                <w:sz w:val="14"/>
                <w:szCs w:val="14"/>
                <w:lang w:eastAsia="es-MX"/>
              </w:rPr>
            </w:pPr>
            <w:r w:rsidRPr="006B3B09">
              <w:rPr>
                <w:rFonts w:eastAsia="Times New Roman" w:cs="Calibri"/>
                <w:b/>
                <w:bCs/>
                <w:color w:val="FFFFFF"/>
                <w:sz w:val="14"/>
                <w:szCs w:val="14"/>
                <w:lang w:eastAsia="es-MX"/>
              </w:rPr>
              <w:t>IMPORTE</w:t>
            </w:r>
          </w:p>
        </w:tc>
      </w:tr>
      <w:tr w:rsidR="006B3B09" w:rsidRPr="006B3B09" w14:paraId="63CAE6BE"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0910EA73" w14:textId="56F92C49" w:rsidR="006B3B09" w:rsidRPr="006B3B09" w:rsidRDefault="00476876" w:rsidP="00EC7D22">
            <w:pPr>
              <w:suppressAutoHyphens w:val="0"/>
              <w:overflowPunct/>
              <w:spacing w:after="0" w:line="240" w:lineRule="auto"/>
              <w:jc w:val="both"/>
              <w:rPr>
                <w:rFonts w:eastAsia="Times New Roman" w:cs="Calibri"/>
                <w:b/>
                <w:bCs/>
                <w:color w:val="000000"/>
                <w:sz w:val="14"/>
                <w:szCs w:val="14"/>
                <w:lang w:eastAsia="es-MX"/>
              </w:rPr>
            </w:pPr>
            <w:r w:rsidRPr="006B3B09">
              <w:rPr>
                <w:rFonts w:eastAsia="Times New Roman" w:cs="Calibri"/>
                <w:b/>
                <w:bCs/>
                <w:color w:val="000000"/>
                <w:sz w:val="14"/>
                <w:szCs w:val="14"/>
                <w:lang w:eastAsia="es-MX"/>
              </w:rPr>
              <w:t>INMUEBLES</w:t>
            </w:r>
          </w:p>
        </w:tc>
        <w:tc>
          <w:tcPr>
            <w:tcW w:w="1401" w:type="dxa"/>
            <w:tcBorders>
              <w:top w:val="nil"/>
              <w:left w:val="nil"/>
              <w:bottom w:val="single" w:sz="4" w:space="0" w:color="auto"/>
              <w:right w:val="single" w:sz="4" w:space="0" w:color="auto"/>
            </w:tcBorders>
            <w:shd w:val="clear" w:color="auto" w:fill="auto"/>
            <w:noWrap/>
            <w:vAlign w:val="center"/>
            <w:hideMark/>
          </w:tcPr>
          <w:p w14:paraId="68FEFD04"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c>
          <w:tcPr>
            <w:tcW w:w="1401" w:type="dxa"/>
            <w:tcBorders>
              <w:top w:val="nil"/>
              <w:left w:val="nil"/>
              <w:bottom w:val="single" w:sz="4" w:space="0" w:color="auto"/>
              <w:right w:val="single" w:sz="4" w:space="0" w:color="auto"/>
            </w:tcBorders>
            <w:shd w:val="clear" w:color="auto" w:fill="auto"/>
            <w:noWrap/>
            <w:vAlign w:val="center"/>
            <w:hideMark/>
          </w:tcPr>
          <w:p w14:paraId="193D67FC"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r>
      <w:tr w:rsidR="006B3B09" w:rsidRPr="006B3B09" w14:paraId="2F3C3FD8"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7A02E9B3" w14:textId="77777777" w:rsidR="006B3B09" w:rsidRPr="006B3B09" w:rsidRDefault="006B3B09" w:rsidP="00EC7D22">
            <w:pPr>
              <w:suppressAutoHyphens w:val="0"/>
              <w:overflowPunct/>
              <w:spacing w:after="0" w:line="240" w:lineRule="auto"/>
              <w:jc w:val="both"/>
              <w:rPr>
                <w:rFonts w:eastAsia="Times New Roman" w:cs="Calibri"/>
                <w:color w:val="000000"/>
                <w:sz w:val="14"/>
                <w:szCs w:val="14"/>
                <w:lang w:eastAsia="es-MX"/>
              </w:rPr>
            </w:pPr>
            <w:r w:rsidRPr="006B3B09">
              <w:rPr>
                <w:rFonts w:eastAsia="Times New Roman" w:cs="Calibri"/>
                <w:color w:val="000000"/>
                <w:sz w:val="14"/>
                <w:szCs w:val="14"/>
                <w:lang w:eastAsia="es-MX"/>
              </w:rPr>
              <w:t>Terrenos</w:t>
            </w:r>
          </w:p>
        </w:tc>
        <w:tc>
          <w:tcPr>
            <w:tcW w:w="1401" w:type="dxa"/>
            <w:tcBorders>
              <w:top w:val="nil"/>
              <w:left w:val="nil"/>
              <w:bottom w:val="single" w:sz="4" w:space="0" w:color="auto"/>
              <w:right w:val="single" w:sz="4" w:space="0" w:color="auto"/>
            </w:tcBorders>
            <w:shd w:val="clear" w:color="auto" w:fill="auto"/>
            <w:noWrap/>
            <w:vAlign w:val="center"/>
            <w:hideMark/>
          </w:tcPr>
          <w:p w14:paraId="5CCC80B2"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6,174,000</w:t>
            </w:r>
          </w:p>
        </w:tc>
        <w:tc>
          <w:tcPr>
            <w:tcW w:w="1401" w:type="dxa"/>
            <w:tcBorders>
              <w:top w:val="nil"/>
              <w:left w:val="nil"/>
              <w:bottom w:val="single" w:sz="4" w:space="0" w:color="auto"/>
              <w:right w:val="single" w:sz="4" w:space="0" w:color="auto"/>
            </w:tcBorders>
            <w:shd w:val="clear" w:color="auto" w:fill="auto"/>
            <w:noWrap/>
            <w:vAlign w:val="center"/>
            <w:hideMark/>
          </w:tcPr>
          <w:p w14:paraId="2C72127E"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r>
      <w:tr w:rsidR="006B3B09" w:rsidRPr="006B3B09" w14:paraId="2C4A8776"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356A13AB" w14:textId="77777777" w:rsidR="006B3B09" w:rsidRPr="006B3B09" w:rsidRDefault="006B3B09" w:rsidP="00EC7D22">
            <w:pPr>
              <w:suppressAutoHyphens w:val="0"/>
              <w:overflowPunct/>
              <w:spacing w:after="0" w:line="240" w:lineRule="auto"/>
              <w:jc w:val="both"/>
              <w:rPr>
                <w:rFonts w:eastAsia="Times New Roman" w:cs="Calibri"/>
                <w:color w:val="000000"/>
                <w:sz w:val="14"/>
                <w:szCs w:val="14"/>
                <w:lang w:eastAsia="es-MX"/>
              </w:rPr>
            </w:pPr>
            <w:r w:rsidRPr="006B3B09">
              <w:rPr>
                <w:rFonts w:eastAsia="Times New Roman" w:cs="Calibri"/>
                <w:color w:val="000000"/>
                <w:sz w:val="14"/>
                <w:szCs w:val="14"/>
                <w:lang w:eastAsia="es-MX"/>
              </w:rPr>
              <w:t>Edificios No Habitacionales</w:t>
            </w:r>
          </w:p>
        </w:tc>
        <w:tc>
          <w:tcPr>
            <w:tcW w:w="1401" w:type="dxa"/>
            <w:tcBorders>
              <w:top w:val="nil"/>
              <w:left w:val="nil"/>
              <w:bottom w:val="single" w:sz="4" w:space="0" w:color="auto"/>
              <w:right w:val="single" w:sz="4" w:space="0" w:color="auto"/>
            </w:tcBorders>
            <w:shd w:val="clear" w:color="auto" w:fill="auto"/>
            <w:noWrap/>
            <w:vAlign w:val="center"/>
            <w:hideMark/>
          </w:tcPr>
          <w:p w14:paraId="41814490"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8,779,000</w:t>
            </w:r>
          </w:p>
        </w:tc>
        <w:tc>
          <w:tcPr>
            <w:tcW w:w="1401" w:type="dxa"/>
            <w:tcBorders>
              <w:top w:val="nil"/>
              <w:left w:val="nil"/>
              <w:bottom w:val="single" w:sz="4" w:space="0" w:color="auto"/>
              <w:right w:val="single" w:sz="4" w:space="0" w:color="auto"/>
            </w:tcBorders>
            <w:shd w:val="clear" w:color="auto" w:fill="auto"/>
            <w:noWrap/>
            <w:vAlign w:val="center"/>
            <w:hideMark/>
          </w:tcPr>
          <w:p w14:paraId="1730200E"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14,953,000</w:t>
            </w:r>
          </w:p>
        </w:tc>
      </w:tr>
      <w:tr w:rsidR="006B3B09" w:rsidRPr="006B3B09" w14:paraId="6052E5BB"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423B938E" w14:textId="77777777" w:rsidR="006B3B09" w:rsidRPr="006B3B09" w:rsidRDefault="006B3B09" w:rsidP="00EC7D22">
            <w:pPr>
              <w:suppressAutoHyphens w:val="0"/>
              <w:overflowPunct/>
              <w:spacing w:after="0" w:line="240" w:lineRule="auto"/>
              <w:jc w:val="both"/>
              <w:rPr>
                <w:rFonts w:eastAsia="Times New Roman" w:cs="Calibri"/>
                <w:b/>
                <w:bCs/>
                <w:color w:val="000000"/>
                <w:sz w:val="14"/>
                <w:szCs w:val="14"/>
                <w:lang w:eastAsia="es-MX"/>
              </w:rPr>
            </w:pPr>
            <w:r w:rsidRPr="006B3B09">
              <w:rPr>
                <w:rFonts w:eastAsia="Times New Roman" w:cs="Calibri"/>
                <w:b/>
                <w:bCs/>
                <w:color w:val="000000"/>
                <w:sz w:val="14"/>
                <w:szCs w:val="14"/>
                <w:lang w:eastAsia="es-MX"/>
              </w:rPr>
              <w:t>MUEBLES</w:t>
            </w:r>
          </w:p>
        </w:tc>
        <w:tc>
          <w:tcPr>
            <w:tcW w:w="1401" w:type="dxa"/>
            <w:tcBorders>
              <w:top w:val="nil"/>
              <w:left w:val="nil"/>
              <w:bottom w:val="single" w:sz="4" w:space="0" w:color="auto"/>
              <w:right w:val="single" w:sz="4" w:space="0" w:color="auto"/>
            </w:tcBorders>
            <w:shd w:val="clear" w:color="auto" w:fill="auto"/>
            <w:noWrap/>
            <w:vAlign w:val="center"/>
            <w:hideMark/>
          </w:tcPr>
          <w:p w14:paraId="029898B0"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c>
          <w:tcPr>
            <w:tcW w:w="1401" w:type="dxa"/>
            <w:tcBorders>
              <w:top w:val="nil"/>
              <w:left w:val="nil"/>
              <w:bottom w:val="single" w:sz="4" w:space="0" w:color="auto"/>
              <w:right w:val="single" w:sz="4" w:space="0" w:color="auto"/>
            </w:tcBorders>
            <w:shd w:val="clear" w:color="auto" w:fill="auto"/>
            <w:noWrap/>
            <w:vAlign w:val="center"/>
            <w:hideMark/>
          </w:tcPr>
          <w:p w14:paraId="33265335"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r>
      <w:tr w:rsidR="006B3B09" w:rsidRPr="006B3B09" w14:paraId="614CFAA8"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674420BB" w14:textId="77777777" w:rsidR="006B3B09" w:rsidRPr="006B3B09" w:rsidRDefault="006B3B09" w:rsidP="00EC7D22">
            <w:pPr>
              <w:suppressAutoHyphens w:val="0"/>
              <w:overflowPunct/>
              <w:spacing w:after="0" w:line="240" w:lineRule="auto"/>
              <w:rPr>
                <w:rFonts w:eastAsia="Times New Roman" w:cs="Calibri"/>
                <w:color w:val="000000"/>
                <w:sz w:val="14"/>
                <w:szCs w:val="14"/>
                <w:lang w:eastAsia="es-MX"/>
              </w:rPr>
            </w:pPr>
            <w:r w:rsidRPr="006B3B09">
              <w:rPr>
                <w:rFonts w:eastAsia="Times New Roman" w:cs="Calibri"/>
                <w:color w:val="000000"/>
                <w:sz w:val="14"/>
                <w:szCs w:val="14"/>
                <w:lang w:eastAsia="es-MX"/>
              </w:rPr>
              <w:t>Mobiliario y Equipo de Administración</w:t>
            </w:r>
          </w:p>
        </w:tc>
        <w:tc>
          <w:tcPr>
            <w:tcW w:w="1401" w:type="dxa"/>
            <w:tcBorders>
              <w:top w:val="nil"/>
              <w:left w:val="nil"/>
              <w:bottom w:val="single" w:sz="4" w:space="0" w:color="auto"/>
              <w:right w:val="single" w:sz="4" w:space="0" w:color="auto"/>
            </w:tcBorders>
            <w:shd w:val="clear" w:color="auto" w:fill="auto"/>
            <w:noWrap/>
            <w:vAlign w:val="center"/>
            <w:hideMark/>
          </w:tcPr>
          <w:p w14:paraId="3BA8920E"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20,190,442</w:t>
            </w:r>
          </w:p>
        </w:tc>
        <w:tc>
          <w:tcPr>
            <w:tcW w:w="1401" w:type="dxa"/>
            <w:tcBorders>
              <w:top w:val="nil"/>
              <w:left w:val="nil"/>
              <w:bottom w:val="single" w:sz="4" w:space="0" w:color="auto"/>
              <w:right w:val="single" w:sz="4" w:space="0" w:color="auto"/>
            </w:tcBorders>
            <w:shd w:val="clear" w:color="auto" w:fill="auto"/>
            <w:noWrap/>
            <w:vAlign w:val="center"/>
            <w:hideMark/>
          </w:tcPr>
          <w:p w14:paraId="4CF8010C"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r>
      <w:tr w:rsidR="006B3B09" w:rsidRPr="006B3B09" w14:paraId="60BD8844"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6138DBF1" w14:textId="77777777" w:rsidR="006B3B09" w:rsidRPr="006B3B09" w:rsidRDefault="006B3B09" w:rsidP="00EC7D22">
            <w:pPr>
              <w:suppressAutoHyphens w:val="0"/>
              <w:overflowPunct/>
              <w:spacing w:after="0" w:line="240" w:lineRule="auto"/>
              <w:rPr>
                <w:rFonts w:eastAsia="Times New Roman" w:cs="Calibri"/>
                <w:color w:val="000000"/>
                <w:sz w:val="14"/>
                <w:szCs w:val="14"/>
                <w:lang w:eastAsia="es-MX"/>
              </w:rPr>
            </w:pPr>
            <w:r w:rsidRPr="006B3B09">
              <w:rPr>
                <w:rFonts w:eastAsia="Times New Roman" w:cs="Calibri"/>
                <w:color w:val="000000"/>
                <w:sz w:val="14"/>
                <w:szCs w:val="14"/>
                <w:lang w:eastAsia="es-MX"/>
              </w:rPr>
              <w:t>Mobiliario y Equipo Educacional y Recreativo</w:t>
            </w:r>
          </w:p>
        </w:tc>
        <w:tc>
          <w:tcPr>
            <w:tcW w:w="1401" w:type="dxa"/>
            <w:tcBorders>
              <w:top w:val="nil"/>
              <w:left w:val="nil"/>
              <w:bottom w:val="single" w:sz="4" w:space="0" w:color="auto"/>
              <w:right w:val="single" w:sz="4" w:space="0" w:color="auto"/>
            </w:tcBorders>
            <w:shd w:val="clear" w:color="auto" w:fill="auto"/>
            <w:noWrap/>
            <w:vAlign w:val="center"/>
            <w:hideMark/>
          </w:tcPr>
          <w:p w14:paraId="5D5A8F61"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16,496,482</w:t>
            </w:r>
          </w:p>
        </w:tc>
        <w:tc>
          <w:tcPr>
            <w:tcW w:w="1401" w:type="dxa"/>
            <w:tcBorders>
              <w:top w:val="nil"/>
              <w:left w:val="nil"/>
              <w:bottom w:val="single" w:sz="4" w:space="0" w:color="auto"/>
              <w:right w:val="single" w:sz="4" w:space="0" w:color="auto"/>
            </w:tcBorders>
            <w:shd w:val="clear" w:color="auto" w:fill="auto"/>
            <w:noWrap/>
            <w:vAlign w:val="center"/>
            <w:hideMark/>
          </w:tcPr>
          <w:p w14:paraId="763B6C7A"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r>
      <w:tr w:rsidR="006B3B09" w:rsidRPr="006B3B09" w14:paraId="0DD5CAC1"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622193F5" w14:textId="77777777" w:rsidR="006B3B09" w:rsidRPr="006B3B09" w:rsidRDefault="006B3B09" w:rsidP="00EC7D22">
            <w:pPr>
              <w:suppressAutoHyphens w:val="0"/>
              <w:overflowPunct/>
              <w:spacing w:after="0" w:line="240" w:lineRule="auto"/>
              <w:rPr>
                <w:rFonts w:eastAsia="Times New Roman" w:cs="Calibri"/>
                <w:color w:val="000000"/>
                <w:sz w:val="14"/>
                <w:szCs w:val="14"/>
                <w:lang w:eastAsia="es-MX"/>
              </w:rPr>
            </w:pPr>
            <w:r w:rsidRPr="006B3B09">
              <w:rPr>
                <w:rFonts w:eastAsia="Times New Roman" w:cs="Calibri"/>
                <w:color w:val="000000"/>
                <w:sz w:val="14"/>
                <w:szCs w:val="14"/>
                <w:lang w:eastAsia="es-MX"/>
              </w:rPr>
              <w:t>Equipo e Instrumental Médico y de Laboratorio</w:t>
            </w:r>
          </w:p>
        </w:tc>
        <w:tc>
          <w:tcPr>
            <w:tcW w:w="1401" w:type="dxa"/>
            <w:tcBorders>
              <w:top w:val="nil"/>
              <w:left w:val="nil"/>
              <w:bottom w:val="single" w:sz="4" w:space="0" w:color="auto"/>
              <w:right w:val="single" w:sz="4" w:space="0" w:color="auto"/>
            </w:tcBorders>
            <w:shd w:val="clear" w:color="auto" w:fill="auto"/>
            <w:noWrap/>
            <w:vAlign w:val="center"/>
            <w:hideMark/>
          </w:tcPr>
          <w:p w14:paraId="3D36167D"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3,033,052</w:t>
            </w:r>
          </w:p>
        </w:tc>
        <w:tc>
          <w:tcPr>
            <w:tcW w:w="1401" w:type="dxa"/>
            <w:tcBorders>
              <w:top w:val="nil"/>
              <w:left w:val="nil"/>
              <w:bottom w:val="single" w:sz="4" w:space="0" w:color="auto"/>
              <w:right w:val="single" w:sz="4" w:space="0" w:color="auto"/>
            </w:tcBorders>
            <w:shd w:val="clear" w:color="auto" w:fill="auto"/>
            <w:noWrap/>
            <w:vAlign w:val="center"/>
            <w:hideMark/>
          </w:tcPr>
          <w:p w14:paraId="5F09963F"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r>
      <w:tr w:rsidR="006B3B09" w:rsidRPr="006B3B09" w14:paraId="06D6BB84"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5DCFF5C0" w14:textId="77777777" w:rsidR="006B3B09" w:rsidRPr="006B3B09" w:rsidRDefault="006B3B09" w:rsidP="00EC7D22">
            <w:pPr>
              <w:suppressAutoHyphens w:val="0"/>
              <w:overflowPunct/>
              <w:spacing w:after="0" w:line="240" w:lineRule="auto"/>
              <w:rPr>
                <w:rFonts w:eastAsia="Times New Roman" w:cs="Calibri"/>
                <w:color w:val="000000"/>
                <w:sz w:val="14"/>
                <w:szCs w:val="14"/>
                <w:lang w:eastAsia="es-MX"/>
              </w:rPr>
            </w:pPr>
            <w:r w:rsidRPr="006B3B09">
              <w:rPr>
                <w:rFonts w:eastAsia="Times New Roman" w:cs="Calibri"/>
                <w:color w:val="000000"/>
                <w:sz w:val="14"/>
                <w:szCs w:val="14"/>
                <w:lang w:eastAsia="es-MX"/>
              </w:rPr>
              <w:t>Equipo de Transporte</w:t>
            </w:r>
          </w:p>
        </w:tc>
        <w:tc>
          <w:tcPr>
            <w:tcW w:w="1401" w:type="dxa"/>
            <w:tcBorders>
              <w:top w:val="nil"/>
              <w:left w:val="nil"/>
              <w:bottom w:val="single" w:sz="4" w:space="0" w:color="auto"/>
              <w:right w:val="single" w:sz="4" w:space="0" w:color="auto"/>
            </w:tcBorders>
            <w:shd w:val="clear" w:color="auto" w:fill="auto"/>
            <w:noWrap/>
            <w:vAlign w:val="center"/>
            <w:hideMark/>
          </w:tcPr>
          <w:p w14:paraId="0E13A3F7"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42,686,796</w:t>
            </w:r>
          </w:p>
        </w:tc>
        <w:tc>
          <w:tcPr>
            <w:tcW w:w="1401" w:type="dxa"/>
            <w:tcBorders>
              <w:top w:val="nil"/>
              <w:left w:val="nil"/>
              <w:bottom w:val="single" w:sz="4" w:space="0" w:color="auto"/>
              <w:right w:val="single" w:sz="4" w:space="0" w:color="auto"/>
            </w:tcBorders>
            <w:shd w:val="clear" w:color="auto" w:fill="auto"/>
            <w:noWrap/>
            <w:vAlign w:val="center"/>
            <w:hideMark/>
          </w:tcPr>
          <w:p w14:paraId="2285ECB6"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r>
      <w:tr w:rsidR="006B3B09" w:rsidRPr="006B3B09" w14:paraId="63512DF1"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76E46FAC" w14:textId="77777777" w:rsidR="006B3B09" w:rsidRPr="006B3B09" w:rsidRDefault="006B3B09" w:rsidP="00EC7D22">
            <w:pPr>
              <w:suppressAutoHyphens w:val="0"/>
              <w:overflowPunct/>
              <w:spacing w:after="0" w:line="240" w:lineRule="auto"/>
              <w:rPr>
                <w:rFonts w:eastAsia="Times New Roman" w:cs="Calibri"/>
                <w:color w:val="000000"/>
                <w:sz w:val="14"/>
                <w:szCs w:val="14"/>
                <w:lang w:eastAsia="es-MX"/>
              </w:rPr>
            </w:pPr>
            <w:r w:rsidRPr="006B3B09">
              <w:rPr>
                <w:rFonts w:eastAsia="Times New Roman" w:cs="Calibri"/>
                <w:color w:val="000000"/>
                <w:sz w:val="14"/>
                <w:szCs w:val="14"/>
                <w:lang w:eastAsia="es-MX"/>
              </w:rPr>
              <w:t>Maquinaria, Otros Equipos y Herramientas</w:t>
            </w:r>
          </w:p>
        </w:tc>
        <w:tc>
          <w:tcPr>
            <w:tcW w:w="1401" w:type="dxa"/>
            <w:tcBorders>
              <w:top w:val="nil"/>
              <w:left w:val="nil"/>
              <w:bottom w:val="single" w:sz="4" w:space="0" w:color="auto"/>
              <w:right w:val="single" w:sz="4" w:space="0" w:color="auto"/>
            </w:tcBorders>
            <w:shd w:val="clear" w:color="auto" w:fill="auto"/>
            <w:noWrap/>
            <w:vAlign w:val="center"/>
            <w:hideMark/>
          </w:tcPr>
          <w:p w14:paraId="349D0695"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17,307,989</w:t>
            </w:r>
          </w:p>
        </w:tc>
        <w:tc>
          <w:tcPr>
            <w:tcW w:w="1401" w:type="dxa"/>
            <w:tcBorders>
              <w:top w:val="nil"/>
              <w:left w:val="nil"/>
              <w:bottom w:val="single" w:sz="4" w:space="0" w:color="auto"/>
              <w:right w:val="single" w:sz="4" w:space="0" w:color="auto"/>
            </w:tcBorders>
            <w:shd w:val="clear" w:color="auto" w:fill="auto"/>
            <w:noWrap/>
            <w:vAlign w:val="center"/>
            <w:hideMark/>
          </w:tcPr>
          <w:p w14:paraId="07124797"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99,714,762</w:t>
            </w:r>
          </w:p>
        </w:tc>
      </w:tr>
      <w:tr w:rsidR="006B3B09" w:rsidRPr="006B3B09" w14:paraId="72CE230B"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3C5C5855" w14:textId="77777777" w:rsidR="006B3B09" w:rsidRPr="006B3B09" w:rsidRDefault="006B3B09" w:rsidP="00EC7D22">
            <w:pPr>
              <w:suppressAutoHyphens w:val="0"/>
              <w:overflowPunct/>
              <w:spacing w:after="0" w:line="240" w:lineRule="auto"/>
              <w:rPr>
                <w:rFonts w:eastAsia="Times New Roman" w:cs="Calibri"/>
                <w:b/>
                <w:bCs/>
                <w:color w:val="000000"/>
                <w:sz w:val="14"/>
                <w:szCs w:val="14"/>
                <w:lang w:eastAsia="es-MX"/>
              </w:rPr>
            </w:pPr>
            <w:r w:rsidRPr="006B3B09">
              <w:rPr>
                <w:rFonts w:eastAsia="Times New Roman" w:cs="Calibri"/>
                <w:b/>
                <w:bCs/>
                <w:color w:val="000000"/>
                <w:sz w:val="14"/>
                <w:szCs w:val="14"/>
                <w:lang w:eastAsia="es-MX"/>
              </w:rPr>
              <w:t>INTANGIBLES</w:t>
            </w:r>
          </w:p>
        </w:tc>
        <w:tc>
          <w:tcPr>
            <w:tcW w:w="1401" w:type="dxa"/>
            <w:tcBorders>
              <w:top w:val="nil"/>
              <w:left w:val="nil"/>
              <w:bottom w:val="single" w:sz="4" w:space="0" w:color="auto"/>
              <w:right w:val="single" w:sz="4" w:space="0" w:color="auto"/>
            </w:tcBorders>
            <w:shd w:val="clear" w:color="auto" w:fill="auto"/>
            <w:noWrap/>
            <w:vAlign w:val="center"/>
            <w:hideMark/>
          </w:tcPr>
          <w:p w14:paraId="3DB5904B"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c>
          <w:tcPr>
            <w:tcW w:w="1401" w:type="dxa"/>
            <w:tcBorders>
              <w:top w:val="nil"/>
              <w:left w:val="nil"/>
              <w:bottom w:val="single" w:sz="4" w:space="0" w:color="auto"/>
              <w:right w:val="single" w:sz="4" w:space="0" w:color="auto"/>
            </w:tcBorders>
            <w:shd w:val="clear" w:color="auto" w:fill="auto"/>
            <w:noWrap/>
            <w:vAlign w:val="center"/>
            <w:hideMark/>
          </w:tcPr>
          <w:p w14:paraId="796D57CC"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 </w:t>
            </w:r>
          </w:p>
        </w:tc>
      </w:tr>
      <w:tr w:rsidR="006B3B09" w:rsidRPr="006B3B09" w14:paraId="09AE45C2" w14:textId="77777777" w:rsidTr="00DF32F3">
        <w:trPr>
          <w:trHeight w:val="425"/>
        </w:trPr>
        <w:tc>
          <w:tcPr>
            <w:tcW w:w="4451" w:type="dxa"/>
            <w:tcBorders>
              <w:top w:val="nil"/>
              <w:left w:val="single" w:sz="4" w:space="0" w:color="auto"/>
              <w:bottom w:val="single" w:sz="4" w:space="0" w:color="auto"/>
              <w:right w:val="single" w:sz="4" w:space="0" w:color="auto"/>
            </w:tcBorders>
            <w:shd w:val="clear" w:color="auto" w:fill="auto"/>
            <w:vAlign w:val="center"/>
            <w:hideMark/>
          </w:tcPr>
          <w:p w14:paraId="6923599A" w14:textId="77777777" w:rsidR="006B3B09" w:rsidRPr="006B3B09" w:rsidRDefault="006B3B09" w:rsidP="00EC7D22">
            <w:pPr>
              <w:suppressAutoHyphens w:val="0"/>
              <w:overflowPunct/>
              <w:spacing w:after="0" w:line="240" w:lineRule="auto"/>
              <w:jc w:val="both"/>
              <w:rPr>
                <w:rFonts w:eastAsia="Times New Roman" w:cs="Calibri"/>
                <w:color w:val="000000"/>
                <w:sz w:val="14"/>
                <w:szCs w:val="14"/>
                <w:lang w:eastAsia="es-MX"/>
              </w:rPr>
            </w:pPr>
            <w:r w:rsidRPr="006B3B09">
              <w:rPr>
                <w:rFonts w:eastAsia="Times New Roman" w:cs="Calibri"/>
                <w:color w:val="000000"/>
                <w:sz w:val="14"/>
                <w:szCs w:val="14"/>
                <w:lang w:eastAsia="es-MX"/>
              </w:rPr>
              <w:t>Software</w:t>
            </w:r>
          </w:p>
        </w:tc>
        <w:tc>
          <w:tcPr>
            <w:tcW w:w="1401" w:type="dxa"/>
            <w:tcBorders>
              <w:top w:val="nil"/>
              <w:left w:val="nil"/>
              <w:bottom w:val="single" w:sz="4" w:space="0" w:color="auto"/>
              <w:right w:val="single" w:sz="4" w:space="0" w:color="auto"/>
            </w:tcBorders>
            <w:shd w:val="clear" w:color="auto" w:fill="auto"/>
            <w:noWrap/>
            <w:vAlign w:val="center"/>
            <w:hideMark/>
          </w:tcPr>
          <w:p w14:paraId="0C31457C"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14,407,368</w:t>
            </w:r>
          </w:p>
        </w:tc>
        <w:tc>
          <w:tcPr>
            <w:tcW w:w="1401" w:type="dxa"/>
            <w:tcBorders>
              <w:top w:val="nil"/>
              <w:left w:val="nil"/>
              <w:bottom w:val="single" w:sz="4" w:space="0" w:color="auto"/>
              <w:right w:val="single" w:sz="4" w:space="0" w:color="auto"/>
            </w:tcBorders>
            <w:shd w:val="clear" w:color="auto" w:fill="auto"/>
            <w:noWrap/>
            <w:vAlign w:val="center"/>
            <w:hideMark/>
          </w:tcPr>
          <w:p w14:paraId="59436609" w14:textId="77777777" w:rsidR="006B3B09" w:rsidRPr="006B3B09" w:rsidRDefault="006B3B09" w:rsidP="00EC7D22">
            <w:pPr>
              <w:suppressAutoHyphens w:val="0"/>
              <w:overflowPunct/>
              <w:spacing w:after="0" w:line="240" w:lineRule="auto"/>
              <w:jc w:val="right"/>
              <w:rPr>
                <w:rFonts w:eastAsia="Times New Roman" w:cs="Calibri"/>
                <w:color w:val="000000"/>
                <w:sz w:val="14"/>
                <w:szCs w:val="14"/>
                <w:lang w:eastAsia="es-MX"/>
              </w:rPr>
            </w:pPr>
            <w:r w:rsidRPr="006B3B09">
              <w:rPr>
                <w:rFonts w:eastAsia="Times New Roman" w:cs="Calibri"/>
                <w:color w:val="000000"/>
                <w:sz w:val="14"/>
                <w:szCs w:val="14"/>
                <w:lang w:eastAsia="es-MX"/>
              </w:rPr>
              <w:t>14,407,368</w:t>
            </w:r>
          </w:p>
        </w:tc>
      </w:tr>
      <w:tr w:rsidR="006B3B09" w:rsidRPr="00797579" w14:paraId="47CBE1D0" w14:textId="77777777" w:rsidTr="00797579">
        <w:trPr>
          <w:trHeight w:val="397"/>
        </w:trPr>
        <w:tc>
          <w:tcPr>
            <w:tcW w:w="4451" w:type="dxa"/>
            <w:tcBorders>
              <w:top w:val="nil"/>
              <w:left w:val="single" w:sz="4" w:space="0" w:color="auto"/>
              <w:bottom w:val="single" w:sz="4" w:space="0" w:color="auto"/>
              <w:right w:val="single" w:sz="4" w:space="0" w:color="auto"/>
            </w:tcBorders>
            <w:shd w:val="clear" w:color="F8CBAD" w:fill="DDC9A3"/>
            <w:vAlign w:val="center"/>
            <w:hideMark/>
          </w:tcPr>
          <w:p w14:paraId="1F916A2B" w14:textId="77777777" w:rsidR="006B3B09" w:rsidRPr="00797579" w:rsidRDefault="006B3B09" w:rsidP="00EC7D22">
            <w:pPr>
              <w:suppressAutoHyphens w:val="0"/>
              <w:overflowPunct/>
              <w:spacing w:after="0" w:line="240" w:lineRule="auto"/>
              <w:jc w:val="center"/>
              <w:rPr>
                <w:rFonts w:eastAsia="Times New Roman" w:cs="Calibri"/>
                <w:b/>
                <w:bCs/>
                <w:color w:val="000000"/>
                <w:sz w:val="16"/>
                <w:szCs w:val="14"/>
                <w:lang w:eastAsia="es-MX"/>
              </w:rPr>
            </w:pPr>
            <w:r w:rsidRPr="00797579">
              <w:rPr>
                <w:rFonts w:eastAsia="Times New Roman" w:cs="Calibri"/>
                <w:b/>
                <w:bCs/>
                <w:color w:val="000000"/>
                <w:sz w:val="16"/>
                <w:szCs w:val="14"/>
                <w:lang w:eastAsia="es-MX"/>
              </w:rPr>
              <w:t>Total</w:t>
            </w:r>
          </w:p>
        </w:tc>
        <w:tc>
          <w:tcPr>
            <w:tcW w:w="1401" w:type="dxa"/>
            <w:tcBorders>
              <w:top w:val="nil"/>
              <w:left w:val="nil"/>
              <w:bottom w:val="single" w:sz="4" w:space="0" w:color="auto"/>
              <w:right w:val="single" w:sz="4" w:space="0" w:color="auto"/>
            </w:tcBorders>
            <w:shd w:val="clear" w:color="F8CBAD" w:fill="DDC9A3"/>
            <w:vAlign w:val="center"/>
            <w:hideMark/>
          </w:tcPr>
          <w:p w14:paraId="28A2BD81" w14:textId="77777777" w:rsidR="006B3B09" w:rsidRPr="00797579" w:rsidRDefault="006B3B09" w:rsidP="00EC7D22">
            <w:pPr>
              <w:suppressAutoHyphens w:val="0"/>
              <w:overflowPunct/>
              <w:spacing w:after="0" w:line="240" w:lineRule="auto"/>
              <w:jc w:val="right"/>
              <w:rPr>
                <w:rFonts w:eastAsia="Times New Roman" w:cs="Calibri"/>
                <w:b/>
                <w:bCs/>
                <w:color w:val="000000"/>
                <w:sz w:val="16"/>
                <w:szCs w:val="14"/>
                <w:lang w:eastAsia="es-MX"/>
              </w:rPr>
            </w:pPr>
            <w:r w:rsidRPr="00797579">
              <w:rPr>
                <w:rFonts w:eastAsia="Times New Roman" w:cs="Calibri"/>
                <w:b/>
                <w:bCs/>
                <w:color w:val="000000"/>
                <w:sz w:val="16"/>
                <w:szCs w:val="14"/>
                <w:lang w:eastAsia="es-MX"/>
              </w:rPr>
              <w:t> </w:t>
            </w:r>
          </w:p>
        </w:tc>
        <w:tc>
          <w:tcPr>
            <w:tcW w:w="1401" w:type="dxa"/>
            <w:tcBorders>
              <w:top w:val="nil"/>
              <w:left w:val="nil"/>
              <w:bottom w:val="single" w:sz="4" w:space="0" w:color="auto"/>
              <w:right w:val="single" w:sz="4" w:space="0" w:color="auto"/>
            </w:tcBorders>
            <w:shd w:val="clear" w:color="F8CBAD" w:fill="DDC9A3"/>
            <w:vAlign w:val="center"/>
            <w:hideMark/>
          </w:tcPr>
          <w:p w14:paraId="064CB517" w14:textId="77777777" w:rsidR="006B3B09" w:rsidRPr="00797579" w:rsidRDefault="006B3B09" w:rsidP="00EC7D22">
            <w:pPr>
              <w:suppressAutoHyphens w:val="0"/>
              <w:overflowPunct/>
              <w:spacing w:after="0" w:line="240" w:lineRule="auto"/>
              <w:jc w:val="right"/>
              <w:rPr>
                <w:rFonts w:eastAsia="Times New Roman" w:cs="Calibri"/>
                <w:b/>
                <w:bCs/>
                <w:color w:val="000000"/>
                <w:sz w:val="16"/>
                <w:szCs w:val="14"/>
                <w:lang w:eastAsia="es-MX"/>
              </w:rPr>
            </w:pPr>
            <w:r w:rsidRPr="00797579">
              <w:rPr>
                <w:rFonts w:eastAsia="Times New Roman" w:cs="Calibri"/>
                <w:b/>
                <w:bCs/>
                <w:color w:val="000000"/>
                <w:sz w:val="16"/>
                <w:szCs w:val="14"/>
                <w:lang w:eastAsia="es-MX"/>
              </w:rPr>
              <w:t>129,075,130</w:t>
            </w:r>
          </w:p>
        </w:tc>
      </w:tr>
    </w:tbl>
    <w:p w14:paraId="27DE29E0" w14:textId="77777777" w:rsidR="006B3B09" w:rsidRDefault="006B3B09" w:rsidP="00EC7D22">
      <w:pPr>
        <w:pStyle w:val="Texto"/>
        <w:shd w:val="clear" w:color="auto" w:fill="FFFFFF"/>
        <w:spacing w:after="0" w:line="276" w:lineRule="auto"/>
        <w:ind w:firstLine="0"/>
        <w:rPr>
          <w:rFonts w:ascii="Calibri" w:hAnsi="Calibri" w:cs="Calibri"/>
          <w:sz w:val="20"/>
          <w:lang w:val="es-MX"/>
        </w:rPr>
      </w:pPr>
    </w:p>
    <w:p w14:paraId="58A3D661" w14:textId="04E78500" w:rsidR="006E09CA" w:rsidRDefault="006E09CA" w:rsidP="00EC7D22">
      <w:pPr>
        <w:pStyle w:val="Texto"/>
        <w:spacing w:after="0" w:line="240" w:lineRule="exact"/>
        <w:ind w:firstLine="0"/>
        <w:rPr>
          <w:rFonts w:ascii="Calibri" w:hAnsi="Calibri" w:cs="Calibri"/>
          <w:b/>
          <w:sz w:val="20"/>
        </w:rPr>
      </w:pPr>
    </w:p>
    <w:p w14:paraId="40E60779" w14:textId="7267C37E" w:rsidR="00797579" w:rsidRDefault="00797579" w:rsidP="00EC7D22">
      <w:pPr>
        <w:pStyle w:val="Texto"/>
        <w:spacing w:after="0" w:line="240" w:lineRule="exact"/>
        <w:ind w:firstLine="0"/>
        <w:rPr>
          <w:rFonts w:ascii="Calibri" w:hAnsi="Calibri" w:cs="Calibri"/>
          <w:b/>
          <w:sz w:val="20"/>
        </w:rPr>
      </w:pPr>
    </w:p>
    <w:p w14:paraId="11C3B0D0" w14:textId="21157F42" w:rsidR="00DF32F3" w:rsidRDefault="00DF32F3" w:rsidP="00EC7D22">
      <w:pPr>
        <w:pStyle w:val="Texto"/>
        <w:spacing w:after="0" w:line="240" w:lineRule="exact"/>
        <w:ind w:firstLine="0"/>
        <w:rPr>
          <w:rFonts w:ascii="Calibri" w:hAnsi="Calibri" w:cs="Calibri"/>
          <w:b/>
          <w:sz w:val="20"/>
        </w:rPr>
      </w:pPr>
    </w:p>
    <w:p w14:paraId="50BFC757" w14:textId="10FE1906" w:rsidR="00DF32F3" w:rsidRDefault="00DF32F3" w:rsidP="00EC7D22">
      <w:pPr>
        <w:pStyle w:val="Texto"/>
        <w:spacing w:after="0" w:line="240" w:lineRule="exact"/>
        <w:ind w:firstLine="0"/>
        <w:rPr>
          <w:rFonts w:ascii="Calibri" w:hAnsi="Calibri" w:cs="Calibri"/>
          <w:b/>
          <w:sz w:val="20"/>
        </w:rPr>
      </w:pPr>
    </w:p>
    <w:p w14:paraId="3B39D88E" w14:textId="77777777" w:rsidR="00AA4AEA" w:rsidRDefault="00AA4AEA" w:rsidP="00EC7D22">
      <w:pPr>
        <w:pStyle w:val="Texto"/>
        <w:spacing w:after="0" w:line="240" w:lineRule="exact"/>
        <w:ind w:firstLine="0"/>
        <w:rPr>
          <w:rFonts w:ascii="Calibri" w:hAnsi="Calibri" w:cs="Calibri"/>
          <w:b/>
          <w:sz w:val="20"/>
        </w:rPr>
      </w:pPr>
    </w:p>
    <w:p w14:paraId="7F12C38F" w14:textId="29567643" w:rsidR="00DF32F3" w:rsidRDefault="00DF32F3" w:rsidP="00EC7D22">
      <w:pPr>
        <w:pStyle w:val="Texto"/>
        <w:spacing w:after="0" w:line="240" w:lineRule="exact"/>
        <w:ind w:firstLine="0"/>
        <w:rPr>
          <w:rFonts w:ascii="Calibri" w:hAnsi="Calibri" w:cs="Calibri"/>
          <w:b/>
          <w:sz w:val="20"/>
        </w:rPr>
      </w:pPr>
    </w:p>
    <w:p w14:paraId="6BD9066F" w14:textId="3BB6388A" w:rsidR="007745EB" w:rsidRDefault="00C87FDA" w:rsidP="00EC7D22">
      <w:pPr>
        <w:pStyle w:val="Texto"/>
        <w:spacing w:after="0" w:line="240" w:lineRule="exact"/>
        <w:ind w:firstLine="0"/>
        <w:rPr>
          <w:rFonts w:ascii="Calibri" w:hAnsi="Calibri" w:cs="Calibri"/>
          <w:b/>
          <w:sz w:val="20"/>
        </w:rPr>
      </w:pPr>
      <w:r>
        <w:rPr>
          <w:rFonts w:ascii="Calibri" w:hAnsi="Calibri" w:cs="Calibri"/>
          <w:b/>
          <w:sz w:val="20"/>
        </w:rPr>
        <w:lastRenderedPageBreak/>
        <w:t>Pasivo</w:t>
      </w:r>
    </w:p>
    <w:p w14:paraId="7FD8BA58" w14:textId="77777777" w:rsidR="007745EB" w:rsidRDefault="007745EB" w:rsidP="00EC7D22">
      <w:pPr>
        <w:pStyle w:val="Texto"/>
        <w:spacing w:after="0" w:line="240" w:lineRule="exact"/>
        <w:ind w:firstLine="0"/>
        <w:rPr>
          <w:rFonts w:ascii="Calibri" w:hAnsi="Calibri" w:cs="Calibri"/>
          <w:b/>
          <w:sz w:val="20"/>
          <w:szCs w:val="18"/>
        </w:rPr>
      </w:pPr>
    </w:p>
    <w:p w14:paraId="3871C312" w14:textId="77777777" w:rsidR="007745EB" w:rsidRPr="00694CE6" w:rsidRDefault="00C87FDA" w:rsidP="00EC7D22">
      <w:pPr>
        <w:pStyle w:val="Texto"/>
        <w:numPr>
          <w:ilvl w:val="0"/>
          <w:numId w:val="15"/>
        </w:numPr>
        <w:spacing w:after="0" w:line="240" w:lineRule="exact"/>
        <w:ind w:left="0" w:firstLine="0"/>
        <w:rPr>
          <w:rFonts w:ascii="Calibri" w:hAnsi="Calibri" w:cs="Calibri"/>
          <w:b/>
          <w:sz w:val="20"/>
          <w:u w:val="single"/>
          <w:lang w:val="es-MX"/>
        </w:rPr>
      </w:pPr>
      <w:r w:rsidRPr="00694CE6">
        <w:rPr>
          <w:rFonts w:ascii="Calibri" w:hAnsi="Calibri" w:cs="Calibri"/>
          <w:b/>
          <w:sz w:val="20"/>
          <w:u w:val="single"/>
          <w:lang w:val="es-MX"/>
        </w:rPr>
        <w:t>Cuentas por Pagar a Corto Plazo</w:t>
      </w:r>
    </w:p>
    <w:p w14:paraId="45E3D993" w14:textId="07B971EF" w:rsidR="001E59F3" w:rsidRDefault="001E59F3" w:rsidP="00EC7D22">
      <w:pPr>
        <w:pStyle w:val="Texto"/>
        <w:spacing w:after="0" w:line="240" w:lineRule="exact"/>
        <w:ind w:firstLine="0"/>
        <w:rPr>
          <w:rFonts w:ascii="Calibri" w:hAnsi="Calibri" w:cs="Calibri"/>
          <w:b/>
          <w:sz w:val="20"/>
          <w:lang w:val="es-MX"/>
        </w:rPr>
      </w:pPr>
    </w:p>
    <w:p w14:paraId="2095ED78" w14:textId="6267CC0D" w:rsidR="001E59F3" w:rsidRDefault="001E59F3" w:rsidP="00EC7D22">
      <w:pPr>
        <w:pStyle w:val="Texto"/>
        <w:spacing w:after="0" w:line="240" w:lineRule="exact"/>
        <w:ind w:firstLine="0"/>
        <w:rPr>
          <w:rFonts w:ascii="Calibri" w:hAnsi="Calibri" w:cs="Calibri"/>
          <w:b/>
          <w:sz w:val="20"/>
          <w:lang w:val="es-MX"/>
        </w:rPr>
      </w:pPr>
    </w:p>
    <w:tbl>
      <w:tblPr>
        <w:tblW w:w="9351" w:type="dxa"/>
        <w:tblCellMar>
          <w:left w:w="70" w:type="dxa"/>
          <w:right w:w="70" w:type="dxa"/>
        </w:tblCellMar>
        <w:tblLook w:val="04A0" w:firstRow="1" w:lastRow="0" w:firstColumn="1" w:lastColumn="0" w:noHBand="0" w:noVBand="1"/>
      </w:tblPr>
      <w:tblGrid>
        <w:gridCol w:w="3256"/>
        <w:gridCol w:w="1275"/>
        <w:gridCol w:w="1276"/>
        <w:gridCol w:w="1134"/>
        <w:gridCol w:w="1134"/>
        <w:gridCol w:w="1276"/>
      </w:tblGrid>
      <w:tr w:rsidR="00BF18DE" w:rsidRPr="00BF18DE" w14:paraId="5DFDE1A5" w14:textId="77777777" w:rsidTr="00A743DD">
        <w:trPr>
          <w:trHeight w:val="450"/>
        </w:trPr>
        <w:tc>
          <w:tcPr>
            <w:tcW w:w="3256" w:type="dxa"/>
            <w:tcBorders>
              <w:top w:val="single" w:sz="4" w:space="0" w:color="auto"/>
              <w:left w:val="single" w:sz="4" w:space="0" w:color="auto"/>
              <w:bottom w:val="single" w:sz="4" w:space="0" w:color="auto"/>
              <w:right w:val="single" w:sz="4" w:space="0" w:color="auto"/>
            </w:tcBorders>
            <w:shd w:val="clear" w:color="000000" w:fill="AB0033"/>
            <w:vAlign w:val="center"/>
            <w:hideMark/>
          </w:tcPr>
          <w:p w14:paraId="18E9620A" w14:textId="77777777" w:rsidR="00BF18DE" w:rsidRPr="00BF18DE" w:rsidRDefault="00BF18DE" w:rsidP="00EC7D22">
            <w:pPr>
              <w:suppressAutoHyphens w:val="0"/>
              <w:overflowPunct/>
              <w:spacing w:after="0" w:line="240" w:lineRule="auto"/>
              <w:jc w:val="center"/>
              <w:rPr>
                <w:rFonts w:eastAsia="Times New Roman" w:cs="Calibri"/>
                <w:b/>
                <w:bCs/>
                <w:color w:val="FFFFFF"/>
                <w:sz w:val="16"/>
                <w:szCs w:val="16"/>
                <w:lang w:eastAsia="es-MX"/>
              </w:rPr>
            </w:pPr>
            <w:r w:rsidRPr="00BF18DE">
              <w:rPr>
                <w:rFonts w:eastAsia="Times New Roman" w:cs="Calibri"/>
                <w:b/>
                <w:bCs/>
                <w:color w:val="FFFFFF"/>
                <w:sz w:val="16"/>
                <w:szCs w:val="16"/>
                <w:lang w:eastAsia="es-MX"/>
              </w:rPr>
              <w:t>Descripción de la Cuenta</w:t>
            </w:r>
          </w:p>
        </w:tc>
        <w:tc>
          <w:tcPr>
            <w:tcW w:w="1275" w:type="dxa"/>
            <w:tcBorders>
              <w:top w:val="single" w:sz="4" w:space="0" w:color="auto"/>
              <w:left w:val="nil"/>
              <w:bottom w:val="single" w:sz="4" w:space="0" w:color="auto"/>
              <w:right w:val="single" w:sz="4" w:space="0" w:color="auto"/>
            </w:tcBorders>
            <w:shd w:val="clear" w:color="000000" w:fill="AB0033"/>
            <w:vAlign w:val="center"/>
            <w:hideMark/>
          </w:tcPr>
          <w:p w14:paraId="4C62DA25" w14:textId="77777777" w:rsidR="00BF18DE" w:rsidRPr="00BF18DE" w:rsidRDefault="00BF18DE" w:rsidP="00EC7D22">
            <w:pPr>
              <w:suppressAutoHyphens w:val="0"/>
              <w:overflowPunct/>
              <w:spacing w:after="0" w:line="240" w:lineRule="auto"/>
              <w:jc w:val="center"/>
              <w:rPr>
                <w:rFonts w:eastAsia="Times New Roman" w:cs="Calibri"/>
                <w:b/>
                <w:bCs/>
                <w:color w:val="FFFFFF"/>
                <w:sz w:val="16"/>
                <w:szCs w:val="16"/>
                <w:lang w:eastAsia="es-MX"/>
              </w:rPr>
            </w:pPr>
            <w:r w:rsidRPr="00BF18DE">
              <w:rPr>
                <w:rFonts w:eastAsia="Times New Roman" w:cs="Calibri"/>
                <w:b/>
                <w:bCs/>
                <w:color w:val="FFFFFF"/>
                <w:sz w:val="16"/>
                <w:szCs w:val="16"/>
                <w:lang w:eastAsia="es-MX"/>
              </w:rPr>
              <w:t>90 Días</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0757A658" w14:textId="77777777" w:rsidR="00BF18DE" w:rsidRPr="00BF18DE" w:rsidRDefault="00BF18DE" w:rsidP="00EC7D22">
            <w:pPr>
              <w:suppressAutoHyphens w:val="0"/>
              <w:overflowPunct/>
              <w:spacing w:after="0" w:line="240" w:lineRule="auto"/>
              <w:jc w:val="center"/>
              <w:rPr>
                <w:rFonts w:eastAsia="Times New Roman" w:cs="Calibri"/>
                <w:b/>
                <w:bCs/>
                <w:color w:val="FFFFFF"/>
                <w:sz w:val="16"/>
                <w:szCs w:val="16"/>
                <w:lang w:eastAsia="es-MX"/>
              </w:rPr>
            </w:pPr>
            <w:r w:rsidRPr="00BF18DE">
              <w:rPr>
                <w:rFonts w:eastAsia="Times New Roman" w:cs="Calibri"/>
                <w:b/>
                <w:bCs/>
                <w:color w:val="FFFFFF"/>
                <w:sz w:val="16"/>
                <w:szCs w:val="16"/>
                <w:lang w:eastAsia="es-MX"/>
              </w:rPr>
              <w:t>180 Días</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48953CD5" w14:textId="77777777" w:rsidR="00BF18DE" w:rsidRPr="00BF18DE" w:rsidRDefault="00BF18DE" w:rsidP="00EC7D22">
            <w:pPr>
              <w:suppressAutoHyphens w:val="0"/>
              <w:overflowPunct/>
              <w:spacing w:after="0" w:line="240" w:lineRule="auto"/>
              <w:jc w:val="center"/>
              <w:rPr>
                <w:rFonts w:eastAsia="Times New Roman" w:cs="Calibri"/>
                <w:b/>
                <w:bCs/>
                <w:color w:val="FFFFFF"/>
                <w:sz w:val="16"/>
                <w:szCs w:val="16"/>
                <w:lang w:eastAsia="es-MX"/>
              </w:rPr>
            </w:pPr>
            <w:r w:rsidRPr="00BF18DE">
              <w:rPr>
                <w:rFonts w:eastAsia="Times New Roman" w:cs="Calibri"/>
                <w:b/>
                <w:bCs/>
                <w:color w:val="FFFFFF"/>
                <w:sz w:val="16"/>
                <w:szCs w:val="16"/>
                <w:lang w:eastAsia="es-MX"/>
              </w:rPr>
              <w:t>Menor a 365 Días</w:t>
            </w:r>
          </w:p>
        </w:tc>
        <w:tc>
          <w:tcPr>
            <w:tcW w:w="1134" w:type="dxa"/>
            <w:tcBorders>
              <w:top w:val="single" w:sz="4" w:space="0" w:color="auto"/>
              <w:left w:val="nil"/>
              <w:bottom w:val="single" w:sz="4" w:space="0" w:color="auto"/>
              <w:right w:val="single" w:sz="4" w:space="0" w:color="auto"/>
            </w:tcBorders>
            <w:shd w:val="clear" w:color="000000" w:fill="AB0033"/>
            <w:vAlign w:val="center"/>
            <w:hideMark/>
          </w:tcPr>
          <w:p w14:paraId="204BA06E" w14:textId="77777777" w:rsidR="00BF18DE" w:rsidRPr="00BF18DE" w:rsidRDefault="00BF18DE" w:rsidP="00EC7D22">
            <w:pPr>
              <w:suppressAutoHyphens w:val="0"/>
              <w:overflowPunct/>
              <w:spacing w:after="0" w:line="240" w:lineRule="auto"/>
              <w:jc w:val="center"/>
              <w:rPr>
                <w:rFonts w:eastAsia="Times New Roman" w:cs="Calibri"/>
                <w:b/>
                <w:bCs/>
                <w:color w:val="FFFFFF"/>
                <w:sz w:val="16"/>
                <w:szCs w:val="16"/>
                <w:lang w:eastAsia="es-MX"/>
              </w:rPr>
            </w:pPr>
            <w:r w:rsidRPr="00BF18DE">
              <w:rPr>
                <w:rFonts w:eastAsia="Times New Roman" w:cs="Calibri"/>
                <w:b/>
                <w:bCs/>
                <w:color w:val="FFFFFF"/>
                <w:sz w:val="16"/>
                <w:szCs w:val="16"/>
                <w:lang w:eastAsia="es-MX"/>
              </w:rPr>
              <w:t>Mayor a 365 Días</w:t>
            </w:r>
          </w:p>
        </w:tc>
        <w:tc>
          <w:tcPr>
            <w:tcW w:w="1276" w:type="dxa"/>
            <w:tcBorders>
              <w:top w:val="single" w:sz="4" w:space="0" w:color="auto"/>
              <w:left w:val="nil"/>
              <w:bottom w:val="single" w:sz="4" w:space="0" w:color="auto"/>
              <w:right w:val="single" w:sz="4" w:space="0" w:color="auto"/>
            </w:tcBorders>
            <w:shd w:val="clear" w:color="000000" w:fill="AB0033"/>
            <w:vAlign w:val="center"/>
            <w:hideMark/>
          </w:tcPr>
          <w:p w14:paraId="105668C4" w14:textId="77777777" w:rsidR="00BF18DE" w:rsidRPr="00BF18DE" w:rsidRDefault="00BF18DE" w:rsidP="00EC7D22">
            <w:pPr>
              <w:suppressAutoHyphens w:val="0"/>
              <w:overflowPunct/>
              <w:spacing w:after="0" w:line="240" w:lineRule="auto"/>
              <w:jc w:val="center"/>
              <w:rPr>
                <w:rFonts w:eastAsia="Times New Roman" w:cs="Calibri"/>
                <w:b/>
                <w:bCs/>
                <w:color w:val="FFFFFF"/>
                <w:sz w:val="16"/>
                <w:szCs w:val="16"/>
                <w:lang w:eastAsia="es-MX"/>
              </w:rPr>
            </w:pPr>
            <w:r w:rsidRPr="00BF18DE">
              <w:rPr>
                <w:rFonts w:eastAsia="Times New Roman" w:cs="Calibri"/>
                <w:b/>
                <w:bCs/>
                <w:color w:val="FFFFFF"/>
                <w:sz w:val="16"/>
                <w:szCs w:val="16"/>
                <w:lang w:eastAsia="es-MX"/>
              </w:rPr>
              <w:t>Importe</w:t>
            </w:r>
          </w:p>
        </w:tc>
      </w:tr>
      <w:tr w:rsidR="00BF18DE" w:rsidRPr="00BF18DE" w14:paraId="6D325043" w14:textId="77777777" w:rsidTr="00A743D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C66ADA" w14:textId="77777777" w:rsidR="00BF18DE" w:rsidRPr="00BF18DE" w:rsidRDefault="00BF18DE" w:rsidP="00EC7D22">
            <w:pPr>
              <w:suppressAutoHyphens w:val="0"/>
              <w:overflowPunct/>
              <w:spacing w:after="0" w:line="240" w:lineRule="auto"/>
              <w:jc w:val="both"/>
              <w:rPr>
                <w:rFonts w:eastAsia="Times New Roman" w:cs="Calibri"/>
                <w:color w:val="000000"/>
                <w:sz w:val="14"/>
                <w:szCs w:val="14"/>
                <w:lang w:eastAsia="es-MX"/>
              </w:rPr>
            </w:pPr>
            <w:r w:rsidRPr="00BF18DE">
              <w:rPr>
                <w:rFonts w:eastAsia="Times New Roman" w:cs="Calibri"/>
                <w:color w:val="000000"/>
                <w:sz w:val="14"/>
                <w:szCs w:val="14"/>
                <w:lang w:eastAsia="es-MX"/>
              </w:rPr>
              <w:t>Servicios por Pagar FONE</w:t>
            </w:r>
          </w:p>
        </w:tc>
        <w:tc>
          <w:tcPr>
            <w:tcW w:w="1275" w:type="dxa"/>
            <w:tcBorders>
              <w:top w:val="nil"/>
              <w:left w:val="nil"/>
              <w:bottom w:val="single" w:sz="4" w:space="0" w:color="auto"/>
              <w:right w:val="single" w:sz="4" w:space="0" w:color="auto"/>
            </w:tcBorders>
            <w:shd w:val="clear" w:color="auto" w:fill="auto"/>
            <w:vAlign w:val="center"/>
            <w:hideMark/>
          </w:tcPr>
          <w:p w14:paraId="29FE2D53"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171D9402"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64C3D5CF"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47EE522C"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1CD33203"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r>
      <w:tr w:rsidR="00BF18DE" w:rsidRPr="00BF18DE" w14:paraId="30DA64B8" w14:textId="77777777" w:rsidTr="00A743D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E3E1CDE" w14:textId="77777777" w:rsidR="00BF18DE" w:rsidRPr="00BF18DE" w:rsidRDefault="00BF18DE" w:rsidP="00EC7D22">
            <w:pPr>
              <w:suppressAutoHyphens w:val="0"/>
              <w:overflowPunct/>
              <w:spacing w:after="0" w:line="240" w:lineRule="auto"/>
              <w:jc w:val="both"/>
              <w:rPr>
                <w:rFonts w:eastAsia="Times New Roman" w:cs="Calibri"/>
                <w:color w:val="000000"/>
                <w:sz w:val="14"/>
                <w:szCs w:val="14"/>
                <w:lang w:eastAsia="es-MX"/>
              </w:rPr>
            </w:pPr>
            <w:r w:rsidRPr="00BF18DE">
              <w:rPr>
                <w:rFonts w:eastAsia="Times New Roman" w:cs="Calibri"/>
                <w:color w:val="000000"/>
                <w:sz w:val="14"/>
                <w:szCs w:val="14"/>
                <w:lang w:eastAsia="es-MX"/>
              </w:rPr>
              <w:t>Proveedores por Pagar a Corto Plazo</w:t>
            </w:r>
          </w:p>
        </w:tc>
        <w:tc>
          <w:tcPr>
            <w:tcW w:w="1275" w:type="dxa"/>
            <w:tcBorders>
              <w:top w:val="nil"/>
              <w:left w:val="nil"/>
              <w:bottom w:val="single" w:sz="4" w:space="0" w:color="auto"/>
              <w:right w:val="single" w:sz="4" w:space="0" w:color="auto"/>
            </w:tcBorders>
            <w:shd w:val="clear" w:color="auto" w:fill="auto"/>
            <w:vAlign w:val="center"/>
            <w:hideMark/>
          </w:tcPr>
          <w:p w14:paraId="6FE6344E"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140,348,230 </w:t>
            </w:r>
          </w:p>
        </w:tc>
        <w:tc>
          <w:tcPr>
            <w:tcW w:w="1276" w:type="dxa"/>
            <w:tcBorders>
              <w:top w:val="nil"/>
              <w:left w:val="nil"/>
              <w:bottom w:val="single" w:sz="4" w:space="0" w:color="auto"/>
              <w:right w:val="single" w:sz="4" w:space="0" w:color="auto"/>
            </w:tcBorders>
            <w:shd w:val="clear" w:color="auto" w:fill="auto"/>
            <w:vAlign w:val="center"/>
            <w:hideMark/>
          </w:tcPr>
          <w:p w14:paraId="6D71955C"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4,739,546 </w:t>
            </w:r>
          </w:p>
        </w:tc>
        <w:tc>
          <w:tcPr>
            <w:tcW w:w="1134" w:type="dxa"/>
            <w:tcBorders>
              <w:top w:val="nil"/>
              <w:left w:val="nil"/>
              <w:bottom w:val="single" w:sz="4" w:space="0" w:color="auto"/>
              <w:right w:val="single" w:sz="4" w:space="0" w:color="auto"/>
            </w:tcBorders>
            <w:shd w:val="clear" w:color="auto" w:fill="auto"/>
            <w:vAlign w:val="center"/>
            <w:hideMark/>
          </w:tcPr>
          <w:p w14:paraId="397BE288"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918,828 </w:t>
            </w:r>
          </w:p>
        </w:tc>
        <w:tc>
          <w:tcPr>
            <w:tcW w:w="1134" w:type="dxa"/>
            <w:tcBorders>
              <w:top w:val="nil"/>
              <w:left w:val="nil"/>
              <w:bottom w:val="single" w:sz="4" w:space="0" w:color="auto"/>
              <w:right w:val="single" w:sz="4" w:space="0" w:color="auto"/>
            </w:tcBorders>
            <w:shd w:val="clear" w:color="auto" w:fill="auto"/>
            <w:vAlign w:val="center"/>
            <w:hideMark/>
          </w:tcPr>
          <w:p w14:paraId="60AE5BD6"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118,567,850 </w:t>
            </w:r>
          </w:p>
        </w:tc>
        <w:tc>
          <w:tcPr>
            <w:tcW w:w="1276" w:type="dxa"/>
            <w:tcBorders>
              <w:top w:val="nil"/>
              <w:left w:val="nil"/>
              <w:bottom w:val="single" w:sz="4" w:space="0" w:color="auto"/>
              <w:right w:val="single" w:sz="4" w:space="0" w:color="auto"/>
            </w:tcBorders>
            <w:shd w:val="clear" w:color="auto" w:fill="auto"/>
            <w:vAlign w:val="center"/>
            <w:hideMark/>
          </w:tcPr>
          <w:p w14:paraId="1C06182E"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264,574,454 </w:t>
            </w:r>
          </w:p>
        </w:tc>
      </w:tr>
      <w:tr w:rsidR="00BF18DE" w:rsidRPr="00BF18DE" w14:paraId="595EA646" w14:textId="77777777" w:rsidTr="00A743D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56AFAD" w14:textId="77777777" w:rsidR="00BF18DE" w:rsidRPr="00BF18DE" w:rsidRDefault="00BF18DE" w:rsidP="00EC7D22">
            <w:pPr>
              <w:suppressAutoHyphens w:val="0"/>
              <w:overflowPunct/>
              <w:spacing w:after="0" w:line="240" w:lineRule="auto"/>
              <w:jc w:val="both"/>
              <w:rPr>
                <w:rFonts w:eastAsia="Times New Roman" w:cs="Calibri"/>
                <w:color w:val="000000"/>
                <w:sz w:val="14"/>
                <w:szCs w:val="14"/>
                <w:lang w:eastAsia="es-MX"/>
              </w:rPr>
            </w:pPr>
            <w:r w:rsidRPr="00BF18DE">
              <w:rPr>
                <w:rFonts w:eastAsia="Times New Roman" w:cs="Calibri"/>
                <w:color w:val="000000"/>
                <w:sz w:val="14"/>
                <w:szCs w:val="14"/>
                <w:lang w:eastAsia="es-MX"/>
              </w:rPr>
              <w:t>Contratistas por Obras Públicas por Pagar a Corto Plazo</w:t>
            </w:r>
          </w:p>
        </w:tc>
        <w:tc>
          <w:tcPr>
            <w:tcW w:w="1275" w:type="dxa"/>
            <w:tcBorders>
              <w:top w:val="nil"/>
              <w:left w:val="nil"/>
              <w:bottom w:val="single" w:sz="4" w:space="0" w:color="auto"/>
              <w:right w:val="single" w:sz="4" w:space="0" w:color="auto"/>
            </w:tcBorders>
            <w:shd w:val="clear" w:color="auto" w:fill="auto"/>
            <w:vAlign w:val="center"/>
            <w:hideMark/>
          </w:tcPr>
          <w:p w14:paraId="299E489B"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170,508 </w:t>
            </w:r>
          </w:p>
        </w:tc>
        <w:tc>
          <w:tcPr>
            <w:tcW w:w="1276" w:type="dxa"/>
            <w:tcBorders>
              <w:top w:val="nil"/>
              <w:left w:val="nil"/>
              <w:bottom w:val="single" w:sz="4" w:space="0" w:color="auto"/>
              <w:right w:val="single" w:sz="4" w:space="0" w:color="auto"/>
            </w:tcBorders>
            <w:shd w:val="clear" w:color="auto" w:fill="auto"/>
            <w:vAlign w:val="center"/>
            <w:hideMark/>
          </w:tcPr>
          <w:p w14:paraId="38542419"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0EF998FE"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152,179 </w:t>
            </w:r>
          </w:p>
        </w:tc>
        <w:tc>
          <w:tcPr>
            <w:tcW w:w="1134" w:type="dxa"/>
            <w:tcBorders>
              <w:top w:val="nil"/>
              <w:left w:val="nil"/>
              <w:bottom w:val="single" w:sz="4" w:space="0" w:color="auto"/>
              <w:right w:val="single" w:sz="4" w:space="0" w:color="auto"/>
            </w:tcBorders>
            <w:shd w:val="clear" w:color="auto" w:fill="auto"/>
            <w:vAlign w:val="center"/>
            <w:hideMark/>
          </w:tcPr>
          <w:p w14:paraId="186F0DCF"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188,225 </w:t>
            </w:r>
          </w:p>
        </w:tc>
        <w:tc>
          <w:tcPr>
            <w:tcW w:w="1276" w:type="dxa"/>
            <w:tcBorders>
              <w:top w:val="nil"/>
              <w:left w:val="nil"/>
              <w:bottom w:val="single" w:sz="4" w:space="0" w:color="auto"/>
              <w:right w:val="single" w:sz="4" w:space="0" w:color="auto"/>
            </w:tcBorders>
            <w:shd w:val="clear" w:color="auto" w:fill="auto"/>
            <w:vAlign w:val="center"/>
            <w:hideMark/>
          </w:tcPr>
          <w:p w14:paraId="77718740"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510,911 </w:t>
            </w:r>
          </w:p>
        </w:tc>
      </w:tr>
      <w:tr w:rsidR="00BF18DE" w:rsidRPr="00BF18DE" w14:paraId="1B212042" w14:textId="77777777" w:rsidTr="00A743D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F1DA75E" w14:textId="77777777" w:rsidR="00BF18DE" w:rsidRPr="00BF18DE" w:rsidRDefault="00BF18DE" w:rsidP="00EC7D22">
            <w:pPr>
              <w:suppressAutoHyphens w:val="0"/>
              <w:overflowPunct/>
              <w:spacing w:after="0" w:line="240" w:lineRule="auto"/>
              <w:jc w:val="both"/>
              <w:rPr>
                <w:rFonts w:eastAsia="Times New Roman" w:cs="Calibri"/>
                <w:color w:val="000000"/>
                <w:sz w:val="14"/>
                <w:szCs w:val="14"/>
                <w:lang w:eastAsia="es-MX"/>
              </w:rPr>
            </w:pPr>
            <w:r w:rsidRPr="00BF18DE">
              <w:rPr>
                <w:rFonts w:eastAsia="Times New Roman" w:cs="Calibri"/>
                <w:color w:val="000000"/>
                <w:sz w:val="14"/>
                <w:szCs w:val="14"/>
                <w:lang w:eastAsia="es-MX"/>
              </w:rPr>
              <w:t>Participaciones y Aportaciones por Pagar a Corto Plazo</w:t>
            </w:r>
          </w:p>
        </w:tc>
        <w:tc>
          <w:tcPr>
            <w:tcW w:w="1275" w:type="dxa"/>
            <w:tcBorders>
              <w:top w:val="nil"/>
              <w:left w:val="nil"/>
              <w:bottom w:val="single" w:sz="4" w:space="0" w:color="auto"/>
              <w:right w:val="single" w:sz="4" w:space="0" w:color="auto"/>
            </w:tcBorders>
            <w:shd w:val="clear" w:color="auto" w:fill="auto"/>
            <w:vAlign w:val="center"/>
            <w:hideMark/>
          </w:tcPr>
          <w:p w14:paraId="4FAA961E"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617,264,379 </w:t>
            </w:r>
          </w:p>
        </w:tc>
        <w:tc>
          <w:tcPr>
            <w:tcW w:w="1276" w:type="dxa"/>
            <w:tcBorders>
              <w:top w:val="nil"/>
              <w:left w:val="nil"/>
              <w:bottom w:val="single" w:sz="4" w:space="0" w:color="auto"/>
              <w:right w:val="single" w:sz="4" w:space="0" w:color="auto"/>
            </w:tcBorders>
            <w:shd w:val="clear" w:color="auto" w:fill="auto"/>
            <w:vAlign w:val="center"/>
            <w:hideMark/>
          </w:tcPr>
          <w:p w14:paraId="5E4DD5FD"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6B17239F"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71BE8D5C"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3641F357"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617,264,379 </w:t>
            </w:r>
          </w:p>
        </w:tc>
      </w:tr>
      <w:tr w:rsidR="00BF18DE" w:rsidRPr="00BF18DE" w14:paraId="6A6DF937" w14:textId="77777777" w:rsidTr="00A743D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DF3AAC" w14:textId="77777777" w:rsidR="00BF18DE" w:rsidRPr="00BF18DE" w:rsidRDefault="00BF18DE" w:rsidP="00EC7D22">
            <w:pPr>
              <w:suppressAutoHyphens w:val="0"/>
              <w:overflowPunct/>
              <w:spacing w:after="0" w:line="240" w:lineRule="auto"/>
              <w:jc w:val="both"/>
              <w:rPr>
                <w:rFonts w:eastAsia="Times New Roman" w:cs="Calibri"/>
                <w:color w:val="000000"/>
                <w:sz w:val="14"/>
                <w:szCs w:val="14"/>
                <w:lang w:eastAsia="es-MX"/>
              </w:rPr>
            </w:pPr>
            <w:r w:rsidRPr="00BF18DE">
              <w:rPr>
                <w:rFonts w:eastAsia="Times New Roman" w:cs="Calibri"/>
                <w:color w:val="000000"/>
                <w:sz w:val="14"/>
                <w:szCs w:val="14"/>
                <w:lang w:eastAsia="es-MX"/>
              </w:rPr>
              <w:t>Transferencia Otorgadas por Pagar a Corto Plazo</w:t>
            </w:r>
          </w:p>
        </w:tc>
        <w:tc>
          <w:tcPr>
            <w:tcW w:w="1275" w:type="dxa"/>
            <w:tcBorders>
              <w:top w:val="nil"/>
              <w:left w:val="nil"/>
              <w:bottom w:val="single" w:sz="4" w:space="0" w:color="auto"/>
              <w:right w:val="single" w:sz="4" w:space="0" w:color="auto"/>
            </w:tcBorders>
            <w:shd w:val="clear" w:color="auto" w:fill="auto"/>
            <w:vAlign w:val="center"/>
            <w:hideMark/>
          </w:tcPr>
          <w:p w14:paraId="6EDAC940"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21,642,950 </w:t>
            </w:r>
          </w:p>
        </w:tc>
        <w:tc>
          <w:tcPr>
            <w:tcW w:w="1276" w:type="dxa"/>
            <w:tcBorders>
              <w:top w:val="nil"/>
              <w:left w:val="nil"/>
              <w:bottom w:val="single" w:sz="4" w:space="0" w:color="auto"/>
              <w:right w:val="single" w:sz="4" w:space="0" w:color="auto"/>
            </w:tcBorders>
            <w:shd w:val="clear" w:color="auto" w:fill="auto"/>
            <w:vAlign w:val="center"/>
            <w:hideMark/>
          </w:tcPr>
          <w:p w14:paraId="5A678440"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50496996"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2B646D45"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46C0B85F"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21,642,950 </w:t>
            </w:r>
          </w:p>
        </w:tc>
      </w:tr>
      <w:tr w:rsidR="00BF18DE" w:rsidRPr="00BF18DE" w14:paraId="1C6372CA" w14:textId="77777777" w:rsidTr="00A743D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7FE919E" w14:textId="77777777" w:rsidR="00BF18DE" w:rsidRPr="00BF18DE" w:rsidRDefault="00BF18DE" w:rsidP="00EC7D22">
            <w:pPr>
              <w:suppressAutoHyphens w:val="0"/>
              <w:overflowPunct/>
              <w:spacing w:after="0" w:line="240" w:lineRule="auto"/>
              <w:jc w:val="both"/>
              <w:rPr>
                <w:rFonts w:eastAsia="Times New Roman" w:cs="Calibri"/>
                <w:color w:val="000000"/>
                <w:sz w:val="14"/>
                <w:szCs w:val="14"/>
                <w:lang w:eastAsia="es-MX"/>
              </w:rPr>
            </w:pPr>
            <w:r w:rsidRPr="00BF18DE">
              <w:rPr>
                <w:rFonts w:eastAsia="Times New Roman" w:cs="Calibri"/>
                <w:color w:val="000000"/>
                <w:sz w:val="14"/>
                <w:szCs w:val="14"/>
                <w:lang w:eastAsia="es-MX"/>
              </w:rPr>
              <w:t>Retenciones y Contribuciones por Pagar a Corto Plazo</w:t>
            </w:r>
          </w:p>
        </w:tc>
        <w:tc>
          <w:tcPr>
            <w:tcW w:w="1275" w:type="dxa"/>
            <w:tcBorders>
              <w:top w:val="nil"/>
              <w:left w:val="nil"/>
              <w:bottom w:val="single" w:sz="4" w:space="0" w:color="auto"/>
              <w:right w:val="single" w:sz="4" w:space="0" w:color="auto"/>
            </w:tcBorders>
            <w:shd w:val="clear" w:color="auto" w:fill="auto"/>
            <w:vAlign w:val="center"/>
            <w:hideMark/>
          </w:tcPr>
          <w:p w14:paraId="1C251DB0"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284,946,314 </w:t>
            </w:r>
          </w:p>
        </w:tc>
        <w:tc>
          <w:tcPr>
            <w:tcW w:w="1276" w:type="dxa"/>
            <w:tcBorders>
              <w:top w:val="nil"/>
              <w:left w:val="nil"/>
              <w:bottom w:val="single" w:sz="4" w:space="0" w:color="auto"/>
              <w:right w:val="single" w:sz="4" w:space="0" w:color="auto"/>
            </w:tcBorders>
            <w:shd w:val="clear" w:color="auto" w:fill="auto"/>
            <w:vAlign w:val="center"/>
            <w:hideMark/>
          </w:tcPr>
          <w:p w14:paraId="56F0A0C2"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67,068 </w:t>
            </w:r>
          </w:p>
        </w:tc>
        <w:tc>
          <w:tcPr>
            <w:tcW w:w="1134" w:type="dxa"/>
            <w:tcBorders>
              <w:top w:val="nil"/>
              <w:left w:val="nil"/>
              <w:bottom w:val="single" w:sz="4" w:space="0" w:color="auto"/>
              <w:right w:val="single" w:sz="4" w:space="0" w:color="auto"/>
            </w:tcBorders>
            <w:shd w:val="clear" w:color="auto" w:fill="auto"/>
            <w:vAlign w:val="center"/>
            <w:hideMark/>
          </w:tcPr>
          <w:p w14:paraId="685418AD"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1,015,343 </w:t>
            </w:r>
          </w:p>
        </w:tc>
        <w:tc>
          <w:tcPr>
            <w:tcW w:w="1134" w:type="dxa"/>
            <w:tcBorders>
              <w:top w:val="nil"/>
              <w:left w:val="nil"/>
              <w:bottom w:val="single" w:sz="4" w:space="0" w:color="auto"/>
              <w:right w:val="single" w:sz="4" w:space="0" w:color="auto"/>
            </w:tcBorders>
            <w:shd w:val="clear" w:color="auto" w:fill="auto"/>
            <w:vAlign w:val="center"/>
            <w:hideMark/>
          </w:tcPr>
          <w:p w14:paraId="7D439BC1"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120,656,670 </w:t>
            </w:r>
          </w:p>
        </w:tc>
        <w:tc>
          <w:tcPr>
            <w:tcW w:w="1276" w:type="dxa"/>
            <w:tcBorders>
              <w:top w:val="nil"/>
              <w:left w:val="nil"/>
              <w:bottom w:val="single" w:sz="4" w:space="0" w:color="auto"/>
              <w:right w:val="single" w:sz="4" w:space="0" w:color="auto"/>
            </w:tcBorders>
            <w:shd w:val="clear" w:color="auto" w:fill="auto"/>
            <w:vAlign w:val="center"/>
            <w:hideMark/>
          </w:tcPr>
          <w:p w14:paraId="25BB456F"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406,685,395 </w:t>
            </w:r>
          </w:p>
        </w:tc>
      </w:tr>
      <w:tr w:rsidR="00BF18DE" w:rsidRPr="00BF18DE" w14:paraId="6E635CCF" w14:textId="77777777" w:rsidTr="00A743D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378374" w14:textId="77777777" w:rsidR="00BF18DE" w:rsidRPr="00BF18DE" w:rsidRDefault="00BF18DE" w:rsidP="00EC7D22">
            <w:pPr>
              <w:suppressAutoHyphens w:val="0"/>
              <w:overflowPunct/>
              <w:spacing w:after="0" w:line="240" w:lineRule="auto"/>
              <w:jc w:val="both"/>
              <w:rPr>
                <w:rFonts w:eastAsia="Times New Roman" w:cs="Calibri"/>
                <w:color w:val="000000"/>
                <w:sz w:val="14"/>
                <w:szCs w:val="14"/>
                <w:lang w:eastAsia="es-MX"/>
              </w:rPr>
            </w:pPr>
            <w:r w:rsidRPr="00BF18DE">
              <w:rPr>
                <w:rFonts w:eastAsia="Times New Roman" w:cs="Calibri"/>
                <w:color w:val="000000"/>
                <w:sz w:val="14"/>
                <w:szCs w:val="14"/>
                <w:lang w:eastAsia="es-MX"/>
              </w:rPr>
              <w:t>Devoluciones de la Ley de Ingresos por Pagar a Corto Plazo</w:t>
            </w:r>
          </w:p>
        </w:tc>
        <w:tc>
          <w:tcPr>
            <w:tcW w:w="1275" w:type="dxa"/>
            <w:tcBorders>
              <w:top w:val="nil"/>
              <w:left w:val="nil"/>
              <w:bottom w:val="single" w:sz="4" w:space="0" w:color="auto"/>
              <w:right w:val="single" w:sz="4" w:space="0" w:color="auto"/>
            </w:tcBorders>
            <w:shd w:val="clear" w:color="auto" w:fill="auto"/>
            <w:vAlign w:val="center"/>
            <w:hideMark/>
          </w:tcPr>
          <w:p w14:paraId="22BACB57"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1,681 </w:t>
            </w:r>
          </w:p>
        </w:tc>
        <w:tc>
          <w:tcPr>
            <w:tcW w:w="1276" w:type="dxa"/>
            <w:tcBorders>
              <w:top w:val="nil"/>
              <w:left w:val="nil"/>
              <w:bottom w:val="single" w:sz="4" w:space="0" w:color="auto"/>
              <w:right w:val="single" w:sz="4" w:space="0" w:color="auto"/>
            </w:tcBorders>
            <w:shd w:val="clear" w:color="auto" w:fill="auto"/>
            <w:vAlign w:val="center"/>
            <w:hideMark/>
          </w:tcPr>
          <w:p w14:paraId="7317860B"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687E5219"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134" w:type="dxa"/>
            <w:tcBorders>
              <w:top w:val="nil"/>
              <w:left w:val="nil"/>
              <w:bottom w:val="single" w:sz="4" w:space="0" w:color="auto"/>
              <w:right w:val="single" w:sz="4" w:space="0" w:color="auto"/>
            </w:tcBorders>
            <w:shd w:val="clear" w:color="auto" w:fill="auto"/>
            <w:vAlign w:val="center"/>
            <w:hideMark/>
          </w:tcPr>
          <w:p w14:paraId="51207DE5"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0 </w:t>
            </w:r>
          </w:p>
        </w:tc>
        <w:tc>
          <w:tcPr>
            <w:tcW w:w="1276" w:type="dxa"/>
            <w:tcBorders>
              <w:top w:val="nil"/>
              <w:left w:val="nil"/>
              <w:bottom w:val="single" w:sz="4" w:space="0" w:color="auto"/>
              <w:right w:val="single" w:sz="4" w:space="0" w:color="auto"/>
            </w:tcBorders>
            <w:shd w:val="clear" w:color="auto" w:fill="auto"/>
            <w:vAlign w:val="center"/>
            <w:hideMark/>
          </w:tcPr>
          <w:p w14:paraId="668A9AD9"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1,681 </w:t>
            </w:r>
          </w:p>
        </w:tc>
      </w:tr>
      <w:tr w:rsidR="00BF18DE" w:rsidRPr="00BF18DE" w14:paraId="768A044B" w14:textId="77777777" w:rsidTr="00A743DD">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4EC5334" w14:textId="77777777" w:rsidR="00BF18DE" w:rsidRPr="00BF18DE" w:rsidRDefault="00BF18DE" w:rsidP="00EC7D22">
            <w:pPr>
              <w:suppressAutoHyphens w:val="0"/>
              <w:overflowPunct/>
              <w:spacing w:after="0" w:line="240" w:lineRule="auto"/>
              <w:jc w:val="both"/>
              <w:rPr>
                <w:rFonts w:eastAsia="Times New Roman" w:cs="Calibri"/>
                <w:color w:val="000000"/>
                <w:sz w:val="14"/>
                <w:szCs w:val="14"/>
                <w:lang w:eastAsia="es-MX"/>
              </w:rPr>
            </w:pPr>
            <w:r w:rsidRPr="00BF18DE">
              <w:rPr>
                <w:rFonts w:eastAsia="Times New Roman" w:cs="Calibri"/>
                <w:color w:val="000000"/>
                <w:sz w:val="14"/>
                <w:szCs w:val="14"/>
                <w:lang w:eastAsia="es-MX"/>
              </w:rPr>
              <w:t>Otras Cuentas por Pagar a Corto Plazo</w:t>
            </w:r>
          </w:p>
        </w:tc>
        <w:tc>
          <w:tcPr>
            <w:tcW w:w="1275" w:type="dxa"/>
            <w:tcBorders>
              <w:top w:val="nil"/>
              <w:left w:val="nil"/>
              <w:bottom w:val="single" w:sz="4" w:space="0" w:color="auto"/>
              <w:right w:val="single" w:sz="4" w:space="0" w:color="auto"/>
            </w:tcBorders>
            <w:shd w:val="clear" w:color="auto" w:fill="auto"/>
            <w:vAlign w:val="center"/>
            <w:hideMark/>
          </w:tcPr>
          <w:p w14:paraId="2940E236"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11,466,942 </w:t>
            </w:r>
          </w:p>
        </w:tc>
        <w:tc>
          <w:tcPr>
            <w:tcW w:w="1276" w:type="dxa"/>
            <w:tcBorders>
              <w:top w:val="nil"/>
              <w:left w:val="nil"/>
              <w:bottom w:val="single" w:sz="4" w:space="0" w:color="auto"/>
              <w:right w:val="single" w:sz="4" w:space="0" w:color="auto"/>
            </w:tcBorders>
            <w:shd w:val="clear" w:color="auto" w:fill="auto"/>
            <w:vAlign w:val="center"/>
            <w:hideMark/>
          </w:tcPr>
          <w:p w14:paraId="3932EFE2"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48,408 </w:t>
            </w:r>
          </w:p>
        </w:tc>
        <w:tc>
          <w:tcPr>
            <w:tcW w:w="1134" w:type="dxa"/>
            <w:tcBorders>
              <w:top w:val="nil"/>
              <w:left w:val="nil"/>
              <w:bottom w:val="single" w:sz="4" w:space="0" w:color="auto"/>
              <w:right w:val="single" w:sz="4" w:space="0" w:color="auto"/>
            </w:tcBorders>
            <w:shd w:val="clear" w:color="auto" w:fill="auto"/>
            <w:vAlign w:val="center"/>
            <w:hideMark/>
          </w:tcPr>
          <w:p w14:paraId="722988C4"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84,284,526 </w:t>
            </w:r>
          </w:p>
        </w:tc>
        <w:tc>
          <w:tcPr>
            <w:tcW w:w="1134" w:type="dxa"/>
            <w:tcBorders>
              <w:top w:val="nil"/>
              <w:left w:val="nil"/>
              <w:bottom w:val="single" w:sz="4" w:space="0" w:color="auto"/>
              <w:right w:val="single" w:sz="4" w:space="0" w:color="auto"/>
            </w:tcBorders>
            <w:shd w:val="clear" w:color="auto" w:fill="auto"/>
            <w:vAlign w:val="center"/>
            <w:hideMark/>
          </w:tcPr>
          <w:p w14:paraId="3E70B4F9"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332,083,151 </w:t>
            </w:r>
          </w:p>
        </w:tc>
        <w:tc>
          <w:tcPr>
            <w:tcW w:w="1276" w:type="dxa"/>
            <w:tcBorders>
              <w:top w:val="nil"/>
              <w:left w:val="nil"/>
              <w:bottom w:val="single" w:sz="4" w:space="0" w:color="auto"/>
              <w:right w:val="single" w:sz="4" w:space="0" w:color="auto"/>
            </w:tcBorders>
            <w:shd w:val="clear" w:color="auto" w:fill="auto"/>
            <w:vAlign w:val="center"/>
            <w:hideMark/>
          </w:tcPr>
          <w:p w14:paraId="04DB9259" w14:textId="77777777" w:rsidR="00BF18DE" w:rsidRPr="00BF18DE" w:rsidRDefault="00BF18DE" w:rsidP="00EC7D22">
            <w:pPr>
              <w:suppressAutoHyphens w:val="0"/>
              <w:overflowPunct/>
              <w:spacing w:after="0" w:line="240" w:lineRule="auto"/>
              <w:jc w:val="right"/>
              <w:rPr>
                <w:rFonts w:eastAsia="Times New Roman" w:cs="Calibri"/>
                <w:color w:val="000000"/>
                <w:sz w:val="14"/>
                <w:szCs w:val="14"/>
                <w:lang w:eastAsia="es-MX"/>
              </w:rPr>
            </w:pPr>
            <w:r w:rsidRPr="00BF18DE">
              <w:rPr>
                <w:rFonts w:eastAsia="Times New Roman" w:cs="Calibri"/>
                <w:color w:val="000000"/>
                <w:sz w:val="14"/>
                <w:szCs w:val="14"/>
                <w:lang w:eastAsia="es-MX"/>
              </w:rPr>
              <w:t xml:space="preserve">427,883,027 </w:t>
            </w:r>
          </w:p>
        </w:tc>
      </w:tr>
      <w:tr w:rsidR="00BF18DE" w:rsidRPr="00BF18DE" w14:paraId="09698939" w14:textId="77777777" w:rsidTr="00A743DD">
        <w:trPr>
          <w:trHeight w:val="300"/>
        </w:trPr>
        <w:tc>
          <w:tcPr>
            <w:tcW w:w="3256" w:type="dxa"/>
            <w:tcBorders>
              <w:top w:val="nil"/>
              <w:left w:val="single" w:sz="4" w:space="0" w:color="auto"/>
              <w:bottom w:val="single" w:sz="4" w:space="0" w:color="auto"/>
              <w:right w:val="single" w:sz="4" w:space="0" w:color="auto"/>
            </w:tcBorders>
            <w:shd w:val="clear" w:color="000000" w:fill="DDC9A3"/>
            <w:vAlign w:val="center"/>
            <w:hideMark/>
          </w:tcPr>
          <w:p w14:paraId="27D3B8A5" w14:textId="77777777" w:rsidR="00BF18DE" w:rsidRPr="00BF18DE" w:rsidRDefault="00BF18DE" w:rsidP="00EC7D22">
            <w:pPr>
              <w:suppressAutoHyphens w:val="0"/>
              <w:overflowPunct/>
              <w:spacing w:after="0" w:line="240" w:lineRule="auto"/>
              <w:jc w:val="center"/>
              <w:rPr>
                <w:rFonts w:eastAsia="Times New Roman" w:cs="Calibri"/>
                <w:b/>
                <w:bCs/>
                <w:color w:val="000000"/>
                <w:sz w:val="14"/>
                <w:szCs w:val="14"/>
                <w:lang w:eastAsia="es-MX"/>
              </w:rPr>
            </w:pPr>
            <w:r w:rsidRPr="00BF18DE">
              <w:rPr>
                <w:rFonts w:eastAsia="Times New Roman" w:cs="Calibri"/>
                <w:b/>
                <w:bCs/>
                <w:color w:val="000000"/>
                <w:sz w:val="14"/>
                <w:szCs w:val="14"/>
                <w:lang w:eastAsia="es-MX"/>
              </w:rPr>
              <w:t>Total</w:t>
            </w:r>
          </w:p>
        </w:tc>
        <w:tc>
          <w:tcPr>
            <w:tcW w:w="1275" w:type="dxa"/>
            <w:tcBorders>
              <w:top w:val="nil"/>
              <w:left w:val="nil"/>
              <w:bottom w:val="single" w:sz="4" w:space="0" w:color="auto"/>
              <w:right w:val="single" w:sz="4" w:space="0" w:color="auto"/>
            </w:tcBorders>
            <w:shd w:val="clear" w:color="000000" w:fill="DDC9A3"/>
            <w:vAlign w:val="center"/>
            <w:hideMark/>
          </w:tcPr>
          <w:p w14:paraId="005F4E1D" w14:textId="77777777" w:rsidR="00BF18DE" w:rsidRPr="00BF18DE" w:rsidRDefault="00BF18DE" w:rsidP="00EC7D22">
            <w:pPr>
              <w:suppressAutoHyphens w:val="0"/>
              <w:overflowPunct/>
              <w:spacing w:after="0" w:line="240" w:lineRule="auto"/>
              <w:jc w:val="right"/>
              <w:rPr>
                <w:rFonts w:eastAsia="Times New Roman" w:cs="Calibri"/>
                <w:b/>
                <w:bCs/>
                <w:color w:val="000000"/>
                <w:sz w:val="14"/>
                <w:szCs w:val="14"/>
                <w:lang w:eastAsia="es-MX"/>
              </w:rPr>
            </w:pPr>
            <w:r w:rsidRPr="00BF18DE">
              <w:rPr>
                <w:rFonts w:eastAsia="Times New Roman" w:cs="Calibri"/>
                <w:b/>
                <w:bCs/>
                <w:color w:val="000000"/>
                <w:sz w:val="14"/>
                <w:szCs w:val="14"/>
                <w:lang w:eastAsia="es-MX"/>
              </w:rPr>
              <w:t>1,075,841,003</w:t>
            </w:r>
          </w:p>
        </w:tc>
        <w:tc>
          <w:tcPr>
            <w:tcW w:w="1276" w:type="dxa"/>
            <w:tcBorders>
              <w:top w:val="nil"/>
              <w:left w:val="nil"/>
              <w:bottom w:val="single" w:sz="4" w:space="0" w:color="auto"/>
              <w:right w:val="single" w:sz="4" w:space="0" w:color="auto"/>
            </w:tcBorders>
            <w:shd w:val="clear" w:color="000000" w:fill="DDC9A3"/>
            <w:vAlign w:val="center"/>
            <w:hideMark/>
          </w:tcPr>
          <w:p w14:paraId="63445C8A" w14:textId="77777777" w:rsidR="00BF18DE" w:rsidRPr="00BF18DE" w:rsidRDefault="00BF18DE" w:rsidP="00EC7D22">
            <w:pPr>
              <w:suppressAutoHyphens w:val="0"/>
              <w:overflowPunct/>
              <w:spacing w:after="0" w:line="240" w:lineRule="auto"/>
              <w:jc w:val="right"/>
              <w:rPr>
                <w:rFonts w:eastAsia="Times New Roman" w:cs="Calibri"/>
                <w:b/>
                <w:bCs/>
                <w:color w:val="000000"/>
                <w:sz w:val="14"/>
                <w:szCs w:val="14"/>
                <w:lang w:eastAsia="es-MX"/>
              </w:rPr>
            </w:pPr>
            <w:r w:rsidRPr="00BF18DE">
              <w:rPr>
                <w:rFonts w:eastAsia="Times New Roman" w:cs="Calibri"/>
                <w:b/>
                <w:bCs/>
                <w:color w:val="000000"/>
                <w:sz w:val="14"/>
                <w:szCs w:val="14"/>
                <w:lang w:eastAsia="es-MX"/>
              </w:rPr>
              <w:t>4,855,022</w:t>
            </w:r>
          </w:p>
        </w:tc>
        <w:tc>
          <w:tcPr>
            <w:tcW w:w="1134" w:type="dxa"/>
            <w:tcBorders>
              <w:top w:val="nil"/>
              <w:left w:val="nil"/>
              <w:bottom w:val="single" w:sz="4" w:space="0" w:color="auto"/>
              <w:right w:val="single" w:sz="4" w:space="0" w:color="auto"/>
            </w:tcBorders>
            <w:shd w:val="clear" w:color="000000" w:fill="DDC9A3"/>
            <w:vAlign w:val="center"/>
            <w:hideMark/>
          </w:tcPr>
          <w:p w14:paraId="509F0834" w14:textId="77777777" w:rsidR="00BF18DE" w:rsidRPr="00BF18DE" w:rsidRDefault="00BF18DE" w:rsidP="00EC7D22">
            <w:pPr>
              <w:suppressAutoHyphens w:val="0"/>
              <w:overflowPunct/>
              <w:spacing w:after="0" w:line="240" w:lineRule="auto"/>
              <w:jc w:val="right"/>
              <w:rPr>
                <w:rFonts w:eastAsia="Times New Roman" w:cs="Calibri"/>
                <w:b/>
                <w:bCs/>
                <w:color w:val="000000"/>
                <w:sz w:val="14"/>
                <w:szCs w:val="14"/>
                <w:lang w:eastAsia="es-MX"/>
              </w:rPr>
            </w:pPr>
            <w:r w:rsidRPr="00BF18DE">
              <w:rPr>
                <w:rFonts w:eastAsia="Times New Roman" w:cs="Calibri"/>
                <w:b/>
                <w:bCs/>
                <w:color w:val="000000"/>
                <w:sz w:val="14"/>
                <w:szCs w:val="14"/>
                <w:lang w:eastAsia="es-MX"/>
              </w:rPr>
              <w:t>86,370,876</w:t>
            </w:r>
          </w:p>
        </w:tc>
        <w:tc>
          <w:tcPr>
            <w:tcW w:w="1134" w:type="dxa"/>
            <w:tcBorders>
              <w:top w:val="nil"/>
              <w:left w:val="nil"/>
              <w:bottom w:val="single" w:sz="4" w:space="0" w:color="auto"/>
              <w:right w:val="single" w:sz="4" w:space="0" w:color="auto"/>
            </w:tcBorders>
            <w:shd w:val="clear" w:color="000000" w:fill="DDC9A3"/>
            <w:vAlign w:val="center"/>
            <w:hideMark/>
          </w:tcPr>
          <w:p w14:paraId="000A949A" w14:textId="77777777" w:rsidR="00BF18DE" w:rsidRPr="00BF18DE" w:rsidRDefault="00BF18DE" w:rsidP="00EC7D22">
            <w:pPr>
              <w:suppressAutoHyphens w:val="0"/>
              <w:overflowPunct/>
              <w:spacing w:after="0" w:line="240" w:lineRule="auto"/>
              <w:jc w:val="right"/>
              <w:rPr>
                <w:rFonts w:eastAsia="Times New Roman" w:cs="Calibri"/>
                <w:b/>
                <w:bCs/>
                <w:color w:val="000000"/>
                <w:sz w:val="14"/>
                <w:szCs w:val="14"/>
                <w:lang w:eastAsia="es-MX"/>
              </w:rPr>
            </w:pPr>
            <w:r w:rsidRPr="00BF18DE">
              <w:rPr>
                <w:rFonts w:eastAsia="Times New Roman" w:cs="Calibri"/>
                <w:b/>
                <w:bCs/>
                <w:color w:val="000000"/>
                <w:sz w:val="14"/>
                <w:szCs w:val="14"/>
                <w:lang w:eastAsia="es-MX"/>
              </w:rPr>
              <w:t>571,495,896</w:t>
            </w:r>
          </w:p>
        </w:tc>
        <w:tc>
          <w:tcPr>
            <w:tcW w:w="1276" w:type="dxa"/>
            <w:tcBorders>
              <w:top w:val="nil"/>
              <w:left w:val="nil"/>
              <w:bottom w:val="single" w:sz="4" w:space="0" w:color="auto"/>
              <w:right w:val="single" w:sz="4" w:space="0" w:color="auto"/>
            </w:tcBorders>
            <w:shd w:val="clear" w:color="000000" w:fill="DDC9A3"/>
            <w:vAlign w:val="center"/>
            <w:hideMark/>
          </w:tcPr>
          <w:p w14:paraId="30F38607" w14:textId="77777777" w:rsidR="00BF18DE" w:rsidRPr="00BF18DE" w:rsidRDefault="00BF18DE" w:rsidP="00EC7D22">
            <w:pPr>
              <w:suppressAutoHyphens w:val="0"/>
              <w:overflowPunct/>
              <w:spacing w:after="0" w:line="240" w:lineRule="auto"/>
              <w:jc w:val="right"/>
              <w:rPr>
                <w:rFonts w:eastAsia="Times New Roman" w:cs="Calibri"/>
                <w:b/>
                <w:bCs/>
                <w:color w:val="000000"/>
                <w:sz w:val="14"/>
                <w:szCs w:val="14"/>
                <w:lang w:eastAsia="es-MX"/>
              </w:rPr>
            </w:pPr>
            <w:r w:rsidRPr="00BF18DE">
              <w:rPr>
                <w:rFonts w:eastAsia="Times New Roman" w:cs="Calibri"/>
                <w:b/>
                <w:bCs/>
                <w:color w:val="000000"/>
                <w:sz w:val="14"/>
                <w:szCs w:val="14"/>
                <w:lang w:eastAsia="es-MX"/>
              </w:rPr>
              <w:t>1,738,562,797</w:t>
            </w:r>
          </w:p>
        </w:tc>
      </w:tr>
    </w:tbl>
    <w:p w14:paraId="430BFBF8" w14:textId="21654632" w:rsidR="00BF18DE" w:rsidRDefault="00BF18DE" w:rsidP="00EC7D22">
      <w:pPr>
        <w:pStyle w:val="Texto"/>
        <w:spacing w:after="0" w:line="240" w:lineRule="exact"/>
        <w:ind w:firstLine="0"/>
        <w:rPr>
          <w:rFonts w:ascii="Calibri" w:hAnsi="Calibri" w:cs="Calibri"/>
          <w:b/>
          <w:sz w:val="20"/>
          <w:lang w:val="es-MX"/>
        </w:rPr>
      </w:pPr>
    </w:p>
    <w:p w14:paraId="0F4976E9" w14:textId="77777777" w:rsidR="00BF18DE" w:rsidRPr="00820E37" w:rsidRDefault="00BF18DE" w:rsidP="00EC7D22">
      <w:pPr>
        <w:pStyle w:val="Texto"/>
        <w:spacing w:after="0" w:line="240" w:lineRule="exact"/>
        <w:ind w:firstLine="0"/>
        <w:rPr>
          <w:rFonts w:ascii="Calibri" w:hAnsi="Calibri" w:cs="Calibri"/>
          <w:b/>
          <w:sz w:val="20"/>
          <w:lang w:val="es-MX"/>
        </w:rPr>
      </w:pPr>
    </w:p>
    <w:p w14:paraId="3BD635AD" w14:textId="3AA363DC" w:rsidR="00397C62" w:rsidRDefault="00C87FDA" w:rsidP="00EC7D22">
      <w:pPr>
        <w:pStyle w:val="Texto"/>
        <w:spacing w:after="0" w:line="240" w:lineRule="exact"/>
        <w:ind w:firstLine="0"/>
        <w:rPr>
          <w:rFonts w:ascii="Calibri" w:hAnsi="Calibri" w:cs="Calibri"/>
          <w:sz w:val="20"/>
        </w:rPr>
      </w:pPr>
      <w:r w:rsidRPr="00820E37">
        <w:rPr>
          <w:rFonts w:ascii="Calibri" w:hAnsi="Calibri" w:cs="Calibri"/>
          <w:sz w:val="20"/>
        </w:rPr>
        <w:t>Dentro de Otras Cuentas por Pagar a Corto Plazo se encuentra</w:t>
      </w:r>
      <w:r w:rsidR="00397C62">
        <w:rPr>
          <w:rFonts w:ascii="Calibri" w:hAnsi="Calibri" w:cs="Calibri"/>
          <w:sz w:val="20"/>
        </w:rPr>
        <w:t>:</w:t>
      </w:r>
    </w:p>
    <w:p w14:paraId="293AD460" w14:textId="77777777" w:rsidR="00A6788C" w:rsidRDefault="00A6788C" w:rsidP="00EC7D22">
      <w:pPr>
        <w:pStyle w:val="Texto"/>
        <w:spacing w:after="0" w:line="240" w:lineRule="exact"/>
        <w:ind w:firstLine="0"/>
        <w:rPr>
          <w:rFonts w:ascii="Calibri" w:hAnsi="Calibri" w:cs="Calibri"/>
          <w:sz w:val="20"/>
        </w:rPr>
      </w:pPr>
    </w:p>
    <w:p w14:paraId="16CCC2AF" w14:textId="77777777" w:rsidR="00397C62" w:rsidRDefault="00397C62" w:rsidP="00EC7D22">
      <w:pPr>
        <w:pStyle w:val="Texto"/>
        <w:numPr>
          <w:ilvl w:val="0"/>
          <w:numId w:val="65"/>
        </w:numPr>
        <w:spacing w:after="0" w:line="240" w:lineRule="exact"/>
        <w:ind w:left="0" w:firstLine="0"/>
        <w:rPr>
          <w:rFonts w:ascii="Calibri" w:hAnsi="Calibri" w:cs="Calibri"/>
          <w:sz w:val="20"/>
        </w:rPr>
      </w:pPr>
      <w:r>
        <w:rPr>
          <w:rFonts w:ascii="Calibri" w:hAnsi="Calibri" w:cs="Calibri"/>
          <w:sz w:val="20"/>
        </w:rPr>
        <w:t>E</w:t>
      </w:r>
      <w:r w:rsidR="00C87FDA" w:rsidRPr="00397C62">
        <w:rPr>
          <w:rFonts w:ascii="Calibri" w:hAnsi="Calibri" w:cs="Calibri"/>
          <w:sz w:val="20"/>
        </w:rPr>
        <w:t xml:space="preserve">l saldo de la Porción a Corto Plazo, correspondiente al Convenio sobre pago Diferido de Prestaciones, Cuotas y Aportaciones de Seguridad Social al Instituto de Previsión y Seguridad Social del Estado de Tamaulipas por $ </w:t>
      </w:r>
      <w:r w:rsidR="009025EB" w:rsidRPr="00397C62">
        <w:rPr>
          <w:rFonts w:ascii="Calibri" w:hAnsi="Calibri" w:cs="Calibri"/>
          <w:sz w:val="20"/>
        </w:rPr>
        <w:t>246,538,779</w:t>
      </w:r>
      <w:r>
        <w:rPr>
          <w:rFonts w:ascii="Calibri" w:hAnsi="Calibri" w:cs="Calibri"/>
          <w:sz w:val="20"/>
        </w:rPr>
        <w:t>.</w:t>
      </w:r>
    </w:p>
    <w:p w14:paraId="070B5CBA" w14:textId="77777777" w:rsidR="00397C62" w:rsidRDefault="00397C62" w:rsidP="00EC7D22">
      <w:pPr>
        <w:pStyle w:val="Texto"/>
        <w:spacing w:after="0" w:line="240" w:lineRule="exact"/>
        <w:ind w:firstLine="0"/>
        <w:rPr>
          <w:rFonts w:ascii="Calibri" w:hAnsi="Calibri" w:cs="Calibri"/>
          <w:sz w:val="20"/>
        </w:rPr>
      </w:pPr>
    </w:p>
    <w:p w14:paraId="63C4AD25" w14:textId="6B000608" w:rsidR="007745EB" w:rsidRPr="00397C62" w:rsidRDefault="00397C62" w:rsidP="00EC7D22">
      <w:pPr>
        <w:pStyle w:val="Texto"/>
        <w:numPr>
          <w:ilvl w:val="0"/>
          <w:numId w:val="65"/>
        </w:numPr>
        <w:spacing w:after="0" w:line="240" w:lineRule="exact"/>
        <w:ind w:left="0" w:firstLine="0"/>
        <w:rPr>
          <w:rFonts w:ascii="Calibri" w:hAnsi="Calibri" w:cs="Calibri"/>
          <w:sz w:val="20"/>
        </w:rPr>
      </w:pPr>
      <w:r>
        <w:rPr>
          <w:rFonts w:ascii="Calibri" w:hAnsi="Calibri" w:cs="Calibri"/>
          <w:sz w:val="20"/>
        </w:rPr>
        <w:t>E</w:t>
      </w:r>
      <w:r w:rsidR="00C87FDA" w:rsidRPr="00397C62">
        <w:rPr>
          <w:rFonts w:ascii="Calibri" w:hAnsi="Calibri" w:cs="Calibri"/>
          <w:sz w:val="20"/>
        </w:rPr>
        <w:t>l adeudo a Consorcio Empresarial la Pesca, S.A. P.I.C.V. por venta de terrenos en el Ejido la Pesca del Municipio de Soto la Marina, que a la fecha no se ha desincorporado del Patrimonio del Estado y por el cual se recibió el importe de $35,320,000., se encuentra en proceso legal, con la finalidad de determinar la situación jurídica de los terrenos mencionados.</w:t>
      </w:r>
    </w:p>
    <w:p w14:paraId="0B33573C" w14:textId="77777777" w:rsidR="007745EB" w:rsidRPr="00820E37" w:rsidRDefault="007745EB" w:rsidP="00EC7D22">
      <w:pPr>
        <w:jc w:val="both"/>
        <w:rPr>
          <w:rFonts w:cs="Calibri"/>
          <w:sz w:val="20"/>
          <w:szCs w:val="20"/>
        </w:rPr>
      </w:pPr>
    </w:p>
    <w:p w14:paraId="4BA6623A" w14:textId="77777777" w:rsidR="007745EB" w:rsidRPr="00694CE6" w:rsidRDefault="00C87FDA" w:rsidP="00EC7D22">
      <w:pPr>
        <w:pStyle w:val="Texto"/>
        <w:spacing w:after="0" w:line="240" w:lineRule="exact"/>
        <w:ind w:firstLine="0"/>
        <w:rPr>
          <w:rFonts w:ascii="Calibri" w:hAnsi="Calibri" w:cs="Calibri"/>
          <w:b/>
          <w:sz w:val="20"/>
          <w:szCs w:val="18"/>
          <w:u w:val="single"/>
        </w:rPr>
      </w:pPr>
      <w:r w:rsidRPr="00694CE6">
        <w:rPr>
          <w:rFonts w:ascii="Calibri" w:hAnsi="Calibri" w:cs="Calibri"/>
          <w:b/>
          <w:sz w:val="20"/>
          <w:szCs w:val="18"/>
          <w:u w:val="single"/>
        </w:rPr>
        <w:t>Porción a Corto Plazo de la Deuda a Largo Plazo.</w:t>
      </w:r>
    </w:p>
    <w:p w14:paraId="49132535" w14:textId="77777777" w:rsidR="007745EB" w:rsidRDefault="007745EB" w:rsidP="00EC7D22">
      <w:pPr>
        <w:pStyle w:val="Texto"/>
        <w:spacing w:after="0" w:line="240" w:lineRule="exact"/>
        <w:ind w:firstLine="0"/>
        <w:rPr>
          <w:rFonts w:ascii="Calibri" w:hAnsi="Calibri" w:cs="Calibri"/>
          <w:szCs w:val="18"/>
        </w:rPr>
      </w:pPr>
    </w:p>
    <w:p w14:paraId="7E874FCC" w14:textId="5B036990" w:rsidR="007745EB" w:rsidRPr="00820E37" w:rsidRDefault="00C87FDA" w:rsidP="00EC7D22">
      <w:pPr>
        <w:pStyle w:val="Texto"/>
        <w:spacing w:after="0" w:line="240" w:lineRule="exact"/>
        <w:ind w:firstLine="0"/>
        <w:rPr>
          <w:rFonts w:ascii="Calibri" w:hAnsi="Calibri" w:cs="Calibri"/>
          <w:sz w:val="20"/>
        </w:rPr>
      </w:pPr>
      <w:r w:rsidRPr="00820E37">
        <w:rPr>
          <w:rFonts w:ascii="Calibri" w:hAnsi="Calibri" w:cs="Calibri"/>
          <w:sz w:val="20"/>
        </w:rPr>
        <w:t xml:space="preserve">El saldo de esta cuenta al cierre </w:t>
      </w:r>
      <w:r w:rsidR="00820E37" w:rsidRPr="00820E37">
        <w:rPr>
          <w:rFonts w:ascii="Calibri" w:hAnsi="Calibri" w:cs="Calibri"/>
          <w:sz w:val="20"/>
        </w:rPr>
        <w:t xml:space="preserve">del </w:t>
      </w:r>
      <w:r w:rsidR="000F4F4C">
        <w:rPr>
          <w:rFonts w:ascii="Calibri" w:hAnsi="Calibri" w:cs="Calibri"/>
          <w:sz w:val="20"/>
        </w:rPr>
        <w:t xml:space="preserve">ejercicio </w:t>
      </w:r>
      <w:r w:rsidRPr="00820E37">
        <w:rPr>
          <w:rFonts w:ascii="Calibri" w:hAnsi="Calibri" w:cs="Calibri"/>
          <w:sz w:val="20"/>
        </w:rPr>
        <w:t>se detalla a continuación por crédito.</w:t>
      </w:r>
    </w:p>
    <w:p w14:paraId="280D3461" w14:textId="77777777" w:rsidR="007745EB" w:rsidRDefault="007745EB" w:rsidP="00EC7D22">
      <w:pPr>
        <w:pStyle w:val="Texto"/>
        <w:spacing w:after="0" w:line="240" w:lineRule="exact"/>
        <w:ind w:firstLine="0"/>
        <w:rPr>
          <w:rFonts w:ascii="Calibri" w:hAnsi="Calibri" w:cs="Calibri"/>
          <w:szCs w:val="18"/>
        </w:rPr>
      </w:pPr>
    </w:p>
    <w:tbl>
      <w:tblPr>
        <w:tblW w:w="6139" w:type="dxa"/>
        <w:tblCellMar>
          <w:left w:w="70" w:type="dxa"/>
          <w:right w:w="70" w:type="dxa"/>
        </w:tblCellMar>
        <w:tblLook w:val="04A0" w:firstRow="1" w:lastRow="0" w:firstColumn="1" w:lastColumn="0" w:noHBand="0" w:noVBand="1"/>
      </w:tblPr>
      <w:tblGrid>
        <w:gridCol w:w="4322"/>
        <w:gridCol w:w="1817"/>
      </w:tblGrid>
      <w:tr w:rsidR="005C70A2" w:rsidRPr="005C70A2" w14:paraId="6C5BE017" w14:textId="77777777" w:rsidTr="001E59F3">
        <w:trPr>
          <w:trHeight w:val="503"/>
        </w:trPr>
        <w:tc>
          <w:tcPr>
            <w:tcW w:w="4322" w:type="dxa"/>
            <w:tcBorders>
              <w:top w:val="single" w:sz="4" w:space="0" w:color="auto"/>
              <w:left w:val="single" w:sz="4" w:space="0" w:color="auto"/>
              <w:bottom w:val="single" w:sz="4" w:space="0" w:color="auto"/>
              <w:right w:val="single" w:sz="4" w:space="0" w:color="auto"/>
            </w:tcBorders>
            <w:shd w:val="clear" w:color="9C0006" w:fill="AB0033"/>
            <w:vAlign w:val="center"/>
            <w:hideMark/>
          </w:tcPr>
          <w:p w14:paraId="7B43D3A8" w14:textId="77777777" w:rsidR="005C70A2" w:rsidRPr="005C70A2" w:rsidRDefault="005C70A2" w:rsidP="00EC7D22">
            <w:pPr>
              <w:suppressAutoHyphens w:val="0"/>
              <w:overflowPunct/>
              <w:spacing w:after="0" w:line="240" w:lineRule="auto"/>
              <w:rPr>
                <w:rFonts w:eastAsia="Times New Roman" w:cs="Calibri"/>
                <w:b/>
                <w:bCs/>
                <w:color w:val="FFFFFF"/>
                <w:sz w:val="14"/>
                <w:szCs w:val="14"/>
                <w:lang w:eastAsia="es-MX"/>
              </w:rPr>
            </w:pPr>
            <w:r w:rsidRPr="005C70A2">
              <w:rPr>
                <w:rFonts w:eastAsia="Times New Roman" w:cs="Calibri"/>
                <w:b/>
                <w:bCs/>
                <w:color w:val="FFFFFF"/>
                <w:sz w:val="14"/>
                <w:szCs w:val="14"/>
                <w:lang w:eastAsia="es-MX"/>
              </w:rPr>
              <w:t>Porción a Corto Plazo de la Deuda a Largo Plazo</w:t>
            </w:r>
          </w:p>
        </w:tc>
        <w:tc>
          <w:tcPr>
            <w:tcW w:w="1817" w:type="dxa"/>
            <w:tcBorders>
              <w:top w:val="single" w:sz="4" w:space="0" w:color="auto"/>
              <w:left w:val="nil"/>
              <w:bottom w:val="single" w:sz="4" w:space="0" w:color="auto"/>
              <w:right w:val="single" w:sz="4" w:space="0" w:color="auto"/>
            </w:tcBorders>
            <w:shd w:val="clear" w:color="9C0006" w:fill="AB0033"/>
            <w:vAlign w:val="center"/>
            <w:hideMark/>
          </w:tcPr>
          <w:p w14:paraId="741BDF8B" w14:textId="77777777" w:rsidR="005C70A2" w:rsidRPr="005C70A2" w:rsidRDefault="005C70A2" w:rsidP="00EC7D22">
            <w:pPr>
              <w:suppressAutoHyphens w:val="0"/>
              <w:overflowPunct/>
              <w:spacing w:after="0" w:line="240" w:lineRule="auto"/>
              <w:jc w:val="center"/>
              <w:rPr>
                <w:rFonts w:eastAsia="Times New Roman" w:cs="Calibri"/>
                <w:b/>
                <w:bCs/>
                <w:color w:val="FFFFFF"/>
                <w:sz w:val="14"/>
                <w:szCs w:val="14"/>
                <w:lang w:eastAsia="es-MX"/>
              </w:rPr>
            </w:pPr>
            <w:r w:rsidRPr="005C70A2">
              <w:rPr>
                <w:rFonts w:eastAsia="Times New Roman" w:cs="Calibri"/>
                <w:b/>
                <w:bCs/>
                <w:color w:val="FFFFFF"/>
                <w:sz w:val="14"/>
                <w:szCs w:val="14"/>
                <w:lang w:eastAsia="es-MX"/>
              </w:rPr>
              <w:t>Saldo al 31 de Diciembre de 2024</w:t>
            </w:r>
          </w:p>
        </w:tc>
      </w:tr>
      <w:tr w:rsidR="005C70A2" w:rsidRPr="005C70A2" w14:paraId="40B1AA91"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1BB0B14B"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5'461 MDP Banorte S.A.</w:t>
            </w:r>
          </w:p>
        </w:tc>
        <w:tc>
          <w:tcPr>
            <w:tcW w:w="1817" w:type="dxa"/>
            <w:tcBorders>
              <w:top w:val="nil"/>
              <w:left w:val="nil"/>
              <w:bottom w:val="single" w:sz="4" w:space="0" w:color="auto"/>
              <w:right w:val="single" w:sz="4" w:space="0" w:color="auto"/>
            </w:tcBorders>
            <w:shd w:val="clear" w:color="auto" w:fill="auto"/>
            <w:noWrap/>
            <w:vAlign w:val="center"/>
            <w:hideMark/>
          </w:tcPr>
          <w:p w14:paraId="648E431D"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3C26B44D"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7AE96041"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968 MDP Bancomer S.A.</w:t>
            </w:r>
          </w:p>
        </w:tc>
        <w:tc>
          <w:tcPr>
            <w:tcW w:w="1817" w:type="dxa"/>
            <w:tcBorders>
              <w:top w:val="nil"/>
              <w:left w:val="nil"/>
              <w:bottom w:val="single" w:sz="4" w:space="0" w:color="auto"/>
              <w:right w:val="single" w:sz="4" w:space="0" w:color="auto"/>
            </w:tcBorders>
            <w:shd w:val="clear" w:color="auto" w:fill="auto"/>
            <w:noWrap/>
            <w:vAlign w:val="center"/>
            <w:hideMark/>
          </w:tcPr>
          <w:p w14:paraId="661E86D0"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188FF70C"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33DFC68A"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1'000 MDP Bancomer S.A.</w:t>
            </w:r>
          </w:p>
        </w:tc>
        <w:tc>
          <w:tcPr>
            <w:tcW w:w="1817" w:type="dxa"/>
            <w:tcBorders>
              <w:top w:val="nil"/>
              <w:left w:val="nil"/>
              <w:bottom w:val="single" w:sz="4" w:space="0" w:color="auto"/>
              <w:right w:val="single" w:sz="4" w:space="0" w:color="auto"/>
            </w:tcBorders>
            <w:shd w:val="clear" w:color="auto" w:fill="auto"/>
            <w:noWrap/>
            <w:vAlign w:val="center"/>
            <w:hideMark/>
          </w:tcPr>
          <w:p w14:paraId="2AD06A6F"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0ADA3F29"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66054F37"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1'650 MDP Santander S.A.</w:t>
            </w:r>
          </w:p>
        </w:tc>
        <w:tc>
          <w:tcPr>
            <w:tcW w:w="1817" w:type="dxa"/>
            <w:tcBorders>
              <w:top w:val="nil"/>
              <w:left w:val="nil"/>
              <w:bottom w:val="single" w:sz="4" w:space="0" w:color="auto"/>
              <w:right w:val="single" w:sz="4" w:space="0" w:color="auto"/>
            </w:tcBorders>
            <w:shd w:val="clear" w:color="auto" w:fill="auto"/>
            <w:noWrap/>
            <w:vAlign w:val="center"/>
            <w:hideMark/>
          </w:tcPr>
          <w:p w14:paraId="74BCD23C"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55CA1590"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71B5C901"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1'539 MDP Banorte S.A.</w:t>
            </w:r>
          </w:p>
        </w:tc>
        <w:tc>
          <w:tcPr>
            <w:tcW w:w="1817" w:type="dxa"/>
            <w:tcBorders>
              <w:top w:val="nil"/>
              <w:left w:val="nil"/>
              <w:bottom w:val="single" w:sz="4" w:space="0" w:color="auto"/>
              <w:right w:val="single" w:sz="4" w:space="0" w:color="auto"/>
            </w:tcBorders>
            <w:shd w:val="clear" w:color="auto" w:fill="auto"/>
            <w:noWrap/>
            <w:vAlign w:val="center"/>
            <w:hideMark/>
          </w:tcPr>
          <w:p w14:paraId="65ED25A5"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0A79C0EE"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44AA215C"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1'500 MDP Banamex S.A.</w:t>
            </w:r>
          </w:p>
        </w:tc>
        <w:tc>
          <w:tcPr>
            <w:tcW w:w="1817" w:type="dxa"/>
            <w:tcBorders>
              <w:top w:val="nil"/>
              <w:left w:val="nil"/>
              <w:bottom w:val="single" w:sz="4" w:space="0" w:color="auto"/>
              <w:right w:val="single" w:sz="4" w:space="0" w:color="auto"/>
            </w:tcBorders>
            <w:shd w:val="clear" w:color="auto" w:fill="auto"/>
            <w:noWrap/>
            <w:vAlign w:val="center"/>
            <w:hideMark/>
          </w:tcPr>
          <w:p w14:paraId="4DCE9D6A"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3E802287" w14:textId="77777777" w:rsidTr="000C429E">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7BEB20A1"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1'500 MDP Banorte S.A</w:t>
            </w:r>
          </w:p>
        </w:tc>
        <w:tc>
          <w:tcPr>
            <w:tcW w:w="1817" w:type="dxa"/>
            <w:tcBorders>
              <w:top w:val="nil"/>
              <w:left w:val="nil"/>
              <w:bottom w:val="single" w:sz="4" w:space="0" w:color="auto"/>
              <w:right w:val="single" w:sz="4" w:space="0" w:color="auto"/>
            </w:tcBorders>
            <w:shd w:val="clear" w:color="auto" w:fill="auto"/>
            <w:noWrap/>
            <w:vAlign w:val="center"/>
            <w:hideMark/>
          </w:tcPr>
          <w:p w14:paraId="064FCD35"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22,862,759 </w:t>
            </w:r>
          </w:p>
        </w:tc>
      </w:tr>
      <w:tr w:rsidR="005C70A2" w:rsidRPr="005C70A2" w14:paraId="3E1CF53B" w14:textId="77777777" w:rsidTr="000C429E">
        <w:trPr>
          <w:trHeight w:val="292"/>
        </w:trPr>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5854"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993 MDP Bancomer S.A.</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E6CB3"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19D4E98C" w14:textId="77777777" w:rsidTr="000C429E">
        <w:trPr>
          <w:trHeight w:val="292"/>
        </w:trPr>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8A8FA"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lastRenderedPageBreak/>
              <w:t>Crédito 1'000 MDP Banamex  S.A.</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78924"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78289FD0" w14:textId="77777777" w:rsidTr="000C429E">
        <w:trPr>
          <w:trHeight w:val="292"/>
        </w:trPr>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4D92" w14:textId="77777777" w:rsidR="005C70A2" w:rsidRPr="005C70A2" w:rsidRDefault="005C70A2" w:rsidP="00EC7D22">
            <w:pPr>
              <w:suppressAutoHyphens w:val="0"/>
              <w:overflowPunct/>
              <w:spacing w:after="0" w:line="240" w:lineRule="auto"/>
              <w:rPr>
                <w:rFonts w:eastAsia="Times New Roman" w:cs="Calibri"/>
                <w:color w:val="000000"/>
                <w:sz w:val="14"/>
                <w:szCs w:val="14"/>
                <w:lang w:val="pt-PT" w:eastAsia="es-MX"/>
              </w:rPr>
            </w:pPr>
            <w:r w:rsidRPr="005C70A2">
              <w:rPr>
                <w:rFonts w:eastAsia="Times New Roman" w:cs="Calibri"/>
                <w:color w:val="000000"/>
                <w:sz w:val="14"/>
                <w:szCs w:val="14"/>
                <w:lang w:val="pt-PT" w:eastAsia="es-MX"/>
              </w:rPr>
              <w:t>Crédito 250.8 MDP Banobras S.A.</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C85DF"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556103B2" w14:textId="77777777" w:rsidTr="000C429E">
        <w:trPr>
          <w:trHeight w:val="292"/>
        </w:trPr>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7ECAB"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1'200 MDP Banorte S.A.</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14:paraId="7E8F2A91"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12,996,152 </w:t>
            </w:r>
          </w:p>
        </w:tc>
      </w:tr>
      <w:tr w:rsidR="005C70A2" w:rsidRPr="005C70A2" w14:paraId="48C24A3A"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05D7A9CC" w14:textId="77777777" w:rsidR="005C70A2" w:rsidRPr="005C70A2" w:rsidRDefault="005C70A2" w:rsidP="00EC7D22">
            <w:pPr>
              <w:suppressAutoHyphens w:val="0"/>
              <w:overflowPunct/>
              <w:spacing w:after="0" w:line="240" w:lineRule="auto"/>
              <w:rPr>
                <w:rFonts w:eastAsia="Times New Roman" w:cs="Calibri"/>
                <w:color w:val="000000"/>
                <w:sz w:val="14"/>
                <w:szCs w:val="14"/>
                <w:lang w:val="pt-PT" w:eastAsia="es-MX"/>
              </w:rPr>
            </w:pPr>
            <w:r w:rsidRPr="005C70A2">
              <w:rPr>
                <w:rFonts w:eastAsia="Times New Roman" w:cs="Calibri"/>
                <w:color w:val="000000"/>
                <w:sz w:val="14"/>
                <w:szCs w:val="14"/>
                <w:lang w:val="pt-PT" w:eastAsia="es-MX"/>
              </w:rPr>
              <w:t>Crédito 113.9 MDP Banobras S.A.</w:t>
            </w:r>
          </w:p>
        </w:tc>
        <w:tc>
          <w:tcPr>
            <w:tcW w:w="1817" w:type="dxa"/>
            <w:tcBorders>
              <w:top w:val="nil"/>
              <w:left w:val="nil"/>
              <w:bottom w:val="single" w:sz="4" w:space="0" w:color="auto"/>
              <w:right w:val="single" w:sz="4" w:space="0" w:color="auto"/>
            </w:tcBorders>
            <w:shd w:val="clear" w:color="auto" w:fill="auto"/>
            <w:noWrap/>
            <w:vAlign w:val="center"/>
            <w:hideMark/>
          </w:tcPr>
          <w:p w14:paraId="3D999A53"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2,425,438 </w:t>
            </w:r>
          </w:p>
        </w:tc>
      </w:tr>
      <w:tr w:rsidR="005C70A2" w:rsidRPr="005C70A2" w14:paraId="4DD45E16"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60A6785F" w14:textId="77777777" w:rsidR="005C70A2" w:rsidRPr="005C70A2" w:rsidRDefault="005C70A2" w:rsidP="00EC7D22">
            <w:pPr>
              <w:suppressAutoHyphens w:val="0"/>
              <w:overflowPunct/>
              <w:spacing w:after="0" w:line="240" w:lineRule="auto"/>
              <w:rPr>
                <w:rFonts w:eastAsia="Times New Roman" w:cs="Calibri"/>
                <w:color w:val="000000"/>
                <w:sz w:val="14"/>
                <w:szCs w:val="14"/>
                <w:lang w:eastAsia="es-MX"/>
              </w:rPr>
            </w:pPr>
            <w:r w:rsidRPr="005C70A2">
              <w:rPr>
                <w:rFonts w:eastAsia="Times New Roman" w:cs="Calibri"/>
                <w:color w:val="000000"/>
                <w:sz w:val="14"/>
                <w:szCs w:val="14"/>
                <w:lang w:eastAsia="es-MX"/>
              </w:rPr>
              <w:t>Crédito 500 MDP Bancomer  S.A.</w:t>
            </w:r>
          </w:p>
        </w:tc>
        <w:tc>
          <w:tcPr>
            <w:tcW w:w="1817" w:type="dxa"/>
            <w:tcBorders>
              <w:top w:val="nil"/>
              <w:left w:val="nil"/>
              <w:bottom w:val="single" w:sz="4" w:space="0" w:color="auto"/>
              <w:right w:val="single" w:sz="4" w:space="0" w:color="auto"/>
            </w:tcBorders>
            <w:shd w:val="clear" w:color="auto" w:fill="auto"/>
            <w:noWrap/>
            <w:vAlign w:val="center"/>
            <w:hideMark/>
          </w:tcPr>
          <w:p w14:paraId="6D64C487"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0 </w:t>
            </w:r>
          </w:p>
        </w:tc>
      </w:tr>
      <w:tr w:rsidR="005C70A2" w:rsidRPr="005C70A2" w14:paraId="6072B52D"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672A5352" w14:textId="77777777" w:rsidR="005C70A2" w:rsidRPr="005C70A2" w:rsidRDefault="005C70A2" w:rsidP="00EC7D22">
            <w:pPr>
              <w:suppressAutoHyphens w:val="0"/>
              <w:overflowPunct/>
              <w:spacing w:after="0" w:line="240" w:lineRule="auto"/>
              <w:rPr>
                <w:rFonts w:eastAsia="Times New Roman" w:cs="Calibri"/>
                <w:color w:val="222B35"/>
                <w:sz w:val="14"/>
                <w:szCs w:val="14"/>
                <w:lang w:eastAsia="es-MX"/>
              </w:rPr>
            </w:pPr>
            <w:r w:rsidRPr="005C70A2">
              <w:rPr>
                <w:rFonts w:eastAsia="Times New Roman" w:cs="Calibri"/>
                <w:color w:val="222B35"/>
                <w:sz w:val="14"/>
                <w:szCs w:val="14"/>
                <w:lang w:eastAsia="es-MX"/>
              </w:rPr>
              <w:t>Crédito  2’506  MDP Banamex S.A.</w:t>
            </w:r>
          </w:p>
        </w:tc>
        <w:tc>
          <w:tcPr>
            <w:tcW w:w="1817" w:type="dxa"/>
            <w:tcBorders>
              <w:top w:val="nil"/>
              <w:left w:val="nil"/>
              <w:bottom w:val="single" w:sz="4" w:space="0" w:color="auto"/>
              <w:right w:val="single" w:sz="4" w:space="0" w:color="auto"/>
            </w:tcBorders>
            <w:shd w:val="clear" w:color="auto" w:fill="auto"/>
            <w:noWrap/>
            <w:vAlign w:val="center"/>
            <w:hideMark/>
          </w:tcPr>
          <w:p w14:paraId="5DCB6F1E"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23,527,347 </w:t>
            </w:r>
          </w:p>
        </w:tc>
      </w:tr>
      <w:tr w:rsidR="005C70A2" w:rsidRPr="005C70A2" w14:paraId="56ECB7D7"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2B9D730A" w14:textId="77777777" w:rsidR="005C70A2" w:rsidRPr="005C70A2" w:rsidRDefault="005C70A2" w:rsidP="00EC7D22">
            <w:pPr>
              <w:suppressAutoHyphens w:val="0"/>
              <w:overflowPunct/>
              <w:spacing w:after="0" w:line="240" w:lineRule="auto"/>
              <w:rPr>
                <w:rFonts w:eastAsia="Times New Roman" w:cs="Calibri"/>
                <w:color w:val="222B35"/>
                <w:sz w:val="14"/>
                <w:szCs w:val="14"/>
                <w:lang w:eastAsia="es-MX"/>
              </w:rPr>
            </w:pPr>
            <w:r w:rsidRPr="005C70A2">
              <w:rPr>
                <w:rFonts w:eastAsia="Times New Roman" w:cs="Calibri"/>
                <w:color w:val="222B35"/>
                <w:sz w:val="14"/>
                <w:szCs w:val="14"/>
                <w:lang w:eastAsia="es-MX"/>
              </w:rPr>
              <w:t xml:space="preserve">Crédito 3’000 MDP BBVA México S.A. </w:t>
            </w:r>
          </w:p>
        </w:tc>
        <w:tc>
          <w:tcPr>
            <w:tcW w:w="1817" w:type="dxa"/>
            <w:tcBorders>
              <w:top w:val="nil"/>
              <w:left w:val="nil"/>
              <w:bottom w:val="single" w:sz="4" w:space="0" w:color="auto"/>
              <w:right w:val="single" w:sz="4" w:space="0" w:color="auto"/>
            </w:tcBorders>
            <w:shd w:val="clear" w:color="auto" w:fill="auto"/>
            <w:noWrap/>
            <w:vAlign w:val="center"/>
            <w:hideMark/>
          </w:tcPr>
          <w:p w14:paraId="52530B7E"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12,796,171 </w:t>
            </w:r>
          </w:p>
        </w:tc>
      </w:tr>
      <w:tr w:rsidR="005C70A2" w:rsidRPr="005C70A2" w14:paraId="2BF6F12A"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52558F7E" w14:textId="77777777" w:rsidR="005C70A2" w:rsidRPr="005C70A2" w:rsidRDefault="005C70A2" w:rsidP="00EC7D22">
            <w:pPr>
              <w:suppressAutoHyphens w:val="0"/>
              <w:overflowPunct/>
              <w:spacing w:after="0" w:line="240" w:lineRule="auto"/>
              <w:rPr>
                <w:rFonts w:eastAsia="Times New Roman" w:cs="Calibri"/>
                <w:color w:val="222B35"/>
                <w:sz w:val="14"/>
                <w:szCs w:val="14"/>
                <w:lang w:eastAsia="es-MX"/>
              </w:rPr>
            </w:pPr>
            <w:r w:rsidRPr="005C70A2">
              <w:rPr>
                <w:rFonts w:eastAsia="Times New Roman" w:cs="Calibri"/>
                <w:color w:val="222B35"/>
                <w:sz w:val="14"/>
                <w:szCs w:val="14"/>
                <w:lang w:eastAsia="es-MX"/>
              </w:rPr>
              <w:t xml:space="preserve">Crédito 4’500  MPD Banorte S.A </w:t>
            </w:r>
          </w:p>
        </w:tc>
        <w:tc>
          <w:tcPr>
            <w:tcW w:w="1817" w:type="dxa"/>
            <w:tcBorders>
              <w:top w:val="nil"/>
              <w:left w:val="nil"/>
              <w:bottom w:val="single" w:sz="4" w:space="0" w:color="auto"/>
              <w:right w:val="single" w:sz="4" w:space="0" w:color="auto"/>
            </w:tcBorders>
            <w:shd w:val="clear" w:color="auto" w:fill="auto"/>
            <w:noWrap/>
            <w:vAlign w:val="center"/>
            <w:hideMark/>
          </w:tcPr>
          <w:p w14:paraId="376EAD31"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18,942,350 </w:t>
            </w:r>
          </w:p>
        </w:tc>
      </w:tr>
      <w:tr w:rsidR="005C70A2" w:rsidRPr="005C70A2" w14:paraId="46220BDD"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3B8EB339" w14:textId="77777777" w:rsidR="005C70A2" w:rsidRPr="005C70A2" w:rsidRDefault="005C70A2" w:rsidP="00EC7D22">
            <w:pPr>
              <w:suppressAutoHyphens w:val="0"/>
              <w:overflowPunct/>
              <w:spacing w:after="0" w:line="240" w:lineRule="auto"/>
              <w:rPr>
                <w:rFonts w:eastAsia="Times New Roman" w:cs="Calibri"/>
                <w:color w:val="222B35"/>
                <w:sz w:val="14"/>
                <w:szCs w:val="14"/>
                <w:lang w:eastAsia="es-MX"/>
              </w:rPr>
            </w:pPr>
            <w:r w:rsidRPr="005C70A2">
              <w:rPr>
                <w:rFonts w:eastAsia="Times New Roman" w:cs="Calibri"/>
                <w:color w:val="222B35"/>
                <w:sz w:val="14"/>
                <w:szCs w:val="14"/>
                <w:lang w:eastAsia="es-MX"/>
              </w:rPr>
              <w:t>Crédito 2’000 MDP Banorte S.A</w:t>
            </w:r>
          </w:p>
        </w:tc>
        <w:tc>
          <w:tcPr>
            <w:tcW w:w="1817" w:type="dxa"/>
            <w:tcBorders>
              <w:top w:val="nil"/>
              <w:left w:val="nil"/>
              <w:bottom w:val="single" w:sz="4" w:space="0" w:color="auto"/>
              <w:right w:val="single" w:sz="4" w:space="0" w:color="auto"/>
            </w:tcBorders>
            <w:shd w:val="clear" w:color="auto" w:fill="auto"/>
            <w:noWrap/>
            <w:vAlign w:val="center"/>
            <w:hideMark/>
          </w:tcPr>
          <w:p w14:paraId="6C7E58D0"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8,323,189 </w:t>
            </w:r>
          </w:p>
        </w:tc>
      </w:tr>
      <w:tr w:rsidR="005C70A2" w:rsidRPr="005C70A2" w14:paraId="6F3D1DBE" w14:textId="77777777" w:rsidTr="00797579">
        <w:trPr>
          <w:trHeight w:val="292"/>
        </w:trPr>
        <w:tc>
          <w:tcPr>
            <w:tcW w:w="4322" w:type="dxa"/>
            <w:tcBorders>
              <w:top w:val="nil"/>
              <w:left w:val="single" w:sz="4" w:space="0" w:color="auto"/>
              <w:bottom w:val="single" w:sz="4" w:space="0" w:color="auto"/>
              <w:right w:val="single" w:sz="4" w:space="0" w:color="auto"/>
            </w:tcBorders>
            <w:shd w:val="clear" w:color="auto" w:fill="auto"/>
            <w:noWrap/>
            <w:vAlign w:val="center"/>
            <w:hideMark/>
          </w:tcPr>
          <w:p w14:paraId="232DF122" w14:textId="77777777" w:rsidR="005C70A2" w:rsidRPr="005C70A2" w:rsidRDefault="005C70A2" w:rsidP="00EC7D22">
            <w:pPr>
              <w:suppressAutoHyphens w:val="0"/>
              <w:overflowPunct/>
              <w:spacing w:after="0" w:line="240" w:lineRule="auto"/>
              <w:rPr>
                <w:rFonts w:eastAsia="Times New Roman" w:cs="Calibri"/>
                <w:color w:val="222B35"/>
                <w:sz w:val="14"/>
                <w:szCs w:val="14"/>
                <w:lang w:eastAsia="es-MX"/>
              </w:rPr>
            </w:pPr>
            <w:r w:rsidRPr="005C70A2">
              <w:rPr>
                <w:rFonts w:eastAsia="Times New Roman" w:cs="Calibri"/>
                <w:color w:val="222B35"/>
                <w:sz w:val="14"/>
                <w:szCs w:val="14"/>
                <w:lang w:eastAsia="es-MX"/>
              </w:rPr>
              <w:t xml:space="preserve">Crédito 746 MDP Banorte S.A </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14:paraId="348862A5"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 xml:space="preserve">3,009,741 </w:t>
            </w:r>
          </w:p>
        </w:tc>
      </w:tr>
      <w:tr w:rsidR="005C70A2" w:rsidRPr="00CF1038" w14:paraId="2830551E" w14:textId="77777777" w:rsidTr="00CF1038">
        <w:trPr>
          <w:trHeight w:val="397"/>
        </w:trPr>
        <w:tc>
          <w:tcPr>
            <w:tcW w:w="4322" w:type="dxa"/>
            <w:tcBorders>
              <w:top w:val="single" w:sz="4" w:space="0" w:color="auto"/>
              <w:left w:val="single" w:sz="4" w:space="0" w:color="auto"/>
              <w:bottom w:val="single" w:sz="4" w:space="0" w:color="auto"/>
              <w:right w:val="single" w:sz="4" w:space="0" w:color="auto"/>
            </w:tcBorders>
            <w:shd w:val="clear" w:color="F8CBAD" w:fill="DDC9A3"/>
            <w:vAlign w:val="center"/>
            <w:hideMark/>
          </w:tcPr>
          <w:p w14:paraId="16AAFF02" w14:textId="77777777" w:rsidR="005C70A2" w:rsidRPr="00CF1038" w:rsidRDefault="005C70A2" w:rsidP="00EC7D22">
            <w:pPr>
              <w:suppressAutoHyphens w:val="0"/>
              <w:overflowPunct/>
              <w:spacing w:after="0" w:line="240" w:lineRule="auto"/>
              <w:jc w:val="center"/>
              <w:rPr>
                <w:rFonts w:eastAsia="Times New Roman" w:cs="Calibri"/>
                <w:b/>
                <w:bCs/>
                <w:color w:val="000000"/>
                <w:sz w:val="16"/>
                <w:szCs w:val="14"/>
                <w:lang w:eastAsia="es-MX"/>
              </w:rPr>
            </w:pPr>
            <w:r w:rsidRPr="00CF1038">
              <w:rPr>
                <w:rFonts w:eastAsia="Times New Roman" w:cs="Calibri"/>
                <w:b/>
                <w:bCs/>
                <w:color w:val="000000"/>
                <w:sz w:val="16"/>
                <w:szCs w:val="14"/>
                <w:lang w:eastAsia="es-MX"/>
              </w:rPr>
              <w:t>TOTAL</w:t>
            </w:r>
          </w:p>
        </w:tc>
        <w:tc>
          <w:tcPr>
            <w:tcW w:w="1817" w:type="dxa"/>
            <w:tcBorders>
              <w:top w:val="nil"/>
              <w:left w:val="nil"/>
              <w:bottom w:val="single" w:sz="4" w:space="0" w:color="auto"/>
              <w:right w:val="single" w:sz="4" w:space="0" w:color="auto"/>
            </w:tcBorders>
            <w:shd w:val="clear" w:color="F8CBAD" w:fill="DDC9A3"/>
            <w:vAlign w:val="center"/>
            <w:hideMark/>
          </w:tcPr>
          <w:p w14:paraId="3905A24E" w14:textId="77777777" w:rsidR="005C70A2" w:rsidRPr="00CF1038" w:rsidRDefault="005C70A2" w:rsidP="00EC7D22">
            <w:pPr>
              <w:suppressAutoHyphens w:val="0"/>
              <w:overflowPunct/>
              <w:spacing w:after="0" w:line="240" w:lineRule="auto"/>
              <w:jc w:val="right"/>
              <w:rPr>
                <w:rFonts w:eastAsia="Times New Roman" w:cs="Calibri"/>
                <w:b/>
                <w:bCs/>
                <w:color w:val="000000"/>
                <w:sz w:val="16"/>
                <w:szCs w:val="14"/>
                <w:lang w:eastAsia="es-MX"/>
              </w:rPr>
            </w:pPr>
            <w:r w:rsidRPr="00CF1038">
              <w:rPr>
                <w:rFonts w:eastAsia="Times New Roman" w:cs="Calibri"/>
                <w:b/>
                <w:bCs/>
                <w:color w:val="000000"/>
                <w:sz w:val="16"/>
                <w:szCs w:val="14"/>
                <w:lang w:eastAsia="es-MX"/>
              </w:rPr>
              <w:t>104,883,147</w:t>
            </w:r>
          </w:p>
        </w:tc>
      </w:tr>
    </w:tbl>
    <w:p w14:paraId="0C123C4B" w14:textId="77777777" w:rsidR="00820E37" w:rsidRDefault="00820E37" w:rsidP="00EC7D22">
      <w:pPr>
        <w:spacing w:after="0"/>
        <w:jc w:val="both"/>
        <w:rPr>
          <w:rFonts w:eastAsia="Times New Roman" w:cs="Calibri"/>
          <w:b/>
          <w:sz w:val="20"/>
          <w:szCs w:val="18"/>
          <w:lang w:val="es-ES" w:eastAsia="es-ES"/>
        </w:rPr>
      </w:pPr>
    </w:p>
    <w:p w14:paraId="329FCD5B" w14:textId="3841CE6D" w:rsidR="007745EB" w:rsidRDefault="00C87FDA" w:rsidP="00EC7D22">
      <w:pPr>
        <w:spacing w:after="0"/>
        <w:jc w:val="both"/>
        <w:rPr>
          <w:rFonts w:cs="Calibri"/>
          <w:b/>
          <w:sz w:val="20"/>
          <w:szCs w:val="18"/>
          <w:u w:val="single"/>
        </w:rPr>
      </w:pPr>
      <w:r w:rsidRPr="00694CE6">
        <w:rPr>
          <w:rFonts w:eastAsia="Times New Roman" w:cs="Calibri"/>
          <w:b/>
          <w:sz w:val="20"/>
          <w:szCs w:val="18"/>
          <w:u w:val="single"/>
          <w:lang w:val="es-ES" w:eastAsia="es-ES"/>
        </w:rPr>
        <w:t>Títulos y Valores a Corto Plazo</w:t>
      </w:r>
      <w:r w:rsidRPr="00694CE6">
        <w:rPr>
          <w:rFonts w:cs="Calibri"/>
          <w:b/>
          <w:sz w:val="20"/>
          <w:szCs w:val="18"/>
          <w:u w:val="single"/>
        </w:rPr>
        <w:t>.</w:t>
      </w:r>
    </w:p>
    <w:p w14:paraId="7069ADF8" w14:textId="77777777" w:rsidR="00567546" w:rsidRPr="00694CE6" w:rsidRDefault="00567546" w:rsidP="00EC7D22">
      <w:pPr>
        <w:spacing w:after="0"/>
        <w:jc w:val="both"/>
        <w:rPr>
          <w:rFonts w:cs="Calibri"/>
          <w:b/>
          <w:sz w:val="20"/>
          <w:szCs w:val="18"/>
          <w:u w:val="single"/>
        </w:rPr>
      </w:pPr>
    </w:p>
    <w:p w14:paraId="334360F0" w14:textId="77777777" w:rsidR="00567546" w:rsidRDefault="00567546" w:rsidP="00EC7D22">
      <w:pPr>
        <w:spacing w:after="0"/>
        <w:jc w:val="both"/>
        <w:rPr>
          <w:rFonts w:cs="Calibri"/>
          <w:sz w:val="20"/>
          <w:szCs w:val="20"/>
        </w:rPr>
      </w:pPr>
      <w:r>
        <w:rPr>
          <w:rFonts w:cs="Calibri"/>
          <w:sz w:val="20"/>
          <w:szCs w:val="20"/>
        </w:rPr>
        <w:t>Al cierre del ejercicio se contrataron 2(dos) créditos quirografarios (pagarés),</w:t>
      </w:r>
      <w:r w:rsidRPr="00F612CF">
        <w:rPr>
          <w:rFonts w:cs="Calibri"/>
          <w:sz w:val="20"/>
          <w:szCs w:val="20"/>
        </w:rPr>
        <w:t xml:space="preserve"> </w:t>
      </w:r>
      <w:r>
        <w:rPr>
          <w:rFonts w:cs="Calibri"/>
          <w:sz w:val="20"/>
          <w:szCs w:val="20"/>
        </w:rPr>
        <w:t>con la finalidad de</w:t>
      </w:r>
      <w:r w:rsidRPr="00820E37">
        <w:rPr>
          <w:rFonts w:cs="Calibri"/>
          <w:sz w:val="20"/>
          <w:szCs w:val="20"/>
        </w:rPr>
        <w:t xml:space="preserve"> cubrir insuficiencias de liquidez de carácter temporal, dicha contratación fue de acuerdo con las disposiciones de la Ley de Disciplina Financiera</w:t>
      </w:r>
      <w:r>
        <w:rPr>
          <w:rFonts w:cs="Calibri"/>
          <w:sz w:val="20"/>
          <w:szCs w:val="20"/>
        </w:rPr>
        <w:t xml:space="preserve"> de las Entidades Federativas y los Municipios</w:t>
      </w:r>
      <w:r w:rsidRPr="00820E37">
        <w:rPr>
          <w:rFonts w:cs="Calibri"/>
          <w:sz w:val="20"/>
          <w:szCs w:val="20"/>
        </w:rPr>
        <w:t xml:space="preserve"> vigente,</w:t>
      </w:r>
      <w:r>
        <w:rPr>
          <w:rFonts w:cs="Calibri"/>
          <w:sz w:val="20"/>
          <w:szCs w:val="20"/>
        </w:rPr>
        <w:t xml:space="preserve"> los créditos fueron contratados con el Banco HSBC México, S.A de C.V., quien ofreció las mejores condiciones para su contratación.</w:t>
      </w:r>
    </w:p>
    <w:p w14:paraId="571F95C4" w14:textId="77777777" w:rsidR="00FE1D6D" w:rsidRDefault="00FE1D6D" w:rsidP="00EC7D22">
      <w:pPr>
        <w:spacing w:after="0"/>
        <w:jc w:val="both"/>
        <w:rPr>
          <w:rFonts w:cs="Calibri"/>
          <w:sz w:val="20"/>
          <w:szCs w:val="20"/>
        </w:rPr>
      </w:pPr>
    </w:p>
    <w:p w14:paraId="3AEA9574" w14:textId="782589E3" w:rsidR="00567546" w:rsidRDefault="00FE1D6D" w:rsidP="00EC7D22">
      <w:pPr>
        <w:spacing w:after="0"/>
        <w:jc w:val="both"/>
        <w:rPr>
          <w:rFonts w:cs="Calibri"/>
          <w:sz w:val="20"/>
          <w:szCs w:val="20"/>
        </w:rPr>
      </w:pPr>
      <w:proofErr w:type="spellStart"/>
      <w:r>
        <w:rPr>
          <w:rFonts w:cs="Calibri"/>
          <w:sz w:val="20"/>
          <w:szCs w:val="20"/>
        </w:rPr>
        <w:t>Asi</w:t>
      </w:r>
      <w:proofErr w:type="spellEnd"/>
      <w:r>
        <w:rPr>
          <w:rFonts w:cs="Calibri"/>
          <w:sz w:val="20"/>
          <w:szCs w:val="20"/>
        </w:rPr>
        <w:t xml:space="preserve"> mismo, d</w:t>
      </w:r>
      <w:r w:rsidR="00567546">
        <w:rPr>
          <w:rFonts w:cs="Calibri"/>
          <w:sz w:val="20"/>
          <w:szCs w:val="20"/>
        </w:rPr>
        <w:t>urante el ejercicio se realizó el pago de amortizaciones e intereses de los créditos contratados en diciembre de 2023., a continuación, se detallan las características de los créditos contratados, así como los pagos realizados durante el ejercicio.</w:t>
      </w:r>
    </w:p>
    <w:p w14:paraId="14E57E86" w14:textId="77777777" w:rsidR="00645ECA" w:rsidRDefault="00645ECA" w:rsidP="00EC7D22">
      <w:pPr>
        <w:spacing w:after="0"/>
        <w:jc w:val="both"/>
        <w:rPr>
          <w:rFonts w:cs="Calibri"/>
          <w:sz w:val="20"/>
          <w:szCs w:val="20"/>
        </w:rPr>
      </w:pPr>
    </w:p>
    <w:p w14:paraId="5402CBA2" w14:textId="4E3BC099" w:rsidR="005B5977" w:rsidRDefault="00645ECA" w:rsidP="00EC7D22">
      <w:pPr>
        <w:spacing w:after="0"/>
        <w:jc w:val="both"/>
        <w:rPr>
          <w:rFonts w:cs="Calibri"/>
          <w:b/>
          <w:bCs/>
          <w:sz w:val="20"/>
          <w:szCs w:val="20"/>
        </w:rPr>
      </w:pPr>
      <w:r>
        <w:rPr>
          <w:rFonts w:cs="Calibri"/>
          <w:b/>
          <w:bCs/>
          <w:sz w:val="20"/>
          <w:szCs w:val="20"/>
        </w:rPr>
        <w:t xml:space="preserve">   </w:t>
      </w:r>
      <w:r w:rsidR="005B5977" w:rsidRPr="005C70A2">
        <w:rPr>
          <w:rFonts w:cs="Calibri"/>
          <w:b/>
          <w:bCs/>
          <w:sz w:val="20"/>
          <w:szCs w:val="20"/>
        </w:rPr>
        <w:t>Información de los créditos</w:t>
      </w:r>
      <w:r>
        <w:rPr>
          <w:rFonts w:cs="Calibri"/>
          <w:b/>
          <w:bCs/>
          <w:sz w:val="20"/>
          <w:szCs w:val="20"/>
        </w:rPr>
        <w:t xml:space="preserve"> vigentes al cierre del </w:t>
      </w:r>
      <w:r w:rsidR="000F4F4C">
        <w:rPr>
          <w:rFonts w:cs="Calibri"/>
          <w:b/>
          <w:bCs/>
          <w:sz w:val="20"/>
          <w:szCs w:val="20"/>
        </w:rPr>
        <w:t>ejercicio.</w:t>
      </w:r>
    </w:p>
    <w:p w14:paraId="2D571564" w14:textId="77777777" w:rsidR="00645ECA" w:rsidRDefault="00645ECA" w:rsidP="00EC7D22">
      <w:pPr>
        <w:spacing w:after="0"/>
        <w:jc w:val="both"/>
        <w:rPr>
          <w:rFonts w:cs="Calibri"/>
          <w:b/>
          <w:bCs/>
          <w:sz w:val="20"/>
          <w:szCs w:val="20"/>
        </w:rPr>
      </w:pPr>
    </w:p>
    <w:tbl>
      <w:tblPr>
        <w:tblW w:w="9527" w:type="dxa"/>
        <w:tblCellMar>
          <w:left w:w="70" w:type="dxa"/>
          <w:right w:w="70" w:type="dxa"/>
        </w:tblCellMar>
        <w:tblLook w:val="04A0" w:firstRow="1" w:lastRow="0" w:firstColumn="1" w:lastColumn="0" w:noHBand="0" w:noVBand="1"/>
      </w:tblPr>
      <w:tblGrid>
        <w:gridCol w:w="846"/>
        <w:gridCol w:w="850"/>
        <w:gridCol w:w="993"/>
        <w:gridCol w:w="806"/>
        <w:gridCol w:w="992"/>
        <w:gridCol w:w="992"/>
        <w:gridCol w:w="851"/>
        <w:gridCol w:w="992"/>
        <w:gridCol w:w="1134"/>
        <w:gridCol w:w="1071"/>
      </w:tblGrid>
      <w:tr w:rsidR="00A743DD" w:rsidRPr="00A6788C" w14:paraId="05BF4A68" w14:textId="77777777" w:rsidTr="004D0BC0">
        <w:trPr>
          <w:trHeight w:val="1065"/>
        </w:trPr>
        <w:tc>
          <w:tcPr>
            <w:tcW w:w="846"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41081367"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Acreedor</w:t>
            </w:r>
          </w:p>
        </w:tc>
        <w:tc>
          <w:tcPr>
            <w:tcW w:w="850" w:type="dxa"/>
            <w:tcBorders>
              <w:top w:val="single" w:sz="4" w:space="0" w:color="auto"/>
              <w:left w:val="nil"/>
              <w:bottom w:val="single" w:sz="4" w:space="0" w:color="auto"/>
              <w:right w:val="single" w:sz="4" w:space="0" w:color="auto"/>
            </w:tcBorders>
            <w:shd w:val="clear" w:color="800080" w:fill="A90025"/>
            <w:vAlign w:val="center"/>
            <w:hideMark/>
          </w:tcPr>
          <w:p w14:paraId="1F351D5E"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Núm. </w:t>
            </w:r>
          </w:p>
          <w:p w14:paraId="6DDD1A86" w14:textId="21CF0D12"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Inscripción Registro de Empréstitos (SHCP Y SFG</w:t>
            </w:r>
          </w:p>
        </w:tc>
        <w:tc>
          <w:tcPr>
            <w:tcW w:w="993" w:type="dxa"/>
            <w:tcBorders>
              <w:top w:val="single" w:sz="4" w:space="0" w:color="auto"/>
              <w:left w:val="nil"/>
              <w:bottom w:val="single" w:sz="4" w:space="0" w:color="auto"/>
              <w:right w:val="single" w:sz="4" w:space="0" w:color="auto"/>
            </w:tcBorders>
            <w:shd w:val="clear" w:color="800080" w:fill="A90025"/>
            <w:vAlign w:val="center"/>
            <w:hideMark/>
          </w:tcPr>
          <w:p w14:paraId="4C5EC16B"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Fecha de </w:t>
            </w:r>
          </w:p>
          <w:p w14:paraId="564F8B27" w14:textId="53B470F8"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Inscripción Registro de Empréstitos (SHCP Y SFG</w:t>
            </w:r>
          </w:p>
        </w:tc>
        <w:tc>
          <w:tcPr>
            <w:tcW w:w="806" w:type="dxa"/>
            <w:tcBorders>
              <w:top w:val="single" w:sz="4" w:space="0" w:color="auto"/>
              <w:left w:val="nil"/>
              <w:bottom w:val="single" w:sz="4" w:space="0" w:color="auto"/>
              <w:right w:val="single" w:sz="4" w:space="0" w:color="auto"/>
            </w:tcBorders>
            <w:shd w:val="clear" w:color="800080" w:fill="A90025"/>
            <w:vAlign w:val="center"/>
            <w:hideMark/>
          </w:tcPr>
          <w:p w14:paraId="2ADABAD9"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Número del </w:t>
            </w:r>
          </w:p>
          <w:p w14:paraId="449A3667" w14:textId="6A2F123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Decreto del H. Congreso del Estado</w:t>
            </w:r>
          </w:p>
        </w:tc>
        <w:tc>
          <w:tcPr>
            <w:tcW w:w="992" w:type="dxa"/>
            <w:tcBorders>
              <w:top w:val="single" w:sz="4" w:space="0" w:color="auto"/>
              <w:left w:val="nil"/>
              <w:bottom w:val="single" w:sz="4" w:space="0" w:color="auto"/>
              <w:right w:val="single" w:sz="4" w:space="0" w:color="auto"/>
            </w:tcBorders>
            <w:shd w:val="clear" w:color="800080" w:fill="A90025"/>
            <w:vAlign w:val="center"/>
            <w:hideMark/>
          </w:tcPr>
          <w:p w14:paraId="1A81CC3E"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Fecha del  </w:t>
            </w:r>
          </w:p>
          <w:p w14:paraId="6B25E216" w14:textId="243EDBC5"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Decreto del      H. Congreso del Estado</w:t>
            </w:r>
          </w:p>
        </w:tc>
        <w:tc>
          <w:tcPr>
            <w:tcW w:w="992" w:type="dxa"/>
            <w:tcBorders>
              <w:top w:val="single" w:sz="4" w:space="0" w:color="auto"/>
              <w:left w:val="nil"/>
              <w:bottom w:val="single" w:sz="4" w:space="0" w:color="auto"/>
              <w:right w:val="single" w:sz="4" w:space="0" w:color="auto"/>
            </w:tcBorders>
            <w:shd w:val="clear" w:color="800080" w:fill="A90025"/>
            <w:vAlign w:val="center"/>
            <w:hideMark/>
          </w:tcPr>
          <w:p w14:paraId="0D06E664"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Número de inscripción en el Registro</w:t>
            </w:r>
          </w:p>
          <w:p w14:paraId="275F4993" w14:textId="0085186E"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 Estatal</w:t>
            </w:r>
          </w:p>
        </w:tc>
        <w:tc>
          <w:tcPr>
            <w:tcW w:w="851" w:type="dxa"/>
            <w:tcBorders>
              <w:top w:val="single" w:sz="4" w:space="0" w:color="auto"/>
              <w:left w:val="nil"/>
              <w:bottom w:val="single" w:sz="4" w:space="0" w:color="auto"/>
              <w:right w:val="single" w:sz="4" w:space="0" w:color="auto"/>
            </w:tcBorders>
            <w:shd w:val="clear" w:color="800080" w:fill="A90025"/>
            <w:vAlign w:val="center"/>
            <w:hideMark/>
          </w:tcPr>
          <w:p w14:paraId="7DD434D7"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Fecha de inscripción en el</w:t>
            </w:r>
          </w:p>
          <w:p w14:paraId="72837845"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 Registro</w:t>
            </w:r>
          </w:p>
          <w:p w14:paraId="0D964F51" w14:textId="50FC1A22"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 Estatal</w:t>
            </w:r>
          </w:p>
        </w:tc>
        <w:tc>
          <w:tcPr>
            <w:tcW w:w="992" w:type="dxa"/>
            <w:tcBorders>
              <w:top w:val="single" w:sz="4" w:space="0" w:color="auto"/>
              <w:left w:val="nil"/>
              <w:bottom w:val="single" w:sz="4" w:space="0" w:color="auto"/>
              <w:right w:val="single" w:sz="4" w:space="0" w:color="auto"/>
            </w:tcBorders>
            <w:shd w:val="clear" w:color="800080" w:fill="A90025"/>
            <w:vAlign w:val="center"/>
            <w:hideMark/>
          </w:tcPr>
          <w:p w14:paraId="673C3F31"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Fecha de</w:t>
            </w:r>
          </w:p>
          <w:p w14:paraId="5A6D91C5" w14:textId="38A9DAD0"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 vencimiento</w:t>
            </w:r>
          </w:p>
        </w:tc>
        <w:tc>
          <w:tcPr>
            <w:tcW w:w="1134" w:type="dxa"/>
            <w:tcBorders>
              <w:top w:val="single" w:sz="4" w:space="0" w:color="auto"/>
              <w:left w:val="nil"/>
              <w:bottom w:val="single" w:sz="4" w:space="0" w:color="auto"/>
              <w:right w:val="single" w:sz="4" w:space="0" w:color="auto"/>
            </w:tcBorders>
            <w:shd w:val="clear" w:color="800080" w:fill="A90025"/>
            <w:vAlign w:val="center"/>
            <w:hideMark/>
          </w:tcPr>
          <w:p w14:paraId="387E0703"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Monto Original Contratado</w:t>
            </w:r>
          </w:p>
        </w:tc>
        <w:tc>
          <w:tcPr>
            <w:tcW w:w="1071" w:type="dxa"/>
            <w:tcBorders>
              <w:top w:val="single" w:sz="4" w:space="0" w:color="auto"/>
              <w:left w:val="nil"/>
              <w:bottom w:val="single" w:sz="4" w:space="0" w:color="auto"/>
              <w:right w:val="single" w:sz="4" w:space="0" w:color="auto"/>
            </w:tcBorders>
            <w:shd w:val="clear" w:color="800080" w:fill="A90025"/>
            <w:vAlign w:val="center"/>
            <w:hideMark/>
          </w:tcPr>
          <w:p w14:paraId="7E771C5F"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Monto </w:t>
            </w:r>
          </w:p>
          <w:p w14:paraId="55DFCCC3" w14:textId="0D512EA5"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Dispuesto</w:t>
            </w:r>
          </w:p>
        </w:tc>
      </w:tr>
      <w:tr w:rsidR="00645ECA" w:rsidRPr="00645ECA" w14:paraId="12E0A3E4" w14:textId="77777777" w:rsidTr="004D0BC0">
        <w:trPr>
          <w:trHeight w:val="45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962B09" w14:textId="77777777" w:rsidR="00645ECA" w:rsidRPr="00645ECA" w:rsidRDefault="00645ECA" w:rsidP="00EC7D22">
            <w:pPr>
              <w:suppressAutoHyphens w:val="0"/>
              <w:overflowPunct/>
              <w:spacing w:after="0" w:line="240" w:lineRule="auto"/>
              <w:jc w:val="both"/>
              <w:rPr>
                <w:rFonts w:eastAsia="Times New Roman" w:cs="Calibri"/>
                <w:color w:val="000000"/>
                <w:sz w:val="12"/>
                <w:szCs w:val="12"/>
                <w:lang w:eastAsia="es-MX"/>
              </w:rPr>
            </w:pPr>
            <w:r w:rsidRPr="00645ECA">
              <w:rPr>
                <w:rFonts w:eastAsia="Times New Roman" w:cs="Calibri"/>
                <w:color w:val="000000"/>
                <w:sz w:val="12"/>
                <w:szCs w:val="12"/>
                <w:lang w:eastAsia="es-MX"/>
              </w:rPr>
              <w:t>HSBC México S.A. de C.V.</w:t>
            </w:r>
          </w:p>
        </w:tc>
        <w:tc>
          <w:tcPr>
            <w:tcW w:w="850" w:type="dxa"/>
            <w:tcBorders>
              <w:top w:val="nil"/>
              <w:left w:val="nil"/>
              <w:bottom w:val="single" w:sz="4" w:space="0" w:color="auto"/>
              <w:right w:val="single" w:sz="4" w:space="0" w:color="auto"/>
            </w:tcBorders>
            <w:shd w:val="clear" w:color="auto" w:fill="auto"/>
            <w:noWrap/>
            <w:vAlign w:val="center"/>
            <w:hideMark/>
          </w:tcPr>
          <w:p w14:paraId="19FDB50A"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En trámite</w:t>
            </w:r>
          </w:p>
        </w:tc>
        <w:tc>
          <w:tcPr>
            <w:tcW w:w="993" w:type="dxa"/>
            <w:tcBorders>
              <w:top w:val="nil"/>
              <w:left w:val="nil"/>
              <w:bottom w:val="single" w:sz="4" w:space="0" w:color="auto"/>
              <w:right w:val="single" w:sz="4" w:space="0" w:color="auto"/>
            </w:tcBorders>
            <w:shd w:val="clear" w:color="auto" w:fill="auto"/>
            <w:noWrap/>
            <w:vAlign w:val="center"/>
            <w:hideMark/>
          </w:tcPr>
          <w:p w14:paraId="35170006"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En Trámite</w:t>
            </w:r>
          </w:p>
        </w:tc>
        <w:tc>
          <w:tcPr>
            <w:tcW w:w="806" w:type="dxa"/>
            <w:tcBorders>
              <w:top w:val="nil"/>
              <w:left w:val="nil"/>
              <w:bottom w:val="single" w:sz="4" w:space="0" w:color="auto"/>
              <w:right w:val="single" w:sz="4" w:space="0" w:color="auto"/>
            </w:tcBorders>
            <w:shd w:val="clear" w:color="auto" w:fill="auto"/>
            <w:noWrap/>
            <w:vAlign w:val="center"/>
            <w:hideMark/>
          </w:tcPr>
          <w:p w14:paraId="4E68B348"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No Aplica</w:t>
            </w:r>
          </w:p>
        </w:tc>
        <w:tc>
          <w:tcPr>
            <w:tcW w:w="992" w:type="dxa"/>
            <w:tcBorders>
              <w:top w:val="nil"/>
              <w:left w:val="nil"/>
              <w:bottom w:val="single" w:sz="4" w:space="0" w:color="auto"/>
              <w:right w:val="single" w:sz="4" w:space="0" w:color="auto"/>
            </w:tcBorders>
            <w:shd w:val="clear" w:color="auto" w:fill="auto"/>
            <w:noWrap/>
            <w:vAlign w:val="center"/>
            <w:hideMark/>
          </w:tcPr>
          <w:p w14:paraId="21B2A77A"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No Aplica</w:t>
            </w:r>
          </w:p>
        </w:tc>
        <w:tc>
          <w:tcPr>
            <w:tcW w:w="992" w:type="dxa"/>
            <w:tcBorders>
              <w:top w:val="nil"/>
              <w:left w:val="nil"/>
              <w:bottom w:val="single" w:sz="4" w:space="0" w:color="auto"/>
              <w:right w:val="single" w:sz="4" w:space="0" w:color="auto"/>
            </w:tcBorders>
            <w:shd w:val="clear" w:color="auto" w:fill="auto"/>
            <w:noWrap/>
            <w:vAlign w:val="center"/>
            <w:hideMark/>
          </w:tcPr>
          <w:p w14:paraId="5DCFB063" w14:textId="07DF3499" w:rsidR="00645ECA" w:rsidRPr="0091065B" w:rsidRDefault="0091065B" w:rsidP="00EC7D22">
            <w:pPr>
              <w:suppressAutoHyphens w:val="0"/>
              <w:overflowPunct/>
              <w:spacing w:after="0" w:line="240" w:lineRule="auto"/>
              <w:jc w:val="center"/>
              <w:rPr>
                <w:rFonts w:eastAsia="Times New Roman" w:cs="Calibri"/>
                <w:sz w:val="14"/>
                <w:szCs w:val="14"/>
                <w:lang w:eastAsia="es-MX"/>
              </w:rPr>
            </w:pPr>
            <w:r w:rsidRPr="0091065B">
              <w:rPr>
                <w:rFonts w:eastAsia="Times New Roman" w:cs="Calibri"/>
                <w:sz w:val="14"/>
                <w:szCs w:val="14"/>
                <w:lang w:eastAsia="es-MX"/>
              </w:rPr>
              <w:t xml:space="preserve">En trámite </w:t>
            </w:r>
          </w:p>
        </w:tc>
        <w:tc>
          <w:tcPr>
            <w:tcW w:w="851" w:type="dxa"/>
            <w:tcBorders>
              <w:top w:val="nil"/>
              <w:left w:val="nil"/>
              <w:bottom w:val="single" w:sz="4" w:space="0" w:color="auto"/>
              <w:right w:val="single" w:sz="4" w:space="0" w:color="auto"/>
            </w:tcBorders>
            <w:shd w:val="clear" w:color="auto" w:fill="auto"/>
            <w:noWrap/>
            <w:vAlign w:val="center"/>
            <w:hideMark/>
          </w:tcPr>
          <w:p w14:paraId="03AEA13B" w14:textId="1ED61B73" w:rsidR="00645ECA" w:rsidRPr="0091065B" w:rsidRDefault="0091065B" w:rsidP="00EC7D22">
            <w:pPr>
              <w:suppressAutoHyphens w:val="0"/>
              <w:overflowPunct/>
              <w:spacing w:after="0" w:line="240" w:lineRule="auto"/>
              <w:jc w:val="center"/>
              <w:rPr>
                <w:rFonts w:eastAsia="Times New Roman" w:cs="Calibri"/>
                <w:sz w:val="14"/>
                <w:szCs w:val="14"/>
                <w:lang w:eastAsia="es-MX"/>
              </w:rPr>
            </w:pPr>
            <w:r w:rsidRPr="0091065B">
              <w:rPr>
                <w:rFonts w:eastAsia="Times New Roman" w:cs="Calibri"/>
                <w:sz w:val="14"/>
                <w:szCs w:val="14"/>
                <w:lang w:eastAsia="es-MX"/>
              </w:rPr>
              <w:t xml:space="preserve">En trámite </w:t>
            </w:r>
          </w:p>
        </w:tc>
        <w:tc>
          <w:tcPr>
            <w:tcW w:w="992" w:type="dxa"/>
            <w:tcBorders>
              <w:top w:val="nil"/>
              <w:left w:val="nil"/>
              <w:bottom w:val="single" w:sz="4" w:space="0" w:color="auto"/>
              <w:right w:val="single" w:sz="4" w:space="0" w:color="auto"/>
            </w:tcBorders>
            <w:shd w:val="clear" w:color="auto" w:fill="auto"/>
            <w:noWrap/>
            <w:vAlign w:val="center"/>
            <w:hideMark/>
          </w:tcPr>
          <w:p w14:paraId="5D6C110D"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18/12/2025</w:t>
            </w:r>
          </w:p>
        </w:tc>
        <w:tc>
          <w:tcPr>
            <w:tcW w:w="1134" w:type="dxa"/>
            <w:tcBorders>
              <w:top w:val="nil"/>
              <w:left w:val="nil"/>
              <w:bottom w:val="single" w:sz="4" w:space="0" w:color="auto"/>
              <w:right w:val="single" w:sz="4" w:space="0" w:color="auto"/>
            </w:tcBorders>
            <w:shd w:val="clear" w:color="auto" w:fill="auto"/>
            <w:noWrap/>
            <w:vAlign w:val="center"/>
            <w:hideMark/>
          </w:tcPr>
          <w:p w14:paraId="15D6F78B" w14:textId="77777777" w:rsidR="00645ECA" w:rsidRPr="00645ECA" w:rsidRDefault="00645ECA" w:rsidP="00EC7D22">
            <w:pPr>
              <w:suppressAutoHyphens w:val="0"/>
              <w:overflowPunct/>
              <w:spacing w:after="0" w:line="240" w:lineRule="auto"/>
              <w:jc w:val="right"/>
              <w:rPr>
                <w:rFonts w:eastAsia="Times New Roman" w:cs="Calibri"/>
                <w:color w:val="222B35"/>
                <w:sz w:val="14"/>
                <w:szCs w:val="14"/>
                <w:lang w:eastAsia="es-MX"/>
              </w:rPr>
            </w:pPr>
            <w:r w:rsidRPr="00645ECA">
              <w:rPr>
                <w:rFonts w:eastAsia="Times New Roman" w:cs="Calibri"/>
                <w:color w:val="222B35"/>
                <w:sz w:val="14"/>
                <w:szCs w:val="14"/>
                <w:lang w:eastAsia="es-MX"/>
              </w:rPr>
              <w:t>500,000,000</w:t>
            </w:r>
          </w:p>
        </w:tc>
        <w:tc>
          <w:tcPr>
            <w:tcW w:w="1071" w:type="dxa"/>
            <w:tcBorders>
              <w:top w:val="nil"/>
              <w:left w:val="nil"/>
              <w:bottom w:val="single" w:sz="4" w:space="0" w:color="auto"/>
              <w:right w:val="single" w:sz="4" w:space="0" w:color="auto"/>
            </w:tcBorders>
            <w:shd w:val="clear" w:color="auto" w:fill="auto"/>
            <w:noWrap/>
            <w:vAlign w:val="center"/>
            <w:hideMark/>
          </w:tcPr>
          <w:p w14:paraId="72E33E79" w14:textId="77777777" w:rsidR="00645ECA" w:rsidRPr="00645ECA" w:rsidRDefault="00645ECA" w:rsidP="00EC7D22">
            <w:pPr>
              <w:suppressAutoHyphens w:val="0"/>
              <w:overflowPunct/>
              <w:spacing w:after="0" w:line="240" w:lineRule="auto"/>
              <w:jc w:val="right"/>
              <w:rPr>
                <w:rFonts w:eastAsia="Times New Roman" w:cs="Calibri"/>
                <w:color w:val="222B35"/>
                <w:sz w:val="14"/>
                <w:szCs w:val="14"/>
                <w:lang w:eastAsia="es-MX"/>
              </w:rPr>
            </w:pPr>
            <w:r w:rsidRPr="00645ECA">
              <w:rPr>
                <w:rFonts w:eastAsia="Times New Roman" w:cs="Calibri"/>
                <w:color w:val="222B35"/>
                <w:sz w:val="14"/>
                <w:szCs w:val="14"/>
                <w:lang w:eastAsia="es-MX"/>
              </w:rPr>
              <w:t>500,000,000</w:t>
            </w:r>
          </w:p>
        </w:tc>
      </w:tr>
      <w:tr w:rsidR="00645ECA" w:rsidRPr="00645ECA" w14:paraId="0E860D7C" w14:textId="77777777" w:rsidTr="004D0BC0">
        <w:trPr>
          <w:trHeight w:val="45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FC2616" w14:textId="77777777" w:rsidR="00645ECA" w:rsidRPr="00645ECA" w:rsidRDefault="00645ECA" w:rsidP="00EC7D22">
            <w:pPr>
              <w:suppressAutoHyphens w:val="0"/>
              <w:overflowPunct/>
              <w:spacing w:after="0" w:line="240" w:lineRule="auto"/>
              <w:jc w:val="both"/>
              <w:rPr>
                <w:rFonts w:eastAsia="Times New Roman" w:cs="Calibri"/>
                <w:color w:val="000000"/>
                <w:sz w:val="12"/>
                <w:szCs w:val="12"/>
                <w:lang w:eastAsia="es-MX"/>
              </w:rPr>
            </w:pPr>
            <w:r w:rsidRPr="00645ECA">
              <w:rPr>
                <w:rFonts w:eastAsia="Times New Roman" w:cs="Calibri"/>
                <w:color w:val="000000"/>
                <w:sz w:val="12"/>
                <w:szCs w:val="12"/>
                <w:lang w:eastAsia="es-MX"/>
              </w:rPr>
              <w:t>HSBC México S.A. de C.V.</w:t>
            </w:r>
          </w:p>
        </w:tc>
        <w:tc>
          <w:tcPr>
            <w:tcW w:w="850" w:type="dxa"/>
            <w:tcBorders>
              <w:top w:val="nil"/>
              <w:left w:val="nil"/>
              <w:bottom w:val="single" w:sz="4" w:space="0" w:color="auto"/>
              <w:right w:val="single" w:sz="4" w:space="0" w:color="auto"/>
            </w:tcBorders>
            <w:shd w:val="clear" w:color="auto" w:fill="auto"/>
            <w:noWrap/>
            <w:vAlign w:val="center"/>
            <w:hideMark/>
          </w:tcPr>
          <w:p w14:paraId="3A4E060A"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 xml:space="preserve">En Trámite </w:t>
            </w:r>
          </w:p>
        </w:tc>
        <w:tc>
          <w:tcPr>
            <w:tcW w:w="993" w:type="dxa"/>
            <w:tcBorders>
              <w:top w:val="nil"/>
              <w:left w:val="nil"/>
              <w:bottom w:val="single" w:sz="4" w:space="0" w:color="auto"/>
              <w:right w:val="single" w:sz="4" w:space="0" w:color="auto"/>
            </w:tcBorders>
            <w:shd w:val="clear" w:color="auto" w:fill="auto"/>
            <w:noWrap/>
            <w:vAlign w:val="center"/>
            <w:hideMark/>
          </w:tcPr>
          <w:p w14:paraId="5E4A849F"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En Trámite</w:t>
            </w:r>
          </w:p>
        </w:tc>
        <w:tc>
          <w:tcPr>
            <w:tcW w:w="806" w:type="dxa"/>
            <w:tcBorders>
              <w:top w:val="nil"/>
              <w:left w:val="nil"/>
              <w:bottom w:val="single" w:sz="4" w:space="0" w:color="auto"/>
              <w:right w:val="single" w:sz="4" w:space="0" w:color="auto"/>
            </w:tcBorders>
            <w:shd w:val="clear" w:color="auto" w:fill="auto"/>
            <w:noWrap/>
            <w:vAlign w:val="center"/>
            <w:hideMark/>
          </w:tcPr>
          <w:p w14:paraId="6BCEC38A"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No Aplica</w:t>
            </w:r>
          </w:p>
        </w:tc>
        <w:tc>
          <w:tcPr>
            <w:tcW w:w="992" w:type="dxa"/>
            <w:tcBorders>
              <w:top w:val="nil"/>
              <w:left w:val="nil"/>
              <w:bottom w:val="single" w:sz="4" w:space="0" w:color="auto"/>
              <w:right w:val="single" w:sz="4" w:space="0" w:color="auto"/>
            </w:tcBorders>
            <w:shd w:val="clear" w:color="auto" w:fill="auto"/>
            <w:noWrap/>
            <w:vAlign w:val="center"/>
            <w:hideMark/>
          </w:tcPr>
          <w:p w14:paraId="76308808"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No Aplica</w:t>
            </w:r>
          </w:p>
        </w:tc>
        <w:tc>
          <w:tcPr>
            <w:tcW w:w="992" w:type="dxa"/>
            <w:tcBorders>
              <w:top w:val="nil"/>
              <w:left w:val="nil"/>
              <w:bottom w:val="single" w:sz="4" w:space="0" w:color="auto"/>
              <w:right w:val="single" w:sz="4" w:space="0" w:color="auto"/>
            </w:tcBorders>
            <w:shd w:val="clear" w:color="auto" w:fill="auto"/>
            <w:noWrap/>
            <w:vAlign w:val="center"/>
            <w:hideMark/>
          </w:tcPr>
          <w:p w14:paraId="3EDF8155" w14:textId="64BFFF5A" w:rsidR="00645ECA" w:rsidRPr="0091065B" w:rsidRDefault="0091065B" w:rsidP="00EC7D22">
            <w:pPr>
              <w:suppressAutoHyphens w:val="0"/>
              <w:overflowPunct/>
              <w:spacing w:after="0" w:line="240" w:lineRule="auto"/>
              <w:jc w:val="center"/>
              <w:rPr>
                <w:rFonts w:eastAsia="Times New Roman" w:cs="Calibri"/>
                <w:sz w:val="14"/>
                <w:szCs w:val="14"/>
                <w:lang w:eastAsia="es-MX"/>
              </w:rPr>
            </w:pPr>
            <w:r w:rsidRPr="0091065B">
              <w:rPr>
                <w:rFonts w:eastAsia="Times New Roman" w:cs="Calibri"/>
                <w:sz w:val="14"/>
                <w:szCs w:val="14"/>
                <w:lang w:eastAsia="es-MX"/>
              </w:rPr>
              <w:t xml:space="preserve">En trámite </w:t>
            </w:r>
          </w:p>
        </w:tc>
        <w:tc>
          <w:tcPr>
            <w:tcW w:w="851" w:type="dxa"/>
            <w:tcBorders>
              <w:top w:val="nil"/>
              <w:left w:val="nil"/>
              <w:bottom w:val="single" w:sz="4" w:space="0" w:color="auto"/>
              <w:right w:val="single" w:sz="4" w:space="0" w:color="auto"/>
            </w:tcBorders>
            <w:shd w:val="clear" w:color="auto" w:fill="auto"/>
            <w:noWrap/>
            <w:vAlign w:val="center"/>
            <w:hideMark/>
          </w:tcPr>
          <w:p w14:paraId="1F717F69" w14:textId="777BAD90" w:rsidR="00645ECA" w:rsidRPr="0091065B" w:rsidRDefault="0091065B" w:rsidP="00EC7D22">
            <w:pPr>
              <w:suppressAutoHyphens w:val="0"/>
              <w:overflowPunct/>
              <w:spacing w:after="0" w:line="240" w:lineRule="auto"/>
              <w:jc w:val="center"/>
              <w:rPr>
                <w:rFonts w:eastAsia="Times New Roman" w:cs="Calibri"/>
                <w:sz w:val="14"/>
                <w:szCs w:val="14"/>
                <w:lang w:eastAsia="es-MX"/>
              </w:rPr>
            </w:pPr>
            <w:r w:rsidRPr="0091065B">
              <w:rPr>
                <w:rFonts w:eastAsia="Times New Roman" w:cs="Calibri"/>
                <w:sz w:val="14"/>
                <w:szCs w:val="14"/>
                <w:lang w:eastAsia="es-MX"/>
              </w:rPr>
              <w:t>En trámite</w:t>
            </w:r>
          </w:p>
        </w:tc>
        <w:tc>
          <w:tcPr>
            <w:tcW w:w="992" w:type="dxa"/>
            <w:tcBorders>
              <w:top w:val="nil"/>
              <w:left w:val="nil"/>
              <w:bottom w:val="single" w:sz="4" w:space="0" w:color="auto"/>
              <w:right w:val="single" w:sz="4" w:space="0" w:color="auto"/>
            </w:tcBorders>
            <w:shd w:val="clear" w:color="auto" w:fill="auto"/>
            <w:noWrap/>
            <w:vAlign w:val="center"/>
            <w:hideMark/>
          </w:tcPr>
          <w:p w14:paraId="60319757" w14:textId="77777777" w:rsidR="00645ECA" w:rsidRPr="00645ECA" w:rsidRDefault="00645ECA" w:rsidP="00EC7D22">
            <w:pPr>
              <w:suppressAutoHyphens w:val="0"/>
              <w:overflowPunct/>
              <w:spacing w:after="0" w:line="240" w:lineRule="auto"/>
              <w:jc w:val="center"/>
              <w:rPr>
                <w:rFonts w:eastAsia="Times New Roman" w:cs="Calibri"/>
                <w:color w:val="222B35"/>
                <w:sz w:val="14"/>
                <w:szCs w:val="14"/>
                <w:lang w:eastAsia="es-MX"/>
              </w:rPr>
            </w:pPr>
            <w:r w:rsidRPr="00645ECA">
              <w:rPr>
                <w:rFonts w:eastAsia="Times New Roman" w:cs="Calibri"/>
                <w:color w:val="222B35"/>
                <w:sz w:val="14"/>
                <w:szCs w:val="14"/>
                <w:lang w:eastAsia="es-MX"/>
              </w:rPr>
              <w:t>18/12/2025</w:t>
            </w:r>
          </w:p>
        </w:tc>
        <w:tc>
          <w:tcPr>
            <w:tcW w:w="1134" w:type="dxa"/>
            <w:tcBorders>
              <w:top w:val="nil"/>
              <w:left w:val="nil"/>
              <w:bottom w:val="single" w:sz="4" w:space="0" w:color="auto"/>
              <w:right w:val="single" w:sz="4" w:space="0" w:color="auto"/>
            </w:tcBorders>
            <w:shd w:val="clear" w:color="auto" w:fill="auto"/>
            <w:noWrap/>
            <w:vAlign w:val="center"/>
            <w:hideMark/>
          </w:tcPr>
          <w:p w14:paraId="6987C749" w14:textId="77777777" w:rsidR="00645ECA" w:rsidRPr="00645ECA" w:rsidRDefault="00645ECA" w:rsidP="00EC7D22">
            <w:pPr>
              <w:suppressAutoHyphens w:val="0"/>
              <w:overflowPunct/>
              <w:spacing w:after="0" w:line="240" w:lineRule="auto"/>
              <w:jc w:val="right"/>
              <w:rPr>
                <w:rFonts w:eastAsia="Times New Roman" w:cs="Calibri"/>
                <w:color w:val="222B35"/>
                <w:sz w:val="14"/>
                <w:szCs w:val="14"/>
                <w:lang w:eastAsia="es-MX"/>
              </w:rPr>
            </w:pPr>
            <w:r w:rsidRPr="00645ECA">
              <w:rPr>
                <w:rFonts w:eastAsia="Times New Roman" w:cs="Calibri"/>
                <w:color w:val="222B35"/>
                <w:sz w:val="14"/>
                <w:szCs w:val="14"/>
                <w:lang w:eastAsia="es-MX"/>
              </w:rPr>
              <w:t>500,000,000</w:t>
            </w:r>
          </w:p>
        </w:tc>
        <w:tc>
          <w:tcPr>
            <w:tcW w:w="1071" w:type="dxa"/>
            <w:tcBorders>
              <w:top w:val="nil"/>
              <w:left w:val="nil"/>
              <w:bottom w:val="single" w:sz="4" w:space="0" w:color="auto"/>
              <w:right w:val="single" w:sz="4" w:space="0" w:color="auto"/>
            </w:tcBorders>
            <w:shd w:val="clear" w:color="auto" w:fill="auto"/>
            <w:noWrap/>
            <w:vAlign w:val="center"/>
            <w:hideMark/>
          </w:tcPr>
          <w:p w14:paraId="18F51DD4" w14:textId="77777777" w:rsidR="00645ECA" w:rsidRPr="00645ECA" w:rsidRDefault="00645ECA" w:rsidP="00EC7D22">
            <w:pPr>
              <w:suppressAutoHyphens w:val="0"/>
              <w:overflowPunct/>
              <w:spacing w:after="0" w:line="240" w:lineRule="auto"/>
              <w:jc w:val="right"/>
              <w:rPr>
                <w:rFonts w:eastAsia="Times New Roman" w:cs="Calibri"/>
                <w:color w:val="222B35"/>
                <w:sz w:val="14"/>
                <w:szCs w:val="14"/>
                <w:lang w:eastAsia="es-MX"/>
              </w:rPr>
            </w:pPr>
            <w:r w:rsidRPr="00645ECA">
              <w:rPr>
                <w:rFonts w:eastAsia="Times New Roman" w:cs="Calibri"/>
                <w:color w:val="222B35"/>
                <w:sz w:val="14"/>
                <w:szCs w:val="14"/>
                <w:lang w:eastAsia="es-MX"/>
              </w:rPr>
              <w:t>500,000,000</w:t>
            </w:r>
          </w:p>
        </w:tc>
      </w:tr>
      <w:tr w:rsidR="00645ECA" w:rsidRPr="00CF1038" w14:paraId="0281D382" w14:textId="77777777" w:rsidTr="00A743DD">
        <w:trPr>
          <w:trHeight w:val="379"/>
        </w:trPr>
        <w:tc>
          <w:tcPr>
            <w:tcW w:w="8456" w:type="dxa"/>
            <w:gridSpan w:val="9"/>
            <w:tcBorders>
              <w:top w:val="single" w:sz="4" w:space="0" w:color="auto"/>
              <w:left w:val="single" w:sz="4" w:space="0" w:color="auto"/>
              <w:bottom w:val="single" w:sz="4" w:space="0" w:color="auto"/>
              <w:right w:val="single" w:sz="4" w:space="0" w:color="auto"/>
            </w:tcBorders>
            <w:shd w:val="clear" w:color="F8CBAD" w:fill="DDC9A3"/>
            <w:vAlign w:val="center"/>
            <w:hideMark/>
          </w:tcPr>
          <w:p w14:paraId="47BFFBC1" w14:textId="77777777" w:rsidR="00645ECA" w:rsidRPr="00CF1038" w:rsidRDefault="00645ECA" w:rsidP="00EC7D22">
            <w:pPr>
              <w:suppressAutoHyphens w:val="0"/>
              <w:overflowPunct/>
              <w:spacing w:after="0" w:line="240" w:lineRule="auto"/>
              <w:jc w:val="center"/>
              <w:rPr>
                <w:rFonts w:eastAsia="Times New Roman" w:cs="Calibri"/>
                <w:b/>
                <w:bCs/>
                <w:color w:val="000000"/>
                <w:sz w:val="16"/>
                <w:szCs w:val="14"/>
                <w:lang w:eastAsia="es-MX"/>
              </w:rPr>
            </w:pPr>
            <w:r w:rsidRPr="00CF1038">
              <w:rPr>
                <w:rFonts w:eastAsia="Times New Roman" w:cs="Calibri"/>
                <w:b/>
                <w:bCs/>
                <w:color w:val="000000"/>
                <w:sz w:val="16"/>
                <w:szCs w:val="14"/>
                <w:lang w:eastAsia="es-MX"/>
              </w:rPr>
              <w:t>TOTALES</w:t>
            </w:r>
          </w:p>
        </w:tc>
        <w:tc>
          <w:tcPr>
            <w:tcW w:w="1071" w:type="dxa"/>
            <w:tcBorders>
              <w:top w:val="nil"/>
              <w:left w:val="nil"/>
              <w:bottom w:val="single" w:sz="4" w:space="0" w:color="auto"/>
              <w:right w:val="single" w:sz="4" w:space="0" w:color="auto"/>
            </w:tcBorders>
            <w:shd w:val="clear" w:color="F8CBAD" w:fill="DDC9A3"/>
            <w:vAlign w:val="center"/>
            <w:hideMark/>
          </w:tcPr>
          <w:p w14:paraId="2B29ED50" w14:textId="77777777" w:rsidR="00645ECA" w:rsidRPr="00CF1038" w:rsidRDefault="00645ECA" w:rsidP="00EC7D22">
            <w:pPr>
              <w:suppressAutoHyphens w:val="0"/>
              <w:overflowPunct/>
              <w:spacing w:after="0" w:line="240" w:lineRule="auto"/>
              <w:jc w:val="right"/>
              <w:rPr>
                <w:rFonts w:eastAsia="Times New Roman" w:cs="Calibri"/>
                <w:color w:val="000000"/>
                <w:sz w:val="16"/>
                <w:szCs w:val="14"/>
                <w:lang w:eastAsia="es-MX"/>
              </w:rPr>
            </w:pPr>
            <w:r w:rsidRPr="00CF1038">
              <w:rPr>
                <w:rFonts w:eastAsia="Times New Roman" w:cs="Calibri"/>
                <w:color w:val="000000"/>
                <w:sz w:val="16"/>
                <w:szCs w:val="14"/>
                <w:lang w:eastAsia="es-MX"/>
              </w:rPr>
              <w:t>1,000,000,000</w:t>
            </w:r>
          </w:p>
        </w:tc>
      </w:tr>
    </w:tbl>
    <w:p w14:paraId="22B8C537" w14:textId="585599D5" w:rsidR="00645ECA" w:rsidRDefault="00645ECA" w:rsidP="00EC7D22">
      <w:pPr>
        <w:spacing w:after="0"/>
        <w:jc w:val="both"/>
        <w:rPr>
          <w:rFonts w:cs="Calibri"/>
          <w:b/>
          <w:bCs/>
          <w:sz w:val="20"/>
          <w:szCs w:val="20"/>
        </w:rPr>
      </w:pPr>
    </w:p>
    <w:p w14:paraId="66FB5C2A" w14:textId="20CDB729" w:rsidR="00797579" w:rsidRDefault="00797579" w:rsidP="00EC7D22">
      <w:pPr>
        <w:spacing w:after="0"/>
        <w:jc w:val="both"/>
        <w:rPr>
          <w:rFonts w:cs="Calibri"/>
          <w:b/>
          <w:bCs/>
          <w:sz w:val="20"/>
          <w:szCs w:val="20"/>
        </w:rPr>
      </w:pPr>
    </w:p>
    <w:p w14:paraId="0EF868CE" w14:textId="4A1C30CB" w:rsidR="00797579" w:rsidRDefault="00797579" w:rsidP="00EC7D22">
      <w:pPr>
        <w:spacing w:after="0"/>
        <w:jc w:val="both"/>
        <w:rPr>
          <w:rFonts w:cs="Calibri"/>
          <w:b/>
          <w:bCs/>
          <w:sz w:val="20"/>
          <w:szCs w:val="20"/>
        </w:rPr>
      </w:pPr>
    </w:p>
    <w:p w14:paraId="792C2433" w14:textId="7AAD1FD6" w:rsidR="00797579" w:rsidRDefault="00797579" w:rsidP="00EC7D22">
      <w:pPr>
        <w:spacing w:after="0"/>
        <w:jc w:val="both"/>
        <w:rPr>
          <w:rFonts w:cs="Calibri"/>
          <w:b/>
          <w:bCs/>
          <w:sz w:val="20"/>
          <w:szCs w:val="20"/>
        </w:rPr>
      </w:pPr>
    </w:p>
    <w:p w14:paraId="5EAB3F97" w14:textId="4093B6F9" w:rsidR="00CF1038" w:rsidRDefault="00CF1038" w:rsidP="00EC7D22">
      <w:pPr>
        <w:spacing w:after="0"/>
        <w:jc w:val="both"/>
        <w:rPr>
          <w:rFonts w:cs="Calibri"/>
          <w:b/>
          <w:bCs/>
          <w:sz w:val="20"/>
          <w:szCs w:val="20"/>
        </w:rPr>
      </w:pPr>
    </w:p>
    <w:p w14:paraId="2641AEBA" w14:textId="77777777" w:rsidR="00A743DD" w:rsidRDefault="00A743DD" w:rsidP="00EC7D22">
      <w:pPr>
        <w:spacing w:after="0"/>
        <w:jc w:val="both"/>
        <w:rPr>
          <w:rFonts w:cs="Calibri"/>
          <w:b/>
          <w:bCs/>
          <w:sz w:val="20"/>
          <w:szCs w:val="20"/>
        </w:rPr>
      </w:pPr>
    </w:p>
    <w:p w14:paraId="04E04027" w14:textId="43971D7D" w:rsidR="00CF1038" w:rsidRDefault="00CF1038" w:rsidP="00EC7D22">
      <w:pPr>
        <w:spacing w:after="0"/>
        <w:jc w:val="both"/>
        <w:rPr>
          <w:rFonts w:cs="Calibri"/>
          <w:b/>
          <w:bCs/>
          <w:sz w:val="20"/>
          <w:szCs w:val="20"/>
        </w:rPr>
      </w:pPr>
    </w:p>
    <w:p w14:paraId="4276046E" w14:textId="0B5CDA7E" w:rsidR="005B5977" w:rsidRPr="00694CE6" w:rsidRDefault="005B5977" w:rsidP="00EC7D22">
      <w:pPr>
        <w:spacing w:after="0"/>
        <w:jc w:val="both"/>
        <w:rPr>
          <w:rFonts w:cs="Calibri"/>
          <w:b/>
          <w:bCs/>
          <w:sz w:val="20"/>
          <w:szCs w:val="20"/>
          <w:u w:val="single"/>
        </w:rPr>
      </w:pPr>
      <w:r w:rsidRPr="00694CE6">
        <w:rPr>
          <w:rFonts w:cs="Calibri"/>
          <w:b/>
          <w:bCs/>
          <w:sz w:val="20"/>
          <w:szCs w:val="20"/>
          <w:u w:val="single"/>
        </w:rPr>
        <w:lastRenderedPageBreak/>
        <w:t>Amortización e Intereses Pagados</w:t>
      </w:r>
      <w:r w:rsidR="00567546">
        <w:rPr>
          <w:rFonts w:cs="Calibri"/>
          <w:b/>
          <w:bCs/>
          <w:sz w:val="20"/>
          <w:szCs w:val="20"/>
          <w:u w:val="single"/>
        </w:rPr>
        <w:t xml:space="preserve"> </w:t>
      </w:r>
    </w:p>
    <w:p w14:paraId="17960172" w14:textId="77777777" w:rsidR="00645ECA" w:rsidRPr="00A6788C" w:rsidRDefault="00645ECA" w:rsidP="00EC7D22">
      <w:pPr>
        <w:spacing w:after="0"/>
        <w:jc w:val="both"/>
        <w:rPr>
          <w:rFonts w:cs="Calibri"/>
          <w:b/>
          <w:bCs/>
          <w:sz w:val="16"/>
          <w:szCs w:val="20"/>
        </w:rPr>
      </w:pPr>
    </w:p>
    <w:tbl>
      <w:tblPr>
        <w:tblW w:w="9781" w:type="dxa"/>
        <w:tblInd w:w="-10" w:type="dxa"/>
        <w:tblCellMar>
          <w:left w:w="70" w:type="dxa"/>
          <w:right w:w="70" w:type="dxa"/>
        </w:tblCellMar>
        <w:tblLook w:val="04A0" w:firstRow="1" w:lastRow="0" w:firstColumn="1" w:lastColumn="0" w:noHBand="0" w:noVBand="1"/>
      </w:tblPr>
      <w:tblGrid>
        <w:gridCol w:w="779"/>
        <w:gridCol w:w="851"/>
        <w:gridCol w:w="985"/>
        <w:gridCol w:w="958"/>
        <w:gridCol w:w="958"/>
        <w:gridCol w:w="958"/>
        <w:gridCol w:w="877"/>
        <w:gridCol w:w="987"/>
        <w:gridCol w:w="764"/>
        <w:gridCol w:w="956"/>
        <w:gridCol w:w="708"/>
      </w:tblGrid>
      <w:tr w:rsidR="004D0BC0" w:rsidRPr="00A6788C" w14:paraId="75B365B6" w14:textId="77777777" w:rsidTr="004D0BC0">
        <w:trPr>
          <w:trHeight w:val="879"/>
        </w:trPr>
        <w:tc>
          <w:tcPr>
            <w:tcW w:w="779" w:type="dxa"/>
            <w:tcBorders>
              <w:top w:val="single" w:sz="8" w:space="0" w:color="auto"/>
              <w:left w:val="single" w:sz="8" w:space="0" w:color="auto"/>
              <w:bottom w:val="single" w:sz="8" w:space="0" w:color="auto"/>
              <w:right w:val="single" w:sz="8" w:space="0" w:color="auto"/>
            </w:tcBorders>
            <w:shd w:val="clear" w:color="000000" w:fill="A90025"/>
            <w:vAlign w:val="center"/>
            <w:hideMark/>
          </w:tcPr>
          <w:p w14:paraId="195CD0E5"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BANCO</w:t>
            </w:r>
          </w:p>
        </w:tc>
        <w:tc>
          <w:tcPr>
            <w:tcW w:w="851" w:type="dxa"/>
            <w:tcBorders>
              <w:top w:val="single" w:sz="8" w:space="0" w:color="auto"/>
              <w:left w:val="nil"/>
              <w:bottom w:val="single" w:sz="8" w:space="0" w:color="auto"/>
              <w:right w:val="single" w:sz="8" w:space="0" w:color="auto"/>
            </w:tcBorders>
            <w:shd w:val="clear" w:color="000000" w:fill="A90025"/>
            <w:vAlign w:val="center"/>
            <w:hideMark/>
          </w:tcPr>
          <w:p w14:paraId="18C6A59B"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Importe Original Contratado</w:t>
            </w:r>
          </w:p>
        </w:tc>
        <w:tc>
          <w:tcPr>
            <w:tcW w:w="985" w:type="dxa"/>
            <w:tcBorders>
              <w:top w:val="single" w:sz="8" w:space="0" w:color="auto"/>
              <w:left w:val="nil"/>
              <w:bottom w:val="single" w:sz="8" w:space="0" w:color="auto"/>
              <w:right w:val="single" w:sz="8" w:space="0" w:color="auto"/>
            </w:tcBorders>
            <w:shd w:val="clear" w:color="000000" w:fill="A90025"/>
            <w:vAlign w:val="center"/>
            <w:hideMark/>
          </w:tcPr>
          <w:p w14:paraId="17CBD891"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Saldo al 31 de </w:t>
            </w:r>
            <w:proofErr w:type="gramStart"/>
            <w:r w:rsidRPr="00A6788C">
              <w:rPr>
                <w:rFonts w:eastAsia="Times New Roman" w:cs="Calibri"/>
                <w:b/>
                <w:bCs/>
                <w:color w:val="FFFFFF"/>
                <w:sz w:val="14"/>
                <w:szCs w:val="14"/>
                <w:lang w:eastAsia="es-MX"/>
              </w:rPr>
              <w:t>Diciembre</w:t>
            </w:r>
            <w:proofErr w:type="gramEnd"/>
            <w:r w:rsidRPr="00A6788C">
              <w:rPr>
                <w:rFonts w:eastAsia="Times New Roman" w:cs="Calibri"/>
                <w:b/>
                <w:bCs/>
                <w:color w:val="FFFFFF"/>
                <w:sz w:val="14"/>
                <w:szCs w:val="14"/>
                <w:lang w:eastAsia="es-MX"/>
              </w:rPr>
              <w:t xml:space="preserve"> de 2023</w:t>
            </w:r>
          </w:p>
        </w:tc>
        <w:tc>
          <w:tcPr>
            <w:tcW w:w="958" w:type="dxa"/>
            <w:tcBorders>
              <w:top w:val="single" w:sz="8" w:space="0" w:color="auto"/>
              <w:left w:val="nil"/>
              <w:bottom w:val="single" w:sz="8" w:space="0" w:color="auto"/>
              <w:right w:val="single" w:sz="8" w:space="0" w:color="auto"/>
            </w:tcBorders>
            <w:shd w:val="clear" w:color="000000" w:fill="A90025"/>
            <w:vAlign w:val="center"/>
            <w:hideMark/>
          </w:tcPr>
          <w:p w14:paraId="0240016E"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Disposiciones</w:t>
            </w:r>
          </w:p>
        </w:tc>
        <w:tc>
          <w:tcPr>
            <w:tcW w:w="958" w:type="dxa"/>
            <w:tcBorders>
              <w:top w:val="single" w:sz="8" w:space="0" w:color="auto"/>
              <w:left w:val="nil"/>
              <w:bottom w:val="single" w:sz="8" w:space="0" w:color="auto"/>
              <w:right w:val="single" w:sz="8" w:space="0" w:color="auto"/>
            </w:tcBorders>
            <w:shd w:val="clear" w:color="000000" w:fill="A90025"/>
            <w:vAlign w:val="center"/>
            <w:hideMark/>
          </w:tcPr>
          <w:p w14:paraId="6C8388C3"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Amortización </w:t>
            </w:r>
          </w:p>
        </w:tc>
        <w:tc>
          <w:tcPr>
            <w:tcW w:w="958" w:type="dxa"/>
            <w:tcBorders>
              <w:top w:val="single" w:sz="8" w:space="0" w:color="auto"/>
              <w:left w:val="nil"/>
              <w:bottom w:val="single" w:sz="8" w:space="0" w:color="auto"/>
              <w:right w:val="single" w:sz="8" w:space="0" w:color="auto"/>
            </w:tcBorders>
            <w:shd w:val="clear" w:color="000000" w:fill="A90025"/>
            <w:vAlign w:val="center"/>
            <w:hideMark/>
          </w:tcPr>
          <w:p w14:paraId="0D229CB4"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Saldo al 31 de Diciembre 2024</w:t>
            </w:r>
          </w:p>
        </w:tc>
        <w:tc>
          <w:tcPr>
            <w:tcW w:w="877" w:type="dxa"/>
            <w:tcBorders>
              <w:top w:val="single" w:sz="8" w:space="0" w:color="auto"/>
              <w:left w:val="nil"/>
              <w:bottom w:val="single" w:sz="8" w:space="0" w:color="auto"/>
              <w:right w:val="single" w:sz="8" w:space="0" w:color="auto"/>
            </w:tcBorders>
            <w:shd w:val="clear" w:color="000000" w:fill="A90025"/>
            <w:vAlign w:val="center"/>
            <w:hideMark/>
          </w:tcPr>
          <w:p w14:paraId="03E2532D"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Intereses</w:t>
            </w:r>
          </w:p>
        </w:tc>
        <w:tc>
          <w:tcPr>
            <w:tcW w:w="987" w:type="dxa"/>
            <w:tcBorders>
              <w:top w:val="single" w:sz="8" w:space="0" w:color="auto"/>
              <w:left w:val="nil"/>
              <w:bottom w:val="single" w:sz="8" w:space="0" w:color="auto"/>
              <w:right w:val="single" w:sz="8" w:space="0" w:color="auto"/>
            </w:tcBorders>
            <w:shd w:val="clear" w:color="000000" w:fill="A90025"/>
            <w:vAlign w:val="center"/>
            <w:hideMark/>
          </w:tcPr>
          <w:p w14:paraId="1C9D9827"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Vencimiento</w:t>
            </w:r>
          </w:p>
        </w:tc>
        <w:tc>
          <w:tcPr>
            <w:tcW w:w="764" w:type="dxa"/>
            <w:tcBorders>
              <w:top w:val="single" w:sz="8" w:space="0" w:color="auto"/>
              <w:left w:val="nil"/>
              <w:bottom w:val="single" w:sz="8" w:space="0" w:color="auto"/>
              <w:right w:val="single" w:sz="8" w:space="0" w:color="auto"/>
            </w:tcBorders>
            <w:shd w:val="clear" w:color="000000" w:fill="A90025"/>
            <w:vAlign w:val="center"/>
            <w:hideMark/>
          </w:tcPr>
          <w:p w14:paraId="1386CFE1"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Tasa de </w:t>
            </w:r>
          </w:p>
          <w:p w14:paraId="64E2C97C" w14:textId="3C22864B"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Interés</w:t>
            </w:r>
          </w:p>
        </w:tc>
        <w:tc>
          <w:tcPr>
            <w:tcW w:w="956" w:type="dxa"/>
            <w:tcBorders>
              <w:top w:val="single" w:sz="8" w:space="0" w:color="auto"/>
              <w:left w:val="nil"/>
              <w:bottom w:val="single" w:sz="8" w:space="0" w:color="auto"/>
              <w:right w:val="single" w:sz="8" w:space="0" w:color="auto"/>
            </w:tcBorders>
            <w:shd w:val="clear" w:color="000000" w:fill="A90025"/>
            <w:vAlign w:val="center"/>
            <w:hideMark/>
          </w:tcPr>
          <w:p w14:paraId="7D7C2E92" w14:textId="77777777" w:rsidR="004D0BC0"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Comisiones y Costos</w:t>
            </w:r>
          </w:p>
          <w:p w14:paraId="6B589886" w14:textId="4343074F"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 xml:space="preserve"> Relacionados</w:t>
            </w:r>
          </w:p>
        </w:tc>
        <w:tc>
          <w:tcPr>
            <w:tcW w:w="708" w:type="dxa"/>
            <w:tcBorders>
              <w:top w:val="single" w:sz="8" w:space="0" w:color="auto"/>
              <w:left w:val="nil"/>
              <w:bottom w:val="single" w:sz="8" w:space="0" w:color="auto"/>
              <w:right w:val="single" w:sz="8" w:space="0" w:color="auto"/>
            </w:tcBorders>
            <w:shd w:val="clear" w:color="000000" w:fill="A90025"/>
            <w:vAlign w:val="center"/>
            <w:hideMark/>
          </w:tcPr>
          <w:p w14:paraId="40E03DE6" w14:textId="77777777" w:rsidR="00645ECA" w:rsidRPr="00A6788C" w:rsidRDefault="00645ECA" w:rsidP="00EC7D22">
            <w:pPr>
              <w:suppressAutoHyphens w:val="0"/>
              <w:overflowPunct/>
              <w:spacing w:after="0" w:line="240" w:lineRule="auto"/>
              <w:jc w:val="center"/>
              <w:rPr>
                <w:rFonts w:eastAsia="Times New Roman" w:cs="Calibri"/>
                <w:b/>
                <w:bCs/>
                <w:color w:val="FFFFFF"/>
                <w:sz w:val="14"/>
                <w:szCs w:val="14"/>
                <w:lang w:eastAsia="es-MX"/>
              </w:rPr>
            </w:pPr>
            <w:r w:rsidRPr="00A6788C">
              <w:rPr>
                <w:rFonts w:eastAsia="Times New Roman" w:cs="Calibri"/>
                <w:b/>
                <w:bCs/>
                <w:color w:val="FFFFFF"/>
                <w:sz w:val="14"/>
                <w:szCs w:val="14"/>
                <w:lang w:eastAsia="es-MX"/>
              </w:rPr>
              <w:t>Tasa Efectiva</w:t>
            </w:r>
          </w:p>
        </w:tc>
      </w:tr>
      <w:tr w:rsidR="004D0BC0" w:rsidRPr="00645ECA" w14:paraId="213BB51B" w14:textId="77777777" w:rsidTr="004D0BC0">
        <w:trPr>
          <w:trHeight w:val="339"/>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7E51EA0E" w14:textId="77777777" w:rsidR="00645ECA" w:rsidRPr="00645ECA" w:rsidRDefault="00645ECA" w:rsidP="00EC7D22">
            <w:pPr>
              <w:suppressAutoHyphens w:val="0"/>
              <w:overflowPunct/>
              <w:spacing w:after="0" w:line="240" w:lineRule="auto"/>
              <w:jc w:val="both"/>
              <w:rPr>
                <w:rFonts w:eastAsia="Times New Roman" w:cs="Calibri"/>
                <w:color w:val="000000"/>
                <w:sz w:val="12"/>
                <w:szCs w:val="12"/>
                <w:lang w:eastAsia="es-MX"/>
              </w:rPr>
            </w:pPr>
            <w:r w:rsidRPr="00645ECA">
              <w:rPr>
                <w:rFonts w:eastAsia="Times New Roman" w:cs="Calibri"/>
                <w:color w:val="000000"/>
                <w:sz w:val="12"/>
                <w:szCs w:val="12"/>
                <w:lang w:eastAsia="es-MX"/>
              </w:rPr>
              <w:t>HSBC México S.A. de C.V.</w:t>
            </w:r>
          </w:p>
        </w:tc>
        <w:tc>
          <w:tcPr>
            <w:tcW w:w="851" w:type="dxa"/>
            <w:tcBorders>
              <w:top w:val="nil"/>
              <w:left w:val="nil"/>
              <w:bottom w:val="single" w:sz="8" w:space="0" w:color="auto"/>
              <w:right w:val="single" w:sz="8" w:space="0" w:color="auto"/>
            </w:tcBorders>
            <w:shd w:val="clear" w:color="auto" w:fill="auto"/>
            <w:vAlign w:val="center"/>
            <w:hideMark/>
          </w:tcPr>
          <w:p w14:paraId="278D0D81"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85" w:type="dxa"/>
            <w:tcBorders>
              <w:top w:val="nil"/>
              <w:left w:val="nil"/>
              <w:bottom w:val="single" w:sz="8" w:space="0" w:color="auto"/>
              <w:right w:val="single" w:sz="8" w:space="0" w:color="auto"/>
            </w:tcBorders>
            <w:shd w:val="clear" w:color="auto" w:fill="auto"/>
            <w:vAlign w:val="center"/>
            <w:hideMark/>
          </w:tcPr>
          <w:p w14:paraId="694BCF6C"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58" w:type="dxa"/>
            <w:tcBorders>
              <w:top w:val="nil"/>
              <w:left w:val="nil"/>
              <w:bottom w:val="single" w:sz="8" w:space="0" w:color="auto"/>
              <w:right w:val="single" w:sz="8" w:space="0" w:color="auto"/>
            </w:tcBorders>
            <w:shd w:val="clear" w:color="auto" w:fill="auto"/>
            <w:vAlign w:val="center"/>
            <w:hideMark/>
          </w:tcPr>
          <w:p w14:paraId="1C615FF7"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958" w:type="dxa"/>
            <w:tcBorders>
              <w:top w:val="nil"/>
              <w:left w:val="nil"/>
              <w:bottom w:val="single" w:sz="8" w:space="0" w:color="auto"/>
              <w:right w:val="single" w:sz="8" w:space="0" w:color="auto"/>
            </w:tcBorders>
            <w:shd w:val="clear" w:color="auto" w:fill="auto"/>
            <w:vAlign w:val="center"/>
            <w:hideMark/>
          </w:tcPr>
          <w:p w14:paraId="5EAB58A0"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58" w:type="dxa"/>
            <w:tcBorders>
              <w:top w:val="nil"/>
              <w:left w:val="nil"/>
              <w:bottom w:val="single" w:sz="8" w:space="0" w:color="auto"/>
              <w:right w:val="single" w:sz="8" w:space="0" w:color="auto"/>
            </w:tcBorders>
            <w:shd w:val="clear" w:color="auto" w:fill="auto"/>
            <w:vAlign w:val="center"/>
            <w:hideMark/>
          </w:tcPr>
          <w:p w14:paraId="6E73E06B"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877" w:type="dxa"/>
            <w:tcBorders>
              <w:top w:val="nil"/>
              <w:left w:val="nil"/>
              <w:bottom w:val="single" w:sz="8" w:space="0" w:color="auto"/>
              <w:right w:val="single" w:sz="8" w:space="0" w:color="auto"/>
            </w:tcBorders>
            <w:shd w:val="clear" w:color="auto" w:fill="auto"/>
            <w:vAlign w:val="center"/>
            <w:hideMark/>
          </w:tcPr>
          <w:p w14:paraId="6E755118"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34,360,997</w:t>
            </w:r>
          </w:p>
        </w:tc>
        <w:tc>
          <w:tcPr>
            <w:tcW w:w="987" w:type="dxa"/>
            <w:tcBorders>
              <w:top w:val="nil"/>
              <w:left w:val="nil"/>
              <w:bottom w:val="single" w:sz="8" w:space="0" w:color="auto"/>
              <w:right w:val="single" w:sz="8" w:space="0" w:color="auto"/>
            </w:tcBorders>
            <w:shd w:val="clear" w:color="auto" w:fill="auto"/>
            <w:vAlign w:val="center"/>
            <w:hideMark/>
          </w:tcPr>
          <w:p w14:paraId="25B4F909"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11/12/2024</w:t>
            </w:r>
          </w:p>
        </w:tc>
        <w:tc>
          <w:tcPr>
            <w:tcW w:w="764" w:type="dxa"/>
            <w:tcBorders>
              <w:top w:val="nil"/>
              <w:left w:val="nil"/>
              <w:bottom w:val="single" w:sz="8" w:space="0" w:color="auto"/>
              <w:right w:val="single" w:sz="8" w:space="0" w:color="auto"/>
            </w:tcBorders>
            <w:shd w:val="clear" w:color="auto" w:fill="auto"/>
            <w:vAlign w:val="center"/>
            <w:hideMark/>
          </w:tcPr>
          <w:p w14:paraId="2AC296BA"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TIIE+25PTS</w:t>
            </w:r>
          </w:p>
        </w:tc>
        <w:tc>
          <w:tcPr>
            <w:tcW w:w="956" w:type="dxa"/>
            <w:tcBorders>
              <w:top w:val="nil"/>
              <w:left w:val="nil"/>
              <w:bottom w:val="single" w:sz="8" w:space="0" w:color="auto"/>
              <w:right w:val="single" w:sz="8" w:space="0" w:color="auto"/>
            </w:tcBorders>
            <w:shd w:val="clear" w:color="auto" w:fill="auto"/>
            <w:vAlign w:val="center"/>
            <w:hideMark/>
          </w:tcPr>
          <w:p w14:paraId="061D29DA"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708" w:type="dxa"/>
            <w:tcBorders>
              <w:top w:val="nil"/>
              <w:left w:val="nil"/>
              <w:bottom w:val="single" w:sz="8" w:space="0" w:color="auto"/>
              <w:right w:val="single" w:sz="8" w:space="0" w:color="auto"/>
            </w:tcBorders>
            <w:shd w:val="clear" w:color="000000" w:fill="FFFFFF"/>
            <w:vAlign w:val="center"/>
            <w:hideMark/>
          </w:tcPr>
          <w:p w14:paraId="27DB403A"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11.22%</w:t>
            </w:r>
          </w:p>
        </w:tc>
      </w:tr>
      <w:tr w:rsidR="004D0BC0" w:rsidRPr="00645ECA" w14:paraId="5A267C47" w14:textId="77777777" w:rsidTr="004D0BC0">
        <w:trPr>
          <w:trHeight w:val="339"/>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0A9FA3F4" w14:textId="77777777" w:rsidR="00645ECA" w:rsidRPr="00645ECA" w:rsidRDefault="00645ECA" w:rsidP="00EC7D22">
            <w:pPr>
              <w:suppressAutoHyphens w:val="0"/>
              <w:overflowPunct/>
              <w:spacing w:after="0" w:line="240" w:lineRule="auto"/>
              <w:jc w:val="both"/>
              <w:rPr>
                <w:rFonts w:eastAsia="Times New Roman" w:cs="Calibri"/>
                <w:color w:val="000000"/>
                <w:sz w:val="12"/>
                <w:szCs w:val="12"/>
                <w:lang w:eastAsia="es-MX"/>
              </w:rPr>
            </w:pPr>
            <w:r w:rsidRPr="00645ECA">
              <w:rPr>
                <w:rFonts w:eastAsia="Times New Roman" w:cs="Calibri"/>
                <w:color w:val="000000"/>
                <w:sz w:val="12"/>
                <w:szCs w:val="12"/>
                <w:lang w:eastAsia="es-MX"/>
              </w:rPr>
              <w:t>HSBC México S.A. de C.V.</w:t>
            </w:r>
          </w:p>
        </w:tc>
        <w:tc>
          <w:tcPr>
            <w:tcW w:w="851" w:type="dxa"/>
            <w:tcBorders>
              <w:top w:val="nil"/>
              <w:left w:val="nil"/>
              <w:bottom w:val="single" w:sz="8" w:space="0" w:color="auto"/>
              <w:right w:val="single" w:sz="8" w:space="0" w:color="auto"/>
            </w:tcBorders>
            <w:shd w:val="clear" w:color="auto" w:fill="auto"/>
            <w:vAlign w:val="center"/>
            <w:hideMark/>
          </w:tcPr>
          <w:p w14:paraId="296184A2"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85" w:type="dxa"/>
            <w:tcBorders>
              <w:top w:val="nil"/>
              <w:left w:val="nil"/>
              <w:bottom w:val="single" w:sz="8" w:space="0" w:color="auto"/>
              <w:right w:val="single" w:sz="8" w:space="0" w:color="auto"/>
            </w:tcBorders>
            <w:shd w:val="clear" w:color="auto" w:fill="auto"/>
            <w:vAlign w:val="center"/>
            <w:hideMark/>
          </w:tcPr>
          <w:p w14:paraId="1D2A0F26"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58" w:type="dxa"/>
            <w:tcBorders>
              <w:top w:val="nil"/>
              <w:left w:val="nil"/>
              <w:bottom w:val="single" w:sz="8" w:space="0" w:color="auto"/>
              <w:right w:val="single" w:sz="8" w:space="0" w:color="auto"/>
            </w:tcBorders>
            <w:shd w:val="clear" w:color="auto" w:fill="auto"/>
            <w:vAlign w:val="center"/>
            <w:hideMark/>
          </w:tcPr>
          <w:p w14:paraId="7193E58A"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958" w:type="dxa"/>
            <w:tcBorders>
              <w:top w:val="nil"/>
              <w:left w:val="nil"/>
              <w:bottom w:val="single" w:sz="8" w:space="0" w:color="auto"/>
              <w:right w:val="single" w:sz="8" w:space="0" w:color="auto"/>
            </w:tcBorders>
            <w:shd w:val="clear" w:color="auto" w:fill="auto"/>
            <w:vAlign w:val="center"/>
            <w:hideMark/>
          </w:tcPr>
          <w:p w14:paraId="51D9DCF0"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58" w:type="dxa"/>
            <w:tcBorders>
              <w:top w:val="nil"/>
              <w:left w:val="nil"/>
              <w:bottom w:val="single" w:sz="8" w:space="0" w:color="auto"/>
              <w:right w:val="single" w:sz="8" w:space="0" w:color="auto"/>
            </w:tcBorders>
            <w:shd w:val="clear" w:color="auto" w:fill="auto"/>
            <w:vAlign w:val="center"/>
            <w:hideMark/>
          </w:tcPr>
          <w:p w14:paraId="2DFDBC21"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877" w:type="dxa"/>
            <w:tcBorders>
              <w:top w:val="nil"/>
              <w:left w:val="nil"/>
              <w:bottom w:val="single" w:sz="8" w:space="0" w:color="auto"/>
              <w:right w:val="single" w:sz="8" w:space="0" w:color="auto"/>
            </w:tcBorders>
            <w:shd w:val="clear" w:color="auto" w:fill="auto"/>
            <w:vAlign w:val="center"/>
            <w:hideMark/>
          </w:tcPr>
          <w:p w14:paraId="7A2708C3"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34,490,475</w:t>
            </w:r>
          </w:p>
        </w:tc>
        <w:tc>
          <w:tcPr>
            <w:tcW w:w="987" w:type="dxa"/>
            <w:tcBorders>
              <w:top w:val="nil"/>
              <w:left w:val="nil"/>
              <w:bottom w:val="single" w:sz="8" w:space="0" w:color="auto"/>
              <w:right w:val="single" w:sz="8" w:space="0" w:color="auto"/>
            </w:tcBorders>
            <w:shd w:val="clear" w:color="auto" w:fill="auto"/>
            <w:vAlign w:val="center"/>
            <w:hideMark/>
          </w:tcPr>
          <w:p w14:paraId="46882BAF"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11/12/2024</w:t>
            </w:r>
          </w:p>
        </w:tc>
        <w:tc>
          <w:tcPr>
            <w:tcW w:w="764" w:type="dxa"/>
            <w:tcBorders>
              <w:top w:val="nil"/>
              <w:left w:val="nil"/>
              <w:bottom w:val="single" w:sz="8" w:space="0" w:color="auto"/>
              <w:right w:val="single" w:sz="8" w:space="0" w:color="auto"/>
            </w:tcBorders>
            <w:shd w:val="clear" w:color="auto" w:fill="auto"/>
            <w:vAlign w:val="center"/>
            <w:hideMark/>
          </w:tcPr>
          <w:p w14:paraId="7100A260"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TIIE+30PTS</w:t>
            </w:r>
          </w:p>
        </w:tc>
        <w:tc>
          <w:tcPr>
            <w:tcW w:w="956" w:type="dxa"/>
            <w:tcBorders>
              <w:top w:val="nil"/>
              <w:left w:val="nil"/>
              <w:bottom w:val="single" w:sz="8" w:space="0" w:color="auto"/>
              <w:right w:val="single" w:sz="8" w:space="0" w:color="auto"/>
            </w:tcBorders>
            <w:shd w:val="clear" w:color="auto" w:fill="auto"/>
            <w:vAlign w:val="center"/>
            <w:hideMark/>
          </w:tcPr>
          <w:p w14:paraId="406239DB"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708" w:type="dxa"/>
            <w:tcBorders>
              <w:top w:val="nil"/>
              <w:left w:val="nil"/>
              <w:bottom w:val="single" w:sz="8" w:space="0" w:color="auto"/>
              <w:right w:val="single" w:sz="8" w:space="0" w:color="auto"/>
            </w:tcBorders>
            <w:shd w:val="clear" w:color="000000" w:fill="FFFFFF"/>
            <w:vAlign w:val="center"/>
            <w:hideMark/>
          </w:tcPr>
          <w:p w14:paraId="13525F80"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11.27%</w:t>
            </w:r>
          </w:p>
        </w:tc>
      </w:tr>
      <w:tr w:rsidR="004D0BC0" w:rsidRPr="00645ECA" w14:paraId="259EA2B6" w14:textId="77777777" w:rsidTr="004D0BC0">
        <w:trPr>
          <w:trHeight w:val="339"/>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117A9446" w14:textId="5CA4B441" w:rsidR="00645ECA" w:rsidRPr="00645ECA" w:rsidRDefault="00645ECA" w:rsidP="00EC7D22">
            <w:pPr>
              <w:suppressAutoHyphens w:val="0"/>
              <w:overflowPunct/>
              <w:spacing w:after="0" w:line="240" w:lineRule="auto"/>
              <w:jc w:val="both"/>
              <w:rPr>
                <w:rFonts w:eastAsia="Times New Roman" w:cs="Calibri"/>
                <w:color w:val="000000"/>
                <w:sz w:val="12"/>
                <w:szCs w:val="12"/>
                <w:lang w:eastAsia="es-MX"/>
              </w:rPr>
            </w:pPr>
            <w:r w:rsidRPr="00645ECA">
              <w:rPr>
                <w:rFonts w:eastAsia="Times New Roman" w:cs="Calibri"/>
                <w:color w:val="000000"/>
                <w:sz w:val="12"/>
                <w:szCs w:val="12"/>
                <w:lang w:eastAsia="es-MX"/>
              </w:rPr>
              <w:t>Scotiabank. S.A de C.V.</w:t>
            </w:r>
          </w:p>
        </w:tc>
        <w:tc>
          <w:tcPr>
            <w:tcW w:w="851" w:type="dxa"/>
            <w:tcBorders>
              <w:top w:val="nil"/>
              <w:left w:val="nil"/>
              <w:bottom w:val="single" w:sz="8" w:space="0" w:color="auto"/>
              <w:right w:val="single" w:sz="8" w:space="0" w:color="auto"/>
            </w:tcBorders>
            <w:shd w:val="clear" w:color="auto" w:fill="auto"/>
            <w:vAlign w:val="center"/>
            <w:hideMark/>
          </w:tcPr>
          <w:p w14:paraId="26970B29"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300,000,000</w:t>
            </w:r>
          </w:p>
        </w:tc>
        <w:tc>
          <w:tcPr>
            <w:tcW w:w="985" w:type="dxa"/>
            <w:tcBorders>
              <w:top w:val="nil"/>
              <w:left w:val="nil"/>
              <w:bottom w:val="single" w:sz="8" w:space="0" w:color="auto"/>
              <w:right w:val="single" w:sz="8" w:space="0" w:color="auto"/>
            </w:tcBorders>
            <w:shd w:val="clear" w:color="auto" w:fill="auto"/>
            <w:vAlign w:val="center"/>
            <w:hideMark/>
          </w:tcPr>
          <w:p w14:paraId="0B93F38C"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300,000,000</w:t>
            </w:r>
          </w:p>
        </w:tc>
        <w:tc>
          <w:tcPr>
            <w:tcW w:w="958" w:type="dxa"/>
            <w:tcBorders>
              <w:top w:val="nil"/>
              <w:left w:val="nil"/>
              <w:bottom w:val="single" w:sz="8" w:space="0" w:color="auto"/>
              <w:right w:val="single" w:sz="8" w:space="0" w:color="auto"/>
            </w:tcBorders>
            <w:shd w:val="clear" w:color="auto" w:fill="auto"/>
            <w:vAlign w:val="center"/>
            <w:hideMark/>
          </w:tcPr>
          <w:p w14:paraId="45F2F88F"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958" w:type="dxa"/>
            <w:tcBorders>
              <w:top w:val="nil"/>
              <w:left w:val="nil"/>
              <w:bottom w:val="single" w:sz="8" w:space="0" w:color="auto"/>
              <w:right w:val="single" w:sz="8" w:space="0" w:color="auto"/>
            </w:tcBorders>
            <w:shd w:val="clear" w:color="auto" w:fill="auto"/>
            <w:vAlign w:val="center"/>
            <w:hideMark/>
          </w:tcPr>
          <w:p w14:paraId="1536505B"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300,000,000</w:t>
            </w:r>
          </w:p>
        </w:tc>
        <w:tc>
          <w:tcPr>
            <w:tcW w:w="958" w:type="dxa"/>
            <w:tcBorders>
              <w:top w:val="nil"/>
              <w:left w:val="nil"/>
              <w:bottom w:val="single" w:sz="8" w:space="0" w:color="auto"/>
              <w:right w:val="single" w:sz="8" w:space="0" w:color="auto"/>
            </w:tcBorders>
            <w:shd w:val="clear" w:color="auto" w:fill="auto"/>
            <w:vAlign w:val="center"/>
            <w:hideMark/>
          </w:tcPr>
          <w:p w14:paraId="5FB574B2"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877" w:type="dxa"/>
            <w:tcBorders>
              <w:top w:val="nil"/>
              <w:left w:val="nil"/>
              <w:bottom w:val="single" w:sz="8" w:space="0" w:color="auto"/>
              <w:right w:val="single" w:sz="8" w:space="0" w:color="auto"/>
            </w:tcBorders>
            <w:shd w:val="clear" w:color="auto" w:fill="auto"/>
            <w:vAlign w:val="center"/>
            <w:hideMark/>
          </w:tcPr>
          <w:p w14:paraId="4F4AAF00"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20,581,007</w:t>
            </w:r>
          </w:p>
        </w:tc>
        <w:tc>
          <w:tcPr>
            <w:tcW w:w="987" w:type="dxa"/>
            <w:tcBorders>
              <w:top w:val="nil"/>
              <w:left w:val="nil"/>
              <w:bottom w:val="single" w:sz="8" w:space="0" w:color="auto"/>
              <w:right w:val="single" w:sz="8" w:space="0" w:color="auto"/>
            </w:tcBorders>
            <w:shd w:val="clear" w:color="auto" w:fill="auto"/>
            <w:vAlign w:val="center"/>
            <w:hideMark/>
          </w:tcPr>
          <w:p w14:paraId="7F2860C6"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11/12/2024</w:t>
            </w:r>
          </w:p>
        </w:tc>
        <w:tc>
          <w:tcPr>
            <w:tcW w:w="764" w:type="dxa"/>
            <w:tcBorders>
              <w:top w:val="nil"/>
              <w:left w:val="nil"/>
              <w:bottom w:val="single" w:sz="8" w:space="0" w:color="auto"/>
              <w:right w:val="single" w:sz="8" w:space="0" w:color="auto"/>
            </w:tcBorders>
            <w:shd w:val="clear" w:color="auto" w:fill="auto"/>
            <w:vAlign w:val="center"/>
            <w:hideMark/>
          </w:tcPr>
          <w:p w14:paraId="4B157A99"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TIIE+23PTS</w:t>
            </w:r>
          </w:p>
        </w:tc>
        <w:tc>
          <w:tcPr>
            <w:tcW w:w="956" w:type="dxa"/>
            <w:tcBorders>
              <w:top w:val="nil"/>
              <w:left w:val="nil"/>
              <w:bottom w:val="single" w:sz="8" w:space="0" w:color="auto"/>
              <w:right w:val="single" w:sz="8" w:space="0" w:color="auto"/>
            </w:tcBorders>
            <w:shd w:val="clear" w:color="auto" w:fill="auto"/>
            <w:vAlign w:val="center"/>
            <w:hideMark/>
          </w:tcPr>
          <w:p w14:paraId="120D245D"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708" w:type="dxa"/>
            <w:tcBorders>
              <w:top w:val="nil"/>
              <w:left w:val="nil"/>
              <w:bottom w:val="single" w:sz="8" w:space="0" w:color="auto"/>
              <w:right w:val="single" w:sz="8" w:space="0" w:color="auto"/>
            </w:tcBorders>
            <w:shd w:val="clear" w:color="000000" w:fill="FFFFFF"/>
            <w:vAlign w:val="center"/>
            <w:hideMark/>
          </w:tcPr>
          <w:p w14:paraId="1D38C307"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11.20%</w:t>
            </w:r>
          </w:p>
        </w:tc>
      </w:tr>
      <w:tr w:rsidR="004D0BC0" w:rsidRPr="00645ECA" w14:paraId="5F410353" w14:textId="77777777" w:rsidTr="004D0BC0">
        <w:trPr>
          <w:trHeight w:val="339"/>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51D4D850" w14:textId="77777777" w:rsidR="00645ECA" w:rsidRPr="00645ECA" w:rsidRDefault="00645ECA" w:rsidP="00EC7D22">
            <w:pPr>
              <w:suppressAutoHyphens w:val="0"/>
              <w:overflowPunct/>
              <w:spacing w:after="0" w:line="240" w:lineRule="auto"/>
              <w:jc w:val="both"/>
              <w:rPr>
                <w:rFonts w:eastAsia="Times New Roman" w:cs="Calibri"/>
                <w:color w:val="000000"/>
                <w:sz w:val="12"/>
                <w:szCs w:val="12"/>
                <w:lang w:eastAsia="es-MX"/>
              </w:rPr>
            </w:pPr>
            <w:r w:rsidRPr="00645ECA">
              <w:rPr>
                <w:rFonts w:eastAsia="Times New Roman" w:cs="Calibri"/>
                <w:color w:val="000000"/>
                <w:sz w:val="12"/>
                <w:szCs w:val="12"/>
                <w:lang w:eastAsia="es-MX"/>
              </w:rPr>
              <w:t>HSBC México S.A. de C.V.</w:t>
            </w:r>
          </w:p>
        </w:tc>
        <w:tc>
          <w:tcPr>
            <w:tcW w:w="851" w:type="dxa"/>
            <w:tcBorders>
              <w:top w:val="nil"/>
              <w:left w:val="nil"/>
              <w:bottom w:val="single" w:sz="8" w:space="0" w:color="auto"/>
              <w:right w:val="single" w:sz="8" w:space="0" w:color="auto"/>
            </w:tcBorders>
            <w:shd w:val="clear" w:color="auto" w:fill="auto"/>
            <w:vAlign w:val="center"/>
            <w:hideMark/>
          </w:tcPr>
          <w:p w14:paraId="6D7B57BE"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85" w:type="dxa"/>
            <w:tcBorders>
              <w:top w:val="nil"/>
              <w:left w:val="nil"/>
              <w:bottom w:val="single" w:sz="8" w:space="0" w:color="auto"/>
              <w:right w:val="single" w:sz="8" w:space="0" w:color="auto"/>
            </w:tcBorders>
            <w:shd w:val="clear" w:color="auto" w:fill="auto"/>
            <w:vAlign w:val="center"/>
            <w:hideMark/>
          </w:tcPr>
          <w:p w14:paraId="2FE1F655"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 </w:t>
            </w:r>
          </w:p>
        </w:tc>
        <w:tc>
          <w:tcPr>
            <w:tcW w:w="958" w:type="dxa"/>
            <w:tcBorders>
              <w:top w:val="nil"/>
              <w:left w:val="nil"/>
              <w:bottom w:val="single" w:sz="8" w:space="0" w:color="auto"/>
              <w:right w:val="single" w:sz="8" w:space="0" w:color="auto"/>
            </w:tcBorders>
            <w:shd w:val="clear" w:color="auto" w:fill="auto"/>
            <w:vAlign w:val="center"/>
            <w:hideMark/>
          </w:tcPr>
          <w:p w14:paraId="0AB3DA59"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58" w:type="dxa"/>
            <w:tcBorders>
              <w:top w:val="nil"/>
              <w:left w:val="nil"/>
              <w:bottom w:val="single" w:sz="8" w:space="0" w:color="auto"/>
              <w:right w:val="single" w:sz="8" w:space="0" w:color="auto"/>
            </w:tcBorders>
            <w:shd w:val="clear" w:color="auto" w:fill="auto"/>
            <w:vAlign w:val="center"/>
            <w:hideMark/>
          </w:tcPr>
          <w:p w14:paraId="30CC360A"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958" w:type="dxa"/>
            <w:tcBorders>
              <w:top w:val="nil"/>
              <w:left w:val="nil"/>
              <w:bottom w:val="single" w:sz="8" w:space="0" w:color="auto"/>
              <w:right w:val="single" w:sz="8" w:space="0" w:color="auto"/>
            </w:tcBorders>
            <w:shd w:val="clear" w:color="auto" w:fill="auto"/>
            <w:vAlign w:val="center"/>
            <w:hideMark/>
          </w:tcPr>
          <w:p w14:paraId="2541EFD5"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877" w:type="dxa"/>
            <w:tcBorders>
              <w:top w:val="nil"/>
              <w:left w:val="nil"/>
              <w:bottom w:val="single" w:sz="8" w:space="0" w:color="auto"/>
              <w:right w:val="single" w:sz="8" w:space="0" w:color="auto"/>
            </w:tcBorders>
            <w:shd w:val="clear" w:color="auto" w:fill="auto"/>
            <w:vAlign w:val="center"/>
            <w:hideMark/>
          </w:tcPr>
          <w:p w14:paraId="6D9A7BD1"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987" w:type="dxa"/>
            <w:tcBorders>
              <w:top w:val="nil"/>
              <w:left w:val="nil"/>
              <w:bottom w:val="single" w:sz="8" w:space="0" w:color="auto"/>
              <w:right w:val="single" w:sz="8" w:space="0" w:color="auto"/>
            </w:tcBorders>
            <w:shd w:val="clear" w:color="auto" w:fill="auto"/>
            <w:vAlign w:val="center"/>
            <w:hideMark/>
          </w:tcPr>
          <w:p w14:paraId="5A8CFF07"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18/12/2025</w:t>
            </w:r>
          </w:p>
        </w:tc>
        <w:tc>
          <w:tcPr>
            <w:tcW w:w="764" w:type="dxa"/>
            <w:tcBorders>
              <w:top w:val="nil"/>
              <w:left w:val="nil"/>
              <w:bottom w:val="single" w:sz="8" w:space="0" w:color="auto"/>
              <w:right w:val="single" w:sz="8" w:space="0" w:color="auto"/>
            </w:tcBorders>
            <w:shd w:val="clear" w:color="auto" w:fill="auto"/>
            <w:vAlign w:val="center"/>
            <w:hideMark/>
          </w:tcPr>
          <w:p w14:paraId="6E20A45B"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TIIE+15PTS</w:t>
            </w:r>
          </w:p>
        </w:tc>
        <w:tc>
          <w:tcPr>
            <w:tcW w:w="956" w:type="dxa"/>
            <w:tcBorders>
              <w:top w:val="nil"/>
              <w:left w:val="nil"/>
              <w:bottom w:val="single" w:sz="8" w:space="0" w:color="auto"/>
              <w:right w:val="single" w:sz="8" w:space="0" w:color="auto"/>
            </w:tcBorders>
            <w:shd w:val="clear" w:color="auto" w:fill="auto"/>
            <w:vAlign w:val="center"/>
            <w:hideMark/>
          </w:tcPr>
          <w:p w14:paraId="754E17B7"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708" w:type="dxa"/>
            <w:tcBorders>
              <w:top w:val="nil"/>
              <w:left w:val="nil"/>
              <w:bottom w:val="single" w:sz="8" w:space="0" w:color="auto"/>
              <w:right w:val="single" w:sz="8" w:space="0" w:color="auto"/>
            </w:tcBorders>
            <w:shd w:val="clear" w:color="000000" w:fill="FFFFFF"/>
            <w:vAlign w:val="center"/>
            <w:hideMark/>
          </w:tcPr>
          <w:p w14:paraId="4FF0AD9B"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9.38%</w:t>
            </w:r>
          </w:p>
        </w:tc>
      </w:tr>
      <w:tr w:rsidR="004D0BC0" w:rsidRPr="00645ECA" w14:paraId="6148E3ED" w14:textId="77777777" w:rsidTr="004D0BC0">
        <w:trPr>
          <w:trHeight w:val="339"/>
        </w:trPr>
        <w:tc>
          <w:tcPr>
            <w:tcW w:w="779" w:type="dxa"/>
            <w:tcBorders>
              <w:top w:val="nil"/>
              <w:left w:val="single" w:sz="8" w:space="0" w:color="auto"/>
              <w:bottom w:val="single" w:sz="8" w:space="0" w:color="auto"/>
              <w:right w:val="single" w:sz="8" w:space="0" w:color="auto"/>
            </w:tcBorders>
            <w:shd w:val="clear" w:color="auto" w:fill="auto"/>
            <w:vAlign w:val="center"/>
            <w:hideMark/>
          </w:tcPr>
          <w:p w14:paraId="5C297632" w14:textId="77777777" w:rsidR="00645ECA" w:rsidRPr="00645ECA" w:rsidRDefault="00645ECA" w:rsidP="00EC7D22">
            <w:pPr>
              <w:suppressAutoHyphens w:val="0"/>
              <w:overflowPunct/>
              <w:spacing w:after="0" w:line="240" w:lineRule="auto"/>
              <w:jc w:val="both"/>
              <w:rPr>
                <w:rFonts w:eastAsia="Times New Roman" w:cs="Calibri"/>
                <w:color w:val="000000"/>
                <w:sz w:val="12"/>
                <w:szCs w:val="12"/>
                <w:lang w:eastAsia="es-MX"/>
              </w:rPr>
            </w:pPr>
            <w:r w:rsidRPr="00645ECA">
              <w:rPr>
                <w:rFonts w:eastAsia="Times New Roman" w:cs="Calibri"/>
                <w:color w:val="000000"/>
                <w:sz w:val="12"/>
                <w:szCs w:val="12"/>
                <w:lang w:eastAsia="es-MX"/>
              </w:rPr>
              <w:t>HSBC México S.A. de C.V.</w:t>
            </w:r>
          </w:p>
        </w:tc>
        <w:tc>
          <w:tcPr>
            <w:tcW w:w="851" w:type="dxa"/>
            <w:tcBorders>
              <w:top w:val="nil"/>
              <w:left w:val="nil"/>
              <w:bottom w:val="single" w:sz="8" w:space="0" w:color="auto"/>
              <w:right w:val="single" w:sz="8" w:space="0" w:color="auto"/>
            </w:tcBorders>
            <w:shd w:val="clear" w:color="auto" w:fill="auto"/>
            <w:vAlign w:val="center"/>
            <w:hideMark/>
          </w:tcPr>
          <w:p w14:paraId="3DA83D59"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85" w:type="dxa"/>
            <w:tcBorders>
              <w:top w:val="nil"/>
              <w:left w:val="nil"/>
              <w:bottom w:val="single" w:sz="8" w:space="0" w:color="auto"/>
              <w:right w:val="single" w:sz="8" w:space="0" w:color="auto"/>
            </w:tcBorders>
            <w:shd w:val="clear" w:color="auto" w:fill="auto"/>
            <w:vAlign w:val="center"/>
            <w:hideMark/>
          </w:tcPr>
          <w:p w14:paraId="7A46495C"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 </w:t>
            </w:r>
          </w:p>
        </w:tc>
        <w:tc>
          <w:tcPr>
            <w:tcW w:w="958" w:type="dxa"/>
            <w:tcBorders>
              <w:top w:val="nil"/>
              <w:left w:val="nil"/>
              <w:bottom w:val="single" w:sz="8" w:space="0" w:color="auto"/>
              <w:right w:val="single" w:sz="8" w:space="0" w:color="auto"/>
            </w:tcBorders>
            <w:shd w:val="clear" w:color="auto" w:fill="auto"/>
            <w:vAlign w:val="center"/>
            <w:hideMark/>
          </w:tcPr>
          <w:p w14:paraId="757939F1"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958" w:type="dxa"/>
            <w:tcBorders>
              <w:top w:val="nil"/>
              <w:left w:val="nil"/>
              <w:bottom w:val="single" w:sz="8" w:space="0" w:color="auto"/>
              <w:right w:val="single" w:sz="8" w:space="0" w:color="auto"/>
            </w:tcBorders>
            <w:shd w:val="clear" w:color="auto" w:fill="auto"/>
            <w:vAlign w:val="center"/>
            <w:hideMark/>
          </w:tcPr>
          <w:p w14:paraId="46B0C591"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958" w:type="dxa"/>
            <w:tcBorders>
              <w:top w:val="nil"/>
              <w:left w:val="nil"/>
              <w:bottom w:val="single" w:sz="8" w:space="0" w:color="auto"/>
              <w:right w:val="single" w:sz="8" w:space="0" w:color="auto"/>
            </w:tcBorders>
            <w:shd w:val="clear" w:color="auto" w:fill="auto"/>
            <w:vAlign w:val="center"/>
            <w:hideMark/>
          </w:tcPr>
          <w:p w14:paraId="06981EA0"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500,000,000</w:t>
            </w:r>
          </w:p>
        </w:tc>
        <w:tc>
          <w:tcPr>
            <w:tcW w:w="877" w:type="dxa"/>
            <w:tcBorders>
              <w:top w:val="nil"/>
              <w:left w:val="nil"/>
              <w:bottom w:val="single" w:sz="8" w:space="0" w:color="auto"/>
              <w:right w:val="single" w:sz="8" w:space="0" w:color="auto"/>
            </w:tcBorders>
            <w:shd w:val="clear" w:color="auto" w:fill="auto"/>
            <w:vAlign w:val="center"/>
            <w:hideMark/>
          </w:tcPr>
          <w:p w14:paraId="14DB9687"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987" w:type="dxa"/>
            <w:tcBorders>
              <w:top w:val="nil"/>
              <w:left w:val="nil"/>
              <w:bottom w:val="single" w:sz="8" w:space="0" w:color="auto"/>
              <w:right w:val="single" w:sz="8" w:space="0" w:color="auto"/>
            </w:tcBorders>
            <w:shd w:val="clear" w:color="auto" w:fill="auto"/>
            <w:vAlign w:val="center"/>
            <w:hideMark/>
          </w:tcPr>
          <w:p w14:paraId="472A6793"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18/12/2025</w:t>
            </w:r>
          </w:p>
        </w:tc>
        <w:tc>
          <w:tcPr>
            <w:tcW w:w="764" w:type="dxa"/>
            <w:tcBorders>
              <w:top w:val="nil"/>
              <w:left w:val="nil"/>
              <w:bottom w:val="single" w:sz="8" w:space="0" w:color="auto"/>
              <w:right w:val="single" w:sz="8" w:space="0" w:color="auto"/>
            </w:tcBorders>
            <w:shd w:val="clear" w:color="auto" w:fill="auto"/>
            <w:vAlign w:val="center"/>
            <w:hideMark/>
          </w:tcPr>
          <w:p w14:paraId="40D44486"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TIIE+18PTS</w:t>
            </w:r>
          </w:p>
        </w:tc>
        <w:tc>
          <w:tcPr>
            <w:tcW w:w="956" w:type="dxa"/>
            <w:tcBorders>
              <w:top w:val="nil"/>
              <w:left w:val="nil"/>
              <w:bottom w:val="single" w:sz="8" w:space="0" w:color="auto"/>
              <w:right w:val="single" w:sz="8" w:space="0" w:color="auto"/>
            </w:tcBorders>
            <w:shd w:val="clear" w:color="auto" w:fill="auto"/>
            <w:vAlign w:val="center"/>
            <w:hideMark/>
          </w:tcPr>
          <w:p w14:paraId="2A55A584"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0</w:t>
            </w:r>
          </w:p>
        </w:tc>
        <w:tc>
          <w:tcPr>
            <w:tcW w:w="708" w:type="dxa"/>
            <w:tcBorders>
              <w:top w:val="nil"/>
              <w:left w:val="nil"/>
              <w:bottom w:val="single" w:sz="8" w:space="0" w:color="auto"/>
              <w:right w:val="single" w:sz="8" w:space="0" w:color="auto"/>
            </w:tcBorders>
            <w:shd w:val="clear" w:color="000000" w:fill="FFFFFF"/>
            <w:vAlign w:val="center"/>
            <w:hideMark/>
          </w:tcPr>
          <w:p w14:paraId="32BB94D1" w14:textId="77777777" w:rsidR="00645ECA" w:rsidRPr="00645ECA" w:rsidRDefault="00645ECA" w:rsidP="00EC7D22">
            <w:pPr>
              <w:suppressAutoHyphens w:val="0"/>
              <w:overflowPunct/>
              <w:spacing w:after="0" w:line="240" w:lineRule="auto"/>
              <w:jc w:val="right"/>
              <w:rPr>
                <w:rFonts w:eastAsia="Times New Roman" w:cs="Calibri"/>
                <w:color w:val="000000"/>
                <w:sz w:val="14"/>
                <w:szCs w:val="14"/>
                <w:lang w:eastAsia="es-MX"/>
              </w:rPr>
            </w:pPr>
            <w:r w:rsidRPr="00645ECA">
              <w:rPr>
                <w:rFonts w:eastAsia="Times New Roman" w:cs="Calibri"/>
                <w:color w:val="000000"/>
                <w:sz w:val="14"/>
                <w:szCs w:val="14"/>
                <w:lang w:eastAsia="es-MX"/>
              </w:rPr>
              <w:t>9.41%</w:t>
            </w:r>
          </w:p>
        </w:tc>
      </w:tr>
      <w:tr w:rsidR="004D0BC0" w:rsidRPr="00645ECA" w14:paraId="4446A23D" w14:textId="77777777" w:rsidTr="004D0BC0">
        <w:trPr>
          <w:trHeight w:val="389"/>
        </w:trPr>
        <w:tc>
          <w:tcPr>
            <w:tcW w:w="779" w:type="dxa"/>
            <w:tcBorders>
              <w:top w:val="nil"/>
              <w:left w:val="single" w:sz="8" w:space="0" w:color="auto"/>
              <w:bottom w:val="single" w:sz="8" w:space="0" w:color="auto"/>
              <w:right w:val="single" w:sz="8" w:space="0" w:color="auto"/>
            </w:tcBorders>
            <w:shd w:val="clear" w:color="000000" w:fill="DDC9A3"/>
            <w:vAlign w:val="center"/>
            <w:hideMark/>
          </w:tcPr>
          <w:p w14:paraId="445CD84F" w14:textId="77777777" w:rsidR="00645ECA" w:rsidRPr="00645ECA" w:rsidRDefault="00645ECA" w:rsidP="00EC7D22">
            <w:pPr>
              <w:suppressAutoHyphens w:val="0"/>
              <w:overflowPunct/>
              <w:spacing w:after="0" w:line="240" w:lineRule="auto"/>
              <w:jc w:val="center"/>
              <w:rPr>
                <w:rFonts w:eastAsia="Times New Roman" w:cs="Calibri"/>
                <w:b/>
                <w:bCs/>
                <w:color w:val="000000"/>
                <w:sz w:val="11"/>
                <w:szCs w:val="11"/>
                <w:lang w:eastAsia="es-MX"/>
              </w:rPr>
            </w:pPr>
            <w:r w:rsidRPr="00645ECA">
              <w:rPr>
                <w:rFonts w:eastAsia="Times New Roman" w:cs="Calibri"/>
                <w:b/>
                <w:bCs/>
                <w:color w:val="000000"/>
                <w:sz w:val="11"/>
                <w:szCs w:val="11"/>
                <w:lang w:eastAsia="es-MX"/>
              </w:rPr>
              <w:t> </w:t>
            </w:r>
          </w:p>
        </w:tc>
        <w:tc>
          <w:tcPr>
            <w:tcW w:w="851" w:type="dxa"/>
            <w:tcBorders>
              <w:top w:val="nil"/>
              <w:left w:val="nil"/>
              <w:bottom w:val="single" w:sz="8" w:space="0" w:color="auto"/>
              <w:right w:val="single" w:sz="8" w:space="0" w:color="auto"/>
            </w:tcBorders>
            <w:shd w:val="clear" w:color="000000" w:fill="DDC9A3"/>
            <w:vAlign w:val="center"/>
            <w:hideMark/>
          </w:tcPr>
          <w:p w14:paraId="38E3270A"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 </w:t>
            </w:r>
          </w:p>
        </w:tc>
        <w:tc>
          <w:tcPr>
            <w:tcW w:w="985" w:type="dxa"/>
            <w:tcBorders>
              <w:top w:val="nil"/>
              <w:left w:val="nil"/>
              <w:bottom w:val="single" w:sz="8" w:space="0" w:color="auto"/>
              <w:right w:val="single" w:sz="8" w:space="0" w:color="auto"/>
            </w:tcBorders>
            <w:shd w:val="clear" w:color="000000" w:fill="DDC9A3"/>
            <w:vAlign w:val="center"/>
            <w:hideMark/>
          </w:tcPr>
          <w:p w14:paraId="7D5D8A63"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1,300,000,000</w:t>
            </w:r>
          </w:p>
        </w:tc>
        <w:tc>
          <w:tcPr>
            <w:tcW w:w="958" w:type="dxa"/>
            <w:tcBorders>
              <w:top w:val="nil"/>
              <w:left w:val="nil"/>
              <w:bottom w:val="single" w:sz="8" w:space="0" w:color="auto"/>
              <w:right w:val="single" w:sz="8" w:space="0" w:color="auto"/>
            </w:tcBorders>
            <w:shd w:val="clear" w:color="000000" w:fill="DDC9A3"/>
            <w:vAlign w:val="center"/>
            <w:hideMark/>
          </w:tcPr>
          <w:p w14:paraId="0892FD6A"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1,000,000,000</w:t>
            </w:r>
          </w:p>
        </w:tc>
        <w:tc>
          <w:tcPr>
            <w:tcW w:w="958" w:type="dxa"/>
            <w:tcBorders>
              <w:top w:val="nil"/>
              <w:left w:val="nil"/>
              <w:bottom w:val="single" w:sz="8" w:space="0" w:color="auto"/>
              <w:right w:val="single" w:sz="8" w:space="0" w:color="auto"/>
            </w:tcBorders>
            <w:shd w:val="clear" w:color="000000" w:fill="DDC9A3"/>
            <w:vAlign w:val="center"/>
            <w:hideMark/>
          </w:tcPr>
          <w:p w14:paraId="0A109252"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1,300,000,000</w:t>
            </w:r>
          </w:p>
        </w:tc>
        <w:tc>
          <w:tcPr>
            <w:tcW w:w="958" w:type="dxa"/>
            <w:tcBorders>
              <w:top w:val="nil"/>
              <w:left w:val="nil"/>
              <w:bottom w:val="single" w:sz="8" w:space="0" w:color="auto"/>
              <w:right w:val="single" w:sz="8" w:space="0" w:color="auto"/>
            </w:tcBorders>
            <w:shd w:val="clear" w:color="000000" w:fill="DDC9A3"/>
            <w:vAlign w:val="center"/>
            <w:hideMark/>
          </w:tcPr>
          <w:p w14:paraId="38C9F9DA"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1,000,000,000</w:t>
            </w:r>
          </w:p>
        </w:tc>
        <w:tc>
          <w:tcPr>
            <w:tcW w:w="877" w:type="dxa"/>
            <w:tcBorders>
              <w:top w:val="nil"/>
              <w:left w:val="nil"/>
              <w:bottom w:val="single" w:sz="8" w:space="0" w:color="auto"/>
              <w:right w:val="single" w:sz="8" w:space="0" w:color="auto"/>
            </w:tcBorders>
            <w:shd w:val="clear" w:color="000000" w:fill="DDC9A3"/>
            <w:vAlign w:val="center"/>
            <w:hideMark/>
          </w:tcPr>
          <w:p w14:paraId="37830486"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89,432,479</w:t>
            </w:r>
          </w:p>
        </w:tc>
        <w:tc>
          <w:tcPr>
            <w:tcW w:w="987" w:type="dxa"/>
            <w:tcBorders>
              <w:top w:val="nil"/>
              <w:left w:val="nil"/>
              <w:bottom w:val="single" w:sz="8" w:space="0" w:color="auto"/>
              <w:right w:val="single" w:sz="8" w:space="0" w:color="auto"/>
            </w:tcBorders>
            <w:shd w:val="clear" w:color="000000" w:fill="DDC9A3"/>
            <w:vAlign w:val="center"/>
            <w:hideMark/>
          </w:tcPr>
          <w:p w14:paraId="38516AD6"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 </w:t>
            </w:r>
          </w:p>
        </w:tc>
        <w:tc>
          <w:tcPr>
            <w:tcW w:w="764" w:type="dxa"/>
            <w:tcBorders>
              <w:top w:val="nil"/>
              <w:left w:val="nil"/>
              <w:bottom w:val="single" w:sz="8" w:space="0" w:color="auto"/>
              <w:right w:val="single" w:sz="8" w:space="0" w:color="auto"/>
            </w:tcBorders>
            <w:shd w:val="clear" w:color="000000" w:fill="DDC9A3"/>
            <w:vAlign w:val="center"/>
            <w:hideMark/>
          </w:tcPr>
          <w:p w14:paraId="267C6BA3"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 </w:t>
            </w:r>
          </w:p>
        </w:tc>
        <w:tc>
          <w:tcPr>
            <w:tcW w:w="956" w:type="dxa"/>
            <w:tcBorders>
              <w:top w:val="nil"/>
              <w:left w:val="nil"/>
              <w:bottom w:val="single" w:sz="8" w:space="0" w:color="auto"/>
              <w:right w:val="single" w:sz="8" w:space="0" w:color="auto"/>
            </w:tcBorders>
            <w:shd w:val="clear" w:color="000000" w:fill="DDC9A3"/>
            <w:vAlign w:val="center"/>
            <w:hideMark/>
          </w:tcPr>
          <w:p w14:paraId="0E3A022B"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 </w:t>
            </w:r>
          </w:p>
        </w:tc>
        <w:tc>
          <w:tcPr>
            <w:tcW w:w="708" w:type="dxa"/>
            <w:tcBorders>
              <w:top w:val="nil"/>
              <w:left w:val="nil"/>
              <w:bottom w:val="single" w:sz="8" w:space="0" w:color="auto"/>
              <w:right w:val="single" w:sz="8" w:space="0" w:color="auto"/>
            </w:tcBorders>
            <w:shd w:val="clear" w:color="000000" w:fill="DDC9A3"/>
            <w:vAlign w:val="center"/>
            <w:hideMark/>
          </w:tcPr>
          <w:p w14:paraId="6271D6B4" w14:textId="77777777" w:rsidR="00645ECA" w:rsidRPr="00645ECA" w:rsidRDefault="00645ECA" w:rsidP="00EC7D22">
            <w:pPr>
              <w:suppressAutoHyphens w:val="0"/>
              <w:overflowPunct/>
              <w:spacing w:after="0" w:line="240" w:lineRule="auto"/>
              <w:jc w:val="right"/>
              <w:rPr>
                <w:rFonts w:eastAsia="Times New Roman" w:cs="Calibri"/>
                <w:b/>
                <w:bCs/>
                <w:color w:val="000000"/>
                <w:sz w:val="14"/>
                <w:szCs w:val="14"/>
                <w:lang w:eastAsia="es-MX"/>
              </w:rPr>
            </w:pPr>
            <w:r w:rsidRPr="00645ECA">
              <w:rPr>
                <w:rFonts w:eastAsia="Times New Roman" w:cs="Calibri"/>
                <w:b/>
                <w:bCs/>
                <w:color w:val="000000"/>
                <w:sz w:val="14"/>
                <w:szCs w:val="14"/>
                <w:lang w:eastAsia="es-MX"/>
              </w:rPr>
              <w:t> </w:t>
            </w:r>
          </w:p>
        </w:tc>
      </w:tr>
    </w:tbl>
    <w:p w14:paraId="7166A2A7" w14:textId="77777777" w:rsidR="00A31A54" w:rsidRDefault="00A31A54" w:rsidP="00EC7D22">
      <w:pPr>
        <w:spacing w:after="0"/>
        <w:jc w:val="both"/>
        <w:rPr>
          <w:rFonts w:cs="Calibri"/>
          <w:sz w:val="20"/>
          <w:szCs w:val="20"/>
        </w:rPr>
      </w:pPr>
    </w:p>
    <w:p w14:paraId="161ACA9A" w14:textId="77777777" w:rsidR="007745EB" w:rsidRPr="00694CE6" w:rsidRDefault="00C87FDA" w:rsidP="00EC7D22">
      <w:pPr>
        <w:pStyle w:val="Prrafodelista"/>
        <w:spacing w:after="0" w:line="240" w:lineRule="auto"/>
        <w:ind w:left="0"/>
        <w:rPr>
          <w:rFonts w:cs="Calibri"/>
          <w:b/>
          <w:sz w:val="20"/>
          <w:u w:val="single"/>
          <w:lang w:val="es-ES" w:eastAsia="es-ES"/>
        </w:rPr>
      </w:pPr>
      <w:r w:rsidRPr="00694CE6">
        <w:rPr>
          <w:rFonts w:cs="Calibri"/>
          <w:b/>
          <w:sz w:val="20"/>
          <w:u w:val="single"/>
          <w:lang w:val="es-ES" w:eastAsia="es-ES"/>
        </w:rPr>
        <w:t>Fondos de Bienes de Terceros en Administración y/o en Garantía a Corto Plazo</w:t>
      </w:r>
    </w:p>
    <w:p w14:paraId="1CDB2BAC" w14:textId="77777777" w:rsidR="007745EB" w:rsidRDefault="007745EB" w:rsidP="00EC7D22">
      <w:pPr>
        <w:spacing w:after="0" w:line="240" w:lineRule="auto"/>
        <w:rPr>
          <w:rFonts w:cs="Calibri"/>
          <w:sz w:val="14"/>
          <w:lang w:val="es-ES" w:eastAsia="es-ES"/>
        </w:rPr>
      </w:pPr>
    </w:p>
    <w:p w14:paraId="1F272207" w14:textId="77777777" w:rsidR="007745EB" w:rsidRPr="00820E37" w:rsidRDefault="00C87FDA" w:rsidP="00EC7D22">
      <w:pPr>
        <w:spacing w:after="0" w:line="240" w:lineRule="auto"/>
        <w:rPr>
          <w:rFonts w:cs="Calibri"/>
          <w:sz w:val="20"/>
          <w:szCs w:val="20"/>
          <w:lang w:val="es-ES" w:eastAsia="es-ES"/>
        </w:rPr>
      </w:pPr>
      <w:r w:rsidRPr="00820E37">
        <w:rPr>
          <w:rFonts w:cs="Calibri"/>
          <w:sz w:val="20"/>
          <w:szCs w:val="20"/>
          <w:lang w:val="es-ES" w:eastAsia="es-ES"/>
        </w:rPr>
        <w:t>Fondos en Garantía a Corto Plazo</w:t>
      </w:r>
    </w:p>
    <w:p w14:paraId="3B513764" w14:textId="77777777" w:rsidR="00820E37" w:rsidRDefault="00820E37" w:rsidP="00EC7D22">
      <w:pPr>
        <w:spacing w:after="0" w:line="240" w:lineRule="auto"/>
        <w:rPr>
          <w:rFonts w:cs="Calibri"/>
          <w:sz w:val="18"/>
          <w:lang w:val="es-ES" w:eastAsia="es-ES"/>
        </w:rPr>
      </w:pPr>
    </w:p>
    <w:tbl>
      <w:tblPr>
        <w:tblW w:w="5998" w:type="dxa"/>
        <w:tblCellMar>
          <w:left w:w="70" w:type="dxa"/>
          <w:right w:w="70" w:type="dxa"/>
        </w:tblCellMar>
        <w:tblLook w:val="04A0" w:firstRow="1" w:lastRow="0" w:firstColumn="1" w:lastColumn="0" w:noHBand="0" w:noVBand="1"/>
      </w:tblPr>
      <w:tblGrid>
        <w:gridCol w:w="4080"/>
        <w:gridCol w:w="1918"/>
      </w:tblGrid>
      <w:tr w:rsidR="005C70A2" w:rsidRPr="005C70A2" w14:paraId="4200BC28" w14:textId="77777777" w:rsidTr="004D0BC0">
        <w:trPr>
          <w:trHeight w:val="510"/>
        </w:trPr>
        <w:tc>
          <w:tcPr>
            <w:tcW w:w="4080"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5EAC4D56" w14:textId="77777777" w:rsidR="005C70A2" w:rsidRPr="005C70A2" w:rsidRDefault="005C70A2" w:rsidP="00EC7D22">
            <w:pPr>
              <w:suppressAutoHyphens w:val="0"/>
              <w:overflowPunct/>
              <w:spacing w:after="0" w:line="240" w:lineRule="auto"/>
              <w:jc w:val="center"/>
              <w:rPr>
                <w:rFonts w:eastAsia="Times New Roman" w:cs="Calibri"/>
                <w:b/>
                <w:bCs/>
                <w:color w:val="FFFFFF"/>
                <w:sz w:val="16"/>
                <w:szCs w:val="16"/>
                <w:lang w:eastAsia="es-MX"/>
              </w:rPr>
            </w:pPr>
            <w:r w:rsidRPr="005C70A2">
              <w:rPr>
                <w:rFonts w:eastAsia="Times New Roman" w:cs="Calibri"/>
                <w:b/>
                <w:bCs/>
                <w:color w:val="FFFFFF"/>
                <w:sz w:val="16"/>
                <w:szCs w:val="16"/>
                <w:lang w:eastAsia="es-MX"/>
              </w:rPr>
              <w:t>Fondos en Garantía a Corto Plazo</w:t>
            </w:r>
          </w:p>
        </w:tc>
        <w:tc>
          <w:tcPr>
            <w:tcW w:w="1918" w:type="dxa"/>
            <w:tcBorders>
              <w:top w:val="single" w:sz="4" w:space="0" w:color="auto"/>
              <w:left w:val="nil"/>
              <w:bottom w:val="single" w:sz="4" w:space="0" w:color="auto"/>
              <w:right w:val="single" w:sz="4" w:space="0" w:color="auto"/>
            </w:tcBorders>
            <w:shd w:val="clear" w:color="800080" w:fill="A90025"/>
            <w:vAlign w:val="center"/>
            <w:hideMark/>
          </w:tcPr>
          <w:p w14:paraId="131FB21D" w14:textId="77777777" w:rsidR="005C70A2" w:rsidRPr="005C70A2" w:rsidRDefault="005C70A2" w:rsidP="00EC7D22">
            <w:pPr>
              <w:suppressAutoHyphens w:val="0"/>
              <w:overflowPunct/>
              <w:spacing w:after="0" w:line="240" w:lineRule="auto"/>
              <w:jc w:val="center"/>
              <w:rPr>
                <w:rFonts w:eastAsia="Times New Roman" w:cs="Calibri"/>
                <w:b/>
                <w:bCs/>
                <w:color w:val="FFFFFF"/>
                <w:sz w:val="16"/>
                <w:szCs w:val="16"/>
                <w:lang w:eastAsia="es-MX"/>
              </w:rPr>
            </w:pPr>
            <w:r w:rsidRPr="005C70A2">
              <w:rPr>
                <w:rFonts w:eastAsia="Times New Roman" w:cs="Calibri"/>
                <w:b/>
                <w:bCs/>
                <w:color w:val="FFFFFF"/>
                <w:sz w:val="16"/>
                <w:szCs w:val="16"/>
                <w:lang w:eastAsia="es-MX"/>
              </w:rPr>
              <w:t xml:space="preserve">Importe </w:t>
            </w:r>
          </w:p>
        </w:tc>
      </w:tr>
      <w:tr w:rsidR="005C70A2" w:rsidRPr="005C70A2" w14:paraId="654DD249" w14:textId="77777777" w:rsidTr="004D0BC0">
        <w:trPr>
          <w:trHeight w:val="34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313F1828" w14:textId="77777777" w:rsidR="005C70A2" w:rsidRPr="005C70A2" w:rsidRDefault="005C70A2" w:rsidP="00EC7D22">
            <w:pPr>
              <w:suppressAutoHyphens w:val="0"/>
              <w:overflowPunct/>
              <w:spacing w:after="0" w:line="240" w:lineRule="auto"/>
              <w:jc w:val="both"/>
              <w:rPr>
                <w:rFonts w:eastAsia="Times New Roman" w:cs="Calibri"/>
                <w:color w:val="000000"/>
                <w:sz w:val="14"/>
                <w:szCs w:val="14"/>
                <w:lang w:eastAsia="es-MX"/>
              </w:rPr>
            </w:pPr>
            <w:r w:rsidRPr="005C70A2">
              <w:rPr>
                <w:rFonts w:eastAsia="Times New Roman" w:cs="Calibri"/>
                <w:color w:val="000000"/>
                <w:sz w:val="14"/>
                <w:szCs w:val="14"/>
                <w:lang w:eastAsia="es-MX"/>
              </w:rPr>
              <w:t xml:space="preserve">Depósitos en garantía de impuestos   </w:t>
            </w:r>
          </w:p>
        </w:tc>
        <w:tc>
          <w:tcPr>
            <w:tcW w:w="1918" w:type="dxa"/>
            <w:tcBorders>
              <w:top w:val="nil"/>
              <w:left w:val="nil"/>
              <w:bottom w:val="single" w:sz="4" w:space="0" w:color="auto"/>
              <w:right w:val="single" w:sz="4" w:space="0" w:color="auto"/>
            </w:tcBorders>
            <w:shd w:val="clear" w:color="auto" w:fill="auto"/>
            <w:vAlign w:val="center"/>
            <w:hideMark/>
          </w:tcPr>
          <w:p w14:paraId="5C8E9743"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16,399,174</w:t>
            </w:r>
          </w:p>
        </w:tc>
      </w:tr>
      <w:tr w:rsidR="005C70A2" w:rsidRPr="005C70A2" w14:paraId="11FBCB35" w14:textId="77777777" w:rsidTr="004D0BC0">
        <w:trPr>
          <w:trHeight w:val="34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75891867" w14:textId="77777777" w:rsidR="005C70A2" w:rsidRPr="005C70A2" w:rsidRDefault="005C70A2" w:rsidP="00EC7D22">
            <w:pPr>
              <w:suppressAutoHyphens w:val="0"/>
              <w:overflowPunct/>
              <w:spacing w:after="0" w:line="240" w:lineRule="auto"/>
              <w:jc w:val="both"/>
              <w:rPr>
                <w:rFonts w:eastAsia="Times New Roman" w:cs="Calibri"/>
                <w:color w:val="000000"/>
                <w:sz w:val="14"/>
                <w:szCs w:val="14"/>
                <w:lang w:eastAsia="es-MX"/>
              </w:rPr>
            </w:pPr>
            <w:r w:rsidRPr="005C70A2">
              <w:rPr>
                <w:rFonts w:eastAsia="Times New Roman" w:cs="Calibri"/>
                <w:color w:val="000000"/>
                <w:sz w:val="14"/>
                <w:szCs w:val="14"/>
                <w:lang w:eastAsia="es-MX"/>
              </w:rPr>
              <w:t xml:space="preserve">Depósitos por órdenes judiciales    </w:t>
            </w:r>
          </w:p>
        </w:tc>
        <w:tc>
          <w:tcPr>
            <w:tcW w:w="1918" w:type="dxa"/>
            <w:tcBorders>
              <w:top w:val="nil"/>
              <w:left w:val="nil"/>
              <w:bottom w:val="single" w:sz="4" w:space="0" w:color="auto"/>
              <w:right w:val="single" w:sz="4" w:space="0" w:color="auto"/>
            </w:tcBorders>
            <w:shd w:val="clear" w:color="auto" w:fill="auto"/>
            <w:vAlign w:val="center"/>
            <w:hideMark/>
          </w:tcPr>
          <w:p w14:paraId="277A181D"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22,394,599</w:t>
            </w:r>
          </w:p>
        </w:tc>
      </w:tr>
      <w:tr w:rsidR="005C70A2" w:rsidRPr="005C70A2" w14:paraId="50517B20" w14:textId="77777777" w:rsidTr="004D0BC0">
        <w:trPr>
          <w:trHeight w:val="340"/>
        </w:trPr>
        <w:tc>
          <w:tcPr>
            <w:tcW w:w="4080" w:type="dxa"/>
            <w:tcBorders>
              <w:top w:val="nil"/>
              <w:left w:val="single" w:sz="4" w:space="0" w:color="auto"/>
              <w:bottom w:val="single" w:sz="4" w:space="0" w:color="auto"/>
              <w:right w:val="single" w:sz="4" w:space="0" w:color="auto"/>
            </w:tcBorders>
            <w:shd w:val="clear" w:color="F8CBAD" w:fill="DDC9A3"/>
            <w:vAlign w:val="center"/>
            <w:hideMark/>
          </w:tcPr>
          <w:p w14:paraId="03AF6C5A" w14:textId="77777777" w:rsidR="005C70A2" w:rsidRPr="005C70A2" w:rsidRDefault="005C70A2" w:rsidP="00EC7D22">
            <w:pPr>
              <w:suppressAutoHyphens w:val="0"/>
              <w:overflowPunct/>
              <w:spacing w:after="0" w:line="240" w:lineRule="auto"/>
              <w:jc w:val="center"/>
              <w:rPr>
                <w:rFonts w:eastAsia="Times New Roman" w:cs="Calibri"/>
                <w:b/>
                <w:bCs/>
                <w:color w:val="000000"/>
                <w:sz w:val="14"/>
                <w:szCs w:val="14"/>
                <w:lang w:eastAsia="es-MX"/>
              </w:rPr>
            </w:pPr>
            <w:r w:rsidRPr="005C70A2">
              <w:rPr>
                <w:rFonts w:eastAsia="Times New Roman" w:cs="Calibri"/>
                <w:b/>
                <w:bCs/>
                <w:color w:val="000000"/>
                <w:sz w:val="14"/>
                <w:szCs w:val="14"/>
                <w:lang w:eastAsia="es-MX"/>
              </w:rPr>
              <w:t>Total</w:t>
            </w:r>
          </w:p>
        </w:tc>
        <w:tc>
          <w:tcPr>
            <w:tcW w:w="1918" w:type="dxa"/>
            <w:tcBorders>
              <w:top w:val="nil"/>
              <w:left w:val="nil"/>
              <w:bottom w:val="single" w:sz="4" w:space="0" w:color="auto"/>
              <w:right w:val="single" w:sz="4" w:space="0" w:color="auto"/>
            </w:tcBorders>
            <w:shd w:val="clear" w:color="F8CBAD" w:fill="DDC9A3"/>
            <w:vAlign w:val="center"/>
            <w:hideMark/>
          </w:tcPr>
          <w:p w14:paraId="7BDC5FBB" w14:textId="77777777" w:rsidR="005C70A2" w:rsidRPr="005C70A2" w:rsidRDefault="005C70A2" w:rsidP="00EC7D22">
            <w:pPr>
              <w:suppressAutoHyphens w:val="0"/>
              <w:overflowPunct/>
              <w:spacing w:after="0" w:line="240" w:lineRule="auto"/>
              <w:jc w:val="right"/>
              <w:rPr>
                <w:rFonts w:eastAsia="Times New Roman" w:cs="Calibri"/>
                <w:b/>
                <w:bCs/>
                <w:color w:val="000000"/>
                <w:sz w:val="14"/>
                <w:szCs w:val="14"/>
                <w:lang w:eastAsia="es-MX"/>
              </w:rPr>
            </w:pPr>
            <w:r w:rsidRPr="005C70A2">
              <w:rPr>
                <w:rFonts w:eastAsia="Times New Roman" w:cs="Calibri"/>
                <w:b/>
                <w:bCs/>
                <w:color w:val="000000"/>
                <w:sz w:val="14"/>
                <w:szCs w:val="14"/>
                <w:lang w:eastAsia="es-MX"/>
              </w:rPr>
              <w:t>38,793,773</w:t>
            </w:r>
          </w:p>
        </w:tc>
      </w:tr>
    </w:tbl>
    <w:p w14:paraId="26BEED83" w14:textId="77777777" w:rsidR="007745EB" w:rsidRDefault="007745EB" w:rsidP="00EC7D22">
      <w:pPr>
        <w:spacing w:after="0" w:line="240" w:lineRule="auto"/>
        <w:rPr>
          <w:rFonts w:cs="Calibri"/>
          <w:sz w:val="18"/>
          <w:lang w:val="es-ES" w:eastAsia="es-ES"/>
        </w:rPr>
      </w:pPr>
    </w:p>
    <w:p w14:paraId="05AA8406" w14:textId="77777777" w:rsidR="007745EB" w:rsidRPr="00820E37" w:rsidRDefault="00C87FDA" w:rsidP="00EC7D22">
      <w:pPr>
        <w:spacing w:after="0" w:line="240" w:lineRule="auto"/>
        <w:rPr>
          <w:rFonts w:cs="Calibri"/>
          <w:sz w:val="20"/>
          <w:szCs w:val="20"/>
          <w:lang w:val="es-ES" w:eastAsia="es-ES"/>
        </w:rPr>
      </w:pPr>
      <w:r w:rsidRPr="00820E37">
        <w:rPr>
          <w:rFonts w:cs="Calibri"/>
          <w:sz w:val="20"/>
          <w:szCs w:val="20"/>
          <w:lang w:val="es-ES" w:eastAsia="es-ES"/>
        </w:rPr>
        <w:t xml:space="preserve">Los Depósitos en garantía de impuestos por órdenes judiciales se pagan cuando lo solicita el Juez de la instancia que corresponda. </w:t>
      </w:r>
    </w:p>
    <w:p w14:paraId="73506FFD" w14:textId="77777777" w:rsidR="001F51EB" w:rsidRPr="00820E37" w:rsidRDefault="001F51EB" w:rsidP="00EC7D22">
      <w:pPr>
        <w:spacing w:after="0" w:line="240" w:lineRule="auto"/>
        <w:rPr>
          <w:rFonts w:cs="Calibri"/>
          <w:sz w:val="20"/>
          <w:szCs w:val="20"/>
          <w:lang w:val="es-ES" w:eastAsia="es-ES"/>
        </w:rPr>
      </w:pPr>
    </w:p>
    <w:p w14:paraId="462DB730" w14:textId="77777777" w:rsidR="007745EB" w:rsidRPr="00D03069" w:rsidRDefault="00C87FDA" w:rsidP="00EC7D22">
      <w:pPr>
        <w:pStyle w:val="Prrafodelista"/>
        <w:spacing w:after="0" w:line="240" w:lineRule="auto"/>
        <w:ind w:left="0"/>
        <w:rPr>
          <w:rFonts w:cs="Calibri"/>
          <w:b/>
          <w:sz w:val="20"/>
          <w:u w:val="single"/>
          <w:lang w:val="es-ES" w:eastAsia="es-ES"/>
        </w:rPr>
      </w:pPr>
      <w:r w:rsidRPr="00D03069">
        <w:rPr>
          <w:rFonts w:cs="Calibri"/>
          <w:b/>
          <w:sz w:val="20"/>
          <w:u w:val="single"/>
          <w:lang w:val="es-ES" w:eastAsia="es-ES"/>
        </w:rPr>
        <w:t>Pasivos Diferidos</w:t>
      </w:r>
    </w:p>
    <w:p w14:paraId="62D9757E" w14:textId="77777777" w:rsidR="007745EB" w:rsidRPr="000B130C" w:rsidRDefault="00C87FDA" w:rsidP="00EC7D22">
      <w:pPr>
        <w:pStyle w:val="Prrafodelista"/>
        <w:spacing w:after="0" w:line="240" w:lineRule="auto"/>
        <w:ind w:left="0"/>
        <w:rPr>
          <w:rFonts w:cs="Calibri"/>
          <w:sz w:val="20"/>
          <w:szCs w:val="20"/>
          <w:lang w:val="es-ES" w:eastAsia="es-ES"/>
        </w:rPr>
      </w:pPr>
      <w:r>
        <w:rPr>
          <w:rFonts w:cs="Calibri"/>
          <w:b/>
          <w:sz w:val="20"/>
          <w:lang w:val="es-ES" w:eastAsia="es-ES"/>
        </w:rPr>
        <w:t xml:space="preserve">      </w:t>
      </w:r>
      <w:r w:rsidRPr="000B130C">
        <w:rPr>
          <w:rFonts w:cs="Calibri"/>
          <w:sz w:val="20"/>
          <w:szCs w:val="20"/>
          <w:lang w:val="es-ES" w:eastAsia="es-ES"/>
        </w:rPr>
        <w:t>Sin Movimientos.</w:t>
      </w:r>
    </w:p>
    <w:p w14:paraId="4B7D406F" w14:textId="77777777" w:rsidR="007745EB" w:rsidRDefault="007745EB" w:rsidP="00EC7D22">
      <w:pPr>
        <w:pStyle w:val="Prrafodelista"/>
        <w:spacing w:after="0" w:line="240" w:lineRule="auto"/>
        <w:ind w:left="0"/>
        <w:rPr>
          <w:rFonts w:cs="Calibri"/>
          <w:sz w:val="18"/>
          <w:lang w:val="es-ES" w:eastAsia="es-ES"/>
        </w:rPr>
      </w:pPr>
    </w:p>
    <w:p w14:paraId="1F1DBE1D" w14:textId="77777777" w:rsidR="007745EB" w:rsidRPr="00D03069" w:rsidRDefault="00C87FDA" w:rsidP="00EC7D22">
      <w:pPr>
        <w:pStyle w:val="Prrafodelista"/>
        <w:spacing w:after="0" w:line="240" w:lineRule="auto"/>
        <w:ind w:left="0"/>
        <w:rPr>
          <w:rFonts w:cs="Calibri"/>
          <w:b/>
          <w:sz w:val="20"/>
          <w:u w:val="single"/>
          <w:lang w:val="es-ES" w:eastAsia="es-ES"/>
        </w:rPr>
      </w:pPr>
      <w:r w:rsidRPr="00D03069">
        <w:rPr>
          <w:rFonts w:cs="Calibri"/>
          <w:b/>
          <w:sz w:val="20"/>
          <w:u w:val="single"/>
          <w:lang w:val="es-ES" w:eastAsia="es-ES"/>
        </w:rPr>
        <w:t xml:space="preserve">Provisiones </w:t>
      </w:r>
    </w:p>
    <w:p w14:paraId="53132591" w14:textId="77777777" w:rsidR="007745EB" w:rsidRDefault="007745EB" w:rsidP="00EC7D22">
      <w:pPr>
        <w:pStyle w:val="Prrafodelista"/>
        <w:spacing w:after="0" w:line="240" w:lineRule="auto"/>
        <w:ind w:left="0"/>
        <w:rPr>
          <w:rFonts w:cs="Calibri"/>
          <w:b/>
          <w:sz w:val="20"/>
          <w:lang w:val="es-ES" w:eastAsia="es-ES"/>
        </w:rPr>
      </w:pPr>
    </w:p>
    <w:p w14:paraId="20950D03" w14:textId="77777777" w:rsidR="007745EB" w:rsidRDefault="00C87FDA" w:rsidP="00EC7D22">
      <w:pPr>
        <w:rPr>
          <w:rFonts w:cs="Calibri"/>
          <w:sz w:val="20"/>
          <w:lang w:val="es-ES" w:eastAsia="es-ES"/>
        </w:rPr>
      </w:pPr>
      <w:r>
        <w:rPr>
          <w:rFonts w:cs="Calibri"/>
          <w:sz w:val="20"/>
          <w:lang w:val="es-ES" w:eastAsia="es-ES"/>
        </w:rPr>
        <w:t xml:space="preserve">Registro de las aportaciones de los Empleados y del Gobierno del Estado para el Fondo de Ahorro para el Retiro según convenio con el personal sindicalizado las cuales se </w:t>
      </w:r>
      <w:r w:rsidR="00E406AD">
        <w:rPr>
          <w:rFonts w:cs="Calibri"/>
          <w:sz w:val="20"/>
          <w:lang w:val="es-ES" w:eastAsia="es-ES"/>
        </w:rPr>
        <w:t>entregarán</w:t>
      </w:r>
      <w:r>
        <w:rPr>
          <w:rFonts w:cs="Calibri"/>
          <w:sz w:val="20"/>
          <w:lang w:val="es-ES" w:eastAsia="es-ES"/>
        </w:rPr>
        <w:t xml:space="preserve"> a través del IPSSET. </w:t>
      </w:r>
    </w:p>
    <w:tbl>
      <w:tblPr>
        <w:tblW w:w="6119" w:type="dxa"/>
        <w:tblCellMar>
          <w:left w:w="70" w:type="dxa"/>
          <w:right w:w="70" w:type="dxa"/>
        </w:tblCellMar>
        <w:tblLook w:val="04A0" w:firstRow="1" w:lastRow="0" w:firstColumn="1" w:lastColumn="0" w:noHBand="0" w:noVBand="1"/>
      </w:tblPr>
      <w:tblGrid>
        <w:gridCol w:w="4467"/>
        <w:gridCol w:w="1652"/>
      </w:tblGrid>
      <w:tr w:rsidR="009F11F0" w:rsidRPr="009F11F0" w14:paraId="1AE3AFA5" w14:textId="77777777" w:rsidTr="008F620D">
        <w:trPr>
          <w:trHeight w:val="454"/>
        </w:trPr>
        <w:tc>
          <w:tcPr>
            <w:tcW w:w="4467"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7F9C0FA2" w14:textId="77777777" w:rsidR="009F11F0" w:rsidRPr="009F11F0" w:rsidRDefault="009F11F0" w:rsidP="00EC7D22">
            <w:pPr>
              <w:suppressAutoHyphens w:val="0"/>
              <w:overflowPunct/>
              <w:spacing w:after="0" w:line="240" w:lineRule="auto"/>
              <w:jc w:val="center"/>
              <w:rPr>
                <w:rFonts w:eastAsia="Times New Roman" w:cs="Calibri"/>
                <w:b/>
                <w:bCs/>
                <w:color w:val="FFFFFF"/>
                <w:sz w:val="16"/>
                <w:szCs w:val="16"/>
                <w:lang w:eastAsia="es-MX"/>
              </w:rPr>
            </w:pPr>
            <w:r w:rsidRPr="009F11F0">
              <w:rPr>
                <w:rFonts w:eastAsia="Times New Roman" w:cs="Calibri"/>
                <w:b/>
                <w:bCs/>
                <w:color w:val="FFFFFF"/>
                <w:sz w:val="16"/>
                <w:szCs w:val="16"/>
                <w:lang w:eastAsia="es-MX"/>
              </w:rPr>
              <w:t>Provisiones a Largo Plazo</w:t>
            </w:r>
          </w:p>
        </w:tc>
        <w:tc>
          <w:tcPr>
            <w:tcW w:w="1652" w:type="dxa"/>
            <w:tcBorders>
              <w:top w:val="single" w:sz="4" w:space="0" w:color="auto"/>
              <w:left w:val="nil"/>
              <w:bottom w:val="single" w:sz="4" w:space="0" w:color="auto"/>
              <w:right w:val="single" w:sz="4" w:space="0" w:color="auto"/>
            </w:tcBorders>
            <w:shd w:val="clear" w:color="800080" w:fill="A90025"/>
            <w:vAlign w:val="center"/>
            <w:hideMark/>
          </w:tcPr>
          <w:p w14:paraId="2110C1B3" w14:textId="77777777" w:rsidR="009F11F0" w:rsidRPr="009F11F0" w:rsidRDefault="009F11F0" w:rsidP="00EC7D22">
            <w:pPr>
              <w:suppressAutoHyphens w:val="0"/>
              <w:overflowPunct/>
              <w:spacing w:after="0" w:line="240" w:lineRule="auto"/>
              <w:jc w:val="center"/>
              <w:rPr>
                <w:rFonts w:eastAsia="Times New Roman" w:cs="Calibri"/>
                <w:b/>
                <w:bCs/>
                <w:color w:val="FFFFFF"/>
                <w:sz w:val="16"/>
                <w:szCs w:val="16"/>
                <w:lang w:eastAsia="es-MX"/>
              </w:rPr>
            </w:pPr>
            <w:r w:rsidRPr="009F11F0">
              <w:rPr>
                <w:rFonts w:eastAsia="Times New Roman" w:cs="Calibri"/>
                <w:b/>
                <w:bCs/>
                <w:color w:val="FFFFFF"/>
                <w:sz w:val="16"/>
                <w:szCs w:val="16"/>
                <w:lang w:eastAsia="es-MX"/>
              </w:rPr>
              <w:t xml:space="preserve">Importe </w:t>
            </w:r>
          </w:p>
        </w:tc>
      </w:tr>
      <w:tr w:rsidR="009F11F0" w:rsidRPr="009F11F0" w14:paraId="19F9F5F8" w14:textId="77777777" w:rsidTr="00797579">
        <w:trPr>
          <w:trHeight w:val="454"/>
        </w:trPr>
        <w:tc>
          <w:tcPr>
            <w:tcW w:w="4467" w:type="dxa"/>
            <w:tcBorders>
              <w:top w:val="nil"/>
              <w:left w:val="single" w:sz="4" w:space="0" w:color="auto"/>
              <w:bottom w:val="single" w:sz="4" w:space="0" w:color="auto"/>
              <w:right w:val="single" w:sz="4" w:space="0" w:color="auto"/>
            </w:tcBorders>
            <w:shd w:val="clear" w:color="auto" w:fill="auto"/>
            <w:vAlign w:val="center"/>
            <w:hideMark/>
          </w:tcPr>
          <w:p w14:paraId="2BD60896" w14:textId="77777777" w:rsidR="009F11F0" w:rsidRPr="009F11F0" w:rsidRDefault="009F11F0" w:rsidP="00EC7D22">
            <w:pPr>
              <w:suppressAutoHyphens w:val="0"/>
              <w:overflowPunct/>
              <w:spacing w:after="0" w:line="240" w:lineRule="auto"/>
              <w:jc w:val="both"/>
              <w:rPr>
                <w:rFonts w:eastAsia="Times New Roman" w:cs="Calibri"/>
                <w:color w:val="000000"/>
                <w:sz w:val="14"/>
                <w:szCs w:val="14"/>
                <w:lang w:eastAsia="es-MX"/>
              </w:rPr>
            </w:pPr>
            <w:r w:rsidRPr="009F11F0">
              <w:rPr>
                <w:rFonts w:eastAsia="Times New Roman" w:cs="Calibri"/>
                <w:color w:val="000000"/>
                <w:sz w:val="14"/>
                <w:szCs w:val="14"/>
                <w:lang w:eastAsia="es-MX"/>
              </w:rPr>
              <w:t>Aportación Patronal 2% Fondo de Ahorro para el Retiro</w:t>
            </w:r>
          </w:p>
        </w:tc>
        <w:tc>
          <w:tcPr>
            <w:tcW w:w="1652" w:type="dxa"/>
            <w:tcBorders>
              <w:top w:val="nil"/>
              <w:left w:val="nil"/>
              <w:bottom w:val="single" w:sz="4" w:space="0" w:color="auto"/>
              <w:right w:val="single" w:sz="4" w:space="0" w:color="auto"/>
            </w:tcBorders>
            <w:shd w:val="clear" w:color="auto" w:fill="auto"/>
            <w:vAlign w:val="center"/>
            <w:hideMark/>
          </w:tcPr>
          <w:p w14:paraId="4D142C72"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81,510,014</w:t>
            </w:r>
          </w:p>
        </w:tc>
      </w:tr>
      <w:tr w:rsidR="009F11F0" w:rsidRPr="009F11F0" w14:paraId="620D68DD" w14:textId="77777777" w:rsidTr="00797579">
        <w:trPr>
          <w:trHeight w:val="454"/>
        </w:trPr>
        <w:tc>
          <w:tcPr>
            <w:tcW w:w="4467" w:type="dxa"/>
            <w:tcBorders>
              <w:top w:val="nil"/>
              <w:left w:val="single" w:sz="4" w:space="0" w:color="auto"/>
              <w:bottom w:val="single" w:sz="4" w:space="0" w:color="auto"/>
              <w:right w:val="single" w:sz="4" w:space="0" w:color="auto"/>
            </w:tcBorders>
            <w:shd w:val="clear" w:color="auto" w:fill="auto"/>
            <w:vAlign w:val="center"/>
            <w:hideMark/>
          </w:tcPr>
          <w:p w14:paraId="255DFBCB" w14:textId="77777777" w:rsidR="009F11F0" w:rsidRPr="009F11F0" w:rsidRDefault="009F11F0" w:rsidP="00EC7D22">
            <w:pPr>
              <w:suppressAutoHyphens w:val="0"/>
              <w:overflowPunct/>
              <w:spacing w:after="0" w:line="240" w:lineRule="auto"/>
              <w:jc w:val="both"/>
              <w:rPr>
                <w:rFonts w:eastAsia="Times New Roman" w:cs="Calibri"/>
                <w:color w:val="000000"/>
                <w:sz w:val="14"/>
                <w:szCs w:val="14"/>
                <w:lang w:eastAsia="es-MX"/>
              </w:rPr>
            </w:pPr>
            <w:r w:rsidRPr="009F11F0">
              <w:rPr>
                <w:rFonts w:eastAsia="Times New Roman" w:cs="Calibri"/>
                <w:color w:val="000000"/>
                <w:sz w:val="14"/>
                <w:szCs w:val="14"/>
                <w:lang w:eastAsia="es-MX"/>
              </w:rPr>
              <w:t>Retención a Empleados 2 % Fondo de Ahorro para el Retiro</w:t>
            </w:r>
          </w:p>
        </w:tc>
        <w:tc>
          <w:tcPr>
            <w:tcW w:w="1652" w:type="dxa"/>
            <w:tcBorders>
              <w:top w:val="nil"/>
              <w:left w:val="nil"/>
              <w:bottom w:val="single" w:sz="4" w:space="0" w:color="auto"/>
              <w:right w:val="single" w:sz="4" w:space="0" w:color="auto"/>
            </w:tcBorders>
            <w:shd w:val="clear" w:color="auto" w:fill="auto"/>
            <w:vAlign w:val="center"/>
            <w:hideMark/>
          </w:tcPr>
          <w:p w14:paraId="21916647" w14:textId="77777777" w:rsidR="009F11F0" w:rsidRPr="009F11F0" w:rsidRDefault="009F11F0" w:rsidP="00EC7D22">
            <w:pPr>
              <w:suppressAutoHyphens w:val="0"/>
              <w:overflowPunct/>
              <w:spacing w:after="0" w:line="240" w:lineRule="auto"/>
              <w:jc w:val="right"/>
              <w:rPr>
                <w:rFonts w:eastAsia="Times New Roman" w:cs="Calibri"/>
                <w:color w:val="000000"/>
                <w:sz w:val="14"/>
                <w:szCs w:val="14"/>
                <w:lang w:eastAsia="es-MX"/>
              </w:rPr>
            </w:pPr>
            <w:r w:rsidRPr="009F11F0">
              <w:rPr>
                <w:rFonts w:eastAsia="Times New Roman" w:cs="Calibri"/>
                <w:color w:val="000000"/>
                <w:sz w:val="14"/>
                <w:szCs w:val="14"/>
                <w:lang w:eastAsia="es-MX"/>
              </w:rPr>
              <w:t>81,510,014</w:t>
            </w:r>
          </w:p>
        </w:tc>
      </w:tr>
      <w:tr w:rsidR="009F11F0" w:rsidRPr="009F11F0" w14:paraId="09BC27AF" w14:textId="77777777" w:rsidTr="009F11F0">
        <w:trPr>
          <w:trHeight w:val="360"/>
        </w:trPr>
        <w:tc>
          <w:tcPr>
            <w:tcW w:w="4467" w:type="dxa"/>
            <w:tcBorders>
              <w:top w:val="nil"/>
              <w:left w:val="single" w:sz="4" w:space="0" w:color="auto"/>
              <w:bottom w:val="single" w:sz="4" w:space="0" w:color="auto"/>
              <w:right w:val="single" w:sz="4" w:space="0" w:color="auto"/>
            </w:tcBorders>
            <w:shd w:val="clear" w:color="F8CBAD" w:fill="DDC9A3"/>
            <w:vAlign w:val="center"/>
            <w:hideMark/>
          </w:tcPr>
          <w:p w14:paraId="377CD388" w14:textId="77777777" w:rsidR="009F11F0" w:rsidRPr="009F11F0" w:rsidRDefault="009F11F0" w:rsidP="00EC7D22">
            <w:pPr>
              <w:suppressAutoHyphens w:val="0"/>
              <w:overflowPunct/>
              <w:spacing w:after="0" w:line="240" w:lineRule="auto"/>
              <w:jc w:val="center"/>
              <w:rPr>
                <w:rFonts w:eastAsia="Times New Roman" w:cs="Calibri"/>
                <w:b/>
                <w:bCs/>
                <w:color w:val="000000"/>
                <w:sz w:val="16"/>
                <w:szCs w:val="16"/>
                <w:lang w:eastAsia="es-MX"/>
              </w:rPr>
            </w:pPr>
            <w:r w:rsidRPr="009F11F0">
              <w:rPr>
                <w:rFonts w:eastAsia="Times New Roman" w:cs="Calibri"/>
                <w:b/>
                <w:bCs/>
                <w:color w:val="000000"/>
                <w:sz w:val="16"/>
                <w:szCs w:val="16"/>
                <w:lang w:eastAsia="es-MX"/>
              </w:rPr>
              <w:t>TOTAL</w:t>
            </w:r>
          </w:p>
        </w:tc>
        <w:tc>
          <w:tcPr>
            <w:tcW w:w="1652" w:type="dxa"/>
            <w:tcBorders>
              <w:top w:val="nil"/>
              <w:left w:val="nil"/>
              <w:bottom w:val="single" w:sz="4" w:space="0" w:color="auto"/>
              <w:right w:val="single" w:sz="4" w:space="0" w:color="auto"/>
            </w:tcBorders>
            <w:shd w:val="clear" w:color="F8CBAD" w:fill="DDC9A3"/>
            <w:vAlign w:val="center"/>
            <w:hideMark/>
          </w:tcPr>
          <w:p w14:paraId="4ACBDBCD" w14:textId="77777777" w:rsidR="009F11F0" w:rsidRPr="009F11F0" w:rsidRDefault="009F11F0" w:rsidP="00EC7D22">
            <w:pPr>
              <w:suppressAutoHyphens w:val="0"/>
              <w:overflowPunct/>
              <w:spacing w:after="0" w:line="240" w:lineRule="auto"/>
              <w:jc w:val="right"/>
              <w:rPr>
                <w:rFonts w:eastAsia="Times New Roman" w:cs="Calibri"/>
                <w:b/>
                <w:bCs/>
                <w:color w:val="000000"/>
                <w:sz w:val="16"/>
                <w:szCs w:val="16"/>
                <w:lang w:eastAsia="es-MX"/>
              </w:rPr>
            </w:pPr>
            <w:r w:rsidRPr="009F11F0">
              <w:rPr>
                <w:rFonts w:eastAsia="Times New Roman" w:cs="Calibri"/>
                <w:b/>
                <w:bCs/>
                <w:color w:val="000000"/>
                <w:sz w:val="16"/>
                <w:szCs w:val="16"/>
                <w:lang w:eastAsia="es-MX"/>
              </w:rPr>
              <w:t>163,020,028</w:t>
            </w:r>
          </w:p>
        </w:tc>
      </w:tr>
    </w:tbl>
    <w:p w14:paraId="6576AED1" w14:textId="77777777" w:rsidR="00AA4AEA" w:rsidRDefault="00AA4AEA" w:rsidP="00EC7D22">
      <w:pPr>
        <w:spacing w:after="0" w:line="240" w:lineRule="auto"/>
        <w:rPr>
          <w:rFonts w:cs="Calibri"/>
          <w:b/>
          <w:sz w:val="20"/>
          <w:u w:val="single"/>
          <w:lang w:val="es-ES" w:eastAsia="es-ES"/>
        </w:rPr>
      </w:pPr>
    </w:p>
    <w:p w14:paraId="4E2535C8" w14:textId="77777777" w:rsidR="000C429E" w:rsidRDefault="000C429E" w:rsidP="00EC7D22">
      <w:pPr>
        <w:spacing w:after="0" w:line="240" w:lineRule="auto"/>
        <w:rPr>
          <w:rFonts w:cs="Calibri"/>
          <w:b/>
          <w:sz w:val="20"/>
          <w:u w:val="single"/>
          <w:lang w:val="es-ES" w:eastAsia="es-ES"/>
        </w:rPr>
      </w:pPr>
    </w:p>
    <w:p w14:paraId="4D3CE5D1" w14:textId="77777777" w:rsidR="005B1AB1" w:rsidRPr="000C429E" w:rsidRDefault="005B1AB1" w:rsidP="00EC7D22">
      <w:pPr>
        <w:spacing w:after="0" w:line="240" w:lineRule="auto"/>
        <w:rPr>
          <w:rFonts w:cs="Calibri"/>
          <w:b/>
          <w:sz w:val="20"/>
          <w:u w:val="single"/>
          <w:lang w:val="es-ES" w:eastAsia="es-ES"/>
        </w:rPr>
      </w:pPr>
    </w:p>
    <w:p w14:paraId="68BC599A" w14:textId="2E83396C" w:rsidR="007745EB" w:rsidRDefault="00C87FDA" w:rsidP="00EC7D22">
      <w:pPr>
        <w:pStyle w:val="Prrafodelista"/>
        <w:spacing w:after="0" w:line="240" w:lineRule="auto"/>
        <w:ind w:left="0"/>
        <w:rPr>
          <w:rFonts w:cs="Calibri"/>
          <w:b/>
          <w:sz w:val="20"/>
          <w:u w:val="single"/>
          <w:lang w:val="es-ES" w:eastAsia="es-ES"/>
        </w:rPr>
      </w:pPr>
      <w:r w:rsidRPr="00D03069">
        <w:rPr>
          <w:rFonts w:cs="Calibri"/>
          <w:b/>
          <w:sz w:val="20"/>
          <w:u w:val="single"/>
          <w:lang w:val="es-ES" w:eastAsia="es-ES"/>
        </w:rPr>
        <w:lastRenderedPageBreak/>
        <w:t>Otros Pasivos</w:t>
      </w:r>
    </w:p>
    <w:p w14:paraId="0F5341D3" w14:textId="77777777" w:rsidR="009B4AFE" w:rsidRDefault="009B4AFE" w:rsidP="00EC7D22">
      <w:pPr>
        <w:pStyle w:val="Prrafodelista"/>
        <w:spacing w:after="0" w:line="240" w:lineRule="auto"/>
        <w:ind w:left="0"/>
        <w:rPr>
          <w:rFonts w:cs="Calibri"/>
          <w:b/>
          <w:sz w:val="20"/>
          <w:u w:val="single"/>
          <w:lang w:val="es-ES" w:eastAsia="es-ES"/>
        </w:rPr>
      </w:pPr>
    </w:p>
    <w:tbl>
      <w:tblPr>
        <w:tblW w:w="6087" w:type="dxa"/>
        <w:tblCellMar>
          <w:left w:w="70" w:type="dxa"/>
          <w:right w:w="70" w:type="dxa"/>
        </w:tblCellMar>
        <w:tblLook w:val="04A0" w:firstRow="1" w:lastRow="0" w:firstColumn="1" w:lastColumn="0" w:noHBand="0" w:noVBand="1"/>
      </w:tblPr>
      <w:tblGrid>
        <w:gridCol w:w="4224"/>
        <w:gridCol w:w="1863"/>
      </w:tblGrid>
      <w:tr w:rsidR="009B4AFE" w:rsidRPr="009B4AFE" w14:paraId="419D5F0E" w14:textId="77777777" w:rsidTr="008F620D">
        <w:trPr>
          <w:trHeight w:val="454"/>
        </w:trPr>
        <w:tc>
          <w:tcPr>
            <w:tcW w:w="4224"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5ABCA8F7" w14:textId="77777777" w:rsidR="009B4AFE" w:rsidRPr="009B4AFE" w:rsidRDefault="009B4AFE" w:rsidP="00EC7D22">
            <w:pPr>
              <w:suppressAutoHyphens w:val="0"/>
              <w:overflowPunct/>
              <w:spacing w:after="0" w:line="240" w:lineRule="auto"/>
              <w:jc w:val="center"/>
              <w:rPr>
                <w:rFonts w:eastAsia="Times New Roman" w:cs="Calibri"/>
                <w:b/>
                <w:bCs/>
                <w:color w:val="FFFFFF"/>
                <w:sz w:val="16"/>
                <w:szCs w:val="16"/>
                <w:lang w:eastAsia="es-MX"/>
              </w:rPr>
            </w:pPr>
            <w:r w:rsidRPr="009B4AFE">
              <w:rPr>
                <w:rFonts w:eastAsia="Times New Roman" w:cs="Calibri"/>
                <w:b/>
                <w:bCs/>
                <w:color w:val="FFFFFF"/>
                <w:sz w:val="16"/>
                <w:szCs w:val="16"/>
                <w:lang w:eastAsia="es-MX"/>
              </w:rPr>
              <w:t>Otros Pasivos a Corto Plazo</w:t>
            </w:r>
          </w:p>
        </w:tc>
        <w:tc>
          <w:tcPr>
            <w:tcW w:w="1863" w:type="dxa"/>
            <w:tcBorders>
              <w:top w:val="single" w:sz="4" w:space="0" w:color="auto"/>
              <w:left w:val="nil"/>
              <w:bottom w:val="single" w:sz="4" w:space="0" w:color="auto"/>
              <w:right w:val="single" w:sz="4" w:space="0" w:color="auto"/>
            </w:tcBorders>
            <w:shd w:val="clear" w:color="800080" w:fill="A90025"/>
            <w:vAlign w:val="center"/>
            <w:hideMark/>
          </w:tcPr>
          <w:p w14:paraId="12AAE845" w14:textId="77777777" w:rsidR="009B4AFE" w:rsidRPr="009B4AFE" w:rsidRDefault="009B4AFE" w:rsidP="00EC7D22">
            <w:pPr>
              <w:suppressAutoHyphens w:val="0"/>
              <w:overflowPunct/>
              <w:spacing w:after="0" w:line="240" w:lineRule="auto"/>
              <w:jc w:val="center"/>
              <w:rPr>
                <w:rFonts w:eastAsia="Times New Roman" w:cs="Calibri"/>
                <w:b/>
                <w:bCs/>
                <w:color w:val="FFFFFF"/>
                <w:sz w:val="16"/>
                <w:szCs w:val="16"/>
                <w:lang w:eastAsia="es-MX"/>
              </w:rPr>
            </w:pPr>
            <w:r w:rsidRPr="009B4AFE">
              <w:rPr>
                <w:rFonts w:eastAsia="Times New Roman" w:cs="Calibri"/>
                <w:b/>
                <w:bCs/>
                <w:color w:val="FFFFFF"/>
                <w:sz w:val="16"/>
                <w:szCs w:val="16"/>
                <w:lang w:eastAsia="es-MX"/>
              </w:rPr>
              <w:t xml:space="preserve">Importe </w:t>
            </w:r>
          </w:p>
        </w:tc>
      </w:tr>
      <w:tr w:rsidR="009B4AFE" w:rsidRPr="009B4AFE" w14:paraId="3A15C22D" w14:textId="77777777" w:rsidTr="009B4AFE">
        <w:trPr>
          <w:trHeight w:val="278"/>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4D547A92" w14:textId="77777777" w:rsidR="009B4AFE" w:rsidRPr="009B4AFE" w:rsidRDefault="009B4AFE" w:rsidP="00EC7D22">
            <w:pPr>
              <w:suppressAutoHyphens w:val="0"/>
              <w:overflowPunct/>
              <w:spacing w:after="0" w:line="240" w:lineRule="auto"/>
              <w:jc w:val="both"/>
              <w:rPr>
                <w:rFonts w:eastAsia="Times New Roman" w:cs="Calibri"/>
                <w:color w:val="000000"/>
                <w:sz w:val="14"/>
                <w:szCs w:val="14"/>
                <w:lang w:eastAsia="es-MX"/>
              </w:rPr>
            </w:pPr>
            <w:r w:rsidRPr="009B4AFE">
              <w:rPr>
                <w:rFonts w:eastAsia="Times New Roman" w:cs="Calibri"/>
                <w:color w:val="000000"/>
                <w:sz w:val="14"/>
                <w:szCs w:val="14"/>
                <w:lang w:eastAsia="es-MX"/>
              </w:rPr>
              <w:t>Ingresos por Clasificar</w:t>
            </w:r>
          </w:p>
        </w:tc>
        <w:tc>
          <w:tcPr>
            <w:tcW w:w="1863" w:type="dxa"/>
            <w:tcBorders>
              <w:top w:val="nil"/>
              <w:left w:val="nil"/>
              <w:bottom w:val="single" w:sz="4" w:space="0" w:color="auto"/>
              <w:right w:val="single" w:sz="4" w:space="0" w:color="auto"/>
            </w:tcBorders>
            <w:shd w:val="clear" w:color="auto" w:fill="auto"/>
            <w:vAlign w:val="center"/>
            <w:hideMark/>
          </w:tcPr>
          <w:p w14:paraId="3CEF0EC0" w14:textId="77777777" w:rsidR="009B4AFE" w:rsidRPr="009B4AFE" w:rsidRDefault="009B4AFE" w:rsidP="00EC7D22">
            <w:pPr>
              <w:suppressAutoHyphens w:val="0"/>
              <w:overflowPunct/>
              <w:spacing w:after="0" w:line="240" w:lineRule="auto"/>
              <w:jc w:val="right"/>
              <w:rPr>
                <w:rFonts w:eastAsia="Times New Roman" w:cs="Calibri"/>
                <w:color w:val="000000"/>
                <w:sz w:val="14"/>
                <w:szCs w:val="14"/>
                <w:lang w:eastAsia="es-MX"/>
              </w:rPr>
            </w:pPr>
            <w:r w:rsidRPr="009B4AFE">
              <w:rPr>
                <w:rFonts w:eastAsia="Times New Roman" w:cs="Calibri"/>
                <w:color w:val="000000"/>
                <w:sz w:val="14"/>
                <w:szCs w:val="14"/>
                <w:lang w:eastAsia="es-MX"/>
              </w:rPr>
              <w:t>1,913,266,484</w:t>
            </w:r>
          </w:p>
        </w:tc>
      </w:tr>
      <w:tr w:rsidR="009B4AFE" w:rsidRPr="009B4AFE" w14:paraId="580161B0" w14:textId="77777777" w:rsidTr="009B4AFE">
        <w:trPr>
          <w:trHeight w:val="278"/>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6FC71DCC" w14:textId="77777777" w:rsidR="009B4AFE" w:rsidRPr="009B4AFE" w:rsidRDefault="009B4AFE" w:rsidP="00EC7D22">
            <w:pPr>
              <w:suppressAutoHyphens w:val="0"/>
              <w:overflowPunct/>
              <w:spacing w:after="0" w:line="240" w:lineRule="auto"/>
              <w:jc w:val="both"/>
              <w:rPr>
                <w:rFonts w:eastAsia="Times New Roman" w:cs="Calibri"/>
                <w:color w:val="000000"/>
                <w:sz w:val="14"/>
                <w:szCs w:val="14"/>
                <w:lang w:eastAsia="es-MX"/>
              </w:rPr>
            </w:pPr>
            <w:r w:rsidRPr="009B4AFE">
              <w:rPr>
                <w:rFonts w:eastAsia="Times New Roman" w:cs="Calibri"/>
                <w:color w:val="000000"/>
                <w:sz w:val="14"/>
                <w:szCs w:val="14"/>
                <w:lang w:eastAsia="es-MX"/>
              </w:rPr>
              <w:t xml:space="preserve">Recaudación por Participar    </w:t>
            </w:r>
          </w:p>
        </w:tc>
        <w:tc>
          <w:tcPr>
            <w:tcW w:w="1863" w:type="dxa"/>
            <w:tcBorders>
              <w:top w:val="nil"/>
              <w:left w:val="nil"/>
              <w:bottom w:val="single" w:sz="4" w:space="0" w:color="auto"/>
              <w:right w:val="single" w:sz="4" w:space="0" w:color="auto"/>
            </w:tcBorders>
            <w:shd w:val="clear" w:color="auto" w:fill="auto"/>
            <w:vAlign w:val="center"/>
            <w:hideMark/>
          </w:tcPr>
          <w:p w14:paraId="44CF1910" w14:textId="77777777" w:rsidR="009B4AFE" w:rsidRPr="009B4AFE" w:rsidRDefault="009B4AFE" w:rsidP="00EC7D22">
            <w:pPr>
              <w:suppressAutoHyphens w:val="0"/>
              <w:overflowPunct/>
              <w:spacing w:after="0" w:line="240" w:lineRule="auto"/>
              <w:jc w:val="right"/>
              <w:rPr>
                <w:rFonts w:eastAsia="Times New Roman" w:cs="Calibri"/>
                <w:color w:val="000000"/>
                <w:sz w:val="14"/>
                <w:szCs w:val="14"/>
                <w:lang w:eastAsia="es-MX"/>
              </w:rPr>
            </w:pPr>
            <w:r w:rsidRPr="009B4AFE">
              <w:rPr>
                <w:rFonts w:eastAsia="Times New Roman" w:cs="Calibri"/>
                <w:color w:val="000000"/>
                <w:sz w:val="14"/>
                <w:szCs w:val="14"/>
                <w:lang w:eastAsia="es-MX"/>
              </w:rPr>
              <w:t>387,210</w:t>
            </w:r>
          </w:p>
        </w:tc>
      </w:tr>
      <w:tr w:rsidR="009B4AFE" w:rsidRPr="009B4AFE" w14:paraId="6FD9DE24" w14:textId="77777777" w:rsidTr="009B4AFE">
        <w:trPr>
          <w:trHeight w:val="320"/>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480D85D6" w14:textId="77777777" w:rsidR="009B4AFE" w:rsidRPr="009B4AFE" w:rsidRDefault="009B4AFE" w:rsidP="00EC7D22">
            <w:pPr>
              <w:suppressAutoHyphens w:val="0"/>
              <w:overflowPunct/>
              <w:spacing w:after="0" w:line="240" w:lineRule="auto"/>
              <w:jc w:val="both"/>
              <w:rPr>
                <w:rFonts w:eastAsia="Times New Roman" w:cs="Calibri"/>
                <w:color w:val="000000"/>
                <w:sz w:val="14"/>
                <w:szCs w:val="14"/>
                <w:lang w:eastAsia="es-MX"/>
              </w:rPr>
            </w:pPr>
            <w:r w:rsidRPr="009B4AFE">
              <w:rPr>
                <w:rFonts w:eastAsia="Times New Roman" w:cs="Calibri"/>
                <w:color w:val="000000"/>
                <w:sz w:val="14"/>
                <w:szCs w:val="14"/>
                <w:lang w:eastAsia="es-MX"/>
              </w:rPr>
              <w:t>Otros Pasivos Circulantes</w:t>
            </w:r>
          </w:p>
        </w:tc>
        <w:tc>
          <w:tcPr>
            <w:tcW w:w="1863" w:type="dxa"/>
            <w:tcBorders>
              <w:top w:val="nil"/>
              <w:left w:val="nil"/>
              <w:bottom w:val="single" w:sz="4" w:space="0" w:color="auto"/>
              <w:right w:val="single" w:sz="4" w:space="0" w:color="auto"/>
            </w:tcBorders>
            <w:shd w:val="clear" w:color="auto" w:fill="auto"/>
            <w:vAlign w:val="center"/>
            <w:hideMark/>
          </w:tcPr>
          <w:p w14:paraId="49D447F8" w14:textId="77777777" w:rsidR="009B4AFE" w:rsidRPr="009B4AFE" w:rsidRDefault="009B4AFE" w:rsidP="00EC7D22">
            <w:pPr>
              <w:suppressAutoHyphens w:val="0"/>
              <w:overflowPunct/>
              <w:spacing w:after="0" w:line="240" w:lineRule="auto"/>
              <w:jc w:val="right"/>
              <w:rPr>
                <w:rFonts w:eastAsia="Times New Roman" w:cs="Calibri"/>
                <w:color w:val="000000"/>
                <w:sz w:val="14"/>
                <w:szCs w:val="14"/>
                <w:lang w:eastAsia="es-MX"/>
              </w:rPr>
            </w:pPr>
            <w:r w:rsidRPr="009B4AFE">
              <w:rPr>
                <w:rFonts w:eastAsia="Times New Roman" w:cs="Calibri"/>
                <w:color w:val="000000"/>
                <w:sz w:val="14"/>
                <w:szCs w:val="14"/>
                <w:lang w:eastAsia="es-MX"/>
              </w:rPr>
              <w:t>11,210,688</w:t>
            </w:r>
          </w:p>
        </w:tc>
      </w:tr>
      <w:tr w:rsidR="009B4AFE" w:rsidRPr="009B4AFE" w14:paraId="0F9C774E" w14:textId="77777777" w:rsidTr="009B4AFE">
        <w:trPr>
          <w:trHeight w:val="256"/>
        </w:trPr>
        <w:tc>
          <w:tcPr>
            <w:tcW w:w="4224" w:type="dxa"/>
            <w:tcBorders>
              <w:top w:val="nil"/>
              <w:left w:val="single" w:sz="4" w:space="0" w:color="auto"/>
              <w:bottom w:val="single" w:sz="4" w:space="0" w:color="auto"/>
              <w:right w:val="single" w:sz="4" w:space="0" w:color="auto"/>
            </w:tcBorders>
            <w:shd w:val="clear" w:color="F8CBAD" w:fill="DDC9A3"/>
            <w:vAlign w:val="center"/>
            <w:hideMark/>
          </w:tcPr>
          <w:p w14:paraId="142BFE3F" w14:textId="77777777" w:rsidR="009B4AFE" w:rsidRPr="009B4AFE" w:rsidRDefault="009B4AFE" w:rsidP="00EC7D22">
            <w:pPr>
              <w:suppressAutoHyphens w:val="0"/>
              <w:overflowPunct/>
              <w:spacing w:after="0" w:line="240" w:lineRule="auto"/>
              <w:jc w:val="center"/>
              <w:rPr>
                <w:rFonts w:eastAsia="Times New Roman" w:cs="Calibri"/>
                <w:b/>
                <w:bCs/>
                <w:color w:val="000000"/>
                <w:sz w:val="16"/>
                <w:szCs w:val="16"/>
                <w:lang w:eastAsia="es-MX"/>
              </w:rPr>
            </w:pPr>
            <w:r w:rsidRPr="009B4AFE">
              <w:rPr>
                <w:rFonts w:eastAsia="Times New Roman" w:cs="Calibri"/>
                <w:b/>
                <w:bCs/>
                <w:color w:val="000000"/>
                <w:sz w:val="16"/>
                <w:szCs w:val="16"/>
                <w:lang w:eastAsia="es-MX"/>
              </w:rPr>
              <w:t>TOTAL</w:t>
            </w:r>
          </w:p>
        </w:tc>
        <w:tc>
          <w:tcPr>
            <w:tcW w:w="1863" w:type="dxa"/>
            <w:tcBorders>
              <w:top w:val="nil"/>
              <w:left w:val="nil"/>
              <w:bottom w:val="single" w:sz="4" w:space="0" w:color="auto"/>
              <w:right w:val="single" w:sz="4" w:space="0" w:color="auto"/>
            </w:tcBorders>
            <w:shd w:val="clear" w:color="F8CBAD" w:fill="DDC9A3"/>
            <w:vAlign w:val="center"/>
            <w:hideMark/>
          </w:tcPr>
          <w:p w14:paraId="76C57167" w14:textId="77777777" w:rsidR="009B4AFE" w:rsidRPr="009B4AFE" w:rsidRDefault="009B4AFE" w:rsidP="00EC7D22">
            <w:pPr>
              <w:suppressAutoHyphens w:val="0"/>
              <w:overflowPunct/>
              <w:spacing w:after="0" w:line="240" w:lineRule="auto"/>
              <w:jc w:val="right"/>
              <w:rPr>
                <w:rFonts w:eastAsia="Times New Roman" w:cs="Calibri"/>
                <w:b/>
                <w:bCs/>
                <w:color w:val="000000"/>
                <w:sz w:val="16"/>
                <w:szCs w:val="16"/>
                <w:lang w:eastAsia="es-MX"/>
              </w:rPr>
            </w:pPr>
            <w:r w:rsidRPr="009B4AFE">
              <w:rPr>
                <w:rFonts w:eastAsia="Times New Roman" w:cs="Calibri"/>
                <w:b/>
                <w:bCs/>
                <w:color w:val="000000"/>
                <w:sz w:val="16"/>
                <w:szCs w:val="16"/>
                <w:lang w:eastAsia="es-MX"/>
              </w:rPr>
              <w:t>1,924,864,382</w:t>
            </w:r>
          </w:p>
        </w:tc>
      </w:tr>
    </w:tbl>
    <w:p w14:paraId="0D0E9286" w14:textId="77777777" w:rsidR="009B4AFE" w:rsidRDefault="009B4AFE" w:rsidP="00EC7D22">
      <w:pPr>
        <w:pStyle w:val="Prrafodelista"/>
        <w:spacing w:after="0" w:line="240" w:lineRule="auto"/>
        <w:ind w:left="0"/>
        <w:rPr>
          <w:rFonts w:cs="Calibri"/>
          <w:b/>
          <w:sz w:val="20"/>
          <w:u w:val="single"/>
          <w:lang w:val="es-ES" w:eastAsia="es-ES"/>
        </w:rPr>
      </w:pPr>
    </w:p>
    <w:p w14:paraId="43127191" w14:textId="77777777" w:rsidR="007745EB" w:rsidRPr="000B130C" w:rsidRDefault="00C87FDA" w:rsidP="00EC7D22">
      <w:pPr>
        <w:spacing w:after="0"/>
        <w:jc w:val="both"/>
        <w:rPr>
          <w:rFonts w:cs="Calibri"/>
          <w:sz w:val="20"/>
          <w:szCs w:val="20"/>
          <w:lang w:val="es-ES" w:eastAsia="es-ES"/>
        </w:rPr>
      </w:pPr>
      <w:r w:rsidRPr="000B130C">
        <w:rPr>
          <w:rFonts w:cs="Calibri"/>
          <w:sz w:val="20"/>
          <w:szCs w:val="20"/>
          <w:lang w:val="es-ES" w:eastAsia="es-ES"/>
        </w:rPr>
        <w:t xml:space="preserve">En la cuenta de Ingresos por clasificar se integra el anticipo de recursos establecido en el Convenio de Colaboración Administrativa en Materia Fiscal Federal en la Cláusula Vigésima Cuarta, perteneciente a la Sección IV referente a la Rendición de Cuenta Mensual Comprobada de Ingresos Coordinados y del Sistema de Compensación de Fondos, la cual establece que la Secretaría de Hacienda y Crédito Público (S.H.C.P.) a través de la Tesorería de la Federación, cubrirá mensualmente a la Entidad los anticipos a cuenta de Participaciones en el Fondo General de Participaciones., cabe hacer mención que dicho anticipo no constituye para el Gobierno del Estado un Pasivo real a cubrirse. </w:t>
      </w:r>
    </w:p>
    <w:p w14:paraId="359BB0BA" w14:textId="77777777" w:rsidR="007745EB" w:rsidRDefault="007745EB" w:rsidP="00EC7D22">
      <w:pPr>
        <w:spacing w:after="0"/>
        <w:jc w:val="both"/>
        <w:rPr>
          <w:rFonts w:cs="Calibri"/>
          <w:sz w:val="18"/>
          <w:lang w:val="es-ES" w:eastAsia="es-ES"/>
        </w:rPr>
      </w:pPr>
    </w:p>
    <w:tbl>
      <w:tblPr>
        <w:tblW w:w="6277" w:type="dxa"/>
        <w:tblCellMar>
          <w:left w:w="70" w:type="dxa"/>
          <w:right w:w="70" w:type="dxa"/>
        </w:tblCellMar>
        <w:tblLook w:val="04A0" w:firstRow="1" w:lastRow="0" w:firstColumn="1" w:lastColumn="0" w:noHBand="0" w:noVBand="1"/>
      </w:tblPr>
      <w:tblGrid>
        <w:gridCol w:w="4129"/>
        <w:gridCol w:w="2148"/>
      </w:tblGrid>
      <w:tr w:rsidR="005C70A2" w:rsidRPr="005C70A2" w14:paraId="3FDBC347" w14:textId="77777777" w:rsidTr="008F620D">
        <w:trPr>
          <w:trHeight w:val="454"/>
        </w:trPr>
        <w:tc>
          <w:tcPr>
            <w:tcW w:w="4129"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0593EE38" w14:textId="77777777" w:rsidR="005C70A2" w:rsidRPr="005C70A2" w:rsidRDefault="005C70A2" w:rsidP="00EC7D22">
            <w:pPr>
              <w:suppressAutoHyphens w:val="0"/>
              <w:overflowPunct/>
              <w:spacing w:after="0" w:line="240" w:lineRule="auto"/>
              <w:jc w:val="center"/>
              <w:rPr>
                <w:rFonts w:eastAsia="Times New Roman" w:cs="Calibri"/>
                <w:b/>
                <w:bCs/>
                <w:color w:val="FFFFFF"/>
                <w:sz w:val="16"/>
                <w:szCs w:val="16"/>
                <w:lang w:eastAsia="es-MX"/>
              </w:rPr>
            </w:pPr>
            <w:r w:rsidRPr="005C70A2">
              <w:rPr>
                <w:rFonts w:eastAsia="Times New Roman" w:cs="Calibri"/>
                <w:b/>
                <w:bCs/>
                <w:color w:val="FFFFFF"/>
                <w:sz w:val="16"/>
                <w:szCs w:val="16"/>
                <w:lang w:eastAsia="es-MX"/>
              </w:rPr>
              <w:t xml:space="preserve">Otros </w:t>
            </w:r>
            <w:proofErr w:type="spellStart"/>
            <w:r w:rsidRPr="005C70A2">
              <w:rPr>
                <w:rFonts w:eastAsia="Times New Roman" w:cs="Calibri"/>
                <w:b/>
                <w:bCs/>
                <w:color w:val="FFFFFF"/>
                <w:sz w:val="16"/>
                <w:szCs w:val="16"/>
                <w:lang w:eastAsia="es-MX"/>
              </w:rPr>
              <w:t>Documenetos</w:t>
            </w:r>
            <w:proofErr w:type="spellEnd"/>
            <w:r w:rsidRPr="005C70A2">
              <w:rPr>
                <w:rFonts w:eastAsia="Times New Roman" w:cs="Calibri"/>
                <w:b/>
                <w:bCs/>
                <w:color w:val="FFFFFF"/>
                <w:sz w:val="16"/>
                <w:szCs w:val="16"/>
                <w:lang w:eastAsia="es-MX"/>
              </w:rPr>
              <w:t xml:space="preserve"> por Pagar a Largo Plazo.</w:t>
            </w:r>
          </w:p>
        </w:tc>
        <w:tc>
          <w:tcPr>
            <w:tcW w:w="2148" w:type="dxa"/>
            <w:tcBorders>
              <w:top w:val="single" w:sz="4" w:space="0" w:color="auto"/>
              <w:left w:val="nil"/>
              <w:bottom w:val="single" w:sz="4" w:space="0" w:color="auto"/>
              <w:right w:val="single" w:sz="4" w:space="0" w:color="auto"/>
            </w:tcBorders>
            <w:shd w:val="clear" w:color="800080" w:fill="A90025"/>
            <w:vAlign w:val="center"/>
            <w:hideMark/>
          </w:tcPr>
          <w:p w14:paraId="1726A02E" w14:textId="77777777" w:rsidR="005C70A2" w:rsidRPr="005C70A2" w:rsidRDefault="005C70A2" w:rsidP="00EC7D22">
            <w:pPr>
              <w:suppressAutoHyphens w:val="0"/>
              <w:overflowPunct/>
              <w:spacing w:after="0" w:line="240" w:lineRule="auto"/>
              <w:jc w:val="center"/>
              <w:rPr>
                <w:rFonts w:eastAsia="Times New Roman" w:cs="Calibri"/>
                <w:b/>
                <w:bCs/>
                <w:color w:val="FFFFFF"/>
                <w:sz w:val="16"/>
                <w:szCs w:val="16"/>
                <w:lang w:eastAsia="es-MX"/>
              </w:rPr>
            </w:pPr>
            <w:r w:rsidRPr="005C70A2">
              <w:rPr>
                <w:rFonts w:eastAsia="Times New Roman" w:cs="Calibri"/>
                <w:b/>
                <w:bCs/>
                <w:color w:val="FFFFFF"/>
                <w:sz w:val="16"/>
                <w:szCs w:val="16"/>
                <w:lang w:eastAsia="es-MX"/>
              </w:rPr>
              <w:t xml:space="preserve">Importe </w:t>
            </w:r>
          </w:p>
        </w:tc>
      </w:tr>
      <w:tr w:rsidR="005C70A2" w:rsidRPr="005C70A2" w14:paraId="350BB29F" w14:textId="77777777" w:rsidTr="005C70A2">
        <w:trPr>
          <w:trHeight w:val="446"/>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6CDF47F7" w14:textId="77777777" w:rsidR="005C70A2" w:rsidRPr="005C70A2" w:rsidRDefault="005C70A2" w:rsidP="00EC7D22">
            <w:pPr>
              <w:suppressAutoHyphens w:val="0"/>
              <w:overflowPunct/>
              <w:spacing w:after="0" w:line="240" w:lineRule="auto"/>
              <w:jc w:val="both"/>
              <w:rPr>
                <w:rFonts w:eastAsia="Times New Roman" w:cs="Calibri"/>
                <w:color w:val="000000"/>
                <w:sz w:val="14"/>
                <w:szCs w:val="14"/>
                <w:lang w:eastAsia="es-MX"/>
              </w:rPr>
            </w:pPr>
            <w:r w:rsidRPr="005C70A2">
              <w:rPr>
                <w:rFonts w:eastAsia="Times New Roman" w:cs="Calibri"/>
                <w:color w:val="000000"/>
                <w:sz w:val="14"/>
                <w:szCs w:val="14"/>
                <w:lang w:eastAsia="es-MX"/>
              </w:rPr>
              <w:t>Convenio IPSSET</w:t>
            </w:r>
          </w:p>
        </w:tc>
        <w:tc>
          <w:tcPr>
            <w:tcW w:w="2148" w:type="dxa"/>
            <w:tcBorders>
              <w:top w:val="nil"/>
              <w:left w:val="nil"/>
              <w:bottom w:val="single" w:sz="4" w:space="0" w:color="auto"/>
              <w:right w:val="single" w:sz="4" w:space="0" w:color="auto"/>
            </w:tcBorders>
            <w:shd w:val="clear" w:color="auto" w:fill="auto"/>
            <w:vAlign w:val="center"/>
            <w:hideMark/>
          </w:tcPr>
          <w:p w14:paraId="4CD8D261" w14:textId="77777777" w:rsidR="005C70A2" w:rsidRPr="005C70A2" w:rsidRDefault="005C70A2" w:rsidP="00EC7D22">
            <w:pPr>
              <w:suppressAutoHyphens w:val="0"/>
              <w:overflowPunct/>
              <w:spacing w:after="0" w:line="240" w:lineRule="auto"/>
              <w:jc w:val="right"/>
              <w:rPr>
                <w:rFonts w:eastAsia="Times New Roman" w:cs="Calibri"/>
                <w:color w:val="000000"/>
                <w:sz w:val="14"/>
                <w:szCs w:val="14"/>
                <w:lang w:eastAsia="es-MX"/>
              </w:rPr>
            </w:pPr>
            <w:r w:rsidRPr="005C70A2">
              <w:rPr>
                <w:rFonts w:eastAsia="Times New Roman" w:cs="Calibri"/>
                <w:color w:val="000000"/>
                <w:sz w:val="14"/>
                <w:szCs w:val="14"/>
                <w:lang w:eastAsia="es-MX"/>
              </w:rPr>
              <w:t>1,041,388,315</w:t>
            </w:r>
          </w:p>
        </w:tc>
      </w:tr>
      <w:tr w:rsidR="005C70A2" w:rsidRPr="005C70A2" w14:paraId="0A2A6C00" w14:textId="77777777" w:rsidTr="005C70A2">
        <w:trPr>
          <w:trHeight w:val="372"/>
        </w:trPr>
        <w:tc>
          <w:tcPr>
            <w:tcW w:w="4129" w:type="dxa"/>
            <w:tcBorders>
              <w:top w:val="nil"/>
              <w:left w:val="single" w:sz="4" w:space="0" w:color="auto"/>
              <w:bottom w:val="single" w:sz="4" w:space="0" w:color="auto"/>
              <w:right w:val="single" w:sz="4" w:space="0" w:color="auto"/>
            </w:tcBorders>
            <w:shd w:val="clear" w:color="F8CBAD" w:fill="DDC9A3"/>
            <w:vAlign w:val="center"/>
            <w:hideMark/>
          </w:tcPr>
          <w:p w14:paraId="1CD0605F" w14:textId="77777777" w:rsidR="005C70A2" w:rsidRPr="005C70A2" w:rsidRDefault="005C70A2" w:rsidP="00EC7D22">
            <w:pPr>
              <w:suppressAutoHyphens w:val="0"/>
              <w:overflowPunct/>
              <w:spacing w:after="0" w:line="240" w:lineRule="auto"/>
              <w:jc w:val="center"/>
              <w:rPr>
                <w:rFonts w:eastAsia="Times New Roman" w:cs="Calibri"/>
                <w:b/>
                <w:bCs/>
                <w:color w:val="000000"/>
                <w:sz w:val="14"/>
                <w:szCs w:val="14"/>
                <w:lang w:eastAsia="es-MX"/>
              </w:rPr>
            </w:pPr>
            <w:r w:rsidRPr="005C70A2">
              <w:rPr>
                <w:rFonts w:eastAsia="Times New Roman" w:cs="Calibri"/>
                <w:b/>
                <w:bCs/>
                <w:color w:val="000000"/>
                <w:sz w:val="14"/>
                <w:szCs w:val="14"/>
                <w:lang w:eastAsia="es-MX"/>
              </w:rPr>
              <w:t>TOTAL</w:t>
            </w:r>
          </w:p>
        </w:tc>
        <w:tc>
          <w:tcPr>
            <w:tcW w:w="2148" w:type="dxa"/>
            <w:tcBorders>
              <w:top w:val="nil"/>
              <w:left w:val="nil"/>
              <w:bottom w:val="single" w:sz="4" w:space="0" w:color="auto"/>
              <w:right w:val="single" w:sz="4" w:space="0" w:color="auto"/>
            </w:tcBorders>
            <w:shd w:val="clear" w:color="F8CBAD" w:fill="DDC9A3"/>
            <w:vAlign w:val="center"/>
            <w:hideMark/>
          </w:tcPr>
          <w:p w14:paraId="010DD17D" w14:textId="77777777" w:rsidR="005C70A2" w:rsidRPr="005C70A2" w:rsidRDefault="005C70A2" w:rsidP="00EC7D22">
            <w:pPr>
              <w:suppressAutoHyphens w:val="0"/>
              <w:overflowPunct/>
              <w:spacing w:after="0" w:line="240" w:lineRule="auto"/>
              <w:jc w:val="right"/>
              <w:rPr>
                <w:rFonts w:eastAsia="Times New Roman" w:cs="Calibri"/>
                <w:b/>
                <w:bCs/>
                <w:color w:val="000000"/>
                <w:sz w:val="14"/>
                <w:szCs w:val="14"/>
                <w:lang w:eastAsia="es-MX"/>
              </w:rPr>
            </w:pPr>
            <w:r w:rsidRPr="005C70A2">
              <w:rPr>
                <w:rFonts w:eastAsia="Times New Roman" w:cs="Calibri"/>
                <w:b/>
                <w:bCs/>
                <w:color w:val="000000"/>
                <w:sz w:val="14"/>
                <w:szCs w:val="14"/>
                <w:lang w:eastAsia="es-MX"/>
              </w:rPr>
              <w:t>1,041,388,315</w:t>
            </w:r>
          </w:p>
        </w:tc>
      </w:tr>
    </w:tbl>
    <w:p w14:paraId="120621AA" w14:textId="77777777" w:rsidR="005C70A2" w:rsidRDefault="005C70A2" w:rsidP="00EC7D22">
      <w:pPr>
        <w:spacing w:after="0"/>
        <w:jc w:val="both"/>
        <w:rPr>
          <w:rFonts w:cs="Calibri"/>
          <w:sz w:val="18"/>
          <w:lang w:val="es-ES" w:eastAsia="es-ES"/>
        </w:rPr>
      </w:pPr>
    </w:p>
    <w:p w14:paraId="1B57F2D6" w14:textId="77777777" w:rsidR="007745EB" w:rsidRPr="000B130C" w:rsidRDefault="00C87FDA" w:rsidP="00EC7D22">
      <w:pPr>
        <w:spacing w:after="0"/>
        <w:jc w:val="both"/>
        <w:rPr>
          <w:rFonts w:cs="Calibri"/>
          <w:sz w:val="20"/>
          <w:szCs w:val="20"/>
          <w:lang w:val="es-ES" w:eastAsia="es-ES"/>
        </w:rPr>
      </w:pPr>
      <w:r w:rsidRPr="000B130C">
        <w:rPr>
          <w:rFonts w:cs="Calibri"/>
          <w:sz w:val="20"/>
          <w:szCs w:val="20"/>
          <w:lang w:val="es-ES" w:eastAsia="es-ES"/>
        </w:rPr>
        <w:t>Esta cuenta representa el saldo a largo plazo del Convenio sobre pago diferido de Prestaciones, Cuotas y Aportaciones de Seguridad Social, celebrado entre el gobierno del estado y el Instituto de Previsión y Seguridad Social del Estado de Tamaulipas.</w:t>
      </w:r>
    </w:p>
    <w:p w14:paraId="16A0A2BD" w14:textId="77777777" w:rsidR="007745EB" w:rsidRDefault="007745EB" w:rsidP="00EC7D22">
      <w:pPr>
        <w:spacing w:after="0" w:line="240" w:lineRule="auto"/>
        <w:jc w:val="both"/>
        <w:rPr>
          <w:rFonts w:cs="Calibri"/>
          <w:sz w:val="12"/>
          <w:szCs w:val="12"/>
          <w:lang w:val="es-ES" w:eastAsia="es-ES"/>
        </w:rPr>
      </w:pPr>
    </w:p>
    <w:p w14:paraId="2B8FE77B" w14:textId="1CFB45B2" w:rsidR="007745EB" w:rsidRDefault="004D0BC0" w:rsidP="004D0BC0">
      <w:pPr>
        <w:pStyle w:val="Prrafodelista"/>
        <w:numPr>
          <w:ilvl w:val="0"/>
          <w:numId w:val="17"/>
        </w:numPr>
        <w:tabs>
          <w:tab w:val="clear" w:pos="0"/>
        </w:tabs>
        <w:spacing w:after="0" w:line="240" w:lineRule="auto"/>
        <w:ind w:left="142" w:firstLine="0"/>
        <w:rPr>
          <w:rFonts w:cs="Calibri"/>
          <w:b/>
          <w:sz w:val="20"/>
          <w:szCs w:val="20"/>
          <w:lang w:val="es-ES" w:eastAsia="es-ES"/>
        </w:rPr>
      </w:pPr>
      <w:r>
        <w:rPr>
          <w:rFonts w:cs="Calibri"/>
          <w:b/>
          <w:sz w:val="20"/>
          <w:szCs w:val="20"/>
          <w:lang w:val="es-ES" w:eastAsia="es-ES"/>
        </w:rPr>
        <w:t xml:space="preserve">  </w:t>
      </w:r>
      <w:r w:rsidR="00C87FDA">
        <w:rPr>
          <w:rFonts w:cs="Calibri"/>
          <w:b/>
          <w:sz w:val="20"/>
          <w:szCs w:val="20"/>
          <w:lang w:val="es-ES" w:eastAsia="es-ES"/>
        </w:rPr>
        <w:t>Notas al Estado de Variación en la Hacienda Pública</w:t>
      </w:r>
    </w:p>
    <w:p w14:paraId="4AB023B6" w14:textId="77777777" w:rsidR="007745EB" w:rsidRDefault="007745EB" w:rsidP="00EC7D22">
      <w:pPr>
        <w:spacing w:after="0" w:line="240" w:lineRule="auto"/>
        <w:rPr>
          <w:rFonts w:cs="Calibri"/>
          <w:b/>
          <w:sz w:val="18"/>
          <w:lang w:val="es-ES" w:eastAsia="es-ES"/>
        </w:rPr>
      </w:pPr>
    </w:p>
    <w:p w14:paraId="6256E8A3" w14:textId="77777777" w:rsidR="007745EB" w:rsidRPr="000B130C" w:rsidRDefault="00C87FDA" w:rsidP="00EC7D22">
      <w:pPr>
        <w:numPr>
          <w:ilvl w:val="0"/>
          <w:numId w:val="11"/>
        </w:numPr>
        <w:spacing w:after="0" w:line="240" w:lineRule="auto"/>
        <w:ind w:left="0" w:firstLine="0"/>
        <w:jc w:val="both"/>
        <w:rPr>
          <w:rFonts w:eastAsia="Times New Roman" w:cs="Calibri"/>
          <w:sz w:val="20"/>
          <w:szCs w:val="20"/>
          <w:lang w:eastAsia="es-ES"/>
        </w:rPr>
      </w:pPr>
      <w:r w:rsidRPr="000B130C">
        <w:rPr>
          <w:rFonts w:eastAsia="Times New Roman" w:cs="Calibri"/>
          <w:sz w:val="20"/>
          <w:szCs w:val="20"/>
          <w:lang w:eastAsia="es-ES"/>
        </w:rPr>
        <w:t>En el Ejercicio se registró en la Hacienda Pública/Patrimonio Contribuido:</w:t>
      </w:r>
    </w:p>
    <w:p w14:paraId="3B27A828" w14:textId="77777777" w:rsidR="007745EB" w:rsidRPr="000B130C" w:rsidRDefault="007745EB" w:rsidP="00EC7D22">
      <w:pPr>
        <w:spacing w:after="0" w:line="240" w:lineRule="auto"/>
        <w:jc w:val="both"/>
        <w:rPr>
          <w:rFonts w:cs="Calibri"/>
          <w:sz w:val="20"/>
          <w:szCs w:val="20"/>
        </w:rPr>
      </w:pPr>
    </w:p>
    <w:p w14:paraId="7B6AD26E" w14:textId="53F988A9" w:rsidR="007745EB" w:rsidRPr="000B130C" w:rsidRDefault="00C87FDA" w:rsidP="00EC7D22">
      <w:pPr>
        <w:spacing w:after="0" w:line="240" w:lineRule="auto"/>
        <w:jc w:val="both"/>
        <w:rPr>
          <w:rFonts w:cs="Calibri"/>
          <w:sz w:val="20"/>
          <w:szCs w:val="20"/>
        </w:rPr>
      </w:pPr>
      <w:r w:rsidRPr="000B130C">
        <w:rPr>
          <w:rFonts w:cs="Calibri"/>
          <w:sz w:val="20"/>
          <w:szCs w:val="20"/>
        </w:rPr>
        <w:t>Un incremento de Aportaciones por la cantidad de $</w:t>
      </w:r>
      <w:r w:rsidR="0037623C">
        <w:rPr>
          <w:rFonts w:cs="Calibri"/>
          <w:sz w:val="20"/>
          <w:szCs w:val="20"/>
        </w:rPr>
        <w:t>210,570,893.</w:t>
      </w:r>
      <w:r w:rsidRPr="000B130C">
        <w:rPr>
          <w:rFonts w:cs="Calibri"/>
          <w:sz w:val="20"/>
          <w:szCs w:val="20"/>
        </w:rPr>
        <w:t>, dichas aportaciones registradas por el Fideicomiso del Puente de Nuevo Laredo III por concepto de la actualización de la aportación inicial del Gobierno del Estado Incremento del patrimonio.</w:t>
      </w:r>
    </w:p>
    <w:p w14:paraId="4C17C63D" w14:textId="77777777" w:rsidR="007745EB" w:rsidRPr="000B130C" w:rsidRDefault="007745EB" w:rsidP="00EC7D22">
      <w:pPr>
        <w:pStyle w:val="Prrafodelista"/>
        <w:spacing w:after="0" w:line="240" w:lineRule="auto"/>
        <w:ind w:left="0"/>
        <w:jc w:val="both"/>
        <w:rPr>
          <w:rFonts w:cs="Calibri"/>
          <w:sz w:val="20"/>
          <w:szCs w:val="20"/>
        </w:rPr>
      </w:pPr>
    </w:p>
    <w:p w14:paraId="3B688FBE" w14:textId="77777777" w:rsidR="007745EB" w:rsidRPr="000B130C" w:rsidRDefault="00C87FDA" w:rsidP="00EC7D22">
      <w:pPr>
        <w:pStyle w:val="Prrafodelista"/>
        <w:numPr>
          <w:ilvl w:val="0"/>
          <w:numId w:val="11"/>
        </w:numPr>
        <w:spacing w:after="0" w:line="240" w:lineRule="auto"/>
        <w:ind w:left="0" w:firstLine="0"/>
        <w:jc w:val="both"/>
        <w:rPr>
          <w:rFonts w:cs="Calibri"/>
          <w:sz w:val="20"/>
          <w:szCs w:val="20"/>
        </w:rPr>
      </w:pPr>
      <w:r w:rsidRPr="000B130C">
        <w:rPr>
          <w:rFonts w:cs="Calibri"/>
          <w:sz w:val="20"/>
          <w:szCs w:val="20"/>
        </w:rPr>
        <w:t>En Hacienda /Patrimonio Generado:</w:t>
      </w:r>
    </w:p>
    <w:p w14:paraId="3EA9ADF9" w14:textId="77777777" w:rsidR="00FE1D6D" w:rsidRDefault="00FE1D6D" w:rsidP="00EC7D22">
      <w:pPr>
        <w:spacing w:after="0"/>
        <w:jc w:val="both"/>
        <w:rPr>
          <w:rFonts w:cs="Calibri"/>
          <w:b/>
          <w:sz w:val="20"/>
          <w:szCs w:val="20"/>
        </w:rPr>
      </w:pPr>
    </w:p>
    <w:p w14:paraId="2158D45C" w14:textId="390CE493" w:rsidR="007745EB" w:rsidRPr="00D03069" w:rsidRDefault="00C87FDA" w:rsidP="00EC7D22">
      <w:pPr>
        <w:spacing w:after="0"/>
        <w:jc w:val="both"/>
        <w:rPr>
          <w:rFonts w:cs="Calibri"/>
          <w:b/>
          <w:sz w:val="20"/>
          <w:szCs w:val="20"/>
          <w:u w:val="single"/>
        </w:rPr>
      </w:pPr>
      <w:r w:rsidRPr="00D03069">
        <w:rPr>
          <w:rFonts w:cs="Calibri"/>
          <w:b/>
          <w:sz w:val="20"/>
          <w:szCs w:val="20"/>
          <w:u w:val="single"/>
        </w:rPr>
        <w:t>Resultado del Ejercicio (Ahorro/Desahorro)</w:t>
      </w:r>
    </w:p>
    <w:p w14:paraId="67D784CB" w14:textId="77777777" w:rsidR="007745EB" w:rsidRPr="000B130C" w:rsidRDefault="007745EB" w:rsidP="00EC7D22">
      <w:pPr>
        <w:spacing w:after="0"/>
        <w:jc w:val="both"/>
        <w:rPr>
          <w:rFonts w:cs="Calibri"/>
          <w:b/>
          <w:sz w:val="20"/>
          <w:szCs w:val="20"/>
        </w:rPr>
      </w:pPr>
    </w:p>
    <w:p w14:paraId="520E4280" w14:textId="584BBA72" w:rsidR="007745EB" w:rsidRDefault="00C87FDA" w:rsidP="00EC7D22">
      <w:pPr>
        <w:pStyle w:val="Prrafodelista"/>
        <w:numPr>
          <w:ilvl w:val="0"/>
          <w:numId w:val="66"/>
        </w:numPr>
        <w:spacing w:after="0"/>
        <w:ind w:left="0" w:firstLine="0"/>
        <w:jc w:val="both"/>
        <w:rPr>
          <w:rFonts w:cs="Calibri"/>
          <w:sz w:val="20"/>
          <w:szCs w:val="20"/>
        </w:rPr>
      </w:pPr>
      <w:r w:rsidRPr="00397C62">
        <w:rPr>
          <w:rFonts w:cs="Calibri"/>
          <w:sz w:val="20"/>
          <w:szCs w:val="20"/>
        </w:rPr>
        <w:t>Del Patrimonio Generado del ejercicio 2023 de la cuenta de Resultado del Ejercicio (Ahorro/Desahorro) se realizó el traslado a la cuenta de Resultado de Ejercicios Anteriores por la cantidad de $ 4,725,822,545.</w:t>
      </w:r>
    </w:p>
    <w:p w14:paraId="0BBBF8F8" w14:textId="77777777" w:rsidR="00397C62" w:rsidRDefault="00397C62" w:rsidP="00EC7D22">
      <w:pPr>
        <w:pStyle w:val="Prrafodelista"/>
        <w:spacing w:after="0"/>
        <w:ind w:left="0"/>
        <w:jc w:val="both"/>
        <w:rPr>
          <w:rFonts w:cs="Calibri"/>
          <w:sz w:val="20"/>
          <w:szCs w:val="20"/>
        </w:rPr>
      </w:pPr>
    </w:p>
    <w:p w14:paraId="081A11C7" w14:textId="32532084" w:rsidR="007745EB" w:rsidRDefault="00E406AD" w:rsidP="00EC7D22">
      <w:pPr>
        <w:pStyle w:val="Prrafodelista"/>
        <w:numPr>
          <w:ilvl w:val="0"/>
          <w:numId w:val="66"/>
        </w:numPr>
        <w:spacing w:after="0"/>
        <w:ind w:left="0" w:firstLine="0"/>
        <w:jc w:val="both"/>
        <w:rPr>
          <w:rFonts w:cs="Calibri"/>
          <w:sz w:val="20"/>
          <w:szCs w:val="20"/>
        </w:rPr>
      </w:pPr>
      <w:r w:rsidRPr="00BF32B6">
        <w:rPr>
          <w:rFonts w:cs="Calibri"/>
          <w:sz w:val="20"/>
          <w:szCs w:val="20"/>
        </w:rPr>
        <w:t xml:space="preserve">Al cierre del </w:t>
      </w:r>
      <w:r w:rsidR="00567546" w:rsidRPr="00BF32B6">
        <w:rPr>
          <w:rFonts w:cs="Calibri"/>
          <w:sz w:val="20"/>
          <w:szCs w:val="20"/>
        </w:rPr>
        <w:t>ejercicio</w:t>
      </w:r>
      <w:r w:rsidR="00C87FDA" w:rsidRPr="00BF32B6">
        <w:rPr>
          <w:rFonts w:cs="Calibri"/>
          <w:sz w:val="20"/>
          <w:szCs w:val="20"/>
        </w:rPr>
        <w:t xml:space="preserve"> 2024 se refleja </w:t>
      </w:r>
      <w:r w:rsidRPr="00BF32B6">
        <w:rPr>
          <w:rFonts w:cs="Calibri"/>
          <w:sz w:val="20"/>
          <w:szCs w:val="20"/>
        </w:rPr>
        <w:t xml:space="preserve">en el Resultado del </w:t>
      </w:r>
      <w:r w:rsidR="0057359D" w:rsidRPr="00BF32B6">
        <w:rPr>
          <w:rFonts w:cs="Calibri"/>
          <w:sz w:val="20"/>
          <w:szCs w:val="20"/>
        </w:rPr>
        <w:t>Ejercicio (</w:t>
      </w:r>
      <w:r w:rsidR="00C87FDA" w:rsidRPr="00BF32B6">
        <w:rPr>
          <w:rFonts w:cs="Calibri"/>
          <w:sz w:val="20"/>
          <w:szCs w:val="20"/>
        </w:rPr>
        <w:t>Ahorro/</w:t>
      </w:r>
      <w:r w:rsidR="0057359D" w:rsidRPr="00BF32B6">
        <w:rPr>
          <w:rFonts w:cs="Calibri"/>
          <w:sz w:val="20"/>
          <w:szCs w:val="20"/>
        </w:rPr>
        <w:t>Desahorro) por la cantidad</w:t>
      </w:r>
      <w:r w:rsidR="00C87FDA" w:rsidRPr="00BF32B6">
        <w:rPr>
          <w:rFonts w:cs="Calibri"/>
          <w:sz w:val="20"/>
          <w:szCs w:val="20"/>
        </w:rPr>
        <w:t xml:space="preserve"> </w:t>
      </w:r>
      <w:r w:rsidR="0082327F" w:rsidRPr="00BF32B6">
        <w:rPr>
          <w:rFonts w:cs="Calibri"/>
          <w:sz w:val="20"/>
          <w:szCs w:val="20"/>
        </w:rPr>
        <w:t>$</w:t>
      </w:r>
      <w:r w:rsidR="009B4AFE" w:rsidRPr="00BF32B6">
        <w:rPr>
          <w:rFonts w:cs="Calibri"/>
          <w:sz w:val="20"/>
          <w:szCs w:val="20"/>
        </w:rPr>
        <w:t>1,780,</w:t>
      </w:r>
      <w:r w:rsidR="00DF7120">
        <w:rPr>
          <w:rFonts w:cs="Calibri"/>
          <w:sz w:val="20"/>
          <w:szCs w:val="20"/>
        </w:rPr>
        <w:t>472,926</w:t>
      </w:r>
      <w:r w:rsidR="00BF32B6" w:rsidRPr="00BF32B6">
        <w:rPr>
          <w:rFonts w:cs="Calibri"/>
          <w:sz w:val="20"/>
          <w:szCs w:val="20"/>
        </w:rPr>
        <w:t>.</w:t>
      </w:r>
    </w:p>
    <w:p w14:paraId="7A768128" w14:textId="77777777" w:rsidR="00FE1D6D" w:rsidRPr="00BF32B6" w:rsidRDefault="00FE1D6D" w:rsidP="00EC7D22">
      <w:pPr>
        <w:pStyle w:val="Prrafodelista"/>
        <w:spacing w:after="0"/>
        <w:ind w:left="0"/>
        <w:jc w:val="both"/>
        <w:rPr>
          <w:rFonts w:cs="Calibri"/>
          <w:sz w:val="20"/>
          <w:szCs w:val="20"/>
        </w:rPr>
      </w:pPr>
    </w:p>
    <w:p w14:paraId="148CD3A9" w14:textId="77777777" w:rsidR="007745EB" w:rsidRPr="00D03069" w:rsidRDefault="00C87FDA" w:rsidP="00EC7D22">
      <w:pPr>
        <w:spacing w:after="0"/>
        <w:jc w:val="both"/>
        <w:rPr>
          <w:rFonts w:cs="Calibri"/>
          <w:b/>
          <w:sz w:val="20"/>
          <w:szCs w:val="20"/>
          <w:u w:val="single"/>
        </w:rPr>
      </w:pPr>
      <w:r w:rsidRPr="00BF32B6">
        <w:rPr>
          <w:rFonts w:cs="Calibri"/>
          <w:b/>
          <w:sz w:val="20"/>
          <w:szCs w:val="20"/>
          <w:u w:val="single"/>
        </w:rPr>
        <w:lastRenderedPageBreak/>
        <w:t>Resultado de Ejercicios Anteriores las</w:t>
      </w:r>
      <w:r w:rsidRPr="00D03069">
        <w:rPr>
          <w:rFonts w:cs="Calibri"/>
          <w:b/>
          <w:sz w:val="20"/>
          <w:szCs w:val="20"/>
          <w:u w:val="single"/>
        </w:rPr>
        <w:t xml:space="preserve"> variaciones más significativas comprenden:</w:t>
      </w:r>
    </w:p>
    <w:p w14:paraId="2713856F" w14:textId="77777777" w:rsidR="00E82014" w:rsidRDefault="00E82014" w:rsidP="00EC7D22">
      <w:pPr>
        <w:suppressAutoHyphens w:val="0"/>
        <w:overflowPunct/>
        <w:spacing w:after="0"/>
        <w:jc w:val="both"/>
        <w:rPr>
          <w:rFonts w:cs="Calibri"/>
          <w:b/>
          <w:sz w:val="20"/>
          <w:szCs w:val="20"/>
        </w:rPr>
      </w:pPr>
    </w:p>
    <w:p w14:paraId="25636815" w14:textId="33A20FB0" w:rsidR="00E82014" w:rsidRDefault="0037623C" w:rsidP="00EC7D22">
      <w:pPr>
        <w:pStyle w:val="Prrafodelista"/>
        <w:numPr>
          <w:ilvl w:val="0"/>
          <w:numId w:val="68"/>
        </w:numPr>
        <w:suppressAutoHyphens w:val="0"/>
        <w:overflowPunct/>
        <w:spacing w:after="0"/>
        <w:ind w:left="0" w:firstLine="0"/>
        <w:jc w:val="both"/>
        <w:rPr>
          <w:rFonts w:cs="Calibri"/>
          <w:sz w:val="20"/>
          <w:szCs w:val="20"/>
        </w:rPr>
      </w:pPr>
      <w:r w:rsidRPr="00E82014">
        <w:rPr>
          <w:rFonts w:cs="Calibri"/>
          <w:sz w:val="20"/>
          <w:szCs w:val="20"/>
        </w:rPr>
        <w:t>Registro de la donación de 8 unidades de vehiculares por el Instituto Tamaulipeco de Becas, Estímulos y</w:t>
      </w:r>
      <w:r w:rsidR="00E82014" w:rsidRPr="00E82014">
        <w:rPr>
          <w:rFonts w:cs="Calibri"/>
          <w:sz w:val="20"/>
          <w:szCs w:val="20"/>
        </w:rPr>
        <w:t xml:space="preserve"> Crédito Educativo (ITABEC), organismo público descentralizado del Estado, con valor total de $ 1,443,819.</w:t>
      </w:r>
    </w:p>
    <w:p w14:paraId="6B40940C" w14:textId="77777777" w:rsidR="00CC29CC" w:rsidRDefault="00CC29CC" w:rsidP="00EC7D22">
      <w:pPr>
        <w:pStyle w:val="Prrafodelista"/>
        <w:suppressAutoHyphens w:val="0"/>
        <w:overflowPunct/>
        <w:spacing w:after="0"/>
        <w:ind w:left="0"/>
        <w:jc w:val="both"/>
        <w:rPr>
          <w:rFonts w:cs="Calibri"/>
          <w:sz w:val="20"/>
          <w:szCs w:val="20"/>
        </w:rPr>
      </w:pPr>
    </w:p>
    <w:p w14:paraId="35FEEABB" w14:textId="58388B94" w:rsidR="00E82014" w:rsidRDefault="00E82014" w:rsidP="00EC7D22">
      <w:pPr>
        <w:pStyle w:val="Prrafodelista"/>
        <w:numPr>
          <w:ilvl w:val="0"/>
          <w:numId w:val="68"/>
        </w:numPr>
        <w:suppressAutoHyphens w:val="0"/>
        <w:overflowPunct/>
        <w:spacing w:after="0"/>
        <w:ind w:left="0" w:firstLine="0"/>
        <w:jc w:val="both"/>
        <w:rPr>
          <w:rFonts w:cs="Calibri"/>
          <w:sz w:val="20"/>
          <w:szCs w:val="20"/>
        </w:rPr>
      </w:pPr>
      <w:r>
        <w:rPr>
          <w:rFonts w:cs="Calibri"/>
          <w:sz w:val="20"/>
          <w:szCs w:val="20"/>
        </w:rPr>
        <w:t>El</w:t>
      </w:r>
      <w:r w:rsidR="00CC29CC">
        <w:rPr>
          <w:rFonts w:cs="Calibri"/>
          <w:sz w:val="20"/>
          <w:szCs w:val="20"/>
        </w:rPr>
        <w:t xml:space="preserve">  </w:t>
      </w:r>
      <w:r>
        <w:rPr>
          <w:rFonts w:cs="Calibri"/>
          <w:sz w:val="20"/>
          <w:szCs w:val="20"/>
        </w:rPr>
        <w:t xml:space="preserve"> registro</w:t>
      </w:r>
      <w:r w:rsidR="00CC29CC">
        <w:rPr>
          <w:rFonts w:cs="Calibri"/>
          <w:sz w:val="20"/>
          <w:szCs w:val="20"/>
        </w:rPr>
        <w:t xml:space="preserve">  </w:t>
      </w:r>
      <w:r>
        <w:rPr>
          <w:rFonts w:cs="Calibri"/>
          <w:sz w:val="20"/>
          <w:szCs w:val="20"/>
        </w:rPr>
        <w:t xml:space="preserve"> </w:t>
      </w:r>
      <w:r w:rsidRPr="0057359D">
        <w:rPr>
          <w:rFonts w:cs="Calibri"/>
          <w:sz w:val="20"/>
          <w:szCs w:val="20"/>
        </w:rPr>
        <w:t xml:space="preserve">de </w:t>
      </w:r>
      <w:r w:rsidR="00CC29CC">
        <w:rPr>
          <w:rFonts w:cs="Calibri"/>
          <w:sz w:val="20"/>
          <w:szCs w:val="20"/>
        </w:rPr>
        <w:t xml:space="preserve">  </w:t>
      </w:r>
      <w:r w:rsidR="00567546" w:rsidRPr="002B096D">
        <w:rPr>
          <w:rFonts w:cs="Calibri"/>
          <w:sz w:val="20"/>
          <w:szCs w:val="20"/>
        </w:rPr>
        <w:t xml:space="preserve">la </w:t>
      </w:r>
      <w:r w:rsidR="002B096D" w:rsidRPr="002B096D">
        <w:rPr>
          <w:rFonts w:cs="Calibri"/>
          <w:sz w:val="20"/>
          <w:szCs w:val="20"/>
          <w:shd w:val="clear" w:color="auto" w:fill="FFFFFF" w:themeFill="background1"/>
        </w:rPr>
        <w:t xml:space="preserve">cantidad </w:t>
      </w:r>
      <w:r w:rsidR="002B096D" w:rsidRPr="00DF7120">
        <w:rPr>
          <w:rFonts w:cs="Calibri"/>
          <w:sz w:val="20"/>
          <w:szCs w:val="20"/>
          <w:shd w:val="clear" w:color="auto" w:fill="FFFFFF" w:themeFill="background1"/>
        </w:rPr>
        <w:t>de $</w:t>
      </w:r>
      <w:r w:rsidRPr="00DF7120">
        <w:rPr>
          <w:rFonts w:cs="Calibri"/>
          <w:sz w:val="20"/>
          <w:szCs w:val="20"/>
          <w:shd w:val="clear" w:color="auto" w:fill="FFFFFF" w:themeFill="background1"/>
        </w:rPr>
        <w:t>181,</w:t>
      </w:r>
      <w:r w:rsidR="00B15710" w:rsidRPr="00DF7120">
        <w:rPr>
          <w:rFonts w:cs="Calibri"/>
          <w:sz w:val="20"/>
          <w:szCs w:val="20"/>
          <w:shd w:val="clear" w:color="auto" w:fill="FFFFFF" w:themeFill="background1"/>
        </w:rPr>
        <w:t>942,165</w:t>
      </w:r>
      <w:r w:rsidR="002B096D" w:rsidRPr="00DF7120">
        <w:rPr>
          <w:rFonts w:cs="Calibri"/>
          <w:sz w:val="20"/>
          <w:szCs w:val="20"/>
          <w:shd w:val="clear" w:color="auto" w:fill="FFFFFF" w:themeFill="background1"/>
        </w:rPr>
        <w:t>.,</w:t>
      </w:r>
      <w:r w:rsidR="002B096D" w:rsidRPr="00DF7120">
        <w:rPr>
          <w:rFonts w:cs="Calibri"/>
          <w:sz w:val="20"/>
          <w:szCs w:val="20"/>
        </w:rPr>
        <w:t xml:space="preserve"> correspondiente</w:t>
      </w:r>
      <w:r w:rsidR="002B096D">
        <w:rPr>
          <w:rFonts w:cs="Calibri"/>
          <w:sz w:val="20"/>
          <w:szCs w:val="20"/>
        </w:rPr>
        <w:t xml:space="preserve"> </w:t>
      </w:r>
      <w:r w:rsidR="002B096D" w:rsidRPr="0057359D">
        <w:rPr>
          <w:rFonts w:cs="Calibri"/>
          <w:sz w:val="20"/>
          <w:szCs w:val="20"/>
        </w:rPr>
        <w:t xml:space="preserve">a </w:t>
      </w:r>
      <w:r w:rsidR="002B096D">
        <w:rPr>
          <w:rFonts w:cs="Calibri"/>
          <w:sz w:val="20"/>
          <w:szCs w:val="20"/>
        </w:rPr>
        <w:t xml:space="preserve">Recursos </w:t>
      </w:r>
      <w:r w:rsidR="00B31A8E" w:rsidRPr="0057359D">
        <w:rPr>
          <w:rFonts w:cs="Calibri"/>
          <w:sz w:val="20"/>
          <w:szCs w:val="20"/>
        </w:rPr>
        <w:t>No</w:t>
      </w:r>
      <w:r w:rsidR="00B31A8E">
        <w:rPr>
          <w:rFonts w:cs="Calibri"/>
          <w:sz w:val="20"/>
          <w:szCs w:val="20"/>
        </w:rPr>
        <w:t xml:space="preserve"> </w:t>
      </w:r>
      <w:r w:rsidR="008F620D">
        <w:rPr>
          <w:rFonts w:cs="Calibri"/>
          <w:sz w:val="20"/>
          <w:szCs w:val="20"/>
        </w:rPr>
        <w:t>Ejercidos de Convenios</w:t>
      </w:r>
      <w:r w:rsidR="00CC29CC">
        <w:rPr>
          <w:rFonts w:cs="Calibri"/>
          <w:sz w:val="20"/>
          <w:szCs w:val="20"/>
        </w:rPr>
        <w:t xml:space="preserve"> Federales a la Tesorería de la </w:t>
      </w:r>
      <w:r w:rsidR="00CC29CC" w:rsidRPr="0057359D">
        <w:rPr>
          <w:rFonts w:cs="Calibri"/>
          <w:sz w:val="20"/>
          <w:szCs w:val="20"/>
        </w:rPr>
        <w:t>Federación, así como Devolución de Rendimientos Financieros.</w:t>
      </w:r>
    </w:p>
    <w:p w14:paraId="788AFCB5" w14:textId="77777777" w:rsidR="00CC29CC" w:rsidRDefault="00CC29CC" w:rsidP="00EC7D22">
      <w:pPr>
        <w:pStyle w:val="Prrafodelista"/>
        <w:suppressAutoHyphens w:val="0"/>
        <w:overflowPunct/>
        <w:spacing w:after="0"/>
        <w:ind w:left="0"/>
        <w:jc w:val="both"/>
        <w:rPr>
          <w:rFonts w:cs="Calibri"/>
          <w:sz w:val="20"/>
          <w:szCs w:val="20"/>
        </w:rPr>
      </w:pPr>
    </w:p>
    <w:p w14:paraId="317BA281" w14:textId="05281C05" w:rsidR="007745EB" w:rsidRPr="002B096D" w:rsidRDefault="00CC29CC" w:rsidP="00EC7D22">
      <w:pPr>
        <w:pStyle w:val="Prrafodelista"/>
        <w:numPr>
          <w:ilvl w:val="0"/>
          <w:numId w:val="66"/>
        </w:numPr>
        <w:suppressAutoHyphens w:val="0"/>
        <w:overflowPunct/>
        <w:spacing w:after="0"/>
        <w:ind w:left="0" w:firstLine="0"/>
        <w:jc w:val="both"/>
        <w:rPr>
          <w:rFonts w:cs="Calibri"/>
          <w:sz w:val="20"/>
          <w:szCs w:val="20"/>
        </w:rPr>
      </w:pPr>
      <w:r w:rsidRPr="002B096D">
        <w:rPr>
          <w:rFonts w:cs="Calibri"/>
          <w:sz w:val="20"/>
          <w:szCs w:val="20"/>
        </w:rPr>
        <w:t xml:space="preserve">Se recibieron </w:t>
      </w:r>
      <w:r w:rsidR="00C87FDA" w:rsidRPr="002B096D">
        <w:rPr>
          <w:rFonts w:cs="Calibri"/>
          <w:sz w:val="20"/>
          <w:szCs w:val="20"/>
        </w:rPr>
        <w:t>devoluciones diversas de las dependencias y de los organismos descentralizados por la cantidad de $</w:t>
      </w:r>
      <w:r w:rsidR="0091065B" w:rsidRPr="002B096D">
        <w:rPr>
          <w:rFonts w:cs="Calibri"/>
          <w:sz w:val="20"/>
          <w:szCs w:val="20"/>
        </w:rPr>
        <w:t>152</w:t>
      </w:r>
      <w:r w:rsidR="002B096D" w:rsidRPr="002B096D">
        <w:rPr>
          <w:rFonts w:cs="Calibri"/>
          <w:sz w:val="20"/>
          <w:szCs w:val="20"/>
        </w:rPr>
        <w:t>,502,234</w:t>
      </w:r>
      <w:r w:rsidR="0091065B" w:rsidRPr="002B096D">
        <w:rPr>
          <w:rFonts w:cs="Calibri"/>
          <w:sz w:val="20"/>
          <w:szCs w:val="20"/>
        </w:rPr>
        <w:t>.</w:t>
      </w:r>
    </w:p>
    <w:p w14:paraId="4BDF061E" w14:textId="77777777" w:rsidR="00CC29CC" w:rsidRDefault="00CC29CC" w:rsidP="00EC7D22">
      <w:pPr>
        <w:pStyle w:val="Prrafodelista"/>
        <w:suppressAutoHyphens w:val="0"/>
        <w:overflowPunct/>
        <w:spacing w:after="0"/>
        <w:ind w:left="0"/>
        <w:jc w:val="both"/>
        <w:rPr>
          <w:rFonts w:cs="Calibri"/>
          <w:sz w:val="20"/>
          <w:szCs w:val="20"/>
        </w:rPr>
      </w:pPr>
    </w:p>
    <w:p w14:paraId="3A02A04A" w14:textId="595730DE" w:rsidR="00CC29CC" w:rsidRDefault="00CC29CC" w:rsidP="00EC7D22">
      <w:pPr>
        <w:pStyle w:val="Prrafodelista"/>
        <w:numPr>
          <w:ilvl w:val="0"/>
          <w:numId w:val="66"/>
        </w:numPr>
        <w:suppressAutoHyphens w:val="0"/>
        <w:overflowPunct/>
        <w:spacing w:after="0"/>
        <w:ind w:left="0" w:firstLine="0"/>
        <w:jc w:val="both"/>
        <w:rPr>
          <w:rFonts w:cs="Calibri"/>
          <w:sz w:val="20"/>
          <w:szCs w:val="20"/>
        </w:rPr>
      </w:pPr>
      <w:r>
        <w:rPr>
          <w:rFonts w:cs="Calibri"/>
          <w:sz w:val="20"/>
          <w:szCs w:val="20"/>
        </w:rPr>
        <w:t>El registro de $133,370,413., durante el ejercicio del Fondo de Estabilización de los Ingresos de las Entidades Federativas de conformidad a la constancia de compensación de Participaciones del Estado.</w:t>
      </w:r>
    </w:p>
    <w:p w14:paraId="00FA9DC7" w14:textId="77777777" w:rsidR="00CC29CC" w:rsidRDefault="00CC29CC" w:rsidP="00EC7D22">
      <w:pPr>
        <w:pStyle w:val="Prrafodelista"/>
        <w:suppressAutoHyphens w:val="0"/>
        <w:overflowPunct/>
        <w:spacing w:after="0"/>
        <w:ind w:left="0"/>
        <w:jc w:val="both"/>
        <w:rPr>
          <w:rFonts w:cs="Calibri"/>
          <w:sz w:val="20"/>
          <w:szCs w:val="20"/>
        </w:rPr>
      </w:pPr>
    </w:p>
    <w:p w14:paraId="437F57C9" w14:textId="17D0FBDB" w:rsidR="00CC29CC" w:rsidRDefault="00CC29CC" w:rsidP="00EC7D22">
      <w:pPr>
        <w:pStyle w:val="Prrafodelista"/>
        <w:numPr>
          <w:ilvl w:val="0"/>
          <w:numId w:val="66"/>
        </w:numPr>
        <w:suppressAutoHyphens w:val="0"/>
        <w:overflowPunct/>
        <w:spacing w:after="0"/>
        <w:ind w:left="0" w:firstLine="0"/>
        <w:jc w:val="both"/>
        <w:rPr>
          <w:rFonts w:cs="Calibri"/>
          <w:sz w:val="20"/>
          <w:szCs w:val="20"/>
        </w:rPr>
      </w:pPr>
      <w:r>
        <w:rPr>
          <w:rFonts w:cs="Calibri"/>
          <w:sz w:val="20"/>
          <w:szCs w:val="20"/>
        </w:rPr>
        <w:t xml:space="preserve">Se reclasificaron </w:t>
      </w:r>
      <w:r w:rsidRPr="000B130C">
        <w:rPr>
          <w:rFonts w:cs="Calibri"/>
          <w:sz w:val="20"/>
          <w:szCs w:val="20"/>
        </w:rPr>
        <w:t>diferentes proyectos de obra de ejercicios anteriores, que fueron consideradas como ga</w:t>
      </w:r>
      <w:r>
        <w:rPr>
          <w:rFonts w:cs="Calibri"/>
          <w:sz w:val="20"/>
          <w:szCs w:val="20"/>
        </w:rPr>
        <w:t>sto por la Se</w:t>
      </w:r>
      <w:r w:rsidRPr="000B130C">
        <w:rPr>
          <w:rFonts w:cs="Calibri"/>
          <w:sz w:val="20"/>
          <w:szCs w:val="20"/>
        </w:rPr>
        <w:t>cretar</w:t>
      </w:r>
      <w:r>
        <w:rPr>
          <w:rFonts w:cs="Calibri"/>
          <w:sz w:val="20"/>
          <w:szCs w:val="20"/>
        </w:rPr>
        <w:t>í</w:t>
      </w:r>
      <w:r w:rsidRPr="000B130C">
        <w:rPr>
          <w:rFonts w:cs="Calibri"/>
          <w:sz w:val="20"/>
          <w:szCs w:val="20"/>
        </w:rPr>
        <w:t>a de Obras Públicas por la cantidad de $</w:t>
      </w:r>
      <w:r w:rsidR="00567546">
        <w:rPr>
          <w:rFonts w:cs="Calibri"/>
          <w:sz w:val="20"/>
          <w:szCs w:val="20"/>
        </w:rPr>
        <w:t xml:space="preserve"> 420,367,748.</w:t>
      </w:r>
    </w:p>
    <w:p w14:paraId="362017B7" w14:textId="77777777" w:rsidR="00CC29CC" w:rsidRDefault="00CC29CC" w:rsidP="00EC7D22">
      <w:pPr>
        <w:pStyle w:val="Prrafodelista"/>
        <w:suppressAutoHyphens w:val="0"/>
        <w:overflowPunct/>
        <w:spacing w:after="0"/>
        <w:ind w:left="0"/>
        <w:jc w:val="both"/>
        <w:rPr>
          <w:rFonts w:cs="Calibri"/>
          <w:sz w:val="20"/>
          <w:szCs w:val="20"/>
        </w:rPr>
      </w:pPr>
    </w:p>
    <w:p w14:paraId="46527CDD" w14:textId="6084869E" w:rsidR="00B90C70" w:rsidRDefault="00CC29CC" w:rsidP="00EC7D22">
      <w:pPr>
        <w:pStyle w:val="Prrafodelista"/>
        <w:numPr>
          <w:ilvl w:val="0"/>
          <w:numId w:val="66"/>
        </w:numPr>
        <w:suppressAutoHyphens w:val="0"/>
        <w:overflowPunct/>
        <w:spacing w:after="0"/>
        <w:ind w:left="0" w:firstLine="0"/>
        <w:jc w:val="both"/>
        <w:rPr>
          <w:rFonts w:cs="Calibri"/>
          <w:sz w:val="20"/>
          <w:szCs w:val="20"/>
        </w:rPr>
      </w:pPr>
      <w:r w:rsidRPr="002B096D">
        <w:rPr>
          <w:rFonts w:cs="Calibri"/>
          <w:sz w:val="20"/>
          <w:szCs w:val="20"/>
        </w:rPr>
        <w:t>Cancelación de cheques por</w:t>
      </w:r>
      <w:r w:rsidR="00C124D0">
        <w:rPr>
          <w:rFonts w:cs="Calibri"/>
          <w:sz w:val="20"/>
          <w:szCs w:val="20"/>
        </w:rPr>
        <w:t xml:space="preserve"> con una afectación real </w:t>
      </w:r>
      <w:r w:rsidR="00B31A8E">
        <w:rPr>
          <w:rFonts w:cs="Calibri"/>
          <w:sz w:val="20"/>
          <w:szCs w:val="20"/>
        </w:rPr>
        <w:t xml:space="preserve">de </w:t>
      </w:r>
      <w:r w:rsidR="00B31A8E" w:rsidRPr="002B096D">
        <w:rPr>
          <w:rFonts w:cs="Calibri"/>
          <w:sz w:val="20"/>
          <w:szCs w:val="20"/>
        </w:rPr>
        <w:t>$</w:t>
      </w:r>
      <w:r w:rsidRPr="00C124D0">
        <w:rPr>
          <w:rFonts w:cs="Calibri"/>
          <w:sz w:val="20"/>
          <w:szCs w:val="20"/>
        </w:rPr>
        <w:t xml:space="preserve"> 2</w:t>
      </w:r>
      <w:r w:rsidR="00C124D0">
        <w:rPr>
          <w:rFonts w:cs="Calibri"/>
          <w:sz w:val="20"/>
          <w:szCs w:val="20"/>
        </w:rPr>
        <w:t>88,486</w:t>
      </w:r>
      <w:r w:rsidRPr="00C124D0">
        <w:rPr>
          <w:rFonts w:cs="Calibri"/>
          <w:sz w:val="20"/>
          <w:szCs w:val="20"/>
        </w:rPr>
        <w:t>,</w:t>
      </w:r>
      <w:r w:rsidRPr="002B096D">
        <w:rPr>
          <w:rFonts w:cs="Calibri"/>
          <w:sz w:val="20"/>
          <w:szCs w:val="20"/>
        </w:rPr>
        <w:t xml:space="preserve"> al cierre del </w:t>
      </w:r>
      <w:r w:rsidR="00B90C70" w:rsidRPr="002B096D">
        <w:rPr>
          <w:rFonts w:cs="Calibri"/>
          <w:sz w:val="20"/>
          <w:szCs w:val="20"/>
        </w:rPr>
        <w:t>ejercicio</w:t>
      </w:r>
      <w:r w:rsidR="00955F1B">
        <w:rPr>
          <w:rFonts w:cs="Calibri"/>
          <w:sz w:val="20"/>
          <w:szCs w:val="20"/>
        </w:rPr>
        <w:t>.</w:t>
      </w:r>
    </w:p>
    <w:p w14:paraId="3DEEF57B" w14:textId="77777777" w:rsidR="002B096D" w:rsidRPr="002B096D" w:rsidRDefault="002B096D" w:rsidP="00EC7D22">
      <w:pPr>
        <w:suppressAutoHyphens w:val="0"/>
        <w:overflowPunct/>
        <w:spacing w:after="0"/>
        <w:jc w:val="both"/>
        <w:rPr>
          <w:rFonts w:cs="Calibri"/>
          <w:sz w:val="20"/>
          <w:szCs w:val="20"/>
        </w:rPr>
      </w:pPr>
    </w:p>
    <w:p w14:paraId="2B3C6098" w14:textId="37D55810" w:rsidR="00B90C70" w:rsidRDefault="00BF32B6" w:rsidP="00EC7D22">
      <w:pPr>
        <w:pStyle w:val="Prrafodelista"/>
        <w:numPr>
          <w:ilvl w:val="0"/>
          <w:numId w:val="66"/>
        </w:numPr>
        <w:suppressAutoHyphens w:val="0"/>
        <w:overflowPunct/>
        <w:spacing w:after="0"/>
        <w:ind w:left="0" w:firstLine="0"/>
        <w:jc w:val="both"/>
        <w:rPr>
          <w:rFonts w:cs="Calibri"/>
          <w:sz w:val="20"/>
          <w:szCs w:val="20"/>
        </w:rPr>
      </w:pPr>
      <w:r>
        <w:rPr>
          <w:rFonts w:cs="Calibri"/>
          <w:sz w:val="20"/>
          <w:szCs w:val="20"/>
        </w:rPr>
        <w:t xml:space="preserve">Registro </w:t>
      </w:r>
      <w:r w:rsidR="00B90C70">
        <w:rPr>
          <w:rFonts w:cs="Calibri"/>
          <w:sz w:val="20"/>
          <w:szCs w:val="20"/>
        </w:rPr>
        <w:t xml:space="preserve">de los fideicomisos por $1,636,060., por diferentes </w:t>
      </w:r>
      <w:r>
        <w:rPr>
          <w:rFonts w:cs="Calibri"/>
          <w:sz w:val="20"/>
          <w:szCs w:val="20"/>
        </w:rPr>
        <w:t>afectaciones durante el ejercicio.</w:t>
      </w:r>
      <w:r w:rsidR="00B90C70">
        <w:rPr>
          <w:rFonts w:cs="Calibri"/>
          <w:sz w:val="20"/>
          <w:szCs w:val="20"/>
        </w:rPr>
        <w:t xml:space="preserve"> </w:t>
      </w:r>
    </w:p>
    <w:p w14:paraId="384AB7B9" w14:textId="77777777" w:rsidR="00CC29CC" w:rsidRPr="00CC29CC" w:rsidRDefault="00CC29CC" w:rsidP="00EC7D22">
      <w:pPr>
        <w:suppressAutoHyphens w:val="0"/>
        <w:overflowPunct/>
        <w:spacing w:after="0"/>
        <w:jc w:val="both"/>
        <w:rPr>
          <w:rFonts w:cs="Calibri"/>
          <w:sz w:val="20"/>
          <w:szCs w:val="20"/>
        </w:rPr>
      </w:pPr>
    </w:p>
    <w:p w14:paraId="5B5CA785" w14:textId="77777777" w:rsidR="007745EB" w:rsidRPr="00D03069" w:rsidRDefault="00C87FDA" w:rsidP="00EC7D22">
      <w:pPr>
        <w:spacing w:after="0"/>
        <w:jc w:val="both"/>
        <w:rPr>
          <w:rFonts w:cs="Calibri"/>
          <w:b/>
          <w:sz w:val="20"/>
          <w:szCs w:val="20"/>
          <w:u w:val="single"/>
        </w:rPr>
      </w:pPr>
      <w:proofErr w:type="spellStart"/>
      <w:r w:rsidRPr="00D03069">
        <w:rPr>
          <w:rFonts w:cs="Calibri"/>
          <w:b/>
          <w:sz w:val="20"/>
          <w:szCs w:val="20"/>
          <w:u w:val="single"/>
        </w:rPr>
        <w:t>Revalúos</w:t>
      </w:r>
      <w:proofErr w:type="spellEnd"/>
      <w:r w:rsidRPr="00D03069">
        <w:rPr>
          <w:rFonts w:cs="Calibri"/>
          <w:b/>
          <w:sz w:val="20"/>
          <w:szCs w:val="20"/>
          <w:u w:val="single"/>
        </w:rPr>
        <w:t>:</w:t>
      </w:r>
    </w:p>
    <w:p w14:paraId="0C938464" w14:textId="615C01BB" w:rsidR="007745EB" w:rsidRPr="000B130C" w:rsidRDefault="00C87FDA" w:rsidP="004D0BC0">
      <w:pPr>
        <w:spacing w:after="0"/>
        <w:jc w:val="both"/>
        <w:rPr>
          <w:rFonts w:cs="Calibri"/>
          <w:sz w:val="20"/>
          <w:szCs w:val="20"/>
        </w:rPr>
      </w:pPr>
      <w:r w:rsidRPr="000B130C">
        <w:rPr>
          <w:rFonts w:cs="Calibri"/>
          <w:sz w:val="20"/>
          <w:szCs w:val="20"/>
        </w:rPr>
        <w:t>Sin movimiento.</w:t>
      </w:r>
    </w:p>
    <w:p w14:paraId="57B9A222" w14:textId="77777777" w:rsidR="007745EB" w:rsidRPr="000B130C" w:rsidRDefault="007745EB" w:rsidP="00EC7D22">
      <w:pPr>
        <w:spacing w:after="0"/>
        <w:jc w:val="both"/>
        <w:rPr>
          <w:rFonts w:cs="Calibri"/>
          <w:sz w:val="20"/>
          <w:szCs w:val="20"/>
        </w:rPr>
      </w:pPr>
    </w:p>
    <w:p w14:paraId="658BE939" w14:textId="151D8116" w:rsidR="007745EB" w:rsidRPr="00AA4AEA" w:rsidRDefault="00C87FDA" w:rsidP="00EC7D22">
      <w:pPr>
        <w:spacing w:after="0" w:line="240" w:lineRule="auto"/>
        <w:rPr>
          <w:rFonts w:cs="Calibri"/>
          <w:b/>
          <w:sz w:val="20"/>
          <w:szCs w:val="20"/>
          <w:lang w:val="es-ES" w:eastAsia="es-ES"/>
        </w:rPr>
      </w:pPr>
      <w:r>
        <w:rPr>
          <w:rFonts w:cs="Calibri"/>
          <w:b/>
          <w:sz w:val="20"/>
          <w:szCs w:val="20"/>
          <w:lang w:val="es-ES" w:eastAsia="es-ES"/>
        </w:rPr>
        <w:t>IV.  Notas al Estado de Flujo de</w:t>
      </w:r>
      <w:r w:rsidR="00C77DB7">
        <w:rPr>
          <w:rFonts w:cs="Calibri"/>
          <w:b/>
          <w:sz w:val="20"/>
          <w:szCs w:val="20"/>
          <w:lang w:val="es-ES" w:eastAsia="es-ES"/>
        </w:rPr>
        <w:t xml:space="preserve"> Efectivo </w:t>
      </w:r>
      <w:r w:rsidR="00C77DB7" w:rsidRPr="00C77DB7">
        <w:rPr>
          <w:rFonts w:cs="Calibri"/>
          <w:b/>
          <w:color w:val="FFFFFF" w:themeColor="background1"/>
          <w:sz w:val="20"/>
          <w:szCs w:val="20"/>
          <w:lang w:val="es-ES" w:eastAsia="es-ES"/>
        </w:rPr>
        <w:t>E</w:t>
      </w:r>
      <w:r w:rsidRPr="00C77DB7">
        <w:rPr>
          <w:rFonts w:cs="Calibri"/>
          <w:b/>
          <w:color w:val="FFFFFF" w:themeColor="background1"/>
          <w:sz w:val="20"/>
          <w:szCs w:val="20"/>
          <w:lang w:val="es-ES" w:eastAsia="es-ES"/>
        </w:rPr>
        <w:t xml:space="preserve">  </w:t>
      </w:r>
      <w:r>
        <w:rPr>
          <w:rFonts w:cs="Calibri"/>
          <w:b/>
          <w:sz w:val="20"/>
          <w:szCs w:val="20"/>
          <w:lang w:val="es-ES" w:eastAsia="es-ES"/>
        </w:rPr>
        <w:t xml:space="preserve">                                                                                                                                                                                                                                                                                                                                                                                                                                                                                                                                                                                                                                                                                                                                                                                                           </w:t>
      </w:r>
    </w:p>
    <w:p w14:paraId="437F0D84" w14:textId="5716DE0E" w:rsidR="007745EB" w:rsidRDefault="00D03069" w:rsidP="00EC7D22">
      <w:pPr>
        <w:pStyle w:val="ROMANOS"/>
        <w:tabs>
          <w:tab w:val="left" w:pos="426"/>
        </w:tabs>
        <w:spacing w:after="0" w:line="240" w:lineRule="exact"/>
        <w:ind w:left="0" w:firstLine="0"/>
        <w:rPr>
          <w:rFonts w:ascii="Calibri" w:hAnsi="Calibri" w:cs="Calibri"/>
          <w:b/>
          <w:sz w:val="20"/>
        </w:rPr>
      </w:pPr>
      <w:r>
        <w:rPr>
          <w:rFonts w:ascii="Calibri" w:hAnsi="Calibri" w:cs="Calibri"/>
          <w:b/>
          <w:sz w:val="20"/>
        </w:rPr>
        <w:t xml:space="preserve">Efectivo </w:t>
      </w:r>
      <w:r w:rsidR="0079655D">
        <w:rPr>
          <w:rFonts w:ascii="Calibri" w:hAnsi="Calibri" w:cs="Calibri"/>
          <w:b/>
          <w:sz w:val="20"/>
        </w:rPr>
        <w:t>o</w:t>
      </w:r>
      <w:r>
        <w:rPr>
          <w:rFonts w:ascii="Calibri" w:hAnsi="Calibri" w:cs="Calibri"/>
          <w:b/>
          <w:sz w:val="20"/>
        </w:rPr>
        <w:t xml:space="preserve"> Equivalentes</w:t>
      </w:r>
    </w:p>
    <w:p w14:paraId="7C366AAC" w14:textId="77777777" w:rsidR="007745EB" w:rsidRDefault="007745EB" w:rsidP="00EC7D22">
      <w:pPr>
        <w:pStyle w:val="ROMANOS"/>
        <w:tabs>
          <w:tab w:val="left" w:pos="426"/>
        </w:tabs>
        <w:spacing w:after="0" w:line="240" w:lineRule="exact"/>
        <w:ind w:left="0" w:firstLine="0"/>
        <w:rPr>
          <w:rFonts w:ascii="Calibri" w:hAnsi="Calibri" w:cs="Calibri"/>
          <w:b/>
        </w:rPr>
      </w:pPr>
    </w:p>
    <w:p w14:paraId="626886FF" w14:textId="6ECAE6AF" w:rsidR="00A5742A" w:rsidRDefault="004D1037" w:rsidP="00EC7D22">
      <w:pPr>
        <w:numPr>
          <w:ilvl w:val="0"/>
          <w:numId w:val="12"/>
        </w:numPr>
        <w:spacing w:after="0" w:line="240" w:lineRule="auto"/>
        <w:ind w:left="0" w:firstLine="0"/>
        <w:jc w:val="both"/>
        <w:rPr>
          <w:rFonts w:cs="Calibri"/>
          <w:sz w:val="20"/>
          <w:szCs w:val="20"/>
        </w:rPr>
      </w:pPr>
      <w:r>
        <w:rPr>
          <w:rFonts w:cs="Calibri"/>
          <w:sz w:val="20"/>
          <w:szCs w:val="20"/>
          <w:lang w:val="es-ES"/>
        </w:rPr>
        <w:t>A</w:t>
      </w:r>
      <w:proofErr w:type="spellStart"/>
      <w:r w:rsidR="00C87FDA" w:rsidRPr="00BF32B6">
        <w:rPr>
          <w:rFonts w:cs="Calibri"/>
          <w:sz w:val="20"/>
          <w:szCs w:val="20"/>
        </w:rPr>
        <w:t>nálisis</w:t>
      </w:r>
      <w:proofErr w:type="spellEnd"/>
      <w:r w:rsidR="00C87FDA" w:rsidRPr="00BF32B6">
        <w:rPr>
          <w:rFonts w:cs="Calibri"/>
          <w:sz w:val="20"/>
          <w:szCs w:val="20"/>
        </w:rPr>
        <w:t xml:space="preserve"> de los saldos inicial y final que figuran en la última parte del Estado de Flujo de Efectivo en la cuenta de Efectivo o Equivalentes es como sigue:</w:t>
      </w:r>
    </w:p>
    <w:p w14:paraId="709E1DBC" w14:textId="77777777" w:rsidR="004D1037" w:rsidRDefault="004D1037" w:rsidP="00EC7D22">
      <w:pPr>
        <w:spacing w:after="0" w:line="240" w:lineRule="auto"/>
        <w:jc w:val="both"/>
        <w:rPr>
          <w:rFonts w:cs="Calibri"/>
          <w:sz w:val="20"/>
          <w:szCs w:val="20"/>
        </w:rPr>
      </w:pPr>
    </w:p>
    <w:tbl>
      <w:tblPr>
        <w:tblW w:w="7226" w:type="dxa"/>
        <w:tblCellMar>
          <w:left w:w="70" w:type="dxa"/>
          <w:right w:w="70" w:type="dxa"/>
        </w:tblCellMar>
        <w:tblLook w:val="04A0" w:firstRow="1" w:lastRow="0" w:firstColumn="1" w:lastColumn="0" w:noHBand="0" w:noVBand="1"/>
      </w:tblPr>
      <w:tblGrid>
        <w:gridCol w:w="4293"/>
        <w:gridCol w:w="1478"/>
        <w:gridCol w:w="1455"/>
      </w:tblGrid>
      <w:tr w:rsidR="004D1037" w:rsidRPr="004D1037" w14:paraId="643DCD81" w14:textId="77777777" w:rsidTr="00DF32F3">
        <w:trPr>
          <w:trHeight w:val="397"/>
        </w:trPr>
        <w:tc>
          <w:tcPr>
            <w:tcW w:w="7226" w:type="dxa"/>
            <w:gridSpan w:val="3"/>
            <w:tcBorders>
              <w:top w:val="single" w:sz="4" w:space="0" w:color="auto"/>
              <w:left w:val="single" w:sz="4" w:space="0" w:color="auto"/>
              <w:bottom w:val="single" w:sz="4" w:space="0" w:color="auto"/>
              <w:right w:val="single" w:sz="4" w:space="0" w:color="auto"/>
            </w:tcBorders>
            <w:shd w:val="clear" w:color="800080" w:fill="A90025"/>
            <w:vAlign w:val="center"/>
            <w:hideMark/>
          </w:tcPr>
          <w:p w14:paraId="12E487E3" w14:textId="34ECA87D" w:rsidR="004D1037" w:rsidRPr="004D1037" w:rsidRDefault="004D1037" w:rsidP="00EC7D22">
            <w:pPr>
              <w:suppressAutoHyphens w:val="0"/>
              <w:overflowPunct/>
              <w:spacing w:after="0" w:line="240" w:lineRule="auto"/>
              <w:jc w:val="center"/>
              <w:rPr>
                <w:rFonts w:eastAsia="Times New Roman" w:cs="Calibri"/>
                <w:b/>
                <w:bCs/>
                <w:color w:val="FFFFFF"/>
                <w:sz w:val="18"/>
                <w:szCs w:val="18"/>
                <w:lang w:eastAsia="es-MX"/>
              </w:rPr>
            </w:pPr>
            <w:r w:rsidRPr="004D1037">
              <w:rPr>
                <w:rFonts w:eastAsia="Times New Roman" w:cs="Calibri"/>
                <w:b/>
                <w:bCs/>
                <w:color w:val="FFFFFF"/>
                <w:sz w:val="18"/>
                <w:szCs w:val="18"/>
                <w:lang w:eastAsia="es-MX"/>
              </w:rPr>
              <w:t>Efectivo y Equivalentes</w:t>
            </w:r>
          </w:p>
        </w:tc>
      </w:tr>
      <w:tr w:rsidR="004D1037" w:rsidRPr="004D1037" w14:paraId="65660B7A" w14:textId="77777777" w:rsidTr="00DF32F3">
        <w:trPr>
          <w:trHeight w:val="340"/>
        </w:trPr>
        <w:tc>
          <w:tcPr>
            <w:tcW w:w="4293" w:type="dxa"/>
            <w:tcBorders>
              <w:top w:val="nil"/>
              <w:left w:val="single" w:sz="4" w:space="0" w:color="auto"/>
              <w:bottom w:val="single" w:sz="4" w:space="0" w:color="auto"/>
              <w:right w:val="single" w:sz="4" w:space="0" w:color="auto"/>
            </w:tcBorders>
            <w:shd w:val="clear" w:color="F8CBAD" w:fill="DDC9A3"/>
            <w:vAlign w:val="center"/>
            <w:hideMark/>
          </w:tcPr>
          <w:p w14:paraId="3201B6FD" w14:textId="77777777" w:rsidR="004D1037" w:rsidRPr="004D1037" w:rsidRDefault="004D1037" w:rsidP="00EC7D22">
            <w:pPr>
              <w:suppressAutoHyphens w:val="0"/>
              <w:overflowPunct/>
              <w:spacing w:after="0" w:line="240" w:lineRule="auto"/>
              <w:jc w:val="center"/>
              <w:rPr>
                <w:rFonts w:eastAsia="Times New Roman" w:cs="Calibri"/>
                <w:b/>
                <w:bCs/>
                <w:color w:val="000000"/>
                <w:sz w:val="14"/>
                <w:szCs w:val="14"/>
                <w:lang w:eastAsia="es-MX"/>
              </w:rPr>
            </w:pPr>
            <w:r w:rsidRPr="004D1037">
              <w:rPr>
                <w:rFonts w:eastAsia="Times New Roman" w:cs="Calibri"/>
                <w:b/>
                <w:bCs/>
                <w:color w:val="000000"/>
                <w:sz w:val="14"/>
                <w:szCs w:val="14"/>
                <w:lang w:eastAsia="es-MX"/>
              </w:rPr>
              <w:t>Concepto</w:t>
            </w:r>
          </w:p>
        </w:tc>
        <w:tc>
          <w:tcPr>
            <w:tcW w:w="1478" w:type="dxa"/>
            <w:tcBorders>
              <w:top w:val="nil"/>
              <w:left w:val="nil"/>
              <w:bottom w:val="single" w:sz="4" w:space="0" w:color="auto"/>
              <w:right w:val="single" w:sz="4" w:space="0" w:color="auto"/>
            </w:tcBorders>
            <w:shd w:val="clear" w:color="F8CBAD" w:fill="DDC9A3"/>
            <w:vAlign w:val="center"/>
            <w:hideMark/>
          </w:tcPr>
          <w:p w14:paraId="06D5DBAF" w14:textId="77777777" w:rsidR="004D1037" w:rsidRPr="004D1037" w:rsidRDefault="004D1037" w:rsidP="00EC7D22">
            <w:pPr>
              <w:suppressAutoHyphens w:val="0"/>
              <w:overflowPunct/>
              <w:spacing w:after="0" w:line="240" w:lineRule="auto"/>
              <w:jc w:val="center"/>
              <w:rPr>
                <w:rFonts w:eastAsia="Times New Roman" w:cs="Calibri"/>
                <w:b/>
                <w:bCs/>
                <w:color w:val="000000"/>
                <w:sz w:val="16"/>
                <w:szCs w:val="16"/>
                <w:lang w:eastAsia="es-MX"/>
              </w:rPr>
            </w:pPr>
            <w:r w:rsidRPr="004D1037">
              <w:rPr>
                <w:rFonts w:eastAsia="Times New Roman" w:cs="Calibri"/>
                <w:b/>
                <w:bCs/>
                <w:color w:val="000000"/>
                <w:sz w:val="16"/>
                <w:szCs w:val="16"/>
                <w:lang w:eastAsia="es-MX"/>
              </w:rPr>
              <w:t>2024</w:t>
            </w:r>
          </w:p>
        </w:tc>
        <w:tc>
          <w:tcPr>
            <w:tcW w:w="1454" w:type="dxa"/>
            <w:tcBorders>
              <w:top w:val="nil"/>
              <w:left w:val="nil"/>
              <w:bottom w:val="single" w:sz="4" w:space="0" w:color="auto"/>
              <w:right w:val="single" w:sz="4" w:space="0" w:color="auto"/>
            </w:tcBorders>
            <w:shd w:val="clear" w:color="F8CBAD" w:fill="DDC9A3"/>
            <w:vAlign w:val="center"/>
            <w:hideMark/>
          </w:tcPr>
          <w:p w14:paraId="55597EE5" w14:textId="77777777" w:rsidR="004D1037" w:rsidRPr="004D1037" w:rsidRDefault="004D1037" w:rsidP="00EC7D22">
            <w:pPr>
              <w:suppressAutoHyphens w:val="0"/>
              <w:overflowPunct/>
              <w:spacing w:after="0" w:line="240" w:lineRule="auto"/>
              <w:jc w:val="center"/>
              <w:rPr>
                <w:rFonts w:eastAsia="Times New Roman" w:cs="Calibri"/>
                <w:b/>
                <w:bCs/>
                <w:color w:val="000000"/>
                <w:sz w:val="16"/>
                <w:szCs w:val="16"/>
                <w:lang w:eastAsia="es-MX"/>
              </w:rPr>
            </w:pPr>
            <w:r w:rsidRPr="004D1037">
              <w:rPr>
                <w:rFonts w:eastAsia="Times New Roman" w:cs="Calibri"/>
                <w:b/>
                <w:bCs/>
                <w:color w:val="000000"/>
                <w:sz w:val="16"/>
                <w:szCs w:val="16"/>
                <w:lang w:eastAsia="es-MX"/>
              </w:rPr>
              <w:t>2023</w:t>
            </w:r>
          </w:p>
        </w:tc>
      </w:tr>
      <w:tr w:rsidR="004D1037" w:rsidRPr="004D1037" w14:paraId="7551477B" w14:textId="77777777" w:rsidTr="00DF32F3">
        <w:trPr>
          <w:trHeight w:val="284"/>
        </w:trPr>
        <w:tc>
          <w:tcPr>
            <w:tcW w:w="4293" w:type="dxa"/>
            <w:tcBorders>
              <w:top w:val="nil"/>
              <w:left w:val="single" w:sz="4" w:space="0" w:color="auto"/>
              <w:bottom w:val="single" w:sz="4" w:space="0" w:color="auto"/>
              <w:right w:val="single" w:sz="4" w:space="0" w:color="auto"/>
            </w:tcBorders>
            <w:shd w:val="clear" w:color="auto" w:fill="auto"/>
            <w:vAlign w:val="center"/>
            <w:hideMark/>
          </w:tcPr>
          <w:p w14:paraId="16D343EE"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Efectivo</w:t>
            </w:r>
          </w:p>
        </w:tc>
        <w:tc>
          <w:tcPr>
            <w:tcW w:w="1478" w:type="dxa"/>
            <w:tcBorders>
              <w:top w:val="nil"/>
              <w:left w:val="nil"/>
              <w:bottom w:val="single" w:sz="4" w:space="0" w:color="auto"/>
              <w:right w:val="single" w:sz="4" w:space="0" w:color="auto"/>
            </w:tcBorders>
            <w:shd w:val="clear" w:color="auto" w:fill="auto"/>
            <w:noWrap/>
            <w:vAlign w:val="bottom"/>
            <w:hideMark/>
          </w:tcPr>
          <w:p w14:paraId="41E1B78F"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c>
          <w:tcPr>
            <w:tcW w:w="1454" w:type="dxa"/>
            <w:tcBorders>
              <w:top w:val="nil"/>
              <w:left w:val="nil"/>
              <w:bottom w:val="single" w:sz="4" w:space="0" w:color="auto"/>
              <w:right w:val="single" w:sz="4" w:space="0" w:color="auto"/>
            </w:tcBorders>
            <w:shd w:val="clear" w:color="auto" w:fill="auto"/>
            <w:noWrap/>
            <w:vAlign w:val="bottom"/>
            <w:hideMark/>
          </w:tcPr>
          <w:p w14:paraId="0B4BC856"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00AD62FC" w14:textId="77777777" w:rsidTr="00DF32F3">
        <w:trPr>
          <w:trHeight w:val="284"/>
        </w:trPr>
        <w:tc>
          <w:tcPr>
            <w:tcW w:w="4293" w:type="dxa"/>
            <w:tcBorders>
              <w:top w:val="nil"/>
              <w:left w:val="single" w:sz="4" w:space="0" w:color="auto"/>
              <w:bottom w:val="single" w:sz="4" w:space="0" w:color="auto"/>
              <w:right w:val="single" w:sz="4" w:space="0" w:color="auto"/>
            </w:tcBorders>
            <w:shd w:val="clear" w:color="auto" w:fill="auto"/>
            <w:vAlign w:val="center"/>
            <w:hideMark/>
          </w:tcPr>
          <w:p w14:paraId="4A303B62"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Bancos / Tesorería</w:t>
            </w:r>
          </w:p>
        </w:tc>
        <w:tc>
          <w:tcPr>
            <w:tcW w:w="1478" w:type="dxa"/>
            <w:tcBorders>
              <w:top w:val="nil"/>
              <w:left w:val="nil"/>
              <w:bottom w:val="single" w:sz="4" w:space="0" w:color="auto"/>
              <w:right w:val="single" w:sz="4" w:space="0" w:color="auto"/>
            </w:tcBorders>
            <w:shd w:val="clear" w:color="auto" w:fill="auto"/>
            <w:noWrap/>
            <w:vAlign w:val="bottom"/>
            <w:hideMark/>
          </w:tcPr>
          <w:p w14:paraId="376308A0"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3,898,212,001</w:t>
            </w:r>
          </w:p>
        </w:tc>
        <w:tc>
          <w:tcPr>
            <w:tcW w:w="1454" w:type="dxa"/>
            <w:tcBorders>
              <w:top w:val="nil"/>
              <w:left w:val="nil"/>
              <w:bottom w:val="single" w:sz="4" w:space="0" w:color="auto"/>
              <w:right w:val="single" w:sz="4" w:space="0" w:color="auto"/>
            </w:tcBorders>
            <w:shd w:val="clear" w:color="auto" w:fill="auto"/>
            <w:noWrap/>
            <w:vAlign w:val="bottom"/>
            <w:hideMark/>
          </w:tcPr>
          <w:p w14:paraId="6D4EBCC9"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4,380,571,689</w:t>
            </w:r>
          </w:p>
        </w:tc>
      </w:tr>
      <w:tr w:rsidR="004D1037" w:rsidRPr="004D1037" w14:paraId="7B95C8FE" w14:textId="77777777" w:rsidTr="00DF32F3">
        <w:trPr>
          <w:trHeight w:val="284"/>
        </w:trPr>
        <w:tc>
          <w:tcPr>
            <w:tcW w:w="4293" w:type="dxa"/>
            <w:tcBorders>
              <w:top w:val="nil"/>
              <w:left w:val="single" w:sz="4" w:space="0" w:color="auto"/>
              <w:bottom w:val="single" w:sz="4" w:space="0" w:color="auto"/>
              <w:right w:val="single" w:sz="4" w:space="0" w:color="auto"/>
            </w:tcBorders>
            <w:shd w:val="clear" w:color="auto" w:fill="auto"/>
            <w:vAlign w:val="center"/>
            <w:hideMark/>
          </w:tcPr>
          <w:p w14:paraId="16BB09AF"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Bancos / Dependencias y Otros</w:t>
            </w:r>
          </w:p>
        </w:tc>
        <w:tc>
          <w:tcPr>
            <w:tcW w:w="1478" w:type="dxa"/>
            <w:tcBorders>
              <w:top w:val="nil"/>
              <w:left w:val="nil"/>
              <w:bottom w:val="single" w:sz="4" w:space="0" w:color="auto"/>
              <w:right w:val="single" w:sz="4" w:space="0" w:color="auto"/>
            </w:tcBorders>
            <w:shd w:val="clear" w:color="auto" w:fill="auto"/>
            <w:noWrap/>
            <w:vAlign w:val="bottom"/>
            <w:hideMark/>
          </w:tcPr>
          <w:p w14:paraId="206F3187"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2,215,470,541</w:t>
            </w:r>
          </w:p>
        </w:tc>
        <w:tc>
          <w:tcPr>
            <w:tcW w:w="1454" w:type="dxa"/>
            <w:tcBorders>
              <w:top w:val="nil"/>
              <w:left w:val="nil"/>
              <w:bottom w:val="single" w:sz="4" w:space="0" w:color="auto"/>
              <w:right w:val="single" w:sz="4" w:space="0" w:color="auto"/>
            </w:tcBorders>
            <w:shd w:val="clear" w:color="auto" w:fill="auto"/>
            <w:noWrap/>
            <w:vAlign w:val="bottom"/>
            <w:hideMark/>
          </w:tcPr>
          <w:p w14:paraId="64CBDACD"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32C10441" w14:textId="77777777" w:rsidTr="00DF32F3">
        <w:trPr>
          <w:trHeight w:val="284"/>
        </w:trPr>
        <w:tc>
          <w:tcPr>
            <w:tcW w:w="4293" w:type="dxa"/>
            <w:tcBorders>
              <w:top w:val="nil"/>
              <w:left w:val="single" w:sz="4" w:space="0" w:color="auto"/>
              <w:bottom w:val="single" w:sz="4" w:space="0" w:color="auto"/>
              <w:right w:val="single" w:sz="4" w:space="0" w:color="auto"/>
            </w:tcBorders>
            <w:shd w:val="clear" w:color="auto" w:fill="auto"/>
            <w:vAlign w:val="center"/>
            <w:hideMark/>
          </w:tcPr>
          <w:p w14:paraId="3C4CAA9D"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Inversiones Temporales (hasta 3 meses)</w:t>
            </w:r>
          </w:p>
        </w:tc>
        <w:tc>
          <w:tcPr>
            <w:tcW w:w="1478" w:type="dxa"/>
            <w:tcBorders>
              <w:top w:val="nil"/>
              <w:left w:val="nil"/>
              <w:bottom w:val="single" w:sz="4" w:space="0" w:color="auto"/>
              <w:right w:val="single" w:sz="4" w:space="0" w:color="auto"/>
            </w:tcBorders>
            <w:shd w:val="clear" w:color="auto" w:fill="auto"/>
            <w:noWrap/>
            <w:vAlign w:val="bottom"/>
            <w:hideMark/>
          </w:tcPr>
          <w:p w14:paraId="643A2A11"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c>
          <w:tcPr>
            <w:tcW w:w="1454" w:type="dxa"/>
            <w:tcBorders>
              <w:top w:val="nil"/>
              <w:left w:val="nil"/>
              <w:bottom w:val="single" w:sz="4" w:space="0" w:color="auto"/>
              <w:right w:val="single" w:sz="4" w:space="0" w:color="auto"/>
            </w:tcBorders>
            <w:shd w:val="clear" w:color="auto" w:fill="auto"/>
            <w:noWrap/>
            <w:vAlign w:val="bottom"/>
            <w:hideMark/>
          </w:tcPr>
          <w:p w14:paraId="266CB0A2"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2,420,167,900</w:t>
            </w:r>
          </w:p>
        </w:tc>
      </w:tr>
      <w:tr w:rsidR="004D1037" w:rsidRPr="004D1037" w14:paraId="77FE7EF2" w14:textId="77777777" w:rsidTr="00DF32F3">
        <w:trPr>
          <w:trHeight w:val="284"/>
        </w:trPr>
        <w:tc>
          <w:tcPr>
            <w:tcW w:w="4293" w:type="dxa"/>
            <w:tcBorders>
              <w:top w:val="nil"/>
              <w:left w:val="single" w:sz="4" w:space="0" w:color="auto"/>
              <w:bottom w:val="single" w:sz="4" w:space="0" w:color="auto"/>
              <w:right w:val="single" w:sz="4" w:space="0" w:color="auto"/>
            </w:tcBorders>
            <w:shd w:val="clear" w:color="auto" w:fill="auto"/>
            <w:vAlign w:val="center"/>
            <w:hideMark/>
          </w:tcPr>
          <w:p w14:paraId="31CCFD71"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Fondos con Afectación Específica</w:t>
            </w:r>
          </w:p>
        </w:tc>
        <w:tc>
          <w:tcPr>
            <w:tcW w:w="1478" w:type="dxa"/>
            <w:tcBorders>
              <w:top w:val="nil"/>
              <w:left w:val="nil"/>
              <w:bottom w:val="single" w:sz="4" w:space="0" w:color="auto"/>
              <w:right w:val="single" w:sz="4" w:space="0" w:color="auto"/>
            </w:tcBorders>
            <w:shd w:val="clear" w:color="auto" w:fill="auto"/>
            <w:noWrap/>
            <w:vAlign w:val="bottom"/>
            <w:hideMark/>
          </w:tcPr>
          <w:p w14:paraId="2023AB00"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862,190</w:t>
            </w:r>
          </w:p>
        </w:tc>
        <w:tc>
          <w:tcPr>
            <w:tcW w:w="1454" w:type="dxa"/>
            <w:tcBorders>
              <w:top w:val="nil"/>
              <w:left w:val="nil"/>
              <w:bottom w:val="single" w:sz="4" w:space="0" w:color="auto"/>
              <w:right w:val="single" w:sz="4" w:space="0" w:color="auto"/>
            </w:tcBorders>
            <w:shd w:val="clear" w:color="auto" w:fill="auto"/>
            <w:noWrap/>
            <w:vAlign w:val="bottom"/>
            <w:hideMark/>
          </w:tcPr>
          <w:p w14:paraId="1363D567"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794,524</w:t>
            </w:r>
          </w:p>
        </w:tc>
      </w:tr>
      <w:tr w:rsidR="004D1037" w:rsidRPr="004D1037" w14:paraId="2FDA792C" w14:textId="77777777" w:rsidTr="00DF32F3">
        <w:trPr>
          <w:trHeight w:val="284"/>
        </w:trPr>
        <w:tc>
          <w:tcPr>
            <w:tcW w:w="4293" w:type="dxa"/>
            <w:tcBorders>
              <w:top w:val="nil"/>
              <w:left w:val="single" w:sz="4" w:space="0" w:color="auto"/>
              <w:bottom w:val="single" w:sz="4" w:space="0" w:color="auto"/>
              <w:right w:val="single" w:sz="4" w:space="0" w:color="auto"/>
            </w:tcBorders>
            <w:shd w:val="clear" w:color="auto" w:fill="auto"/>
            <w:vAlign w:val="center"/>
            <w:hideMark/>
          </w:tcPr>
          <w:p w14:paraId="79590265"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Depósitos de Fondos de Terceros en Garantía y/o Administración</w:t>
            </w:r>
          </w:p>
        </w:tc>
        <w:tc>
          <w:tcPr>
            <w:tcW w:w="1478" w:type="dxa"/>
            <w:tcBorders>
              <w:top w:val="nil"/>
              <w:left w:val="nil"/>
              <w:bottom w:val="single" w:sz="4" w:space="0" w:color="auto"/>
              <w:right w:val="single" w:sz="4" w:space="0" w:color="auto"/>
            </w:tcBorders>
            <w:shd w:val="clear" w:color="auto" w:fill="auto"/>
            <w:noWrap/>
            <w:vAlign w:val="bottom"/>
            <w:hideMark/>
          </w:tcPr>
          <w:p w14:paraId="66BDDFE4"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c>
          <w:tcPr>
            <w:tcW w:w="1454" w:type="dxa"/>
            <w:tcBorders>
              <w:top w:val="nil"/>
              <w:left w:val="nil"/>
              <w:bottom w:val="single" w:sz="4" w:space="0" w:color="auto"/>
              <w:right w:val="single" w:sz="4" w:space="0" w:color="auto"/>
            </w:tcBorders>
            <w:shd w:val="clear" w:color="auto" w:fill="auto"/>
            <w:noWrap/>
            <w:vAlign w:val="bottom"/>
            <w:hideMark/>
          </w:tcPr>
          <w:p w14:paraId="1D4309C5"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3A74F3C5" w14:textId="77777777" w:rsidTr="00DF32F3">
        <w:trPr>
          <w:trHeight w:val="284"/>
        </w:trPr>
        <w:tc>
          <w:tcPr>
            <w:tcW w:w="4293" w:type="dxa"/>
            <w:tcBorders>
              <w:top w:val="nil"/>
              <w:left w:val="single" w:sz="4" w:space="0" w:color="auto"/>
              <w:bottom w:val="single" w:sz="4" w:space="0" w:color="auto"/>
              <w:right w:val="single" w:sz="4" w:space="0" w:color="auto"/>
            </w:tcBorders>
            <w:shd w:val="clear" w:color="auto" w:fill="auto"/>
            <w:vAlign w:val="center"/>
            <w:hideMark/>
          </w:tcPr>
          <w:p w14:paraId="6B676612"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Otros Efectivos y Equivalentes</w:t>
            </w:r>
          </w:p>
        </w:tc>
        <w:tc>
          <w:tcPr>
            <w:tcW w:w="1478" w:type="dxa"/>
            <w:tcBorders>
              <w:top w:val="nil"/>
              <w:left w:val="nil"/>
              <w:bottom w:val="single" w:sz="4" w:space="0" w:color="auto"/>
              <w:right w:val="single" w:sz="4" w:space="0" w:color="auto"/>
            </w:tcBorders>
            <w:shd w:val="clear" w:color="auto" w:fill="auto"/>
            <w:noWrap/>
            <w:vAlign w:val="bottom"/>
            <w:hideMark/>
          </w:tcPr>
          <w:p w14:paraId="78C3BF9D"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c>
          <w:tcPr>
            <w:tcW w:w="1454" w:type="dxa"/>
            <w:tcBorders>
              <w:top w:val="nil"/>
              <w:left w:val="nil"/>
              <w:bottom w:val="single" w:sz="4" w:space="0" w:color="auto"/>
              <w:right w:val="single" w:sz="4" w:space="0" w:color="auto"/>
            </w:tcBorders>
            <w:shd w:val="clear" w:color="auto" w:fill="auto"/>
            <w:vAlign w:val="center"/>
            <w:hideMark/>
          </w:tcPr>
          <w:p w14:paraId="089AECA4"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5EAACFDA" w14:textId="77777777" w:rsidTr="00DF32F3">
        <w:trPr>
          <w:trHeight w:val="340"/>
        </w:trPr>
        <w:tc>
          <w:tcPr>
            <w:tcW w:w="4293" w:type="dxa"/>
            <w:tcBorders>
              <w:top w:val="nil"/>
              <w:left w:val="single" w:sz="4" w:space="0" w:color="auto"/>
              <w:bottom w:val="single" w:sz="4" w:space="0" w:color="auto"/>
              <w:right w:val="single" w:sz="4" w:space="0" w:color="auto"/>
            </w:tcBorders>
            <w:shd w:val="clear" w:color="F8CBAD" w:fill="DDC9A3"/>
            <w:vAlign w:val="center"/>
            <w:hideMark/>
          </w:tcPr>
          <w:p w14:paraId="33B89C24" w14:textId="77777777" w:rsidR="004D1037" w:rsidRPr="004D1037" w:rsidRDefault="004D1037" w:rsidP="00EC7D22">
            <w:pPr>
              <w:suppressAutoHyphens w:val="0"/>
              <w:overflowPunct/>
              <w:spacing w:after="0" w:line="240" w:lineRule="auto"/>
              <w:rPr>
                <w:rFonts w:eastAsia="Times New Roman" w:cs="Calibri"/>
                <w:b/>
                <w:bCs/>
                <w:color w:val="000000"/>
                <w:sz w:val="14"/>
                <w:szCs w:val="14"/>
                <w:lang w:eastAsia="es-MX"/>
              </w:rPr>
            </w:pPr>
            <w:r w:rsidRPr="004D1037">
              <w:rPr>
                <w:rFonts w:eastAsia="Times New Roman" w:cs="Calibri"/>
                <w:b/>
                <w:bCs/>
                <w:color w:val="000000"/>
                <w:sz w:val="14"/>
                <w:szCs w:val="14"/>
                <w:lang w:eastAsia="es-MX"/>
              </w:rPr>
              <w:t>Total de Efectivo o Equivalentes</w:t>
            </w:r>
          </w:p>
        </w:tc>
        <w:tc>
          <w:tcPr>
            <w:tcW w:w="1478" w:type="dxa"/>
            <w:tcBorders>
              <w:top w:val="nil"/>
              <w:left w:val="nil"/>
              <w:bottom w:val="single" w:sz="4" w:space="0" w:color="auto"/>
              <w:right w:val="single" w:sz="4" w:space="0" w:color="auto"/>
            </w:tcBorders>
            <w:shd w:val="clear" w:color="F8CBAD" w:fill="DDC9A3"/>
            <w:vAlign w:val="center"/>
            <w:hideMark/>
          </w:tcPr>
          <w:p w14:paraId="4C4AE72C"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6,114,544,732</w:t>
            </w:r>
          </w:p>
        </w:tc>
        <w:tc>
          <w:tcPr>
            <w:tcW w:w="1454" w:type="dxa"/>
            <w:tcBorders>
              <w:top w:val="nil"/>
              <w:left w:val="nil"/>
              <w:bottom w:val="single" w:sz="4" w:space="0" w:color="auto"/>
              <w:right w:val="single" w:sz="4" w:space="0" w:color="auto"/>
            </w:tcBorders>
            <w:shd w:val="clear" w:color="F8CBAD" w:fill="DDC9A3"/>
            <w:vAlign w:val="center"/>
            <w:hideMark/>
          </w:tcPr>
          <w:p w14:paraId="70935182"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6,801,534,112</w:t>
            </w:r>
          </w:p>
        </w:tc>
      </w:tr>
    </w:tbl>
    <w:p w14:paraId="237ADB5F" w14:textId="77777777" w:rsidR="00CF1038" w:rsidRDefault="00CF1038" w:rsidP="00EC7D22">
      <w:pPr>
        <w:spacing w:after="0" w:line="240" w:lineRule="auto"/>
        <w:jc w:val="both"/>
        <w:rPr>
          <w:rFonts w:cs="Calibri"/>
          <w:sz w:val="20"/>
          <w:szCs w:val="20"/>
        </w:rPr>
      </w:pPr>
    </w:p>
    <w:p w14:paraId="3BFCB509" w14:textId="46B18652" w:rsidR="007745EB" w:rsidRDefault="00C87FDA" w:rsidP="00EC7D22">
      <w:pPr>
        <w:numPr>
          <w:ilvl w:val="0"/>
          <w:numId w:val="12"/>
        </w:numPr>
        <w:spacing w:after="0" w:line="240" w:lineRule="auto"/>
        <w:ind w:left="0" w:firstLine="0"/>
        <w:jc w:val="both"/>
        <w:rPr>
          <w:rFonts w:cs="Calibri"/>
          <w:sz w:val="20"/>
          <w:szCs w:val="20"/>
        </w:rPr>
      </w:pPr>
      <w:r w:rsidRPr="000B130C">
        <w:rPr>
          <w:rFonts w:cs="Calibri"/>
          <w:sz w:val="20"/>
          <w:szCs w:val="20"/>
        </w:rPr>
        <w:t>Detall</w:t>
      </w:r>
      <w:r w:rsidR="004D1037">
        <w:rPr>
          <w:rFonts w:cs="Calibri"/>
          <w:sz w:val="20"/>
          <w:szCs w:val="20"/>
        </w:rPr>
        <w:t>e de</w:t>
      </w:r>
      <w:r w:rsidRPr="000B130C">
        <w:rPr>
          <w:rFonts w:cs="Calibri"/>
          <w:sz w:val="20"/>
          <w:szCs w:val="20"/>
        </w:rPr>
        <w:t xml:space="preserve"> las adquisiciones de las Actividades de Inversión efectivamente pagadas, respecto del apartado de aplicación.</w:t>
      </w:r>
    </w:p>
    <w:p w14:paraId="7EB840D7" w14:textId="77777777" w:rsidR="00BF32B6" w:rsidRDefault="00BF32B6" w:rsidP="00EC7D22">
      <w:pPr>
        <w:spacing w:after="0" w:line="240" w:lineRule="auto"/>
        <w:jc w:val="both"/>
        <w:rPr>
          <w:rFonts w:cs="Calibri"/>
          <w:sz w:val="20"/>
          <w:szCs w:val="20"/>
        </w:rPr>
      </w:pPr>
    </w:p>
    <w:tbl>
      <w:tblPr>
        <w:tblW w:w="7792" w:type="dxa"/>
        <w:tblCellMar>
          <w:left w:w="70" w:type="dxa"/>
          <w:right w:w="70" w:type="dxa"/>
        </w:tblCellMar>
        <w:tblLook w:val="04A0" w:firstRow="1" w:lastRow="0" w:firstColumn="1" w:lastColumn="0" w:noHBand="0" w:noVBand="1"/>
      </w:tblPr>
      <w:tblGrid>
        <w:gridCol w:w="4292"/>
        <w:gridCol w:w="1799"/>
        <w:gridCol w:w="1701"/>
      </w:tblGrid>
      <w:tr w:rsidR="004D1037" w:rsidRPr="004D1037" w14:paraId="18F50DAD" w14:textId="77777777" w:rsidTr="00CF1038">
        <w:trPr>
          <w:trHeight w:val="508"/>
        </w:trPr>
        <w:tc>
          <w:tcPr>
            <w:tcW w:w="7792" w:type="dxa"/>
            <w:gridSpan w:val="3"/>
            <w:tcBorders>
              <w:top w:val="single" w:sz="4" w:space="0" w:color="auto"/>
              <w:left w:val="single" w:sz="4" w:space="0" w:color="auto"/>
              <w:bottom w:val="single" w:sz="4" w:space="0" w:color="auto"/>
              <w:right w:val="single" w:sz="4" w:space="0" w:color="auto"/>
            </w:tcBorders>
            <w:shd w:val="clear" w:color="800080" w:fill="A90025"/>
            <w:vAlign w:val="center"/>
            <w:hideMark/>
          </w:tcPr>
          <w:p w14:paraId="5E7711DC" w14:textId="77777777" w:rsidR="004D1037" w:rsidRPr="004D1037" w:rsidRDefault="004D1037" w:rsidP="00EC7D22">
            <w:pPr>
              <w:suppressAutoHyphens w:val="0"/>
              <w:overflowPunct/>
              <w:spacing w:after="0" w:line="240" w:lineRule="auto"/>
              <w:jc w:val="center"/>
              <w:rPr>
                <w:rFonts w:eastAsia="Times New Roman" w:cs="Calibri"/>
                <w:b/>
                <w:bCs/>
                <w:color w:val="FFFFFF"/>
                <w:sz w:val="18"/>
                <w:szCs w:val="18"/>
                <w:lang w:eastAsia="es-MX"/>
              </w:rPr>
            </w:pPr>
            <w:r w:rsidRPr="004D1037">
              <w:rPr>
                <w:rFonts w:eastAsia="Times New Roman" w:cs="Calibri"/>
                <w:b/>
                <w:bCs/>
                <w:color w:val="FFFFFF"/>
                <w:sz w:val="18"/>
                <w:szCs w:val="18"/>
                <w:lang w:eastAsia="es-MX"/>
              </w:rPr>
              <w:t>Adquisiciones de Actividades de Inversión Efectivamente Pagadas</w:t>
            </w:r>
          </w:p>
        </w:tc>
      </w:tr>
      <w:tr w:rsidR="004D1037" w:rsidRPr="004D1037" w14:paraId="3BC02B54" w14:textId="77777777" w:rsidTr="00CF1038">
        <w:trPr>
          <w:trHeight w:val="402"/>
        </w:trPr>
        <w:tc>
          <w:tcPr>
            <w:tcW w:w="4292" w:type="dxa"/>
            <w:tcBorders>
              <w:top w:val="nil"/>
              <w:left w:val="single" w:sz="4" w:space="0" w:color="auto"/>
              <w:bottom w:val="single" w:sz="4" w:space="0" w:color="auto"/>
              <w:right w:val="single" w:sz="4" w:space="0" w:color="auto"/>
            </w:tcBorders>
            <w:shd w:val="clear" w:color="F8CBAD" w:fill="DDC9A3"/>
            <w:vAlign w:val="center"/>
            <w:hideMark/>
          </w:tcPr>
          <w:p w14:paraId="0C1A56C8" w14:textId="77777777" w:rsidR="004D1037" w:rsidRPr="004D1037" w:rsidRDefault="004D1037" w:rsidP="00EC7D22">
            <w:pPr>
              <w:suppressAutoHyphens w:val="0"/>
              <w:overflowPunct/>
              <w:spacing w:after="0" w:line="240" w:lineRule="auto"/>
              <w:jc w:val="center"/>
              <w:rPr>
                <w:rFonts w:eastAsia="Times New Roman" w:cs="Calibri"/>
                <w:b/>
                <w:bCs/>
                <w:color w:val="000000"/>
                <w:sz w:val="14"/>
                <w:szCs w:val="14"/>
                <w:lang w:eastAsia="es-MX"/>
              </w:rPr>
            </w:pPr>
            <w:r w:rsidRPr="004D1037">
              <w:rPr>
                <w:rFonts w:eastAsia="Times New Roman" w:cs="Calibri"/>
                <w:b/>
                <w:bCs/>
                <w:color w:val="000000"/>
                <w:sz w:val="14"/>
                <w:szCs w:val="14"/>
                <w:lang w:eastAsia="es-MX"/>
              </w:rPr>
              <w:t>Concepto</w:t>
            </w:r>
          </w:p>
        </w:tc>
        <w:tc>
          <w:tcPr>
            <w:tcW w:w="1799" w:type="dxa"/>
            <w:tcBorders>
              <w:top w:val="nil"/>
              <w:left w:val="nil"/>
              <w:bottom w:val="single" w:sz="4" w:space="0" w:color="auto"/>
              <w:right w:val="single" w:sz="4" w:space="0" w:color="auto"/>
            </w:tcBorders>
            <w:shd w:val="clear" w:color="F8CBAD" w:fill="DDC9A3"/>
            <w:vAlign w:val="center"/>
            <w:hideMark/>
          </w:tcPr>
          <w:p w14:paraId="697FDB38" w14:textId="77777777" w:rsidR="004D1037" w:rsidRPr="004D1037" w:rsidRDefault="004D1037" w:rsidP="00EC7D22">
            <w:pPr>
              <w:suppressAutoHyphens w:val="0"/>
              <w:overflowPunct/>
              <w:spacing w:after="0" w:line="240" w:lineRule="auto"/>
              <w:jc w:val="center"/>
              <w:rPr>
                <w:rFonts w:eastAsia="Times New Roman" w:cs="Calibri"/>
                <w:b/>
                <w:bCs/>
                <w:color w:val="000000"/>
                <w:sz w:val="16"/>
                <w:szCs w:val="16"/>
                <w:lang w:eastAsia="es-MX"/>
              </w:rPr>
            </w:pPr>
            <w:r w:rsidRPr="004D1037">
              <w:rPr>
                <w:rFonts w:eastAsia="Times New Roman" w:cs="Calibri"/>
                <w:b/>
                <w:bCs/>
                <w:color w:val="000000"/>
                <w:sz w:val="16"/>
                <w:szCs w:val="16"/>
                <w:lang w:eastAsia="es-MX"/>
              </w:rPr>
              <w:t>2024</w:t>
            </w:r>
          </w:p>
        </w:tc>
        <w:tc>
          <w:tcPr>
            <w:tcW w:w="1701" w:type="dxa"/>
            <w:tcBorders>
              <w:top w:val="nil"/>
              <w:left w:val="nil"/>
              <w:bottom w:val="single" w:sz="4" w:space="0" w:color="auto"/>
              <w:right w:val="single" w:sz="4" w:space="0" w:color="auto"/>
            </w:tcBorders>
            <w:shd w:val="clear" w:color="F8CBAD" w:fill="DDC9A3"/>
            <w:vAlign w:val="center"/>
            <w:hideMark/>
          </w:tcPr>
          <w:p w14:paraId="6909E5C2" w14:textId="77777777" w:rsidR="004D1037" w:rsidRPr="004D1037" w:rsidRDefault="004D1037" w:rsidP="00EC7D22">
            <w:pPr>
              <w:suppressAutoHyphens w:val="0"/>
              <w:overflowPunct/>
              <w:spacing w:after="0" w:line="240" w:lineRule="auto"/>
              <w:jc w:val="center"/>
              <w:rPr>
                <w:rFonts w:eastAsia="Times New Roman" w:cs="Calibri"/>
                <w:b/>
                <w:bCs/>
                <w:color w:val="000000"/>
                <w:sz w:val="16"/>
                <w:szCs w:val="16"/>
                <w:lang w:eastAsia="es-MX"/>
              </w:rPr>
            </w:pPr>
            <w:r w:rsidRPr="004D1037">
              <w:rPr>
                <w:rFonts w:eastAsia="Times New Roman" w:cs="Calibri"/>
                <w:b/>
                <w:bCs/>
                <w:color w:val="000000"/>
                <w:sz w:val="16"/>
                <w:szCs w:val="16"/>
                <w:lang w:eastAsia="es-MX"/>
              </w:rPr>
              <w:t>2023</w:t>
            </w:r>
          </w:p>
        </w:tc>
      </w:tr>
      <w:tr w:rsidR="004D1037" w:rsidRPr="004D1037" w14:paraId="761526D3"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564B05EA" w14:textId="77777777" w:rsidR="004D1037" w:rsidRPr="004D1037" w:rsidRDefault="004D1037" w:rsidP="00EC7D22">
            <w:pPr>
              <w:suppressAutoHyphens w:val="0"/>
              <w:overflowPunct/>
              <w:spacing w:after="0" w:line="240" w:lineRule="auto"/>
              <w:rPr>
                <w:rFonts w:eastAsia="Times New Roman" w:cs="Calibri"/>
                <w:b/>
                <w:bCs/>
                <w:color w:val="000000"/>
                <w:sz w:val="14"/>
                <w:szCs w:val="14"/>
                <w:lang w:eastAsia="es-MX"/>
              </w:rPr>
            </w:pPr>
            <w:r w:rsidRPr="004D1037">
              <w:rPr>
                <w:rFonts w:eastAsia="Times New Roman" w:cs="Calibri"/>
                <w:b/>
                <w:bCs/>
                <w:color w:val="000000"/>
                <w:sz w:val="14"/>
                <w:szCs w:val="14"/>
                <w:lang w:eastAsia="es-MX"/>
              </w:rPr>
              <w:t>Bienes Inmuebles, Infraestructura y Construcciones en Proceso</w:t>
            </w:r>
          </w:p>
        </w:tc>
        <w:tc>
          <w:tcPr>
            <w:tcW w:w="1799" w:type="dxa"/>
            <w:tcBorders>
              <w:top w:val="nil"/>
              <w:left w:val="nil"/>
              <w:bottom w:val="single" w:sz="4" w:space="0" w:color="auto"/>
              <w:right w:val="single" w:sz="4" w:space="0" w:color="auto"/>
            </w:tcBorders>
            <w:shd w:val="clear" w:color="F2F2F2" w:fill="FFFFFF"/>
            <w:vAlign w:val="center"/>
            <w:hideMark/>
          </w:tcPr>
          <w:p w14:paraId="172EB807"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2,733,368,881</w:t>
            </w:r>
          </w:p>
        </w:tc>
        <w:tc>
          <w:tcPr>
            <w:tcW w:w="1701" w:type="dxa"/>
            <w:tcBorders>
              <w:top w:val="nil"/>
              <w:left w:val="nil"/>
              <w:bottom w:val="single" w:sz="4" w:space="0" w:color="auto"/>
              <w:right w:val="single" w:sz="4" w:space="0" w:color="auto"/>
            </w:tcBorders>
            <w:shd w:val="clear" w:color="F2F2F2" w:fill="FFFFFF"/>
            <w:vAlign w:val="center"/>
            <w:hideMark/>
          </w:tcPr>
          <w:p w14:paraId="7656AC19"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2,053,557,297</w:t>
            </w:r>
          </w:p>
        </w:tc>
      </w:tr>
      <w:tr w:rsidR="004D1037" w:rsidRPr="004D1037" w14:paraId="5B7D72DB"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247F74A6"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Terrenos</w:t>
            </w:r>
          </w:p>
        </w:tc>
        <w:tc>
          <w:tcPr>
            <w:tcW w:w="1799" w:type="dxa"/>
            <w:tcBorders>
              <w:top w:val="nil"/>
              <w:left w:val="nil"/>
              <w:bottom w:val="single" w:sz="4" w:space="0" w:color="auto"/>
              <w:right w:val="single" w:sz="4" w:space="0" w:color="auto"/>
            </w:tcBorders>
            <w:shd w:val="clear" w:color="F2F2F2" w:fill="FFFFFF"/>
            <w:vAlign w:val="center"/>
            <w:hideMark/>
          </w:tcPr>
          <w:p w14:paraId="48AAD1DB"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c>
          <w:tcPr>
            <w:tcW w:w="1701" w:type="dxa"/>
            <w:tcBorders>
              <w:top w:val="nil"/>
              <w:left w:val="nil"/>
              <w:bottom w:val="single" w:sz="4" w:space="0" w:color="auto"/>
              <w:right w:val="single" w:sz="4" w:space="0" w:color="auto"/>
            </w:tcBorders>
            <w:shd w:val="clear" w:color="F2F2F2" w:fill="FFFFFF"/>
            <w:vAlign w:val="center"/>
            <w:hideMark/>
          </w:tcPr>
          <w:p w14:paraId="5C419852"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24F19067"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76AC1911"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Viviendas</w:t>
            </w:r>
          </w:p>
        </w:tc>
        <w:tc>
          <w:tcPr>
            <w:tcW w:w="1799" w:type="dxa"/>
            <w:tcBorders>
              <w:top w:val="nil"/>
              <w:left w:val="nil"/>
              <w:bottom w:val="single" w:sz="4" w:space="0" w:color="auto"/>
              <w:right w:val="single" w:sz="4" w:space="0" w:color="auto"/>
            </w:tcBorders>
            <w:shd w:val="clear" w:color="F2F2F2" w:fill="FFFFFF"/>
            <w:vAlign w:val="center"/>
            <w:hideMark/>
          </w:tcPr>
          <w:p w14:paraId="434A9564"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c>
          <w:tcPr>
            <w:tcW w:w="1701" w:type="dxa"/>
            <w:tcBorders>
              <w:top w:val="nil"/>
              <w:left w:val="nil"/>
              <w:bottom w:val="single" w:sz="4" w:space="0" w:color="auto"/>
              <w:right w:val="single" w:sz="4" w:space="0" w:color="auto"/>
            </w:tcBorders>
            <w:shd w:val="clear" w:color="F2F2F2" w:fill="FFFFFF"/>
            <w:vAlign w:val="center"/>
            <w:hideMark/>
          </w:tcPr>
          <w:p w14:paraId="1F51ECAE"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600EC4E9"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623D73F1"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Edificios No Habitacionales</w:t>
            </w:r>
          </w:p>
        </w:tc>
        <w:tc>
          <w:tcPr>
            <w:tcW w:w="1799" w:type="dxa"/>
            <w:tcBorders>
              <w:top w:val="nil"/>
              <w:left w:val="nil"/>
              <w:bottom w:val="single" w:sz="4" w:space="0" w:color="auto"/>
              <w:right w:val="single" w:sz="4" w:space="0" w:color="auto"/>
            </w:tcBorders>
            <w:shd w:val="clear" w:color="F2F2F2" w:fill="FFFFFF"/>
            <w:vAlign w:val="center"/>
            <w:hideMark/>
          </w:tcPr>
          <w:p w14:paraId="6A95CB0D"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c>
          <w:tcPr>
            <w:tcW w:w="1701" w:type="dxa"/>
            <w:tcBorders>
              <w:top w:val="nil"/>
              <w:left w:val="nil"/>
              <w:bottom w:val="single" w:sz="4" w:space="0" w:color="auto"/>
              <w:right w:val="single" w:sz="4" w:space="0" w:color="auto"/>
            </w:tcBorders>
            <w:shd w:val="clear" w:color="F2F2F2" w:fill="FFFFFF"/>
            <w:vAlign w:val="center"/>
            <w:hideMark/>
          </w:tcPr>
          <w:p w14:paraId="0F9B9E26"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19CABA1E"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31A505D2"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Infraestructura</w:t>
            </w:r>
          </w:p>
        </w:tc>
        <w:tc>
          <w:tcPr>
            <w:tcW w:w="1799" w:type="dxa"/>
            <w:tcBorders>
              <w:top w:val="nil"/>
              <w:left w:val="nil"/>
              <w:bottom w:val="single" w:sz="4" w:space="0" w:color="auto"/>
              <w:right w:val="single" w:sz="4" w:space="0" w:color="auto"/>
            </w:tcBorders>
            <w:shd w:val="clear" w:color="F2F2F2" w:fill="FFFFFF"/>
            <w:vAlign w:val="center"/>
            <w:hideMark/>
          </w:tcPr>
          <w:p w14:paraId="22DD27B3"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c>
          <w:tcPr>
            <w:tcW w:w="1701" w:type="dxa"/>
            <w:tcBorders>
              <w:top w:val="nil"/>
              <w:left w:val="nil"/>
              <w:bottom w:val="single" w:sz="4" w:space="0" w:color="auto"/>
              <w:right w:val="single" w:sz="4" w:space="0" w:color="auto"/>
            </w:tcBorders>
            <w:shd w:val="clear" w:color="F2F2F2" w:fill="FFFFFF"/>
            <w:vAlign w:val="center"/>
            <w:hideMark/>
          </w:tcPr>
          <w:p w14:paraId="1948D2C6"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200D0FE4"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1152CF9E"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Construcciones en Proceso en Bienes de Dominio Público</w:t>
            </w:r>
          </w:p>
        </w:tc>
        <w:tc>
          <w:tcPr>
            <w:tcW w:w="1799" w:type="dxa"/>
            <w:tcBorders>
              <w:top w:val="nil"/>
              <w:left w:val="nil"/>
              <w:bottom w:val="single" w:sz="4" w:space="0" w:color="auto"/>
              <w:right w:val="single" w:sz="4" w:space="0" w:color="auto"/>
            </w:tcBorders>
            <w:shd w:val="clear" w:color="auto" w:fill="auto"/>
            <w:vAlign w:val="center"/>
            <w:hideMark/>
          </w:tcPr>
          <w:p w14:paraId="30F39526"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2,103,124,362</w:t>
            </w:r>
          </w:p>
        </w:tc>
        <w:tc>
          <w:tcPr>
            <w:tcW w:w="1701" w:type="dxa"/>
            <w:tcBorders>
              <w:top w:val="nil"/>
              <w:left w:val="nil"/>
              <w:bottom w:val="single" w:sz="4" w:space="0" w:color="auto"/>
              <w:right w:val="single" w:sz="4" w:space="0" w:color="auto"/>
            </w:tcBorders>
            <w:shd w:val="clear" w:color="auto" w:fill="auto"/>
            <w:vAlign w:val="center"/>
            <w:hideMark/>
          </w:tcPr>
          <w:p w14:paraId="0BADA7DA"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1,260,535,120</w:t>
            </w:r>
          </w:p>
        </w:tc>
      </w:tr>
      <w:tr w:rsidR="004D1037" w:rsidRPr="004D1037" w14:paraId="5B833BD2"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3027726C"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Construcciones en Proceso en Bienes de Propios</w:t>
            </w:r>
          </w:p>
        </w:tc>
        <w:tc>
          <w:tcPr>
            <w:tcW w:w="1799" w:type="dxa"/>
            <w:tcBorders>
              <w:top w:val="nil"/>
              <w:left w:val="nil"/>
              <w:bottom w:val="single" w:sz="4" w:space="0" w:color="auto"/>
              <w:right w:val="single" w:sz="4" w:space="0" w:color="auto"/>
            </w:tcBorders>
            <w:shd w:val="clear" w:color="auto" w:fill="auto"/>
            <w:vAlign w:val="center"/>
            <w:hideMark/>
          </w:tcPr>
          <w:p w14:paraId="745D75D8"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471,756,824</w:t>
            </w:r>
          </w:p>
        </w:tc>
        <w:tc>
          <w:tcPr>
            <w:tcW w:w="1701" w:type="dxa"/>
            <w:tcBorders>
              <w:top w:val="nil"/>
              <w:left w:val="nil"/>
              <w:bottom w:val="single" w:sz="4" w:space="0" w:color="auto"/>
              <w:right w:val="single" w:sz="4" w:space="0" w:color="auto"/>
            </w:tcBorders>
            <w:shd w:val="clear" w:color="auto" w:fill="auto"/>
            <w:vAlign w:val="center"/>
            <w:hideMark/>
          </w:tcPr>
          <w:p w14:paraId="407ECCCA"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686,005,955</w:t>
            </w:r>
          </w:p>
        </w:tc>
      </w:tr>
      <w:tr w:rsidR="004D1037" w:rsidRPr="004D1037" w14:paraId="33F25230"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549ACA58"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Otros Bienes Inmuebles</w:t>
            </w:r>
          </w:p>
        </w:tc>
        <w:tc>
          <w:tcPr>
            <w:tcW w:w="1799" w:type="dxa"/>
            <w:tcBorders>
              <w:top w:val="nil"/>
              <w:left w:val="nil"/>
              <w:bottom w:val="single" w:sz="4" w:space="0" w:color="auto"/>
              <w:right w:val="single" w:sz="4" w:space="0" w:color="auto"/>
            </w:tcBorders>
            <w:shd w:val="clear" w:color="auto" w:fill="auto"/>
            <w:vAlign w:val="center"/>
            <w:hideMark/>
          </w:tcPr>
          <w:p w14:paraId="515170C1"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158,487,695</w:t>
            </w:r>
          </w:p>
        </w:tc>
        <w:tc>
          <w:tcPr>
            <w:tcW w:w="1701" w:type="dxa"/>
            <w:tcBorders>
              <w:top w:val="nil"/>
              <w:left w:val="nil"/>
              <w:bottom w:val="single" w:sz="4" w:space="0" w:color="auto"/>
              <w:right w:val="single" w:sz="4" w:space="0" w:color="auto"/>
            </w:tcBorders>
            <w:shd w:val="clear" w:color="auto" w:fill="auto"/>
            <w:vAlign w:val="center"/>
            <w:hideMark/>
          </w:tcPr>
          <w:p w14:paraId="3C5F6D56"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107,016,222</w:t>
            </w:r>
          </w:p>
        </w:tc>
      </w:tr>
      <w:tr w:rsidR="004D1037" w:rsidRPr="004D1037" w14:paraId="76462986"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7247BC06" w14:textId="77777777" w:rsidR="004D1037" w:rsidRPr="004D1037" w:rsidRDefault="004D1037" w:rsidP="00EC7D22">
            <w:pPr>
              <w:suppressAutoHyphens w:val="0"/>
              <w:overflowPunct/>
              <w:spacing w:after="0" w:line="240" w:lineRule="auto"/>
              <w:rPr>
                <w:rFonts w:eastAsia="Times New Roman" w:cs="Calibri"/>
                <w:b/>
                <w:bCs/>
                <w:color w:val="000000"/>
                <w:sz w:val="14"/>
                <w:szCs w:val="14"/>
                <w:lang w:eastAsia="es-MX"/>
              </w:rPr>
            </w:pPr>
            <w:r w:rsidRPr="004D1037">
              <w:rPr>
                <w:rFonts w:eastAsia="Times New Roman" w:cs="Calibri"/>
                <w:b/>
                <w:bCs/>
                <w:color w:val="000000"/>
                <w:sz w:val="14"/>
                <w:szCs w:val="14"/>
                <w:lang w:eastAsia="es-MX"/>
              </w:rPr>
              <w:t>Bienes Muebles</w:t>
            </w:r>
          </w:p>
        </w:tc>
        <w:tc>
          <w:tcPr>
            <w:tcW w:w="1799" w:type="dxa"/>
            <w:tcBorders>
              <w:top w:val="nil"/>
              <w:left w:val="nil"/>
              <w:bottom w:val="single" w:sz="4" w:space="0" w:color="auto"/>
              <w:right w:val="single" w:sz="4" w:space="0" w:color="auto"/>
            </w:tcBorders>
            <w:shd w:val="clear" w:color="F2F2F2" w:fill="FFFFFF"/>
            <w:vAlign w:val="center"/>
            <w:hideMark/>
          </w:tcPr>
          <w:p w14:paraId="4505220C"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914,006,064</w:t>
            </w:r>
          </w:p>
        </w:tc>
        <w:tc>
          <w:tcPr>
            <w:tcW w:w="1701" w:type="dxa"/>
            <w:tcBorders>
              <w:top w:val="nil"/>
              <w:left w:val="nil"/>
              <w:bottom w:val="single" w:sz="4" w:space="0" w:color="auto"/>
              <w:right w:val="single" w:sz="4" w:space="0" w:color="auto"/>
            </w:tcBorders>
            <w:shd w:val="clear" w:color="F2F2F2" w:fill="FFFFFF"/>
            <w:vAlign w:val="center"/>
            <w:hideMark/>
          </w:tcPr>
          <w:p w14:paraId="70F8078A"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229,630,455</w:t>
            </w:r>
          </w:p>
        </w:tc>
      </w:tr>
      <w:tr w:rsidR="004D1037" w:rsidRPr="004D1037" w14:paraId="4E327ED0" w14:textId="77777777" w:rsidTr="00CF1038">
        <w:trPr>
          <w:trHeight w:val="363"/>
        </w:trPr>
        <w:tc>
          <w:tcPr>
            <w:tcW w:w="4292" w:type="dxa"/>
            <w:tcBorders>
              <w:top w:val="nil"/>
              <w:left w:val="single" w:sz="4" w:space="0" w:color="auto"/>
              <w:bottom w:val="single" w:sz="4" w:space="0" w:color="auto"/>
              <w:right w:val="single" w:sz="4" w:space="0" w:color="auto"/>
            </w:tcBorders>
            <w:shd w:val="clear" w:color="auto" w:fill="auto"/>
            <w:vAlign w:val="center"/>
            <w:hideMark/>
          </w:tcPr>
          <w:p w14:paraId="7CB3E533"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Mobiliario y Equipo de Administración</w:t>
            </w:r>
          </w:p>
        </w:tc>
        <w:tc>
          <w:tcPr>
            <w:tcW w:w="1799" w:type="dxa"/>
            <w:tcBorders>
              <w:top w:val="nil"/>
              <w:left w:val="nil"/>
              <w:bottom w:val="single" w:sz="4" w:space="0" w:color="auto"/>
              <w:right w:val="single" w:sz="4" w:space="0" w:color="auto"/>
            </w:tcBorders>
            <w:shd w:val="clear" w:color="auto" w:fill="auto"/>
            <w:vAlign w:val="center"/>
            <w:hideMark/>
          </w:tcPr>
          <w:p w14:paraId="1C6CC88B"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188,333,155</w:t>
            </w:r>
          </w:p>
        </w:tc>
        <w:tc>
          <w:tcPr>
            <w:tcW w:w="1701" w:type="dxa"/>
            <w:tcBorders>
              <w:top w:val="nil"/>
              <w:left w:val="nil"/>
              <w:bottom w:val="single" w:sz="4" w:space="0" w:color="auto"/>
              <w:right w:val="single" w:sz="4" w:space="0" w:color="auto"/>
            </w:tcBorders>
            <w:shd w:val="clear" w:color="auto" w:fill="auto"/>
            <w:vAlign w:val="center"/>
            <w:hideMark/>
          </w:tcPr>
          <w:p w14:paraId="14564F72"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24,034,947</w:t>
            </w:r>
          </w:p>
        </w:tc>
      </w:tr>
      <w:tr w:rsidR="004D1037" w:rsidRPr="004D1037" w14:paraId="1865163C" w14:textId="77777777" w:rsidTr="00CF1038">
        <w:trPr>
          <w:trHeight w:val="363"/>
        </w:trPr>
        <w:tc>
          <w:tcPr>
            <w:tcW w:w="4292" w:type="dxa"/>
            <w:tcBorders>
              <w:top w:val="nil"/>
              <w:left w:val="single" w:sz="4" w:space="0" w:color="auto"/>
              <w:bottom w:val="single" w:sz="4" w:space="0" w:color="auto"/>
              <w:right w:val="single" w:sz="4" w:space="0" w:color="auto"/>
            </w:tcBorders>
            <w:shd w:val="clear" w:color="auto" w:fill="auto"/>
            <w:vAlign w:val="center"/>
            <w:hideMark/>
          </w:tcPr>
          <w:p w14:paraId="0237C676"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Mobiliario y Equipo Educacional y recreativo</w:t>
            </w:r>
          </w:p>
        </w:tc>
        <w:tc>
          <w:tcPr>
            <w:tcW w:w="1799" w:type="dxa"/>
            <w:tcBorders>
              <w:top w:val="nil"/>
              <w:left w:val="nil"/>
              <w:bottom w:val="single" w:sz="4" w:space="0" w:color="auto"/>
              <w:right w:val="single" w:sz="4" w:space="0" w:color="auto"/>
            </w:tcBorders>
            <w:shd w:val="clear" w:color="auto" w:fill="auto"/>
            <w:vAlign w:val="center"/>
            <w:hideMark/>
          </w:tcPr>
          <w:p w14:paraId="30C548A0"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14,160,672</w:t>
            </w:r>
          </w:p>
        </w:tc>
        <w:tc>
          <w:tcPr>
            <w:tcW w:w="1701" w:type="dxa"/>
            <w:tcBorders>
              <w:top w:val="nil"/>
              <w:left w:val="nil"/>
              <w:bottom w:val="single" w:sz="4" w:space="0" w:color="auto"/>
              <w:right w:val="single" w:sz="4" w:space="0" w:color="auto"/>
            </w:tcBorders>
            <w:shd w:val="clear" w:color="auto" w:fill="auto"/>
            <w:vAlign w:val="center"/>
            <w:hideMark/>
          </w:tcPr>
          <w:p w14:paraId="1B7FFEF7"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824,504</w:t>
            </w:r>
          </w:p>
        </w:tc>
      </w:tr>
      <w:tr w:rsidR="004D1037" w:rsidRPr="004D1037" w14:paraId="0BA33716" w14:textId="77777777" w:rsidTr="00CF1038">
        <w:trPr>
          <w:trHeight w:val="363"/>
        </w:trPr>
        <w:tc>
          <w:tcPr>
            <w:tcW w:w="4292" w:type="dxa"/>
            <w:tcBorders>
              <w:top w:val="nil"/>
              <w:left w:val="single" w:sz="4" w:space="0" w:color="auto"/>
              <w:bottom w:val="single" w:sz="4" w:space="0" w:color="auto"/>
              <w:right w:val="single" w:sz="4" w:space="0" w:color="auto"/>
            </w:tcBorders>
            <w:shd w:val="clear" w:color="auto" w:fill="auto"/>
            <w:vAlign w:val="center"/>
            <w:hideMark/>
          </w:tcPr>
          <w:p w14:paraId="7912C0BA"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Equipo e Instrumental Médico y de Laboratorio</w:t>
            </w:r>
          </w:p>
        </w:tc>
        <w:tc>
          <w:tcPr>
            <w:tcW w:w="1799" w:type="dxa"/>
            <w:tcBorders>
              <w:top w:val="nil"/>
              <w:left w:val="nil"/>
              <w:bottom w:val="single" w:sz="4" w:space="0" w:color="auto"/>
              <w:right w:val="single" w:sz="4" w:space="0" w:color="auto"/>
            </w:tcBorders>
            <w:shd w:val="clear" w:color="auto" w:fill="auto"/>
            <w:vAlign w:val="center"/>
            <w:hideMark/>
          </w:tcPr>
          <w:p w14:paraId="5F78A3F8"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20,358,696</w:t>
            </w:r>
          </w:p>
        </w:tc>
        <w:tc>
          <w:tcPr>
            <w:tcW w:w="1701" w:type="dxa"/>
            <w:tcBorders>
              <w:top w:val="nil"/>
              <w:left w:val="nil"/>
              <w:bottom w:val="single" w:sz="4" w:space="0" w:color="auto"/>
              <w:right w:val="single" w:sz="4" w:space="0" w:color="auto"/>
            </w:tcBorders>
            <w:shd w:val="clear" w:color="auto" w:fill="auto"/>
            <w:vAlign w:val="center"/>
            <w:hideMark/>
          </w:tcPr>
          <w:p w14:paraId="3237396F"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527,182</w:t>
            </w:r>
          </w:p>
        </w:tc>
      </w:tr>
      <w:tr w:rsidR="004D1037" w:rsidRPr="004D1037" w14:paraId="7F39CE35" w14:textId="77777777" w:rsidTr="00CF1038">
        <w:trPr>
          <w:trHeight w:val="363"/>
        </w:trPr>
        <w:tc>
          <w:tcPr>
            <w:tcW w:w="4292" w:type="dxa"/>
            <w:tcBorders>
              <w:top w:val="nil"/>
              <w:left w:val="single" w:sz="4" w:space="0" w:color="auto"/>
              <w:bottom w:val="single" w:sz="4" w:space="0" w:color="auto"/>
              <w:right w:val="single" w:sz="4" w:space="0" w:color="auto"/>
            </w:tcBorders>
            <w:shd w:val="clear" w:color="auto" w:fill="auto"/>
            <w:vAlign w:val="center"/>
            <w:hideMark/>
          </w:tcPr>
          <w:p w14:paraId="0F84FFB7"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Vehículos y Equipos de Transporte</w:t>
            </w:r>
          </w:p>
        </w:tc>
        <w:tc>
          <w:tcPr>
            <w:tcW w:w="1799" w:type="dxa"/>
            <w:tcBorders>
              <w:top w:val="nil"/>
              <w:left w:val="nil"/>
              <w:bottom w:val="single" w:sz="4" w:space="0" w:color="auto"/>
              <w:right w:val="single" w:sz="4" w:space="0" w:color="auto"/>
            </w:tcBorders>
            <w:shd w:val="clear" w:color="auto" w:fill="auto"/>
            <w:vAlign w:val="center"/>
            <w:hideMark/>
          </w:tcPr>
          <w:p w14:paraId="7C52D636"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331,228,992</w:t>
            </w:r>
          </w:p>
        </w:tc>
        <w:tc>
          <w:tcPr>
            <w:tcW w:w="1701" w:type="dxa"/>
            <w:tcBorders>
              <w:top w:val="nil"/>
              <w:left w:val="nil"/>
              <w:bottom w:val="single" w:sz="4" w:space="0" w:color="auto"/>
              <w:right w:val="single" w:sz="4" w:space="0" w:color="auto"/>
            </w:tcBorders>
            <w:shd w:val="clear" w:color="auto" w:fill="auto"/>
            <w:vAlign w:val="center"/>
            <w:hideMark/>
          </w:tcPr>
          <w:p w14:paraId="10F0C171"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122,328,987</w:t>
            </w:r>
          </w:p>
        </w:tc>
      </w:tr>
      <w:tr w:rsidR="004D1037" w:rsidRPr="004D1037" w14:paraId="069AB505" w14:textId="77777777" w:rsidTr="00CF1038">
        <w:trPr>
          <w:trHeight w:val="363"/>
        </w:trPr>
        <w:tc>
          <w:tcPr>
            <w:tcW w:w="4292" w:type="dxa"/>
            <w:tcBorders>
              <w:top w:val="nil"/>
              <w:left w:val="single" w:sz="4" w:space="0" w:color="auto"/>
              <w:bottom w:val="single" w:sz="4" w:space="0" w:color="auto"/>
              <w:right w:val="single" w:sz="4" w:space="0" w:color="auto"/>
            </w:tcBorders>
            <w:shd w:val="clear" w:color="auto" w:fill="auto"/>
            <w:vAlign w:val="center"/>
            <w:hideMark/>
          </w:tcPr>
          <w:p w14:paraId="67A8D65D"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Equipo de Defensa y Seguridad</w:t>
            </w:r>
          </w:p>
        </w:tc>
        <w:tc>
          <w:tcPr>
            <w:tcW w:w="1799" w:type="dxa"/>
            <w:tcBorders>
              <w:top w:val="nil"/>
              <w:left w:val="nil"/>
              <w:bottom w:val="single" w:sz="4" w:space="0" w:color="auto"/>
              <w:right w:val="single" w:sz="4" w:space="0" w:color="auto"/>
            </w:tcBorders>
            <w:shd w:val="clear" w:color="auto" w:fill="auto"/>
            <w:vAlign w:val="center"/>
            <w:hideMark/>
          </w:tcPr>
          <w:p w14:paraId="5334AB97"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8,342,549</w:t>
            </w:r>
          </w:p>
        </w:tc>
        <w:tc>
          <w:tcPr>
            <w:tcW w:w="1701" w:type="dxa"/>
            <w:tcBorders>
              <w:top w:val="nil"/>
              <w:left w:val="nil"/>
              <w:bottom w:val="single" w:sz="4" w:space="0" w:color="auto"/>
              <w:right w:val="single" w:sz="4" w:space="0" w:color="auto"/>
            </w:tcBorders>
            <w:shd w:val="clear" w:color="auto" w:fill="auto"/>
            <w:vAlign w:val="center"/>
            <w:hideMark/>
          </w:tcPr>
          <w:p w14:paraId="26A798B9"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16,994,805</w:t>
            </w:r>
          </w:p>
        </w:tc>
      </w:tr>
      <w:tr w:rsidR="004D1037" w:rsidRPr="004D1037" w14:paraId="373170E2" w14:textId="77777777" w:rsidTr="00CF1038">
        <w:trPr>
          <w:trHeight w:val="363"/>
        </w:trPr>
        <w:tc>
          <w:tcPr>
            <w:tcW w:w="4292" w:type="dxa"/>
            <w:tcBorders>
              <w:top w:val="nil"/>
              <w:left w:val="single" w:sz="4" w:space="0" w:color="auto"/>
              <w:bottom w:val="single" w:sz="4" w:space="0" w:color="auto"/>
              <w:right w:val="single" w:sz="4" w:space="0" w:color="auto"/>
            </w:tcBorders>
            <w:shd w:val="clear" w:color="auto" w:fill="auto"/>
            <w:vAlign w:val="center"/>
            <w:hideMark/>
          </w:tcPr>
          <w:p w14:paraId="781F430D"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Maquinaria, otros Equipos y Herramientas</w:t>
            </w:r>
          </w:p>
        </w:tc>
        <w:tc>
          <w:tcPr>
            <w:tcW w:w="1799" w:type="dxa"/>
            <w:tcBorders>
              <w:top w:val="nil"/>
              <w:left w:val="nil"/>
              <w:bottom w:val="single" w:sz="4" w:space="0" w:color="auto"/>
              <w:right w:val="single" w:sz="4" w:space="0" w:color="auto"/>
            </w:tcBorders>
            <w:shd w:val="clear" w:color="auto" w:fill="auto"/>
            <w:vAlign w:val="center"/>
            <w:hideMark/>
          </w:tcPr>
          <w:p w14:paraId="625C3970"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242,212,638</w:t>
            </w:r>
          </w:p>
        </w:tc>
        <w:tc>
          <w:tcPr>
            <w:tcW w:w="1701" w:type="dxa"/>
            <w:tcBorders>
              <w:top w:val="nil"/>
              <w:left w:val="nil"/>
              <w:bottom w:val="single" w:sz="4" w:space="0" w:color="auto"/>
              <w:right w:val="single" w:sz="4" w:space="0" w:color="auto"/>
            </w:tcBorders>
            <w:shd w:val="clear" w:color="auto" w:fill="auto"/>
            <w:vAlign w:val="center"/>
            <w:hideMark/>
          </w:tcPr>
          <w:p w14:paraId="0714774D"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55,723,395</w:t>
            </w:r>
          </w:p>
        </w:tc>
      </w:tr>
      <w:tr w:rsidR="004D1037" w:rsidRPr="004D1037" w14:paraId="0998F152" w14:textId="77777777" w:rsidTr="00CF1038">
        <w:trPr>
          <w:trHeight w:val="363"/>
        </w:trPr>
        <w:tc>
          <w:tcPr>
            <w:tcW w:w="4292" w:type="dxa"/>
            <w:tcBorders>
              <w:top w:val="nil"/>
              <w:left w:val="single" w:sz="4" w:space="0" w:color="auto"/>
              <w:bottom w:val="single" w:sz="4" w:space="0" w:color="auto"/>
              <w:right w:val="single" w:sz="4" w:space="0" w:color="auto"/>
            </w:tcBorders>
            <w:shd w:val="clear" w:color="auto" w:fill="auto"/>
            <w:vAlign w:val="center"/>
            <w:hideMark/>
          </w:tcPr>
          <w:p w14:paraId="7EC45282"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Colecciones, Obras de Arte y Objetos Valiosos</w:t>
            </w:r>
          </w:p>
        </w:tc>
        <w:tc>
          <w:tcPr>
            <w:tcW w:w="1799" w:type="dxa"/>
            <w:tcBorders>
              <w:top w:val="nil"/>
              <w:left w:val="nil"/>
              <w:bottom w:val="single" w:sz="4" w:space="0" w:color="auto"/>
              <w:right w:val="single" w:sz="4" w:space="0" w:color="auto"/>
            </w:tcBorders>
            <w:shd w:val="clear" w:color="auto" w:fill="auto"/>
            <w:vAlign w:val="center"/>
            <w:hideMark/>
          </w:tcPr>
          <w:p w14:paraId="4C9E3F36"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c>
          <w:tcPr>
            <w:tcW w:w="1701" w:type="dxa"/>
            <w:tcBorders>
              <w:top w:val="nil"/>
              <w:left w:val="nil"/>
              <w:bottom w:val="single" w:sz="4" w:space="0" w:color="auto"/>
              <w:right w:val="single" w:sz="4" w:space="0" w:color="auto"/>
            </w:tcBorders>
            <w:shd w:val="clear" w:color="auto" w:fill="auto"/>
            <w:vAlign w:val="center"/>
            <w:hideMark/>
          </w:tcPr>
          <w:p w14:paraId="6DEBC95D"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18B58393" w14:textId="77777777" w:rsidTr="00CF1038">
        <w:trPr>
          <w:trHeight w:val="363"/>
        </w:trPr>
        <w:tc>
          <w:tcPr>
            <w:tcW w:w="4292" w:type="dxa"/>
            <w:tcBorders>
              <w:top w:val="nil"/>
              <w:left w:val="single" w:sz="4" w:space="0" w:color="auto"/>
              <w:bottom w:val="single" w:sz="4" w:space="0" w:color="auto"/>
              <w:right w:val="single" w:sz="4" w:space="0" w:color="auto"/>
            </w:tcBorders>
            <w:shd w:val="clear" w:color="auto" w:fill="auto"/>
            <w:vAlign w:val="center"/>
            <w:hideMark/>
          </w:tcPr>
          <w:p w14:paraId="4B6E8612"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Activos Biológicos</w:t>
            </w:r>
          </w:p>
        </w:tc>
        <w:tc>
          <w:tcPr>
            <w:tcW w:w="1799" w:type="dxa"/>
            <w:tcBorders>
              <w:top w:val="nil"/>
              <w:left w:val="nil"/>
              <w:bottom w:val="single" w:sz="4" w:space="0" w:color="auto"/>
              <w:right w:val="single" w:sz="4" w:space="0" w:color="auto"/>
            </w:tcBorders>
            <w:shd w:val="clear" w:color="auto" w:fill="auto"/>
            <w:vAlign w:val="center"/>
            <w:hideMark/>
          </w:tcPr>
          <w:p w14:paraId="6A1A2B9D"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1,190,160</w:t>
            </w:r>
          </w:p>
        </w:tc>
        <w:tc>
          <w:tcPr>
            <w:tcW w:w="1701" w:type="dxa"/>
            <w:tcBorders>
              <w:top w:val="nil"/>
              <w:left w:val="nil"/>
              <w:bottom w:val="single" w:sz="4" w:space="0" w:color="auto"/>
              <w:right w:val="single" w:sz="4" w:space="0" w:color="auto"/>
            </w:tcBorders>
            <w:shd w:val="clear" w:color="auto" w:fill="auto"/>
            <w:vAlign w:val="center"/>
            <w:hideMark/>
          </w:tcPr>
          <w:p w14:paraId="09082664"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413EAD4A" w14:textId="77777777" w:rsidTr="00CF1038">
        <w:trPr>
          <w:trHeight w:val="363"/>
        </w:trPr>
        <w:tc>
          <w:tcPr>
            <w:tcW w:w="4292" w:type="dxa"/>
            <w:tcBorders>
              <w:top w:val="nil"/>
              <w:left w:val="single" w:sz="4" w:space="0" w:color="auto"/>
              <w:bottom w:val="single" w:sz="4" w:space="0" w:color="auto"/>
              <w:right w:val="single" w:sz="4" w:space="0" w:color="auto"/>
            </w:tcBorders>
            <w:shd w:val="clear" w:color="F2F2F2" w:fill="FFFFFF"/>
            <w:vAlign w:val="center"/>
            <w:hideMark/>
          </w:tcPr>
          <w:p w14:paraId="06856F8E"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Otras Inversiones</w:t>
            </w:r>
          </w:p>
        </w:tc>
        <w:tc>
          <w:tcPr>
            <w:tcW w:w="1799" w:type="dxa"/>
            <w:tcBorders>
              <w:top w:val="nil"/>
              <w:left w:val="nil"/>
              <w:bottom w:val="single" w:sz="4" w:space="0" w:color="auto"/>
              <w:right w:val="single" w:sz="4" w:space="0" w:color="auto"/>
            </w:tcBorders>
            <w:shd w:val="clear" w:color="auto" w:fill="auto"/>
            <w:vAlign w:val="center"/>
            <w:hideMark/>
          </w:tcPr>
          <w:p w14:paraId="48154332"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108,179,203</w:t>
            </w:r>
          </w:p>
        </w:tc>
        <w:tc>
          <w:tcPr>
            <w:tcW w:w="1701" w:type="dxa"/>
            <w:tcBorders>
              <w:top w:val="nil"/>
              <w:left w:val="nil"/>
              <w:bottom w:val="single" w:sz="4" w:space="0" w:color="auto"/>
              <w:right w:val="single" w:sz="4" w:space="0" w:color="auto"/>
            </w:tcBorders>
            <w:shd w:val="clear" w:color="auto" w:fill="auto"/>
            <w:vAlign w:val="center"/>
            <w:hideMark/>
          </w:tcPr>
          <w:p w14:paraId="72BFC03C"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9,196,635</w:t>
            </w:r>
          </w:p>
        </w:tc>
      </w:tr>
      <w:tr w:rsidR="004D1037" w:rsidRPr="004D1037" w14:paraId="1CE3D16A" w14:textId="77777777" w:rsidTr="00CF1038">
        <w:trPr>
          <w:trHeight w:val="402"/>
        </w:trPr>
        <w:tc>
          <w:tcPr>
            <w:tcW w:w="4292" w:type="dxa"/>
            <w:tcBorders>
              <w:top w:val="nil"/>
              <w:left w:val="single" w:sz="4" w:space="0" w:color="auto"/>
              <w:bottom w:val="single" w:sz="4" w:space="0" w:color="auto"/>
              <w:right w:val="single" w:sz="4" w:space="0" w:color="auto"/>
            </w:tcBorders>
            <w:shd w:val="clear" w:color="F8CBAD" w:fill="DDC9A3"/>
            <w:vAlign w:val="center"/>
            <w:hideMark/>
          </w:tcPr>
          <w:p w14:paraId="1C8AD484" w14:textId="77777777" w:rsidR="004D1037" w:rsidRPr="004D1037" w:rsidRDefault="004D1037" w:rsidP="00EC7D22">
            <w:pPr>
              <w:suppressAutoHyphens w:val="0"/>
              <w:overflowPunct/>
              <w:spacing w:after="0" w:line="240" w:lineRule="auto"/>
              <w:rPr>
                <w:rFonts w:eastAsia="Times New Roman" w:cs="Calibri"/>
                <w:b/>
                <w:bCs/>
                <w:color w:val="000000"/>
                <w:sz w:val="14"/>
                <w:szCs w:val="14"/>
                <w:lang w:eastAsia="es-MX"/>
              </w:rPr>
            </w:pPr>
            <w:r w:rsidRPr="004D1037">
              <w:rPr>
                <w:rFonts w:eastAsia="Times New Roman" w:cs="Calibri"/>
                <w:b/>
                <w:bCs/>
                <w:color w:val="000000"/>
                <w:sz w:val="14"/>
                <w:szCs w:val="14"/>
                <w:lang w:eastAsia="es-MX"/>
              </w:rPr>
              <w:t>Total</w:t>
            </w:r>
          </w:p>
        </w:tc>
        <w:tc>
          <w:tcPr>
            <w:tcW w:w="1799" w:type="dxa"/>
            <w:tcBorders>
              <w:top w:val="nil"/>
              <w:left w:val="nil"/>
              <w:bottom w:val="single" w:sz="4" w:space="0" w:color="auto"/>
              <w:right w:val="single" w:sz="4" w:space="0" w:color="auto"/>
            </w:tcBorders>
            <w:shd w:val="clear" w:color="F8CBAD" w:fill="DDC9A3"/>
            <w:vAlign w:val="center"/>
            <w:hideMark/>
          </w:tcPr>
          <w:p w14:paraId="15077D42"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3,647,374,945</w:t>
            </w:r>
          </w:p>
        </w:tc>
        <w:tc>
          <w:tcPr>
            <w:tcW w:w="1701" w:type="dxa"/>
            <w:tcBorders>
              <w:top w:val="nil"/>
              <w:left w:val="nil"/>
              <w:bottom w:val="single" w:sz="4" w:space="0" w:color="auto"/>
              <w:right w:val="single" w:sz="4" w:space="0" w:color="auto"/>
            </w:tcBorders>
            <w:shd w:val="clear" w:color="F8CBAD" w:fill="DDC9A3"/>
            <w:vAlign w:val="center"/>
            <w:hideMark/>
          </w:tcPr>
          <w:p w14:paraId="5B5D1462"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2,283,187,752</w:t>
            </w:r>
          </w:p>
        </w:tc>
      </w:tr>
    </w:tbl>
    <w:p w14:paraId="755610BD" w14:textId="77777777" w:rsidR="00BF32B6" w:rsidRDefault="00BF32B6" w:rsidP="00EC7D22">
      <w:pPr>
        <w:spacing w:after="0" w:line="240" w:lineRule="auto"/>
        <w:jc w:val="both"/>
        <w:rPr>
          <w:rFonts w:cs="Calibri"/>
          <w:sz w:val="20"/>
          <w:szCs w:val="20"/>
        </w:rPr>
      </w:pPr>
    </w:p>
    <w:p w14:paraId="07ACA114" w14:textId="08C0D79F" w:rsidR="007745EB" w:rsidRDefault="007745EB" w:rsidP="00EC7D22">
      <w:pPr>
        <w:spacing w:after="0" w:line="240" w:lineRule="auto"/>
        <w:jc w:val="both"/>
        <w:rPr>
          <w:rFonts w:cs="Calibri"/>
          <w:b/>
          <w:sz w:val="17"/>
          <w:szCs w:val="17"/>
          <w:lang w:val="es-ES" w:eastAsia="es-ES"/>
        </w:rPr>
      </w:pPr>
    </w:p>
    <w:p w14:paraId="691CB664" w14:textId="367D3B10" w:rsidR="00797579" w:rsidRDefault="00797579" w:rsidP="00EC7D22">
      <w:pPr>
        <w:spacing w:after="0" w:line="240" w:lineRule="auto"/>
        <w:jc w:val="both"/>
        <w:rPr>
          <w:rFonts w:cs="Calibri"/>
          <w:b/>
          <w:sz w:val="17"/>
          <w:szCs w:val="17"/>
          <w:lang w:val="es-ES" w:eastAsia="es-ES"/>
        </w:rPr>
      </w:pPr>
    </w:p>
    <w:p w14:paraId="04AC2003" w14:textId="0860A99E" w:rsidR="007745EB" w:rsidRDefault="007745EB" w:rsidP="00EC7D22">
      <w:pPr>
        <w:spacing w:after="0" w:line="240" w:lineRule="auto"/>
        <w:jc w:val="both"/>
        <w:rPr>
          <w:rFonts w:cs="Calibri"/>
          <w:b/>
          <w:sz w:val="17"/>
          <w:szCs w:val="17"/>
          <w:lang w:val="es-ES" w:eastAsia="es-ES"/>
        </w:rPr>
      </w:pPr>
    </w:p>
    <w:p w14:paraId="7F57B9BC" w14:textId="355D663B" w:rsidR="00DF32F3" w:rsidRDefault="00DF32F3" w:rsidP="00EC7D22">
      <w:pPr>
        <w:spacing w:after="0" w:line="240" w:lineRule="auto"/>
        <w:jc w:val="both"/>
        <w:rPr>
          <w:rFonts w:cs="Calibri"/>
          <w:b/>
          <w:sz w:val="17"/>
          <w:szCs w:val="17"/>
          <w:lang w:val="es-ES" w:eastAsia="es-ES"/>
        </w:rPr>
      </w:pPr>
    </w:p>
    <w:p w14:paraId="5B27C8B6" w14:textId="32C8EDC2" w:rsidR="00DF32F3" w:rsidRDefault="00DF32F3" w:rsidP="00EC7D22">
      <w:pPr>
        <w:spacing w:after="0" w:line="240" w:lineRule="auto"/>
        <w:jc w:val="both"/>
        <w:rPr>
          <w:rFonts w:cs="Calibri"/>
          <w:b/>
          <w:sz w:val="17"/>
          <w:szCs w:val="17"/>
          <w:lang w:val="es-ES" w:eastAsia="es-ES"/>
        </w:rPr>
      </w:pPr>
    </w:p>
    <w:p w14:paraId="6155FF52" w14:textId="2AC9CF62" w:rsidR="00DF32F3" w:rsidRDefault="00DF32F3" w:rsidP="00EC7D22">
      <w:pPr>
        <w:spacing w:after="0" w:line="240" w:lineRule="auto"/>
        <w:jc w:val="both"/>
        <w:rPr>
          <w:rFonts w:cs="Calibri"/>
          <w:b/>
          <w:sz w:val="17"/>
          <w:szCs w:val="17"/>
          <w:lang w:val="es-ES" w:eastAsia="es-ES"/>
        </w:rPr>
      </w:pPr>
    </w:p>
    <w:p w14:paraId="1B25A97C" w14:textId="7DD05B92" w:rsidR="00DF32F3" w:rsidRDefault="00DF32F3" w:rsidP="00EC7D22">
      <w:pPr>
        <w:spacing w:after="0" w:line="240" w:lineRule="auto"/>
        <w:jc w:val="both"/>
        <w:rPr>
          <w:rFonts w:cs="Calibri"/>
          <w:b/>
          <w:sz w:val="17"/>
          <w:szCs w:val="17"/>
          <w:lang w:val="es-ES" w:eastAsia="es-ES"/>
        </w:rPr>
      </w:pPr>
    </w:p>
    <w:p w14:paraId="3D55E1B5" w14:textId="425D1E47" w:rsidR="00DF32F3" w:rsidRDefault="00DF32F3" w:rsidP="00EC7D22">
      <w:pPr>
        <w:spacing w:after="0" w:line="240" w:lineRule="auto"/>
        <w:jc w:val="both"/>
        <w:rPr>
          <w:rFonts w:cs="Calibri"/>
          <w:b/>
          <w:sz w:val="17"/>
          <w:szCs w:val="17"/>
          <w:lang w:val="es-ES" w:eastAsia="es-ES"/>
        </w:rPr>
      </w:pPr>
    </w:p>
    <w:p w14:paraId="095F5F24" w14:textId="73F9E966" w:rsidR="00DF32F3" w:rsidRDefault="00DF32F3" w:rsidP="00EC7D22">
      <w:pPr>
        <w:spacing w:after="0" w:line="240" w:lineRule="auto"/>
        <w:jc w:val="both"/>
        <w:rPr>
          <w:rFonts w:cs="Calibri"/>
          <w:b/>
          <w:sz w:val="17"/>
          <w:szCs w:val="17"/>
          <w:lang w:val="es-ES" w:eastAsia="es-ES"/>
        </w:rPr>
      </w:pPr>
    </w:p>
    <w:p w14:paraId="557BF539" w14:textId="0D1D28EC" w:rsidR="00DF32F3" w:rsidRDefault="00DF32F3" w:rsidP="00EC7D22">
      <w:pPr>
        <w:spacing w:after="0" w:line="240" w:lineRule="auto"/>
        <w:jc w:val="both"/>
        <w:rPr>
          <w:rFonts w:cs="Calibri"/>
          <w:b/>
          <w:sz w:val="17"/>
          <w:szCs w:val="17"/>
          <w:lang w:val="es-ES" w:eastAsia="es-ES"/>
        </w:rPr>
      </w:pPr>
    </w:p>
    <w:p w14:paraId="32B7A93F" w14:textId="77777777" w:rsidR="00DF32F3" w:rsidRDefault="00DF32F3" w:rsidP="00EC7D22">
      <w:pPr>
        <w:spacing w:after="0" w:line="240" w:lineRule="auto"/>
        <w:jc w:val="both"/>
        <w:rPr>
          <w:rFonts w:cs="Calibri"/>
          <w:b/>
          <w:sz w:val="17"/>
          <w:szCs w:val="17"/>
          <w:lang w:val="es-ES" w:eastAsia="es-ES"/>
        </w:rPr>
      </w:pPr>
    </w:p>
    <w:p w14:paraId="5A54B8DA" w14:textId="77777777" w:rsidR="007745EB" w:rsidRPr="00A727F3" w:rsidRDefault="00C87FDA" w:rsidP="00EC7D22">
      <w:pPr>
        <w:pStyle w:val="Prrafodelista"/>
        <w:numPr>
          <w:ilvl w:val="0"/>
          <w:numId w:val="12"/>
        </w:numPr>
        <w:spacing w:after="0" w:line="240" w:lineRule="auto"/>
        <w:ind w:left="0" w:firstLine="0"/>
        <w:jc w:val="both"/>
        <w:rPr>
          <w:rFonts w:cs="Calibri"/>
          <w:sz w:val="20"/>
          <w:szCs w:val="20"/>
          <w:lang w:val="es-ES" w:eastAsia="es-ES"/>
        </w:rPr>
      </w:pPr>
      <w:r w:rsidRPr="000B130C">
        <w:rPr>
          <w:rFonts w:cs="Calibri"/>
          <w:sz w:val="20"/>
          <w:szCs w:val="20"/>
          <w:lang w:val="es-ES" w:eastAsia="es-ES"/>
        </w:rPr>
        <w:lastRenderedPageBreak/>
        <w:t xml:space="preserve">Conciliación de los Flujos de Efectivo </w:t>
      </w:r>
      <w:r w:rsidRPr="000B130C">
        <w:rPr>
          <w:rFonts w:cs="Calibri"/>
          <w:sz w:val="20"/>
          <w:szCs w:val="20"/>
        </w:rPr>
        <w:t xml:space="preserve">Netos de las Actividades de Operación y la cuenta de Resultado del </w:t>
      </w:r>
      <w:r w:rsidR="00E406AD" w:rsidRPr="000B130C">
        <w:rPr>
          <w:rFonts w:cs="Calibri"/>
          <w:sz w:val="20"/>
          <w:szCs w:val="20"/>
        </w:rPr>
        <w:t>Ejercicio (</w:t>
      </w:r>
      <w:r w:rsidRPr="000B130C">
        <w:rPr>
          <w:rFonts w:cs="Calibri"/>
          <w:sz w:val="20"/>
          <w:szCs w:val="20"/>
        </w:rPr>
        <w:t>Ahorro/Desahorro).</w:t>
      </w:r>
    </w:p>
    <w:p w14:paraId="3346051D" w14:textId="77777777" w:rsidR="00A727F3" w:rsidRDefault="00A727F3" w:rsidP="00EC7D22">
      <w:pPr>
        <w:spacing w:after="0" w:line="240" w:lineRule="auto"/>
        <w:jc w:val="both"/>
        <w:rPr>
          <w:rFonts w:cs="Calibri"/>
          <w:sz w:val="20"/>
          <w:szCs w:val="20"/>
          <w:lang w:val="es-ES" w:eastAsia="es-ES"/>
        </w:rPr>
      </w:pPr>
    </w:p>
    <w:tbl>
      <w:tblPr>
        <w:tblW w:w="7166" w:type="dxa"/>
        <w:tblCellMar>
          <w:left w:w="70" w:type="dxa"/>
          <w:right w:w="70" w:type="dxa"/>
        </w:tblCellMar>
        <w:tblLook w:val="04A0" w:firstRow="1" w:lastRow="0" w:firstColumn="1" w:lastColumn="0" w:noHBand="0" w:noVBand="1"/>
      </w:tblPr>
      <w:tblGrid>
        <w:gridCol w:w="4258"/>
        <w:gridCol w:w="1465"/>
        <w:gridCol w:w="1443"/>
      </w:tblGrid>
      <w:tr w:rsidR="004D1037" w:rsidRPr="007028FD" w14:paraId="60BF488A" w14:textId="77777777" w:rsidTr="007028FD">
        <w:trPr>
          <w:trHeight w:val="340"/>
        </w:trPr>
        <w:tc>
          <w:tcPr>
            <w:tcW w:w="7166" w:type="dxa"/>
            <w:gridSpan w:val="3"/>
            <w:tcBorders>
              <w:top w:val="single" w:sz="4" w:space="0" w:color="auto"/>
              <w:left w:val="single" w:sz="4" w:space="0" w:color="auto"/>
              <w:bottom w:val="single" w:sz="4" w:space="0" w:color="auto"/>
              <w:right w:val="single" w:sz="4" w:space="0" w:color="auto"/>
            </w:tcBorders>
            <w:shd w:val="clear" w:color="800080" w:fill="A90025"/>
            <w:vAlign w:val="center"/>
            <w:hideMark/>
          </w:tcPr>
          <w:p w14:paraId="7D95392C" w14:textId="77777777" w:rsidR="004D1037" w:rsidRPr="007028FD" w:rsidRDefault="004D1037" w:rsidP="00EC7D22">
            <w:pPr>
              <w:suppressAutoHyphens w:val="0"/>
              <w:overflowPunct/>
              <w:spacing w:after="0" w:line="240" w:lineRule="auto"/>
              <w:jc w:val="center"/>
              <w:rPr>
                <w:rFonts w:eastAsia="Times New Roman" w:cs="Calibri"/>
                <w:b/>
                <w:bCs/>
                <w:color w:val="FFFFFF"/>
                <w:sz w:val="16"/>
                <w:szCs w:val="18"/>
                <w:lang w:eastAsia="es-MX"/>
              </w:rPr>
            </w:pPr>
            <w:r w:rsidRPr="007028FD">
              <w:rPr>
                <w:rFonts w:eastAsia="Times New Roman" w:cs="Calibri"/>
                <w:b/>
                <w:bCs/>
                <w:color w:val="FFFFFF"/>
                <w:sz w:val="16"/>
                <w:szCs w:val="18"/>
                <w:lang w:eastAsia="es-MX"/>
              </w:rPr>
              <w:t xml:space="preserve">Conciliación de Flujos de Efectivo Netos </w:t>
            </w:r>
          </w:p>
        </w:tc>
      </w:tr>
      <w:tr w:rsidR="004D1037" w:rsidRPr="004D1037" w14:paraId="3AE8CA36" w14:textId="77777777" w:rsidTr="007028FD">
        <w:trPr>
          <w:trHeight w:val="312"/>
        </w:trPr>
        <w:tc>
          <w:tcPr>
            <w:tcW w:w="4258" w:type="dxa"/>
            <w:tcBorders>
              <w:top w:val="nil"/>
              <w:left w:val="single" w:sz="4" w:space="0" w:color="auto"/>
              <w:bottom w:val="single" w:sz="4" w:space="0" w:color="auto"/>
              <w:right w:val="single" w:sz="4" w:space="0" w:color="auto"/>
            </w:tcBorders>
            <w:shd w:val="clear" w:color="F8CBAD" w:fill="DDC9A3"/>
            <w:vAlign w:val="center"/>
            <w:hideMark/>
          </w:tcPr>
          <w:p w14:paraId="254EC434" w14:textId="77777777" w:rsidR="004D1037" w:rsidRPr="004D1037" w:rsidRDefault="004D1037" w:rsidP="00EC7D22">
            <w:pPr>
              <w:suppressAutoHyphens w:val="0"/>
              <w:overflowPunct/>
              <w:spacing w:after="0" w:line="240" w:lineRule="auto"/>
              <w:jc w:val="center"/>
              <w:rPr>
                <w:rFonts w:eastAsia="Times New Roman" w:cs="Calibri"/>
                <w:b/>
                <w:bCs/>
                <w:color w:val="000000"/>
                <w:sz w:val="14"/>
                <w:szCs w:val="14"/>
                <w:lang w:eastAsia="es-MX"/>
              </w:rPr>
            </w:pPr>
            <w:r w:rsidRPr="004D1037">
              <w:rPr>
                <w:rFonts w:eastAsia="Times New Roman" w:cs="Calibri"/>
                <w:b/>
                <w:bCs/>
                <w:color w:val="000000"/>
                <w:sz w:val="14"/>
                <w:szCs w:val="14"/>
                <w:lang w:eastAsia="es-MX"/>
              </w:rPr>
              <w:t>C O N C E P T O</w:t>
            </w:r>
          </w:p>
        </w:tc>
        <w:tc>
          <w:tcPr>
            <w:tcW w:w="1465" w:type="dxa"/>
            <w:tcBorders>
              <w:top w:val="nil"/>
              <w:left w:val="nil"/>
              <w:bottom w:val="single" w:sz="4" w:space="0" w:color="auto"/>
              <w:right w:val="single" w:sz="4" w:space="0" w:color="auto"/>
            </w:tcBorders>
            <w:shd w:val="clear" w:color="F8CBAD" w:fill="DDC9A3"/>
            <w:vAlign w:val="center"/>
            <w:hideMark/>
          </w:tcPr>
          <w:p w14:paraId="59C9D236" w14:textId="77777777" w:rsidR="004D1037" w:rsidRPr="004D1037" w:rsidRDefault="004D1037" w:rsidP="00EC7D22">
            <w:pPr>
              <w:suppressAutoHyphens w:val="0"/>
              <w:overflowPunct/>
              <w:spacing w:after="0" w:line="240" w:lineRule="auto"/>
              <w:jc w:val="center"/>
              <w:rPr>
                <w:rFonts w:eastAsia="Times New Roman" w:cs="Calibri"/>
                <w:b/>
                <w:bCs/>
                <w:color w:val="000000"/>
                <w:sz w:val="16"/>
                <w:szCs w:val="16"/>
                <w:lang w:eastAsia="es-MX"/>
              </w:rPr>
            </w:pPr>
            <w:r w:rsidRPr="004D1037">
              <w:rPr>
                <w:rFonts w:eastAsia="Times New Roman" w:cs="Calibri"/>
                <w:b/>
                <w:bCs/>
                <w:color w:val="000000"/>
                <w:sz w:val="16"/>
                <w:szCs w:val="16"/>
                <w:lang w:eastAsia="es-MX"/>
              </w:rPr>
              <w:t>2024</w:t>
            </w:r>
          </w:p>
        </w:tc>
        <w:tc>
          <w:tcPr>
            <w:tcW w:w="1442" w:type="dxa"/>
            <w:tcBorders>
              <w:top w:val="nil"/>
              <w:left w:val="nil"/>
              <w:bottom w:val="single" w:sz="4" w:space="0" w:color="auto"/>
              <w:right w:val="single" w:sz="4" w:space="0" w:color="auto"/>
            </w:tcBorders>
            <w:shd w:val="clear" w:color="F8CBAD" w:fill="DDC9A3"/>
            <w:vAlign w:val="center"/>
            <w:hideMark/>
          </w:tcPr>
          <w:p w14:paraId="2E923ADC" w14:textId="77777777" w:rsidR="004D1037" w:rsidRPr="004D1037" w:rsidRDefault="004D1037" w:rsidP="00EC7D22">
            <w:pPr>
              <w:suppressAutoHyphens w:val="0"/>
              <w:overflowPunct/>
              <w:spacing w:after="0" w:line="240" w:lineRule="auto"/>
              <w:jc w:val="center"/>
              <w:rPr>
                <w:rFonts w:eastAsia="Times New Roman" w:cs="Calibri"/>
                <w:b/>
                <w:bCs/>
                <w:color w:val="000000"/>
                <w:sz w:val="16"/>
                <w:szCs w:val="16"/>
                <w:lang w:eastAsia="es-MX"/>
              </w:rPr>
            </w:pPr>
            <w:r w:rsidRPr="004D1037">
              <w:rPr>
                <w:rFonts w:eastAsia="Times New Roman" w:cs="Calibri"/>
                <w:b/>
                <w:bCs/>
                <w:color w:val="000000"/>
                <w:sz w:val="16"/>
                <w:szCs w:val="16"/>
                <w:lang w:eastAsia="es-MX"/>
              </w:rPr>
              <w:t>2023</w:t>
            </w:r>
          </w:p>
        </w:tc>
      </w:tr>
      <w:tr w:rsidR="004D1037" w:rsidRPr="004D1037" w14:paraId="39BAD512" w14:textId="77777777" w:rsidTr="007028FD">
        <w:trPr>
          <w:trHeight w:val="340"/>
        </w:trPr>
        <w:tc>
          <w:tcPr>
            <w:tcW w:w="4258" w:type="dxa"/>
            <w:tcBorders>
              <w:top w:val="nil"/>
              <w:left w:val="single" w:sz="4" w:space="0" w:color="auto"/>
              <w:bottom w:val="single" w:sz="4" w:space="0" w:color="auto"/>
              <w:right w:val="single" w:sz="4" w:space="0" w:color="auto"/>
            </w:tcBorders>
            <w:shd w:val="clear" w:color="DBDBDB" w:fill="D9D9D9"/>
            <w:vAlign w:val="center"/>
            <w:hideMark/>
          </w:tcPr>
          <w:p w14:paraId="0FA24D9D" w14:textId="77777777" w:rsidR="004D1037" w:rsidRPr="004D1037" w:rsidRDefault="004D1037" w:rsidP="00EC7D22">
            <w:pPr>
              <w:suppressAutoHyphens w:val="0"/>
              <w:overflowPunct/>
              <w:spacing w:after="0" w:line="240" w:lineRule="auto"/>
              <w:jc w:val="both"/>
              <w:rPr>
                <w:rFonts w:eastAsia="Times New Roman" w:cs="Calibri"/>
                <w:b/>
                <w:bCs/>
                <w:color w:val="000000"/>
                <w:sz w:val="14"/>
                <w:szCs w:val="14"/>
                <w:lang w:eastAsia="es-MX"/>
              </w:rPr>
            </w:pPr>
            <w:r w:rsidRPr="004D1037">
              <w:rPr>
                <w:rFonts w:eastAsia="Times New Roman" w:cs="Calibri"/>
                <w:b/>
                <w:bCs/>
                <w:color w:val="000000"/>
                <w:sz w:val="14"/>
                <w:szCs w:val="14"/>
                <w:lang w:eastAsia="es-MX"/>
              </w:rPr>
              <w:t>Resultados del Ejercicio (Ahorro/ Desahorro)</w:t>
            </w:r>
          </w:p>
        </w:tc>
        <w:tc>
          <w:tcPr>
            <w:tcW w:w="1465" w:type="dxa"/>
            <w:tcBorders>
              <w:top w:val="nil"/>
              <w:left w:val="nil"/>
              <w:bottom w:val="single" w:sz="4" w:space="0" w:color="auto"/>
              <w:right w:val="single" w:sz="4" w:space="0" w:color="auto"/>
            </w:tcBorders>
            <w:shd w:val="clear" w:color="DBDBDB" w:fill="D9D9D9"/>
            <w:vAlign w:val="center"/>
            <w:hideMark/>
          </w:tcPr>
          <w:p w14:paraId="60884B43"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1,780,472,926</w:t>
            </w:r>
          </w:p>
        </w:tc>
        <w:tc>
          <w:tcPr>
            <w:tcW w:w="1442" w:type="dxa"/>
            <w:tcBorders>
              <w:top w:val="nil"/>
              <w:left w:val="nil"/>
              <w:bottom w:val="single" w:sz="4" w:space="0" w:color="auto"/>
              <w:right w:val="single" w:sz="4" w:space="0" w:color="auto"/>
            </w:tcBorders>
            <w:shd w:val="clear" w:color="DBDBDB" w:fill="D9D9D9"/>
            <w:vAlign w:val="center"/>
            <w:hideMark/>
          </w:tcPr>
          <w:p w14:paraId="67BC3143"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4,725,822,548</w:t>
            </w:r>
          </w:p>
        </w:tc>
      </w:tr>
      <w:tr w:rsidR="004D1037" w:rsidRPr="004D1037" w14:paraId="52BB7113"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4F8CE56F"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 xml:space="preserve">     Movimientos de partidas (o rubros) que no afectan al Efectivo</w:t>
            </w:r>
          </w:p>
        </w:tc>
        <w:tc>
          <w:tcPr>
            <w:tcW w:w="1465" w:type="dxa"/>
            <w:tcBorders>
              <w:top w:val="nil"/>
              <w:left w:val="nil"/>
              <w:bottom w:val="single" w:sz="4" w:space="0" w:color="auto"/>
              <w:right w:val="single" w:sz="4" w:space="0" w:color="auto"/>
            </w:tcBorders>
            <w:shd w:val="clear" w:color="auto" w:fill="auto"/>
            <w:vAlign w:val="center"/>
            <w:hideMark/>
          </w:tcPr>
          <w:p w14:paraId="6B4AC19E"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2DF2B2A0"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r>
      <w:tr w:rsidR="004D1037" w:rsidRPr="004D1037" w14:paraId="0966B2D5"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7BEDD4A5"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 xml:space="preserve">     Depreciación</w:t>
            </w:r>
          </w:p>
        </w:tc>
        <w:tc>
          <w:tcPr>
            <w:tcW w:w="1465" w:type="dxa"/>
            <w:tcBorders>
              <w:top w:val="nil"/>
              <w:left w:val="nil"/>
              <w:bottom w:val="single" w:sz="4" w:space="0" w:color="auto"/>
              <w:right w:val="single" w:sz="4" w:space="0" w:color="auto"/>
            </w:tcBorders>
            <w:shd w:val="clear" w:color="auto" w:fill="auto"/>
            <w:vAlign w:val="center"/>
            <w:hideMark/>
          </w:tcPr>
          <w:p w14:paraId="6E03A99C"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777,725,422</w:t>
            </w:r>
          </w:p>
        </w:tc>
        <w:tc>
          <w:tcPr>
            <w:tcW w:w="1442" w:type="dxa"/>
            <w:tcBorders>
              <w:top w:val="nil"/>
              <w:left w:val="nil"/>
              <w:bottom w:val="single" w:sz="4" w:space="0" w:color="auto"/>
              <w:right w:val="single" w:sz="4" w:space="0" w:color="auto"/>
            </w:tcBorders>
            <w:shd w:val="clear" w:color="auto" w:fill="auto"/>
            <w:vAlign w:val="center"/>
            <w:hideMark/>
          </w:tcPr>
          <w:p w14:paraId="1D8EC6A0"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978,745,984</w:t>
            </w:r>
          </w:p>
        </w:tc>
      </w:tr>
      <w:tr w:rsidR="004D1037" w:rsidRPr="004D1037" w14:paraId="4CB919D0"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43E74C87"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 xml:space="preserve">     Amortización</w:t>
            </w:r>
          </w:p>
        </w:tc>
        <w:tc>
          <w:tcPr>
            <w:tcW w:w="1465" w:type="dxa"/>
            <w:tcBorders>
              <w:top w:val="nil"/>
              <w:left w:val="nil"/>
              <w:bottom w:val="single" w:sz="4" w:space="0" w:color="auto"/>
              <w:right w:val="single" w:sz="4" w:space="0" w:color="auto"/>
            </w:tcBorders>
            <w:shd w:val="clear" w:color="auto" w:fill="auto"/>
            <w:vAlign w:val="center"/>
            <w:hideMark/>
          </w:tcPr>
          <w:p w14:paraId="1B6FA4E5"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2515B478"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r>
      <w:tr w:rsidR="004D1037" w:rsidRPr="004D1037" w14:paraId="29E7B57A"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74201F92"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 xml:space="preserve">    Incrementos en las provisiones</w:t>
            </w:r>
          </w:p>
        </w:tc>
        <w:tc>
          <w:tcPr>
            <w:tcW w:w="1465" w:type="dxa"/>
            <w:tcBorders>
              <w:top w:val="nil"/>
              <w:left w:val="nil"/>
              <w:bottom w:val="single" w:sz="4" w:space="0" w:color="auto"/>
              <w:right w:val="single" w:sz="4" w:space="0" w:color="auto"/>
            </w:tcBorders>
            <w:shd w:val="clear" w:color="auto" w:fill="auto"/>
            <w:vAlign w:val="center"/>
            <w:hideMark/>
          </w:tcPr>
          <w:p w14:paraId="0F680A2B"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255ADD47"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r>
      <w:tr w:rsidR="004D1037" w:rsidRPr="004D1037" w14:paraId="7ED7FF74"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3929C424"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 xml:space="preserve">     Pasivos (Adeudos por pagar)</w:t>
            </w:r>
          </w:p>
        </w:tc>
        <w:tc>
          <w:tcPr>
            <w:tcW w:w="1465" w:type="dxa"/>
            <w:tcBorders>
              <w:top w:val="nil"/>
              <w:left w:val="nil"/>
              <w:bottom w:val="single" w:sz="4" w:space="0" w:color="auto"/>
              <w:right w:val="single" w:sz="4" w:space="0" w:color="auto"/>
            </w:tcBorders>
            <w:shd w:val="clear" w:color="auto" w:fill="auto"/>
            <w:vAlign w:val="center"/>
            <w:hideMark/>
          </w:tcPr>
          <w:p w14:paraId="1256631C"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1,953,435,702</w:t>
            </w:r>
          </w:p>
        </w:tc>
        <w:tc>
          <w:tcPr>
            <w:tcW w:w="1442" w:type="dxa"/>
            <w:tcBorders>
              <w:top w:val="nil"/>
              <w:left w:val="nil"/>
              <w:bottom w:val="single" w:sz="4" w:space="0" w:color="auto"/>
              <w:right w:val="single" w:sz="4" w:space="0" w:color="auto"/>
            </w:tcBorders>
            <w:shd w:val="clear" w:color="auto" w:fill="auto"/>
            <w:vAlign w:val="center"/>
            <w:hideMark/>
          </w:tcPr>
          <w:p w14:paraId="1724EE55"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2,943,602,038</w:t>
            </w:r>
          </w:p>
        </w:tc>
      </w:tr>
      <w:tr w:rsidR="004D1037" w:rsidRPr="004D1037" w14:paraId="27E63A7F"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3F6FF768"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 xml:space="preserve">     Incremento en Inversiones Producido por Revaluaciones</w:t>
            </w:r>
          </w:p>
        </w:tc>
        <w:tc>
          <w:tcPr>
            <w:tcW w:w="1465" w:type="dxa"/>
            <w:tcBorders>
              <w:top w:val="nil"/>
              <w:left w:val="nil"/>
              <w:bottom w:val="single" w:sz="4" w:space="0" w:color="auto"/>
              <w:right w:val="single" w:sz="4" w:space="0" w:color="auto"/>
            </w:tcBorders>
            <w:shd w:val="clear" w:color="auto" w:fill="auto"/>
            <w:vAlign w:val="center"/>
            <w:hideMark/>
          </w:tcPr>
          <w:p w14:paraId="45732AC5"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6E3CA72C"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r>
      <w:tr w:rsidR="004D1037" w:rsidRPr="004D1037" w14:paraId="58C43249"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465EE930"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Ganancia/pérdida en venta de Bienes muebles, inmuebles e intangibles</w:t>
            </w:r>
          </w:p>
        </w:tc>
        <w:tc>
          <w:tcPr>
            <w:tcW w:w="1465" w:type="dxa"/>
            <w:tcBorders>
              <w:top w:val="nil"/>
              <w:left w:val="nil"/>
              <w:bottom w:val="single" w:sz="4" w:space="0" w:color="auto"/>
              <w:right w:val="single" w:sz="4" w:space="0" w:color="auto"/>
            </w:tcBorders>
            <w:shd w:val="clear" w:color="auto" w:fill="auto"/>
            <w:vAlign w:val="center"/>
            <w:hideMark/>
          </w:tcPr>
          <w:p w14:paraId="4224A21E"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126C1DE9"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r>
      <w:tr w:rsidR="004D1037" w:rsidRPr="004D1037" w14:paraId="3B38D1BB"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79C9EEA9"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 xml:space="preserve">     Incremento en Cuentas por Cobrar </w:t>
            </w:r>
          </w:p>
        </w:tc>
        <w:tc>
          <w:tcPr>
            <w:tcW w:w="1465" w:type="dxa"/>
            <w:tcBorders>
              <w:top w:val="nil"/>
              <w:left w:val="nil"/>
              <w:bottom w:val="single" w:sz="4" w:space="0" w:color="auto"/>
              <w:right w:val="single" w:sz="4" w:space="0" w:color="auto"/>
            </w:tcBorders>
            <w:shd w:val="clear" w:color="auto" w:fill="auto"/>
            <w:vAlign w:val="center"/>
            <w:hideMark/>
          </w:tcPr>
          <w:p w14:paraId="52D5C8EC"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3,386,259</w:t>
            </w:r>
          </w:p>
        </w:tc>
        <w:tc>
          <w:tcPr>
            <w:tcW w:w="1442" w:type="dxa"/>
            <w:tcBorders>
              <w:top w:val="nil"/>
              <w:left w:val="nil"/>
              <w:bottom w:val="single" w:sz="4" w:space="0" w:color="auto"/>
              <w:right w:val="single" w:sz="4" w:space="0" w:color="auto"/>
            </w:tcBorders>
            <w:shd w:val="clear" w:color="auto" w:fill="auto"/>
            <w:vAlign w:val="center"/>
            <w:hideMark/>
          </w:tcPr>
          <w:p w14:paraId="6E89E591"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332,786</w:t>
            </w:r>
          </w:p>
        </w:tc>
      </w:tr>
      <w:tr w:rsidR="004D1037" w:rsidRPr="004D1037" w14:paraId="62A76D03"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0DD2B5B3"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 xml:space="preserve">     Donativos</w:t>
            </w:r>
          </w:p>
        </w:tc>
        <w:tc>
          <w:tcPr>
            <w:tcW w:w="1465" w:type="dxa"/>
            <w:tcBorders>
              <w:top w:val="nil"/>
              <w:left w:val="nil"/>
              <w:bottom w:val="single" w:sz="4" w:space="0" w:color="auto"/>
              <w:right w:val="single" w:sz="4" w:space="0" w:color="auto"/>
            </w:tcBorders>
            <w:shd w:val="clear" w:color="auto" w:fill="auto"/>
            <w:vAlign w:val="center"/>
            <w:hideMark/>
          </w:tcPr>
          <w:p w14:paraId="6791416F"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c>
          <w:tcPr>
            <w:tcW w:w="1442" w:type="dxa"/>
            <w:tcBorders>
              <w:top w:val="nil"/>
              <w:left w:val="nil"/>
              <w:bottom w:val="single" w:sz="4" w:space="0" w:color="auto"/>
              <w:right w:val="single" w:sz="4" w:space="0" w:color="auto"/>
            </w:tcBorders>
            <w:shd w:val="clear" w:color="auto" w:fill="auto"/>
            <w:vAlign w:val="center"/>
            <w:hideMark/>
          </w:tcPr>
          <w:p w14:paraId="4A881C03"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r>
      <w:tr w:rsidR="004D1037" w:rsidRPr="004D1037" w14:paraId="53900755" w14:textId="77777777" w:rsidTr="007028FD">
        <w:trPr>
          <w:trHeight w:val="312"/>
        </w:trPr>
        <w:tc>
          <w:tcPr>
            <w:tcW w:w="4258" w:type="dxa"/>
            <w:tcBorders>
              <w:top w:val="nil"/>
              <w:left w:val="single" w:sz="4" w:space="0" w:color="auto"/>
              <w:bottom w:val="single" w:sz="4" w:space="0" w:color="auto"/>
              <w:right w:val="single" w:sz="4" w:space="0" w:color="auto"/>
            </w:tcBorders>
            <w:shd w:val="clear" w:color="auto" w:fill="auto"/>
            <w:vAlign w:val="center"/>
            <w:hideMark/>
          </w:tcPr>
          <w:p w14:paraId="4C0E08B2" w14:textId="77777777" w:rsidR="004D1037" w:rsidRPr="004D1037" w:rsidRDefault="004D1037" w:rsidP="00EC7D22">
            <w:pPr>
              <w:suppressAutoHyphens w:val="0"/>
              <w:overflowPunct/>
              <w:spacing w:after="0" w:line="240" w:lineRule="auto"/>
              <w:jc w:val="both"/>
              <w:rPr>
                <w:rFonts w:eastAsia="Times New Roman" w:cs="Calibri"/>
                <w:color w:val="000000"/>
                <w:sz w:val="14"/>
                <w:szCs w:val="14"/>
                <w:lang w:eastAsia="es-MX"/>
              </w:rPr>
            </w:pPr>
            <w:r w:rsidRPr="004D1037">
              <w:rPr>
                <w:rFonts w:eastAsia="Times New Roman" w:cs="Calibri"/>
                <w:color w:val="000000"/>
                <w:sz w:val="14"/>
                <w:szCs w:val="14"/>
                <w:lang w:eastAsia="es-MX"/>
              </w:rPr>
              <w:t xml:space="preserve">     Perdidas Extraordinarias</w:t>
            </w:r>
          </w:p>
        </w:tc>
        <w:tc>
          <w:tcPr>
            <w:tcW w:w="1465" w:type="dxa"/>
            <w:tcBorders>
              <w:top w:val="nil"/>
              <w:left w:val="nil"/>
              <w:bottom w:val="single" w:sz="4" w:space="0" w:color="auto"/>
              <w:right w:val="single" w:sz="4" w:space="0" w:color="auto"/>
            </w:tcBorders>
            <w:shd w:val="clear" w:color="auto" w:fill="auto"/>
            <w:vAlign w:val="center"/>
            <w:hideMark/>
          </w:tcPr>
          <w:p w14:paraId="51707120"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1,890,299,000</w:t>
            </w:r>
          </w:p>
        </w:tc>
        <w:tc>
          <w:tcPr>
            <w:tcW w:w="1442" w:type="dxa"/>
            <w:tcBorders>
              <w:top w:val="nil"/>
              <w:left w:val="nil"/>
              <w:bottom w:val="single" w:sz="4" w:space="0" w:color="auto"/>
              <w:right w:val="single" w:sz="4" w:space="0" w:color="auto"/>
            </w:tcBorders>
            <w:shd w:val="clear" w:color="auto" w:fill="auto"/>
            <w:vAlign w:val="center"/>
            <w:hideMark/>
          </w:tcPr>
          <w:p w14:paraId="61B0B802"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1,508,645,990</w:t>
            </w:r>
          </w:p>
        </w:tc>
      </w:tr>
      <w:tr w:rsidR="004D1037" w:rsidRPr="004D1037" w14:paraId="0271E841" w14:textId="77777777" w:rsidTr="007028FD">
        <w:trPr>
          <w:trHeight w:val="340"/>
        </w:trPr>
        <w:tc>
          <w:tcPr>
            <w:tcW w:w="4258" w:type="dxa"/>
            <w:tcBorders>
              <w:top w:val="nil"/>
              <w:left w:val="single" w:sz="4" w:space="0" w:color="auto"/>
              <w:bottom w:val="single" w:sz="4" w:space="0" w:color="auto"/>
              <w:right w:val="single" w:sz="4" w:space="0" w:color="auto"/>
            </w:tcBorders>
            <w:shd w:val="clear" w:color="F8CBAD" w:fill="DDC9A3"/>
            <w:vAlign w:val="center"/>
            <w:hideMark/>
          </w:tcPr>
          <w:p w14:paraId="57762337" w14:textId="77777777" w:rsidR="004D1037" w:rsidRPr="004D1037" w:rsidRDefault="004D1037" w:rsidP="00EC7D22">
            <w:pPr>
              <w:suppressAutoHyphens w:val="0"/>
              <w:overflowPunct/>
              <w:spacing w:after="0" w:line="240" w:lineRule="auto"/>
              <w:rPr>
                <w:rFonts w:eastAsia="Times New Roman" w:cs="Calibri"/>
                <w:b/>
                <w:bCs/>
                <w:color w:val="000000"/>
                <w:sz w:val="14"/>
                <w:szCs w:val="14"/>
                <w:lang w:eastAsia="es-MX"/>
              </w:rPr>
            </w:pPr>
            <w:r w:rsidRPr="004D1037">
              <w:rPr>
                <w:rFonts w:eastAsia="Times New Roman" w:cs="Calibri"/>
                <w:b/>
                <w:bCs/>
                <w:color w:val="000000"/>
                <w:sz w:val="14"/>
                <w:szCs w:val="14"/>
                <w:lang w:eastAsia="es-MX"/>
              </w:rPr>
              <w:t>Flujos de Efectivo Netos de las Actividades de Operación.</w:t>
            </w:r>
          </w:p>
        </w:tc>
        <w:tc>
          <w:tcPr>
            <w:tcW w:w="1465" w:type="dxa"/>
            <w:tcBorders>
              <w:top w:val="nil"/>
              <w:left w:val="nil"/>
              <w:bottom w:val="single" w:sz="4" w:space="0" w:color="auto"/>
              <w:right w:val="single" w:sz="4" w:space="0" w:color="auto"/>
            </w:tcBorders>
            <w:shd w:val="clear" w:color="F8CBAD" w:fill="DDC9A3"/>
            <w:vAlign w:val="center"/>
            <w:hideMark/>
          </w:tcPr>
          <w:p w14:paraId="6A31DEED"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6,398,546,791</w:t>
            </w:r>
          </w:p>
        </w:tc>
        <w:tc>
          <w:tcPr>
            <w:tcW w:w="1442" w:type="dxa"/>
            <w:tcBorders>
              <w:top w:val="nil"/>
              <w:left w:val="nil"/>
              <w:bottom w:val="single" w:sz="4" w:space="0" w:color="auto"/>
              <w:right w:val="single" w:sz="4" w:space="0" w:color="auto"/>
            </w:tcBorders>
            <w:shd w:val="clear" w:color="F8CBAD" w:fill="DDC9A3"/>
            <w:vAlign w:val="center"/>
            <w:hideMark/>
          </w:tcPr>
          <w:p w14:paraId="16422429"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10,156,483,774</w:t>
            </w:r>
          </w:p>
        </w:tc>
      </w:tr>
    </w:tbl>
    <w:p w14:paraId="2C00BF59" w14:textId="77777777" w:rsidR="00A727F3" w:rsidRDefault="00A727F3" w:rsidP="00EC7D22">
      <w:pPr>
        <w:spacing w:after="0" w:line="240" w:lineRule="auto"/>
        <w:jc w:val="both"/>
        <w:rPr>
          <w:rFonts w:cs="Calibri"/>
          <w:sz w:val="20"/>
          <w:szCs w:val="20"/>
          <w:lang w:val="es-ES" w:eastAsia="es-ES"/>
        </w:rPr>
      </w:pPr>
    </w:p>
    <w:p w14:paraId="6B0404D0" w14:textId="74481515" w:rsidR="007745EB" w:rsidRDefault="00C77DB7" w:rsidP="00EC7D22">
      <w:pPr>
        <w:spacing w:after="0" w:line="240" w:lineRule="auto"/>
        <w:jc w:val="both"/>
        <w:rPr>
          <w:rFonts w:cs="Calibri"/>
          <w:b/>
          <w:color w:val="000000" w:themeColor="dark1"/>
          <w:sz w:val="20"/>
          <w:szCs w:val="20"/>
          <w:lang w:eastAsia="es-ES"/>
        </w:rPr>
      </w:pPr>
      <w:r>
        <w:rPr>
          <w:rFonts w:cs="Calibri"/>
          <w:b/>
          <w:sz w:val="20"/>
          <w:szCs w:val="20"/>
          <w:lang w:val="es-ES" w:eastAsia="es-ES"/>
        </w:rPr>
        <w:t xml:space="preserve">V. </w:t>
      </w:r>
      <w:r w:rsidR="00C87FDA">
        <w:rPr>
          <w:rFonts w:cs="Calibri"/>
          <w:b/>
          <w:sz w:val="20"/>
          <w:szCs w:val="20"/>
          <w:lang w:val="es-ES" w:eastAsia="es-ES"/>
        </w:rPr>
        <w:t xml:space="preserve">Conciliación entre los Ingresos Presupuestarios </w:t>
      </w:r>
      <w:r w:rsidR="00C87FDA">
        <w:rPr>
          <w:rFonts w:cs="Calibri"/>
          <w:b/>
          <w:sz w:val="20"/>
          <w:szCs w:val="20"/>
          <w:lang w:eastAsia="es-ES"/>
        </w:rPr>
        <w:t xml:space="preserve">y Contables, así como entre los </w:t>
      </w:r>
      <w:r w:rsidR="00C87FDA">
        <w:rPr>
          <w:rFonts w:cs="Calibri"/>
          <w:b/>
          <w:color w:val="000000" w:themeColor="dark1"/>
          <w:sz w:val="20"/>
          <w:szCs w:val="20"/>
          <w:lang w:eastAsia="es-ES"/>
        </w:rPr>
        <w:t>Egresos Presupuestarios y los Gastos Contables</w:t>
      </w:r>
    </w:p>
    <w:p w14:paraId="56911802" w14:textId="77777777" w:rsidR="002B096A" w:rsidRDefault="002B096A" w:rsidP="00EC7D22">
      <w:pPr>
        <w:spacing w:after="0" w:line="240" w:lineRule="auto"/>
        <w:jc w:val="both"/>
        <w:rPr>
          <w:rFonts w:cs="Calibri"/>
          <w:b/>
          <w:color w:val="000000" w:themeColor="dark1"/>
          <w:sz w:val="20"/>
          <w:szCs w:val="20"/>
          <w:lang w:eastAsia="es-ES"/>
        </w:rPr>
      </w:pPr>
    </w:p>
    <w:tbl>
      <w:tblPr>
        <w:tblW w:w="7676" w:type="dxa"/>
        <w:tblCellMar>
          <w:left w:w="70" w:type="dxa"/>
          <w:right w:w="70" w:type="dxa"/>
        </w:tblCellMar>
        <w:tblLook w:val="04A0" w:firstRow="1" w:lastRow="0" w:firstColumn="1" w:lastColumn="0" w:noHBand="0" w:noVBand="1"/>
      </w:tblPr>
      <w:tblGrid>
        <w:gridCol w:w="5382"/>
        <w:gridCol w:w="2287"/>
        <w:gridCol w:w="7"/>
      </w:tblGrid>
      <w:tr w:rsidR="004D1037" w:rsidRPr="004D1037" w14:paraId="669900C4" w14:textId="77777777" w:rsidTr="007028FD">
        <w:trPr>
          <w:trHeight w:val="397"/>
        </w:trPr>
        <w:tc>
          <w:tcPr>
            <w:tcW w:w="7676" w:type="dxa"/>
            <w:gridSpan w:val="3"/>
            <w:tcBorders>
              <w:top w:val="single" w:sz="4" w:space="0" w:color="auto"/>
              <w:left w:val="single" w:sz="4" w:space="0" w:color="auto"/>
              <w:bottom w:val="single" w:sz="4" w:space="0" w:color="auto"/>
              <w:right w:val="single" w:sz="4" w:space="0" w:color="auto"/>
            </w:tcBorders>
            <w:shd w:val="clear" w:color="800080" w:fill="A90025"/>
            <w:vAlign w:val="center"/>
            <w:hideMark/>
          </w:tcPr>
          <w:p w14:paraId="533D0295" w14:textId="77777777" w:rsidR="004D1037" w:rsidRPr="004D1037" w:rsidRDefault="004D1037" w:rsidP="00EC7D22">
            <w:pPr>
              <w:suppressAutoHyphens w:val="0"/>
              <w:overflowPunct/>
              <w:spacing w:after="0" w:line="240" w:lineRule="auto"/>
              <w:jc w:val="center"/>
              <w:rPr>
                <w:rFonts w:eastAsia="Times New Roman" w:cs="Calibri"/>
                <w:b/>
                <w:bCs/>
                <w:color w:val="FFFFFF"/>
                <w:sz w:val="16"/>
                <w:szCs w:val="16"/>
                <w:lang w:eastAsia="es-MX"/>
              </w:rPr>
            </w:pPr>
            <w:r w:rsidRPr="004D1037">
              <w:rPr>
                <w:rFonts w:eastAsia="Times New Roman" w:cs="Calibri"/>
                <w:b/>
                <w:bCs/>
                <w:color w:val="FFFFFF"/>
                <w:sz w:val="16"/>
                <w:szCs w:val="16"/>
                <w:lang w:eastAsia="es-MX"/>
              </w:rPr>
              <w:t>Conciliación entre los Ingresos Presupuestarios y Contables</w:t>
            </w:r>
          </w:p>
        </w:tc>
      </w:tr>
      <w:tr w:rsidR="004D1037" w:rsidRPr="004D1037" w14:paraId="4637B067" w14:textId="77777777" w:rsidTr="007028FD">
        <w:trPr>
          <w:trHeight w:val="312"/>
        </w:trPr>
        <w:tc>
          <w:tcPr>
            <w:tcW w:w="7676" w:type="dxa"/>
            <w:gridSpan w:val="3"/>
            <w:tcBorders>
              <w:top w:val="single" w:sz="4" w:space="0" w:color="auto"/>
              <w:left w:val="single" w:sz="4" w:space="0" w:color="auto"/>
              <w:bottom w:val="single" w:sz="4" w:space="0" w:color="auto"/>
              <w:right w:val="single" w:sz="4" w:space="0" w:color="auto"/>
            </w:tcBorders>
            <w:shd w:val="clear" w:color="800080" w:fill="A90025"/>
            <w:vAlign w:val="center"/>
            <w:hideMark/>
          </w:tcPr>
          <w:p w14:paraId="16BF5BF6" w14:textId="77777777" w:rsidR="004D1037" w:rsidRPr="004D1037" w:rsidRDefault="004D1037" w:rsidP="00EC7D22">
            <w:pPr>
              <w:suppressAutoHyphens w:val="0"/>
              <w:overflowPunct/>
              <w:spacing w:after="0" w:line="240" w:lineRule="auto"/>
              <w:jc w:val="center"/>
              <w:rPr>
                <w:rFonts w:eastAsia="Times New Roman" w:cs="Calibri"/>
                <w:b/>
                <w:bCs/>
                <w:color w:val="FFFFFF"/>
                <w:sz w:val="16"/>
                <w:szCs w:val="16"/>
                <w:lang w:eastAsia="es-MX"/>
              </w:rPr>
            </w:pPr>
            <w:r w:rsidRPr="004D1037">
              <w:rPr>
                <w:rFonts w:eastAsia="Times New Roman" w:cs="Calibri"/>
                <w:b/>
                <w:bCs/>
                <w:color w:val="FFFFFF"/>
                <w:sz w:val="16"/>
                <w:szCs w:val="16"/>
                <w:lang w:eastAsia="es-MX"/>
              </w:rPr>
              <w:t>Del 1 de Enero al 31 de Diciembre de 2024.</w:t>
            </w:r>
          </w:p>
        </w:tc>
      </w:tr>
      <w:tr w:rsidR="004D1037" w:rsidRPr="004D1037" w14:paraId="620D57A1" w14:textId="77777777" w:rsidTr="007028FD">
        <w:trPr>
          <w:gridAfter w:val="1"/>
          <w:wAfter w:w="7" w:type="dxa"/>
          <w:trHeight w:val="364"/>
        </w:trPr>
        <w:tc>
          <w:tcPr>
            <w:tcW w:w="5382" w:type="dxa"/>
            <w:tcBorders>
              <w:top w:val="nil"/>
              <w:left w:val="single" w:sz="4" w:space="0" w:color="auto"/>
              <w:bottom w:val="single" w:sz="4" w:space="0" w:color="auto"/>
              <w:right w:val="single" w:sz="4" w:space="0" w:color="auto"/>
            </w:tcBorders>
            <w:shd w:val="clear" w:color="F8CBAD" w:fill="DDC9A3"/>
            <w:vAlign w:val="center"/>
            <w:hideMark/>
          </w:tcPr>
          <w:p w14:paraId="6177368F" w14:textId="77777777" w:rsidR="004D1037" w:rsidRPr="004D1037" w:rsidRDefault="004D1037" w:rsidP="00EC7D22">
            <w:pPr>
              <w:suppressAutoHyphens w:val="0"/>
              <w:overflowPunct/>
              <w:spacing w:after="0" w:line="240" w:lineRule="auto"/>
              <w:jc w:val="center"/>
              <w:rPr>
                <w:rFonts w:eastAsia="Times New Roman" w:cs="Calibri"/>
                <w:b/>
                <w:bCs/>
                <w:color w:val="000000"/>
                <w:sz w:val="14"/>
                <w:szCs w:val="14"/>
                <w:lang w:eastAsia="es-MX"/>
              </w:rPr>
            </w:pPr>
            <w:r w:rsidRPr="004D1037">
              <w:rPr>
                <w:rFonts w:eastAsia="Times New Roman" w:cs="Calibri"/>
                <w:b/>
                <w:bCs/>
                <w:color w:val="000000"/>
                <w:sz w:val="14"/>
                <w:szCs w:val="14"/>
                <w:lang w:eastAsia="es-MX"/>
              </w:rPr>
              <w:t>Concepto</w:t>
            </w:r>
          </w:p>
        </w:tc>
        <w:tc>
          <w:tcPr>
            <w:tcW w:w="2287" w:type="dxa"/>
            <w:tcBorders>
              <w:top w:val="nil"/>
              <w:left w:val="nil"/>
              <w:bottom w:val="single" w:sz="4" w:space="0" w:color="auto"/>
              <w:right w:val="single" w:sz="4" w:space="0" w:color="auto"/>
            </w:tcBorders>
            <w:shd w:val="clear" w:color="F8CBAD" w:fill="DDC9A3"/>
            <w:vAlign w:val="center"/>
            <w:hideMark/>
          </w:tcPr>
          <w:p w14:paraId="3574EF4E" w14:textId="77777777" w:rsidR="004D1037" w:rsidRPr="004D1037" w:rsidRDefault="004D1037" w:rsidP="00EC7D22">
            <w:pPr>
              <w:suppressAutoHyphens w:val="0"/>
              <w:overflowPunct/>
              <w:spacing w:after="0" w:line="240" w:lineRule="auto"/>
              <w:jc w:val="center"/>
              <w:rPr>
                <w:rFonts w:eastAsia="Times New Roman" w:cs="Calibri"/>
                <w:b/>
                <w:bCs/>
                <w:color w:val="000000"/>
                <w:sz w:val="14"/>
                <w:szCs w:val="14"/>
                <w:lang w:eastAsia="es-MX"/>
              </w:rPr>
            </w:pPr>
            <w:r w:rsidRPr="004D1037">
              <w:rPr>
                <w:rFonts w:eastAsia="Times New Roman" w:cs="Calibri"/>
                <w:b/>
                <w:bCs/>
                <w:color w:val="000000"/>
                <w:sz w:val="14"/>
                <w:szCs w:val="14"/>
                <w:lang w:eastAsia="es-MX"/>
              </w:rPr>
              <w:t>2024</w:t>
            </w:r>
          </w:p>
        </w:tc>
      </w:tr>
      <w:tr w:rsidR="004D1037" w:rsidRPr="004D1037" w14:paraId="2543067A" w14:textId="77777777" w:rsidTr="007028FD">
        <w:trPr>
          <w:gridAfter w:val="1"/>
          <w:wAfter w:w="7" w:type="dxa"/>
          <w:trHeight w:val="394"/>
        </w:trPr>
        <w:tc>
          <w:tcPr>
            <w:tcW w:w="5382" w:type="dxa"/>
            <w:tcBorders>
              <w:top w:val="nil"/>
              <w:left w:val="single" w:sz="4" w:space="0" w:color="auto"/>
              <w:bottom w:val="single" w:sz="4" w:space="0" w:color="auto"/>
              <w:right w:val="single" w:sz="4" w:space="0" w:color="auto"/>
            </w:tcBorders>
            <w:shd w:val="clear" w:color="DBDBDB" w:fill="D9D9D9"/>
            <w:vAlign w:val="center"/>
            <w:hideMark/>
          </w:tcPr>
          <w:p w14:paraId="34E7A297" w14:textId="77777777" w:rsidR="004D1037" w:rsidRPr="004D1037" w:rsidRDefault="004D1037" w:rsidP="00EC7D22">
            <w:pPr>
              <w:suppressAutoHyphens w:val="0"/>
              <w:overflowPunct/>
              <w:spacing w:after="0" w:line="240" w:lineRule="auto"/>
              <w:rPr>
                <w:rFonts w:eastAsia="Times New Roman" w:cs="Calibri"/>
                <w:b/>
                <w:bCs/>
                <w:color w:val="000000"/>
                <w:sz w:val="16"/>
                <w:szCs w:val="16"/>
                <w:lang w:eastAsia="es-MX"/>
              </w:rPr>
            </w:pPr>
            <w:r w:rsidRPr="004D1037">
              <w:rPr>
                <w:rFonts w:eastAsia="Times New Roman" w:cs="Calibri"/>
                <w:b/>
                <w:bCs/>
                <w:color w:val="000000"/>
                <w:sz w:val="16"/>
                <w:szCs w:val="16"/>
                <w:lang w:eastAsia="es-MX"/>
              </w:rPr>
              <w:t>1.</w:t>
            </w:r>
            <w:r w:rsidRPr="004D1037">
              <w:rPr>
                <w:rFonts w:eastAsia="Times New Roman" w:cs="Calibri"/>
                <w:b/>
                <w:bCs/>
                <w:color w:val="000000"/>
                <w:sz w:val="14"/>
                <w:szCs w:val="14"/>
                <w:lang w:eastAsia="es-MX"/>
              </w:rPr>
              <w:t xml:space="preserve">      </w:t>
            </w:r>
            <w:r w:rsidRPr="004D1037">
              <w:rPr>
                <w:rFonts w:eastAsia="Times New Roman" w:cs="Calibri"/>
                <w:b/>
                <w:bCs/>
                <w:color w:val="000000"/>
                <w:sz w:val="16"/>
                <w:szCs w:val="16"/>
                <w:lang w:eastAsia="es-MX"/>
              </w:rPr>
              <w:t>Ingresos Presupuestarios</w:t>
            </w:r>
          </w:p>
        </w:tc>
        <w:tc>
          <w:tcPr>
            <w:tcW w:w="2287" w:type="dxa"/>
            <w:tcBorders>
              <w:top w:val="nil"/>
              <w:left w:val="nil"/>
              <w:bottom w:val="single" w:sz="4" w:space="0" w:color="auto"/>
              <w:right w:val="single" w:sz="4" w:space="0" w:color="auto"/>
            </w:tcBorders>
            <w:shd w:val="clear" w:color="DBDBDB" w:fill="D9D9D9"/>
            <w:vAlign w:val="center"/>
            <w:hideMark/>
          </w:tcPr>
          <w:p w14:paraId="3555524C" w14:textId="77777777" w:rsidR="004D1037" w:rsidRPr="004D1037" w:rsidRDefault="004D1037" w:rsidP="00EC7D22">
            <w:pPr>
              <w:suppressAutoHyphens w:val="0"/>
              <w:overflowPunct/>
              <w:spacing w:after="0" w:line="240" w:lineRule="auto"/>
              <w:jc w:val="right"/>
              <w:rPr>
                <w:rFonts w:eastAsia="Times New Roman" w:cs="Calibri"/>
                <w:b/>
                <w:bCs/>
                <w:color w:val="000000"/>
                <w:sz w:val="16"/>
                <w:szCs w:val="16"/>
                <w:lang w:eastAsia="es-MX"/>
              </w:rPr>
            </w:pPr>
            <w:r w:rsidRPr="004D1037">
              <w:rPr>
                <w:rFonts w:eastAsia="Times New Roman" w:cs="Calibri"/>
                <w:b/>
                <w:bCs/>
                <w:color w:val="000000"/>
                <w:sz w:val="16"/>
                <w:szCs w:val="16"/>
                <w:lang w:eastAsia="es-MX"/>
              </w:rPr>
              <w:t>95,444,182,492</w:t>
            </w:r>
          </w:p>
        </w:tc>
      </w:tr>
      <w:tr w:rsidR="004D1037" w:rsidRPr="004D1037" w14:paraId="4B372636" w14:textId="77777777" w:rsidTr="007028FD">
        <w:trPr>
          <w:gridAfter w:val="1"/>
          <w:wAfter w:w="7" w:type="dxa"/>
          <w:trHeight w:val="113"/>
        </w:trPr>
        <w:tc>
          <w:tcPr>
            <w:tcW w:w="5382" w:type="dxa"/>
            <w:tcBorders>
              <w:top w:val="nil"/>
              <w:left w:val="nil"/>
              <w:bottom w:val="nil"/>
              <w:right w:val="nil"/>
            </w:tcBorders>
            <w:shd w:val="clear" w:color="auto" w:fill="auto"/>
            <w:vAlign w:val="center"/>
            <w:hideMark/>
          </w:tcPr>
          <w:p w14:paraId="175C3A22" w14:textId="77777777" w:rsidR="004D1037" w:rsidRPr="004D1037" w:rsidRDefault="004D1037" w:rsidP="00EC7D22">
            <w:pPr>
              <w:suppressAutoHyphens w:val="0"/>
              <w:overflowPunct/>
              <w:spacing w:after="0" w:line="240" w:lineRule="auto"/>
              <w:jc w:val="right"/>
              <w:rPr>
                <w:rFonts w:eastAsia="Times New Roman" w:cs="Calibri"/>
                <w:b/>
                <w:bCs/>
                <w:color w:val="000000"/>
                <w:sz w:val="16"/>
                <w:szCs w:val="16"/>
                <w:lang w:eastAsia="es-MX"/>
              </w:rPr>
            </w:pPr>
          </w:p>
        </w:tc>
        <w:tc>
          <w:tcPr>
            <w:tcW w:w="2287" w:type="dxa"/>
            <w:tcBorders>
              <w:top w:val="nil"/>
              <w:left w:val="nil"/>
              <w:bottom w:val="nil"/>
              <w:right w:val="nil"/>
            </w:tcBorders>
            <w:shd w:val="clear" w:color="auto" w:fill="auto"/>
            <w:vAlign w:val="center"/>
            <w:hideMark/>
          </w:tcPr>
          <w:p w14:paraId="482EEC97" w14:textId="77777777" w:rsidR="004D1037" w:rsidRPr="004D1037" w:rsidRDefault="004D1037" w:rsidP="00EC7D22">
            <w:pPr>
              <w:suppressAutoHyphens w:val="0"/>
              <w:overflowPunct/>
              <w:spacing w:after="0" w:line="240" w:lineRule="auto"/>
              <w:rPr>
                <w:rFonts w:ascii="Times New Roman" w:eastAsia="Times New Roman" w:hAnsi="Times New Roman"/>
                <w:sz w:val="20"/>
                <w:szCs w:val="20"/>
                <w:lang w:eastAsia="es-MX"/>
              </w:rPr>
            </w:pPr>
          </w:p>
        </w:tc>
      </w:tr>
      <w:tr w:rsidR="004D1037" w:rsidRPr="004D1037" w14:paraId="081D7079" w14:textId="77777777" w:rsidTr="007028FD">
        <w:trPr>
          <w:gridAfter w:val="1"/>
          <w:wAfter w:w="7" w:type="dxa"/>
          <w:trHeight w:val="340"/>
        </w:trPr>
        <w:tc>
          <w:tcPr>
            <w:tcW w:w="5382" w:type="dxa"/>
            <w:tcBorders>
              <w:top w:val="single" w:sz="4" w:space="0" w:color="auto"/>
              <w:left w:val="single" w:sz="4" w:space="0" w:color="auto"/>
              <w:bottom w:val="single" w:sz="4" w:space="0" w:color="auto"/>
              <w:right w:val="single" w:sz="4" w:space="0" w:color="auto"/>
            </w:tcBorders>
            <w:shd w:val="clear" w:color="DBDBDB" w:fill="D9D9D9"/>
            <w:vAlign w:val="center"/>
            <w:hideMark/>
          </w:tcPr>
          <w:p w14:paraId="1DC1B8CA" w14:textId="77777777" w:rsidR="004D1037" w:rsidRPr="004D1037" w:rsidRDefault="004D1037" w:rsidP="00EC7D22">
            <w:pPr>
              <w:suppressAutoHyphens w:val="0"/>
              <w:overflowPunct/>
              <w:spacing w:after="0" w:line="240" w:lineRule="auto"/>
              <w:rPr>
                <w:rFonts w:eastAsia="Times New Roman" w:cs="Calibri"/>
                <w:b/>
                <w:bCs/>
                <w:color w:val="000000"/>
                <w:sz w:val="16"/>
                <w:szCs w:val="16"/>
                <w:lang w:eastAsia="es-MX"/>
              </w:rPr>
            </w:pPr>
            <w:r w:rsidRPr="004D1037">
              <w:rPr>
                <w:rFonts w:eastAsia="Times New Roman" w:cs="Calibri"/>
                <w:b/>
                <w:bCs/>
                <w:color w:val="000000"/>
                <w:sz w:val="16"/>
                <w:szCs w:val="16"/>
                <w:lang w:eastAsia="es-MX"/>
              </w:rPr>
              <w:t>2.      Más Ingresos Contables no Presupuestarios</w:t>
            </w:r>
          </w:p>
        </w:tc>
        <w:tc>
          <w:tcPr>
            <w:tcW w:w="2287" w:type="dxa"/>
            <w:tcBorders>
              <w:top w:val="single" w:sz="4" w:space="0" w:color="auto"/>
              <w:left w:val="nil"/>
              <w:bottom w:val="single" w:sz="4" w:space="0" w:color="auto"/>
              <w:right w:val="single" w:sz="4" w:space="0" w:color="auto"/>
            </w:tcBorders>
            <w:shd w:val="clear" w:color="DBDBDB" w:fill="D9D9D9"/>
            <w:vAlign w:val="center"/>
            <w:hideMark/>
          </w:tcPr>
          <w:p w14:paraId="2BDAE8B0" w14:textId="77777777" w:rsidR="004D1037" w:rsidRPr="004D1037" w:rsidRDefault="004D1037" w:rsidP="00EC7D22">
            <w:pPr>
              <w:suppressAutoHyphens w:val="0"/>
              <w:overflowPunct/>
              <w:spacing w:after="0" w:line="240" w:lineRule="auto"/>
              <w:jc w:val="right"/>
              <w:rPr>
                <w:rFonts w:eastAsia="Times New Roman" w:cs="Calibri"/>
                <w:b/>
                <w:bCs/>
                <w:color w:val="000000"/>
                <w:sz w:val="16"/>
                <w:szCs w:val="16"/>
                <w:lang w:eastAsia="es-MX"/>
              </w:rPr>
            </w:pPr>
            <w:r w:rsidRPr="004D1037">
              <w:rPr>
                <w:rFonts w:eastAsia="Times New Roman" w:cs="Calibri"/>
                <w:b/>
                <w:bCs/>
                <w:color w:val="000000"/>
                <w:sz w:val="16"/>
                <w:szCs w:val="16"/>
                <w:lang w:eastAsia="es-MX"/>
              </w:rPr>
              <w:t>5,277,195</w:t>
            </w:r>
          </w:p>
        </w:tc>
      </w:tr>
      <w:tr w:rsidR="004D1037" w:rsidRPr="004D1037" w14:paraId="5D4CDDCC" w14:textId="77777777" w:rsidTr="007028FD">
        <w:trPr>
          <w:gridAfter w:val="1"/>
          <w:wAfter w:w="7" w:type="dxa"/>
          <w:trHeight w:val="284"/>
        </w:trPr>
        <w:tc>
          <w:tcPr>
            <w:tcW w:w="5382" w:type="dxa"/>
            <w:tcBorders>
              <w:top w:val="nil"/>
              <w:left w:val="single" w:sz="4" w:space="0" w:color="auto"/>
              <w:bottom w:val="single" w:sz="4" w:space="0" w:color="auto"/>
              <w:right w:val="nil"/>
            </w:tcBorders>
            <w:shd w:val="clear" w:color="auto" w:fill="auto"/>
            <w:vAlign w:val="center"/>
            <w:hideMark/>
          </w:tcPr>
          <w:p w14:paraId="6C707ED6" w14:textId="6BDB0D0D" w:rsidR="004D1037" w:rsidRPr="004D1037" w:rsidRDefault="007028FD" w:rsidP="00EC7D22">
            <w:pPr>
              <w:suppressAutoHyphens w:val="0"/>
              <w:overflowPunct/>
              <w:spacing w:after="0" w:line="240" w:lineRule="auto"/>
              <w:rPr>
                <w:rFonts w:eastAsia="Times New Roman" w:cs="Calibri"/>
                <w:color w:val="000000"/>
                <w:sz w:val="14"/>
                <w:szCs w:val="14"/>
                <w:lang w:eastAsia="es-MX"/>
              </w:rPr>
            </w:pPr>
            <w:r>
              <w:rPr>
                <w:rFonts w:eastAsia="Times New Roman" w:cs="Calibri"/>
                <w:color w:val="000000"/>
                <w:sz w:val="14"/>
                <w:szCs w:val="14"/>
                <w:lang w:eastAsia="es-MX"/>
              </w:rPr>
              <w:t xml:space="preserve">                </w:t>
            </w:r>
            <w:r w:rsidR="004D1037" w:rsidRPr="004D1037">
              <w:rPr>
                <w:rFonts w:eastAsia="Times New Roman" w:cs="Calibri"/>
                <w:color w:val="000000"/>
                <w:sz w:val="14"/>
                <w:szCs w:val="14"/>
                <w:lang w:eastAsia="es-MX"/>
              </w:rPr>
              <w:t>Ingresos Financieros</w:t>
            </w:r>
          </w:p>
        </w:tc>
        <w:tc>
          <w:tcPr>
            <w:tcW w:w="2287" w:type="dxa"/>
            <w:tcBorders>
              <w:top w:val="nil"/>
              <w:left w:val="single" w:sz="4" w:space="0" w:color="auto"/>
              <w:bottom w:val="single" w:sz="4" w:space="0" w:color="auto"/>
              <w:right w:val="single" w:sz="4" w:space="0" w:color="auto"/>
            </w:tcBorders>
            <w:shd w:val="clear" w:color="auto" w:fill="auto"/>
            <w:vAlign w:val="center"/>
            <w:hideMark/>
          </w:tcPr>
          <w:p w14:paraId="32BED061" w14:textId="77777777" w:rsidR="004D1037" w:rsidRPr="004D1037" w:rsidRDefault="004D1037" w:rsidP="00EC7D22">
            <w:pPr>
              <w:suppressAutoHyphens w:val="0"/>
              <w:overflowPunct/>
              <w:spacing w:after="0" w:line="240" w:lineRule="auto"/>
              <w:jc w:val="right"/>
              <w:rPr>
                <w:rFonts w:eastAsia="Times New Roman" w:cs="Calibri"/>
                <w:color w:val="000000"/>
                <w:sz w:val="16"/>
                <w:szCs w:val="16"/>
                <w:lang w:eastAsia="es-MX"/>
              </w:rPr>
            </w:pPr>
            <w:r w:rsidRPr="004D1037">
              <w:rPr>
                <w:rFonts w:eastAsia="Times New Roman" w:cs="Calibri"/>
                <w:color w:val="000000"/>
                <w:sz w:val="16"/>
                <w:szCs w:val="16"/>
                <w:lang w:eastAsia="es-MX"/>
              </w:rPr>
              <w:t>0</w:t>
            </w:r>
          </w:p>
        </w:tc>
      </w:tr>
      <w:tr w:rsidR="004D1037" w:rsidRPr="004D1037" w14:paraId="6768A167" w14:textId="77777777" w:rsidTr="007028FD">
        <w:trPr>
          <w:gridAfter w:val="1"/>
          <w:wAfter w:w="7" w:type="dxa"/>
          <w:trHeight w:val="284"/>
        </w:trPr>
        <w:tc>
          <w:tcPr>
            <w:tcW w:w="5382" w:type="dxa"/>
            <w:tcBorders>
              <w:top w:val="nil"/>
              <w:left w:val="single" w:sz="4" w:space="0" w:color="auto"/>
              <w:bottom w:val="single" w:sz="4" w:space="0" w:color="auto"/>
              <w:right w:val="nil"/>
            </w:tcBorders>
            <w:shd w:val="clear" w:color="auto" w:fill="auto"/>
            <w:vAlign w:val="center"/>
            <w:hideMark/>
          </w:tcPr>
          <w:p w14:paraId="68E5BCAA" w14:textId="5186239A" w:rsidR="004D1037" w:rsidRPr="004D1037" w:rsidRDefault="007028FD" w:rsidP="00EC7D22">
            <w:pPr>
              <w:suppressAutoHyphens w:val="0"/>
              <w:overflowPunct/>
              <w:spacing w:after="0" w:line="240" w:lineRule="auto"/>
              <w:rPr>
                <w:rFonts w:eastAsia="Times New Roman" w:cs="Calibri"/>
                <w:color w:val="000000"/>
                <w:sz w:val="14"/>
                <w:szCs w:val="14"/>
                <w:lang w:eastAsia="es-MX"/>
              </w:rPr>
            </w:pPr>
            <w:r>
              <w:rPr>
                <w:rFonts w:eastAsia="Times New Roman" w:cs="Calibri"/>
                <w:color w:val="000000"/>
                <w:sz w:val="14"/>
                <w:szCs w:val="14"/>
                <w:lang w:eastAsia="es-MX"/>
              </w:rPr>
              <w:t xml:space="preserve">             </w:t>
            </w:r>
            <w:r w:rsidR="004D1037" w:rsidRPr="004D1037">
              <w:rPr>
                <w:rFonts w:eastAsia="Times New Roman" w:cs="Calibri"/>
                <w:color w:val="000000"/>
                <w:sz w:val="14"/>
                <w:szCs w:val="14"/>
                <w:lang w:eastAsia="es-MX"/>
              </w:rPr>
              <w:t xml:space="preserve">  Incremento por variación de inventarios. </w:t>
            </w:r>
          </w:p>
        </w:tc>
        <w:tc>
          <w:tcPr>
            <w:tcW w:w="2287" w:type="dxa"/>
            <w:tcBorders>
              <w:top w:val="nil"/>
              <w:left w:val="single" w:sz="4" w:space="0" w:color="auto"/>
              <w:bottom w:val="single" w:sz="4" w:space="0" w:color="auto"/>
              <w:right w:val="single" w:sz="4" w:space="0" w:color="auto"/>
            </w:tcBorders>
            <w:shd w:val="clear" w:color="auto" w:fill="auto"/>
            <w:vAlign w:val="center"/>
            <w:hideMark/>
          </w:tcPr>
          <w:p w14:paraId="5083B2A1" w14:textId="77777777" w:rsidR="004D1037" w:rsidRPr="004D1037" w:rsidRDefault="004D1037" w:rsidP="00EC7D22">
            <w:pPr>
              <w:suppressAutoHyphens w:val="0"/>
              <w:overflowPunct/>
              <w:spacing w:after="0" w:line="240" w:lineRule="auto"/>
              <w:jc w:val="right"/>
              <w:rPr>
                <w:rFonts w:eastAsia="Times New Roman" w:cs="Calibri"/>
                <w:color w:val="000000"/>
                <w:sz w:val="16"/>
                <w:szCs w:val="16"/>
                <w:lang w:eastAsia="es-MX"/>
              </w:rPr>
            </w:pPr>
            <w:r w:rsidRPr="004D1037">
              <w:rPr>
                <w:rFonts w:eastAsia="Times New Roman" w:cs="Calibri"/>
                <w:color w:val="000000"/>
                <w:sz w:val="16"/>
                <w:szCs w:val="16"/>
                <w:lang w:eastAsia="es-MX"/>
              </w:rPr>
              <w:t>0</w:t>
            </w:r>
          </w:p>
        </w:tc>
      </w:tr>
      <w:tr w:rsidR="004D1037" w:rsidRPr="004D1037" w14:paraId="7C35D954" w14:textId="77777777" w:rsidTr="007028FD">
        <w:trPr>
          <w:gridAfter w:val="1"/>
          <w:wAfter w:w="7" w:type="dxa"/>
          <w:trHeight w:val="284"/>
        </w:trPr>
        <w:tc>
          <w:tcPr>
            <w:tcW w:w="5382" w:type="dxa"/>
            <w:tcBorders>
              <w:top w:val="nil"/>
              <w:left w:val="single" w:sz="4" w:space="0" w:color="auto"/>
              <w:bottom w:val="single" w:sz="4" w:space="0" w:color="auto"/>
              <w:right w:val="nil"/>
            </w:tcBorders>
            <w:shd w:val="clear" w:color="auto" w:fill="auto"/>
            <w:vAlign w:val="center"/>
            <w:hideMark/>
          </w:tcPr>
          <w:p w14:paraId="3404E13B" w14:textId="02E7CAFD"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 xml:space="preserve">               Disminución del exceso de estimaciones por pérdida o deterioro     u obsolescencia</w:t>
            </w:r>
          </w:p>
        </w:tc>
        <w:tc>
          <w:tcPr>
            <w:tcW w:w="2287" w:type="dxa"/>
            <w:tcBorders>
              <w:top w:val="nil"/>
              <w:left w:val="single" w:sz="4" w:space="0" w:color="auto"/>
              <w:bottom w:val="single" w:sz="4" w:space="0" w:color="auto"/>
              <w:right w:val="single" w:sz="4" w:space="0" w:color="auto"/>
            </w:tcBorders>
            <w:shd w:val="clear" w:color="auto" w:fill="auto"/>
            <w:vAlign w:val="center"/>
            <w:hideMark/>
          </w:tcPr>
          <w:p w14:paraId="3A417517" w14:textId="77777777" w:rsidR="004D1037" w:rsidRPr="004D1037" w:rsidRDefault="004D1037" w:rsidP="00EC7D22">
            <w:pPr>
              <w:suppressAutoHyphens w:val="0"/>
              <w:overflowPunct/>
              <w:spacing w:after="0" w:line="240" w:lineRule="auto"/>
              <w:jc w:val="right"/>
              <w:rPr>
                <w:rFonts w:eastAsia="Times New Roman" w:cs="Calibri"/>
                <w:color w:val="000000"/>
                <w:sz w:val="16"/>
                <w:szCs w:val="16"/>
                <w:lang w:eastAsia="es-MX"/>
              </w:rPr>
            </w:pPr>
            <w:r w:rsidRPr="004D1037">
              <w:rPr>
                <w:rFonts w:eastAsia="Times New Roman" w:cs="Calibri"/>
                <w:color w:val="000000"/>
                <w:sz w:val="16"/>
                <w:szCs w:val="16"/>
                <w:lang w:eastAsia="es-MX"/>
              </w:rPr>
              <w:t>0</w:t>
            </w:r>
          </w:p>
        </w:tc>
      </w:tr>
      <w:tr w:rsidR="004D1037" w:rsidRPr="004D1037" w14:paraId="5A0A0E6C" w14:textId="77777777" w:rsidTr="007028FD">
        <w:trPr>
          <w:gridAfter w:val="1"/>
          <w:wAfter w:w="7" w:type="dxa"/>
          <w:trHeight w:val="284"/>
        </w:trPr>
        <w:tc>
          <w:tcPr>
            <w:tcW w:w="5382" w:type="dxa"/>
            <w:tcBorders>
              <w:top w:val="nil"/>
              <w:left w:val="single" w:sz="4" w:space="0" w:color="auto"/>
              <w:bottom w:val="single" w:sz="4" w:space="0" w:color="auto"/>
              <w:right w:val="nil"/>
            </w:tcBorders>
            <w:shd w:val="clear" w:color="auto" w:fill="auto"/>
            <w:vAlign w:val="center"/>
            <w:hideMark/>
          </w:tcPr>
          <w:p w14:paraId="38DF73E3" w14:textId="395E620D"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 xml:space="preserve">               Disminución del exceso de provisiones</w:t>
            </w:r>
          </w:p>
        </w:tc>
        <w:tc>
          <w:tcPr>
            <w:tcW w:w="2287" w:type="dxa"/>
            <w:tcBorders>
              <w:top w:val="nil"/>
              <w:left w:val="single" w:sz="4" w:space="0" w:color="auto"/>
              <w:bottom w:val="single" w:sz="4" w:space="0" w:color="auto"/>
              <w:right w:val="single" w:sz="4" w:space="0" w:color="auto"/>
            </w:tcBorders>
            <w:shd w:val="clear" w:color="auto" w:fill="auto"/>
            <w:vAlign w:val="center"/>
            <w:hideMark/>
          </w:tcPr>
          <w:p w14:paraId="6F6D956B" w14:textId="77777777" w:rsidR="004D1037" w:rsidRPr="004D1037" w:rsidRDefault="004D1037" w:rsidP="00EC7D22">
            <w:pPr>
              <w:suppressAutoHyphens w:val="0"/>
              <w:overflowPunct/>
              <w:spacing w:after="0" w:line="240" w:lineRule="auto"/>
              <w:jc w:val="right"/>
              <w:rPr>
                <w:rFonts w:eastAsia="Times New Roman" w:cs="Calibri"/>
                <w:color w:val="000000"/>
                <w:sz w:val="16"/>
                <w:szCs w:val="16"/>
                <w:lang w:eastAsia="es-MX"/>
              </w:rPr>
            </w:pPr>
            <w:r w:rsidRPr="004D1037">
              <w:rPr>
                <w:rFonts w:eastAsia="Times New Roman" w:cs="Calibri"/>
                <w:color w:val="000000"/>
                <w:sz w:val="16"/>
                <w:szCs w:val="16"/>
                <w:lang w:eastAsia="es-MX"/>
              </w:rPr>
              <w:t>0</w:t>
            </w:r>
          </w:p>
        </w:tc>
      </w:tr>
      <w:tr w:rsidR="004D1037" w:rsidRPr="004D1037" w14:paraId="36751EEF" w14:textId="77777777" w:rsidTr="007028FD">
        <w:trPr>
          <w:gridAfter w:val="1"/>
          <w:wAfter w:w="7" w:type="dxa"/>
          <w:trHeight w:val="284"/>
        </w:trPr>
        <w:tc>
          <w:tcPr>
            <w:tcW w:w="5382" w:type="dxa"/>
            <w:tcBorders>
              <w:top w:val="nil"/>
              <w:left w:val="single" w:sz="4" w:space="0" w:color="auto"/>
              <w:bottom w:val="single" w:sz="4" w:space="0" w:color="auto"/>
              <w:right w:val="nil"/>
            </w:tcBorders>
            <w:shd w:val="clear" w:color="auto" w:fill="auto"/>
            <w:vAlign w:val="center"/>
            <w:hideMark/>
          </w:tcPr>
          <w:p w14:paraId="4ED83C72" w14:textId="7EB6E66A" w:rsidR="004D1037" w:rsidRPr="004D1037" w:rsidRDefault="007028FD" w:rsidP="00EC7D22">
            <w:pPr>
              <w:suppressAutoHyphens w:val="0"/>
              <w:overflowPunct/>
              <w:spacing w:after="0" w:line="240" w:lineRule="auto"/>
              <w:rPr>
                <w:rFonts w:eastAsia="Times New Roman" w:cs="Calibri"/>
                <w:color w:val="000000"/>
                <w:sz w:val="14"/>
                <w:szCs w:val="14"/>
                <w:lang w:eastAsia="es-MX"/>
              </w:rPr>
            </w:pPr>
            <w:r>
              <w:rPr>
                <w:rFonts w:eastAsia="Times New Roman" w:cs="Calibri"/>
                <w:color w:val="000000"/>
                <w:sz w:val="14"/>
                <w:szCs w:val="14"/>
                <w:lang w:eastAsia="es-MX"/>
              </w:rPr>
              <w:t xml:space="preserve">              </w:t>
            </w:r>
            <w:r w:rsidR="004D1037" w:rsidRPr="004D1037">
              <w:rPr>
                <w:rFonts w:eastAsia="Times New Roman" w:cs="Calibri"/>
                <w:color w:val="000000"/>
                <w:sz w:val="14"/>
                <w:szCs w:val="14"/>
                <w:lang w:eastAsia="es-MX"/>
              </w:rPr>
              <w:t xml:space="preserve"> Otros Ingresos y Beneficios Varios</w:t>
            </w:r>
          </w:p>
        </w:tc>
        <w:tc>
          <w:tcPr>
            <w:tcW w:w="2287" w:type="dxa"/>
            <w:tcBorders>
              <w:top w:val="nil"/>
              <w:left w:val="single" w:sz="4" w:space="0" w:color="auto"/>
              <w:bottom w:val="single" w:sz="4" w:space="0" w:color="auto"/>
              <w:right w:val="single" w:sz="4" w:space="0" w:color="auto"/>
            </w:tcBorders>
            <w:shd w:val="clear" w:color="auto" w:fill="auto"/>
            <w:vAlign w:val="center"/>
            <w:hideMark/>
          </w:tcPr>
          <w:p w14:paraId="5893BAE1" w14:textId="77777777" w:rsidR="004D1037" w:rsidRPr="004D1037" w:rsidRDefault="004D1037" w:rsidP="00EC7D22">
            <w:pPr>
              <w:suppressAutoHyphens w:val="0"/>
              <w:overflowPunct/>
              <w:spacing w:after="0" w:line="240" w:lineRule="auto"/>
              <w:jc w:val="right"/>
              <w:rPr>
                <w:rFonts w:eastAsia="Times New Roman" w:cs="Calibri"/>
                <w:color w:val="000000"/>
                <w:sz w:val="16"/>
                <w:szCs w:val="16"/>
                <w:lang w:eastAsia="es-MX"/>
              </w:rPr>
            </w:pPr>
            <w:r w:rsidRPr="004D1037">
              <w:rPr>
                <w:rFonts w:eastAsia="Times New Roman" w:cs="Calibri"/>
                <w:color w:val="000000"/>
                <w:sz w:val="16"/>
                <w:szCs w:val="16"/>
                <w:lang w:eastAsia="es-MX"/>
              </w:rPr>
              <w:t>1,624,558</w:t>
            </w:r>
          </w:p>
        </w:tc>
      </w:tr>
      <w:tr w:rsidR="004D1037" w:rsidRPr="004D1037" w14:paraId="60C320EB" w14:textId="77777777" w:rsidTr="007028FD">
        <w:trPr>
          <w:gridAfter w:val="1"/>
          <w:wAfter w:w="7" w:type="dxa"/>
          <w:trHeight w:val="284"/>
        </w:trPr>
        <w:tc>
          <w:tcPr>
            <w:tcW w:w="5382" w:type="dxa"/>
            <w:tcBorders>
              <w:top w:val="nil"/>
              <w:left w:val="single" w:sz="4" w:space="0" w:color="auto"/>
              <w:bottom w:val="single" w:sz="4" w:space="0" w:color="auto"/>
              <w:right w:val="nil"/>
            </w:tcBorders>
            <w:shd w:val="clear" w:color="auto" w:fill="auto"/>
            <w:vAlign w:val="center"/>
            <w:hideMark/>
          </w:tcPr>
          <w:p w14:paraId="46307E75" w14:textId="027873F0" w:rsidR="004D1037" w:rsidRPr="004D1037" w:rsidRDefault="007028FD" w:rsidP="00EC7D22">
            <w:pPr>
              <w:suppressAutoHyphens w:val="0"/>
              <w:overflowPunct/>
              <w:spacing w:after="0" w:line="240" w:lineRule="auto"/>
              <w:rPr>
                <w:rFonts w:eastAsia="Times New Roman" w:cs="Calibri"/>
                <w:color w:val="000000"/>
                <w:sz w:val="14"/>
                <w:szCs w:val="14"/>
                <w:lang w:eastAsia="es-MX"/>
              </w:rPr>
            </w:pPr>
            <w:r>
              <w:rPr>
                <w:rFonts w:eastAsia="Times New Roman" w:cs="Calibri"/>
                <w:color w:val="000000"/>
                <w:sz w:val="14"/>
                <w:szCs w:val="14"/>
                <w:lang w:eastAsia="es-MX"/>
              </w:rPr>
              <w:t xml:space="preserve">             </w:t>
            </w:r>
            <w:r w:rsidR="004D1037" w:rsidRPr="004D1037">
              <w:rPr>
                <w:rFonts w:eastAsia="Times New Roman" w:cs="Calibri"/>
                <w:color w:val="000000"/>
                <w:sz w:val="14"/>
                <w:szCs w:val="14"/>
                <w:lang w:eastAsia="es-MX"/>
              </w:rPr>
              <w:t xml:space="preserve">  Otros Ingresos Contables no Presupuestarios</w:t>
            </w:r>
          </w:p>
        </w:tc>
        <w:tc>
          <w:tcPr>
            <w:tcW w:w="2287" w:type="dxa"/>
            <w:tcBorders>
              <w:top w:val="nil"/>
              <w:left w:val="single" w:sz="4" w:space="0" w:color="auto"/>
              <w:bottom w:val="single" w:sz="4" w:space="0" w:color="auto"/>
              <w:right w:val="single" w:sz="4" w:space="0" w:color="auto"/>
            </w:tcBorders>
            <w:shd w:val="clear" w:color="auto" w:fill="auto"/>
            <w:vAlign w:val="center"/>
            <w:hideMark/>
          </w:tcPr>
          <w:p w14:paraId="4D701ADB" w14:textId="77777777" w:rsidR="004D1037" w:rsidRPr="004D1037" w:rsidRDefault="004D1037" w:rsidP="00EC7D22">
            <w:pPr>
              <w:suppressAutoHyphens w:val="0"/>
              <w:overflowPunct/>
              <w:spacing w:after="0" w:line="240" w:lineRule="auto"/>
              <w:jc w:val="right"/>
              <w:rPr>
                <w:rFonts w:eastAsia="Times New Roman" w:cs="Calibri"/>
                <w:color w:val="000000"/>
                <w:sz w:val="16"/>
                <w:szCs w:val="16"/>
                <w:lang w:eastAsia="es-MX"/>
              </w:rPr>
            </w:pPr>
            <w:r w:rsidRPr="004D1037">
              <w:rPr>
                <w:rFonts w:eastAsia="Times New Roman" w:cs="Calibri"/>
                <w:color w:val="000000"/>
                <w:sz w:val="16"/>
                <w:szCs w:val="16"/>
                <w:lang w:eastAsia="es-MX"/>
              </w:rPr>
              <w:t>3,652,637</w:t>
            </w:r>
          </w:p>
        </w:tc>
      </w:tr>
      <w:tr w:rsidR="004D1037" w:rsidRPr="004D1037" w14:paraId="4709381F" w14:textId="77777777" w:rsidTr="007028FD">
        <w:trPr>
          <w:gridAfter w:val="1"/>
          <w:wAfter w:w="7" w:type="dxa"/>
          <w:trHeight w:val="340"/>
        </w:trPr>
        <w:tc>
          <w:tcPr>
            <w:tcW w:w="5382" w:type="dxa"/>
            <w:tcBorders>
              <w:top w:val="single" w:sz="4" w:space="0" w:color="auto"/>
              <w:left w:val="single" w:sz="4" w:space="0" w:color="auto"/>
              <w:bottom w:val="single" w:sz="4" w:space="0" w:color="auto"/>
              <w:right w:val="single" w:sz="4" w:space="0" w:color="auto"/>
            </w:tcBorders>
            <w:shd w:val="clear" w:color="DBDBDB" w:fill="D9D9D9"/>
            <w:vAlign w:val="center"/>
            <w:hideMark/>
          </w:tcPr>
          <w:p w14:paraId="38D2BDA6" w14:textId="77777777" w:rsidR="004D1037" w:rsidRPr="004D1037" w:rsidRDefault="004D1037" w:rsidP="00EC7D22">
            <w:pPr>
              <w:suppressAutoHyphens w:val="0"/>
              <w:overflowPunct/>
              <w:spacing w:after="0" w:line="240" w:lineRule="auto"/>
              <w:rPr>
                <w:rFonts w:eastAsia="Times New Roman" w:cs="Calibri"/>
                <w:b/>
                <w:bCs/>
                <w:color w:val="000000"/>
                <w:sz w:val="16"/>
                <w:szCs w:val="16"/>
                <w:lang w:eastAsia="es-MX"/>
              </w:rPr>
            </w:pPr>
            <w:r w:rsidRPr="004D1037">
              <w:rPr>
                <w:rFonts w:eastAsia="Times New Roman" w:cs="Calibri"/>
                <w:b/>
                <w:bCs/>
                <w:color w:val="000000"/>
                <w:sz w:val="16"/>
                <w:szCs w:val="16"/>
                <w:lang w:eastAsia="es-MX"/>
              </w:rPr>
              <w:t>3.</w:t>
            </w:r>
            <w:r w:rsidRPr="004D1037">
              <w:rPr>
                <w:rFonts w:eastAsia="Times New Roman" w:cs="Calibri"/>
                <w:b/>
                <w:bCs/>
                <w:color w:val="000000"/>
                <w:sz w:val="14"/>
                <w:szCs w:val="14"/>
                <w:lang w:eastAsia="es-MX"/>
              </w:rPr>
              <w:t xml:space="preserve">      </w:t>
            </w:r>
            <w:r w:rsidRPr="004D1037">
              <w:rPr>
                <w:rFonts w:eastAsia="Times New Roman" w:cs="Calibri"/>
                <w:b/>
                <w:bCs/>
                <w:color w:val="000000"/>
                <w:sz w:val="16"/>
                <w:szCs w:val="16"/>
                <w:lang w:eastAsia="es-MX"/>
              </w:rPr>
              <w:t>Menos Ingresos Presupuestarios no Contables</w:t>
            </w:r>
          </w:p>
        </w:tc>
        <w:tc>
          <w:tcPr>
            <w:tcW w:w="2287" w:type="dxa"/>
            <w:tcBorders>
              <w:top w:val="single" w:sz="4" w:space="0" w:color="auto"/>
              <w:left w:val="nil"/>
              <w:bottom w:val="single" w:sz="4" w:space="0" w:color="auto"/>
              <w:right w:val="single" w:sz="4" w:space="0" w:color="auto"/>
            </w:tcBorders>
            <w:shd w:val="clear" w:color="DBDBDB" w:fill="D9D9D9"/>
            <w:vAlign w:val="center"/>
            <w:hideMark/>
          </w:tcPr>
          <w:p w14:paraId="07C260D3" w14:textId="77777777" w:rsidR="004D1037" w:rsidRPr="004D1037" w:rsidRDefault="004D1037" w:rsidP="00EC7D22">
            <w:pPr>
              <w:suppressAutoHyphens w:val="0"/>
              <w:overflowPunct/>
              <w:spacing w:after="0" w:line="240" w:lineRule="auto"/>
              <w:jc w:val="right"/>
              <w:rPr>
                <w:rFonts w:eastAsia="Times New Roman" w:cs="Calibri"/>
                <w:b/>
                <w:bCs/>
                <w:color w:val="000000"/>
                <w:sz w:val="16"/>
                <w:szCs w:val="16"/>
                <w:lang w:eastAsia="es-MX"/>
              </w:rPr>
            </w:pPr>
            <w:r w:rsidRPr="004D1037">
              <w:rPr>
                <w:rFonts w:eastAsia="Times New Roman" w:cs="Calibri"/>
                <w:b/>
                <w:bCs/>
                <w:color w:val="000000"/>
                <w:sz w:val="16"/>
                <w:szCs w:val="16"/>
                <w:lang w:eastAsia="es-MX"/>
              </w:rPr>
              <w:t>13,700,970,598</w:t>
            </w:r>
          </w:p>
        </w:tc>
      </w:tr>
      <w:tr w:rsidR="004D1037" w:rsidRPr="004D1037" w14:paraId="4D910E77" w14:textId="77777777" w:rsidTr="007028FD">
        <w:trPr>
          <w:gridAfter w:val="1"/>
          <w:wAfter w:w="7" w:type="dxa"/>
          <w:trHeight w:val="291"/>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7BAE350" w14:textId="4D163690"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 xml:space="preserve">              Aprovechamientos Patrimoniales</w:t>
            </w:r>
          </w:p>
        </w:tc>
        <w:tc>
          <w:tcPr>
            <w:tcW w:w="2287" w:type="dxa"/>
            <w:tcBorders>
              <w:top w:val="nil"/>
              <w:left w:val="nil"/>
              <w:bottom w:val="single" w:sz="4" w:space="0" w:color="auto"/>
              <w:right w:val="single" w:sz="4" w:space="0" w:color="auto"/>
            </w:tcBorders>
            <w:shd w:val="clear" w:color="auto" w:fill="auto"/>
            <w:vAlign w:val="center"/>
            <w:hideMark/>
          </w:tcPr>
          <w:p w14:paraId="67AF5D09" w14:textId="77777777" w:rsidR="004D1037" w:rsidRPr="004D1037" w:rsidRDefault="004D1037" w:rsidP="00EC7D22">
            <w:pPr>
              <w:suppressAutoHyphens w:val="0"/>
              <w:overflowPunct/>
              <w:spacing w:after="0" w:line="240" w:lineRule="auto"/>
              <w:jc w:val="right"/>
              <w:rPr>
                <w:rFonts w:eastAsia="Times New Roman" w:cs="Calibri"/>
                <w:color w:val="000000"/>
                <w:sz w:val="16"/>
                <w:szCs w:val="16"/>
                <w:lang w:eastAsia="es-MX"/>
              </w:rPr>
            </w:pPr>
            <w:r w:rsidRPr="004D1037">
              <w:rPr>
                <w:rFonts w:eastAsia="Times New Roman" w:cs="Calibri"/>
                <w:color w:val="000000"/>
                <w:sz w:val="16"/>
                <w:szCs w:val="16"/>
                <w:lang w:eastAsia="es-MX"/>
              </w:rPr>
              <w:t>0</w:t>
            </w:r>
          </w:p>
        </w:tc>
      </w:tr>
      <w:tr w:rsidR="004D1037" w:rsidRPr="004D1037" w14:paraId="6214C9D3" w14:textId="77777777" w:rsidTr="007028FD">
        <w:trPr>
          <w:gridAfter w:val="1"/>
          <w:wAfter w:w="7" w:type="dxa"/>
          <w:trHeight w:val="291"/>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0E4D028" w14:textId="39594C41"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 xml:space="preserve">              Ingresos Derivados de Financiamientos </w:t>
            </w:r>
          </w:p>
        </w:tc>
        <w:tc>
          <w:tcPr>
            <w:tcW w:w="2287" w:type="dxa"/>
            <w:tcBorders>
              <w:top w:val="nil"/>
              <w:left w:val="nil"/>
              <w:bottom w:val="single" w:sz="4" w:space="0" w:color="auto"/>
              <w:right w:val="single" w:sz="4" w:space="0" w:color="auto"/>
            </w:tcBorders>
            <w:shd w:val="clear" w:color="auto" w:fill="auto"/>
            <w:vAlign w:val="center"/>
            <w:hideMark/>
          </w:tcPr>
          <w:p w14:paraId="75128211" w14:textId="77777777" w:rsidR="004D1037" w:rsidRPr="004D1037" w:rsidRDefault="004D1037" w:rsidP="00EC7D22">
            <w:pPr>
              <w:suppressAutoHyphens w:val="0"/>
              <w:overflowPunct/>
              <w:spacing w:after="0" w:line="240" w:lineRule="auto"/>
              <w:jc w:val="right"/>
              <w:rPr>
                <w:rFonts w:eastAsia="Times New Roman" w:cs="Calibri"/>
                <w:color w:val="000000"/>
                <w:sz w:val="16"/>
                <w:szCs w:val="16"/>
                <w:lang w:eastAsia="es-MX"/>
              </w:rPr>
            </w:pPr>
            <w:r w:rsidRPr="004D1037">
              <w:rPr>
                <w:rFonts w:eastAsia="Times New Roman" w:cs="Calibri"/>
                <w:color w:val="000000"/>
                <w:sz w:val="16"/>
                <w:szCs w:val="16"/>
                <w:lang w:eastAsia="es-MX"/>
              </w:rPr>
              <w:t>13,699,079,662</w:t>
            </w:r>
          </w:p>
        </w:tc>
      </w:tr>
      <w:tr w:rsidR="004D1037" w:rsidRPr="004D1037" w14:paraId="0F80B6B7" w14:textId="77777777" w:rsidTr="007028FD">
        <w:trPr>
          <w:gridAfter w:val="1"/>
          <w:wAfter w:w="7" w:type="dxa"/>
          <w:trHeight w:val="291"/>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28F8309"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 xml:space="preserve">                 Otros Ingresos Presupuestarios no Contables  </w:t>
            </w:r>
          </w:p>
        </w:tc>
        <w:tc>
          <w:tcPr>
            <w:tcW w:w="2287" w:type="dxa"/>
            <w:tcBorders>
              <w:top w:val="nil"/>
              <w:left w:val="nil"/>
              <w:bottom w:val="single" w:sz="4" w:space="0" w:color="auto"/>
              <w:right w:val="single" w:sz="4" w:space="0" w:color="auto"/>
            </w:tcBorders>
            <w:shd w:val="clear" w:color="auto" w:fill="auto"/>
            <w:vAlign w:val="center"/>
            <w:hideMark/>
          </w:tcPr>
          <w:p w14:paraId="66A2D2E0" w14:textId="77777777" w:rsidR="004D1037" w:rsidRPr="004D1037" w:rsidRDefault="004D1037" w:rsidP="00EC7D22">
            <w:pPr>
              <w:suppressAutoHyphens w:val="0"/>
              <w:overflowPunct/>
              <w:spacing w:after="0" w:line="240" w:lineRule="auto"/>
              <w:jc w:val="right"/>
              <w:rPr>
                <w:rFonts w:eastAsia="Times New Roman" w:cs="Calibri"/>
                <w:color w:val="000000"/>
                <w:sz w:val="16"/>
                <w:szCs w:val="16"/>
                <w:lang w:eastAsia="es-MX"/>
              </w:rPr>
            </w:pPr>
            <w:r w:rsidRPr="004D1037">
              <w:rPr>
                <w:rFonts w:eastAsia="Times New Roman" w:cs="Calibri"/>
                <w:color w:val="000000"/>
                <w:sz w:val="16"/>
                <w:szCs w:val="16"/>
                <w:lang w:eastAsia="es-MX"/>
              </w:rPr>
              <w:t>1,890,936</w:t>
            </w:r>
          </w:p>
        </w:tc>
      </w:tr>
      <w:tr w:rsidR="004D1037" w:rsidRPr="004D1037" w14:paraId="638F01BA" w14:textId="77777777" w:rsidTr="007028FD">
        <w:trPr>
          <w:gridAfter w:val="1"/>
          <w:wAfter w:w="7" w:type="dxa"/>
          <w:trHeight w:val="284"/>
        </w:trPr>
        <w:tc>
          <w:tcPr>
            <w:tcW w:w="5382" w:type="dxa"/>
            <w:tcBorders>
              <w:top w:val="nil"/>
              <w:left w:val="single" w:sz="4" w:space="0" w:color="auto"/>
              <w:bottom w:val="single" w:sz="4" w:space="0" w:color="auto"/>
              <w:right w:val="single" w:sz="4" w:space="0" w:color="auto"/>
            </w:tcBorders>
            <w:shd w:val="clear" w:color="F8CBAD" w:fill="DDC9A3"/>
            <w:vAlign w:val="center"/>
            <w:hideMark/>
          </w:tcPr>
          <w:p w14:paraId="57EE4E11" w14:textId="77777777" w:rsidR="004D1037" w:rsidRPr="004D1037" w:rsidRDefault="004D1037" w:rsidP="00EC7D22">
            <w:pPr>
              <w:suppressAutoHyphens w:val="0"/>
              <w:overflowPunct/>
              <w:spacing w:after="0" w:line="240" w:lineRule="auto"/>
              <w:rPr>
                <w:rFonts w:eastAsia="Times New Roman" w:cs="Calibri"/>
                <w:b/>
                <w:bCs/>
                <w:color w:val="000000"/>
                <w:sz w:val="16"/>
                <w:szCs w:val="16"/>
                <w:lang w:eastAsia="es-MX"/>
              </w:rPr>
            </w:pPr>
            <w:r w:rsidRPr="004D1037">
              <w:rPr>
                <w:rFonts w:eastAsia="Times New Roman" w:cs="Calibri"/>
                <w:b/>
                <w:bCs/>
                <w:color w:val="000000"/>
                <w:sz w:val="16"/>
                <w:szCs w:val="16"/>
                <w:lang w:eastAsia="es-MX"/>
              </w:rPr>
              <w:t>4.      Ingresos Contables</w:t>
            </w:r>
          </w:p>
        </w:tc>
        <w:tc>
          <w:tcPr>
            <w:tcW w:w="2287" w:type="dxa"/>
            <w:tcBorders>
              <w:top w:val="nil"/>
              <w:left w:val="nil"/>
              <w:bottom w:val="single" w:sz="4" w:space="0" w:color="auto"/>
              <w:right w:val="single" w:sz="4" w:space="0" w:color="auto"/>
            </w:tcBorders>
            <w:shd w:val="clear" w:color="F8CBAD" w:fill="DDC9A3"/>
            <w:vAlign w:val="center"/>
            <w:hideMark/>
          </w:tcPr>
          <w:p w14:paraId="6C35B5DE" w14:textId="77777777" w:rsidR="004D1037" w:rsidRPr="004D1037" w:rsidRDefault="004D1037" w:rsidP="00EC7D22">
            <w:pPr>
              <w:suppressAutoHyphens w:val="0"/>
              <w:overflowPunct/>
              <w:spacing w:after="0" w:line="240" w:lineRule="auto"/>
              <w:jc w:val="right"/>
              <w:rPr>
                <w:rFonts w:eastAsia="Times New Roman" w:cs="Calibri"/>
                <w:b/>
                <w:bCs/>
                <w:color w:val="000000"/>
                <w:sz w:val="14"/>
                <w:szCs w:val="14"/>
                <w:lang w:eastAsia="es-MX"/>
              </w:rPr>
            </w:pPr>
            <w:r w:rsidRPr="004D1037">
              <w:rPr>
                <w:rFonts w:eastAsia="Times New Roman" w:cs="Calibri"/>
                <w:b/>
                <w:bCs/>
                <w:color w:val="000000"/>
                <w:sz w:val="14"/>
                <w:szCs w:val="14"/>
                <w:lang w:eastAsia="es-MX"/>
              </w:rPr>
              <w:t>81,748,489,089</w:t>
            </w:r>
          </w:p>
        </w:tc>
      </w:tr>
    </w:tbl>
    <w:p w14:paraId="5E2FEEC4" w14:textId="77777777" w:rsidR="004D1037" w:rsidRDefault="004D1037" w:rsidP="00EC7D22">
      <w:pPr>
        <w:spacing w:after="0" w:line="240" w:lineRule="auto"/>
        <w:jc w:val="both"/>
        <w:rPr>
          <w:rFonts w:cs="Calibri"/>
          <w:b/>
          <w:color w:val="000000" w:themeColor="dark1"/>
          <w:sz w:val="20"/>
          <w:szCs w:val="20"/>
          <w:lang w:eastAsia="es-ES"/>
        </w:rPr>
      </w:pPr>
    </w:p>
    <w:p w14:paraId="23EFAE1E" w14:textId="77777777" w:rsidR="004A34B0" w:rsidRPr="00F73127" w:rsidRDefault="004A34B0" w:rsidP="00EC7D22">
      <w:pPr>
        <w:pStyle w:val="NormalWeb"/>
        <w:spacing w:before="0" w:after="0"/>
        <w:jc w:val="both"/>
        <w:rPr>
          <w:rFonts w:ascii="Calibri" w:hAnsi="Calibri" w:cs="Calibri"/>
          <w:b/>
          <w:color w:val="000000"/>
          <w:sz w:val="20"/>
          <w:szCs w:val="20"/>
        </w:rPr>
      </w:pPr>
      <w:r w:rsidRPr="00F73127">
        <w:rPr>
          <w:rFonts w:ascii="Calibri" w:hAnsi="Calibri" w:cs="Calibri"/>
          <w:b/>
          <w:color w:val="000000"/>
          <w:sz w:val="20"/>
          <w:szCs w:val="20"/>
        </w:rPr>
        <w:t>Ingresos Estatales</w:t>
      </w:r>
    </w:p>
    <w:p w14:paraId="3CF7897E" w14:textId="77777777" w:rsidR="004A34B0" w:rsidRPr="00F73127" w:rsidRDefault="004A34B0" w:rsidP="00EC7D22">
      <w:pPr>
        <w:pStyle w:val="NormalWeb"/>
        <w:spacing w:before="0" w:after="0"/>
        <w:jc w:val="both"/>
        <w:rPr>
          <w:rFonts w:ascii="Calibri" w:hAnsi="Calibri" w:cs="Calibri"/>
          <w:b/>
          <w:color w:val="000000"/>
          <w:sz w:val="20"/>
          <w:szCs w:val="20"/>
        </w:rPr>
      </w:pPr>
    </w:p>
    <w:p w14:paraId="7F628362" w14:textId="77777777" w:rsidR="004A34B0" w:rsidRPr="00F73127" w:rsidRDefault="004A34B0" w:rsidP="00EC7D22">
      <w:pPr>
        <w:pStyle w:val="NormalWeb"/>
        <w:spacing w:before="0" w:after="0"/>
        <w:jc w:val="both"/>
        <w:rPr>
          <w:rFonts w:ascii="Calibri" w:hAnsi="Calibri" w:cs="Calibri"/>
          <w:color w:val="000000"/>
          <w:sz w:val="20"/>
          <w:szCs w:val="20"/>
        </w:rPr>
      </w:pPr>
      <w:r w:rsidRPr="00F73127">
        <w:rPr>
          <w:rFonts w:ascii="Calibri" w:hAnsi="Calibri" w:cs="Calibri"/>
          <w:color w:val="000000"/>
          <w:sz w:val="20"/>
          <w:szCs w:val="20"/>
        </w:rPr>
        <w:t>Por lo que concierne a los Ingresos Estatales del Ejercicio 2024, en el rubro del Impuesto sobre Remuneraciones al Trabajo Personal Subordinado, se obtuvo un incremento en la recaudación en un 10.11%.</w:t>
      </w:r>
    </w:p>
    <w:p w14:paraId="015733ED" w14:textId="77777777" w:rsidR="004A34B0" w:rsidRPr="00F73127" w:rsidRDefault="004A34B0" w:rsidP="00EC7D22">
      <w:pPr>
        <w:pStyle w:val="NormalWeb"/>
        <w:spacing w:before="0" w:after="0"/>
        <w:jc w:val="both"/>
        <w:rPr>
          <w:rFonts w:ascii="Calibri" w:hAnsi="Calibri" w:cs="Calibri"/>
          <w:color w:val="000000"/>
          <w:sz w:val="20"/>
          <w:szCs w:val="20"/>
        </w:rPr>
      </w:pPr>
    </w:p>
    <w:p w14:paraId="096FBF2D" w14:textId="77777777" w:rsidR="004A34B0" w:rsidRPr="00F73127" w:rsidRDefault="004A34B0" w:rsidP="00EC7D22">
      <w:pPr>
        <w:pStyle w:val="NormalWeb"/>
        <w:spacing w:before="0" w:after="0"/>
        <w:jc w:val="both"/>
        <w:rPr>
          <w:rFonts w:ascii="Calibri" w:hAnsi="Calibri" w:cs="Calibri"/>
          <w:color w:val="000000"/>
          <w:sz w:val="20"/>
          <w:szCs w:val="20"/>
        </w:rPr>
      </w:pPr>
      <w:r w:rsidRPr="00F73127">
        <w:rPr>
          <w:rFonts w:ascii="Calibri" w:hAnsi="Calibri" w:cs="Calibri"/>
          <w:color w:val="000000"/>
          <w:sz w:val="20"/>
          <w:szCs w:val="20"/>
        </w:rPr>
        <w:t>Así mismo en el rubro de Derechos se observa un incremento de un 8.24%, predominando básicamente los Derechos de Control Vehicular.</w:t>
      </w:r>
    </w:p>
    <w:p w14:paraId="1F05DE0B" w14:textId="77777777" w:rsidR="004A34B0" w:rsidRPr="00F73127" w:rsidRDefault="004A34B0" w:rsidP="00EC7D22">
      <w:pPr>
        <w:pStyle w:val="NormalWeb"/>
        <w:spacing w:before="0" w:after="0"/>
        <w:jc w:val="both"/>
        <w:rPr>
          <w:rFonts w:ascii="Calibri" w:hAnsi="Calibri" w:cs="Calibri"/>
          <w:color w:val="000000"/>
          <w:sz w:val="20"/>
          <w:szCs w:val="20"/>
        </w:rPr>
      </w:pPr>
    </w:p>
    <w:p w14:paraId="3F240FEB" w14:textId="77777777" w:rsidR="004A34B0" w:rsidRPr="00F73127" w:rsidRDefault="004A34B0" w:rsidP="00EC7D22">
      <w:pPr>
        <w:pStyle w:val="NormalWeb"/>
        <w:spacing w:before="0" w:after="0"/>
        <w:jc w:val="both"/>
        <w:rPr>
          <w:rFonts w:ascii="Calibri" w:hAnsi="Calibri" w:cs="Calibri"/>
          <w:color w:val="000000"/>
          <w:sz w:val="20"/>
          <w:szCs w:val="20"/>
        </w:rPr>
      </w:pPr>
      <w:r w:rsidRPr="00F73127">
        <w:rPr>
          <w:rFonts w:ascii="Calibri" w:hAnsi="Calibri" w:cs="Calibri"/>
          <w:color w:val="000000"/>
          <w:sz w:val="20"/>
          <w:szCs w:val="20"/>
        </w:rPr>
        <w:t>En el rubro de Aprovechamientos se obtuvo un incremento del 62.60% por el proyecto de la autopista Rumbo Nuevo en el estado por $654,000.000.00</w:t>
      </w:r>
    </w:p>
    <w:p w14:paraId="65838A3D" w14:textId="77777777" w:rsidR="004A34B0" w:rsidRPr="00F73127" w:rsidRDefault="004A34B0" w:rsidP="00EC7D22">
      <w:pPr>
        <w:pStyle w:val="NormalWeb"/>
        <w:spacing w:before="0" w:after="0"/>
        <w:jc w:val="both"/>
        <w:rPr>
          <w:rFonts w:ascii="Calibri" w:hAnsi="Calibri" w:cs="Calibri"/>
          <w:color w:val="000000"/>
          <w:sz w:val="20"/>
          <w:szCs w:val="20"/>
        </w:rPr>
      </w:pPr>
    </w:p>
    <w:p w14:paraId="025B42D8" w14:textId="77777777" w:rsidR="004A34B0" w:rsidRPr="00F73127" w:rsidRDefault="004A34B0" w:rsidP="00EC7D22">
      <w:pPr>
        <w:pStyle w:val="NormalWeb"/>
        <w:spacing w:before="0" w:after="0"/>
        <w:jc w:val="both"/>
        <w:rPr>
          <w:rFonts w:ascii="Calibri" w:hAnsi="Calibri" w:cs="Calibri"/>
          <w:color w:val="000000"/>
          <w:sz w:val="20"/>
          <w:szCs w:val="20"/>
        </w:rPr>
      </w:pPr>
    </w:p>
    <w:p w14:paraId="0220158A" w14:textId="77777777" w:rsidR="004A34B0" w:rsidRPr="00F73127" w:rsidRDefault="004A34B0" w:rsidP="00EC7D22">
      <w:pPr>
        <w:pStyle w:val="NormalWeb"/>
        <w:spacing w:before="0" w:after="0"/>
        <w:jc w:val="both"/>
        <w:rPr>
          <w:rFonts w:ascii="Calibri" w:hAnsi="Calibri" w:cs="Calibri"/>
          <w:b/>
          <w:color w:val="000000"/>
          <w:sz w:val="20"/>
          <w:szCs w:val="20"/>
        </w:rPr>
      </w:pPr>
      <w:r w:rsidRPr="00F73127">
        <w:rPr>
          <w:rFonts w:ascii="Calibri" w:hAnsi="Calibri" w:cs="Calibri"/>
          <w:b/>
          <w:color w:val="000000"/>
          <w:sz w:val="20"/>
          <w:szCs w:val="20"/>
        </w:rPr>
        <w:t>Participaciones Federales Ramo 28.</w:t>
      </w:r>
    </w:p>
    <w:p w14:paraId="23E70409" w14:textId="77777777" w:rsidR="004A34B0" w:rsidRPr="00F73127" w:rsidRDefault="004A34B0" w:rsidP="00EC7D22">
      <w:pPr>
        <w:pStyle w:val="NormalWeb"/>
        <w:spacing w:before="0" w:after="0"/>
        <w:jc w:val="both"/>
        <w:rPr>
          <w:rFonts w:ascii="Calibri" w:hAnsi="Calibri" w:cs="Calibri"/>
          <w:b/>
          <w:color w:val="000000"/>
          <w:sz w:val="20"/>
          <w:szCs w:val="20"/>
        </w:rPr>
      </w:pPr>
    </w:p>
    <w:p w14:paraId="7092A0E2" w14:textId="77777777" w:rsidR="004A34B0" w:rsidRPr="00F73127" w:rsidRDefault="004A34B0" w:rsidP="00EC7D22">
      <w:pPr>
        <w:pStyle w:val="NormalWeb"/>
        <w:spacing w:before="0" w:after="0"/>
        <w:jc w:val="both"/>
        <w:rPr>
          <w:rFonts w:ascii="Calibri" w:hAnsi="Calibri" w:cs="Calibri"/>
          <w:b/>
          <w:sz w:val="20"/>
          <w:szCs w:val="20"/>
          <w:lang w:eastAsia="es-ES"/>
        </w:rPr>
      </w:pPr>
      <w:r w:rsidRPr="00F73127">
        <w:rPr>
          <w:rFonts w:ascii="Calibri" w:hAnsi="Calibri" w:cs="Calibri"/>
          <w:color w:val="000000"/>
          <w:sz w:val="20"/>
          <w:szCs w:val="20"/>
        </w:rPr>
        <w:t xml:space="preserve">En este punto puede apreciarse el incremento de un 4.09% en el caso de las Participaciones, particularmente en el Fondo General de Participaciones y el Fondo de Fiscalización y Recaudación, referenciados a la Recaudación Federal Participable, cuyos resultados benefician tanto los Municipios como al Gobierno del Estado. </w:t>
      </w:r>
      <w:r w:rsidRPr="00F73127">
        <w:rPr>
          <w:rFonts w:ascii="Calibri" w:hAnsi="Calibri" w:cs="Calibri"/>
          <w:b/>
          <w:sz w:val="20"/>
          <w:szCs w:val="20"/>
          <w:lang w:eastAsia="es-ES"/>
        </w:rPr>
        <w:t xml:space="preserve"> </w:t>
      </w:r>
    </w:p>
    <w:p w14:paraId="53359100" w14:textId="77777777" w:rsidR="004A34B0" w:rsidRDefault="004A34B0" w:rsidP="00EC7D22">
      <w:pPr>
        <w:spacing w:after="0" w:line="240" w:lineRule="auto"/>
        <w:jc w:val="both"/>
        <w:rPr>
          <w:rFonts w:cs="Calibri"/>
          <w:b/>
          <w:color w:val="000000" w:themeColor="dark1"/>
          <w:sz w:val="20"/>
          <w:szCs w:val="20"/>
          <w:lang w:eastAsia="es-ES"/>
        </w:rPr>
      </w:pPr>
    </w:p>
    <w:p w14:paraId="56C55166" w14:textId="77777777" w:rsidR="002B096A" w:rsidRDefault="002B096A" w:rsidP="00EC7D22">
      <w:pPr>
        <w:spacing w:after="0" w:line="240" w:lineRule="auto"/>
        <w:jc w:val="both"/>
        <w:rPr>
          <w:rFonts w:cs="Calibri"/>
          <w:b/>
          <w:color w:val="000000" w:themeColor="dark1"/>
          <w:sz w:val="20"/>
          <w:szCs w:val="20"/>
          <w:lang w:eastAsia="es-ES"/>
        </w:rPr>
      </w:pPr>
    </w:p>
    <w:tbl>
      <w:tblPr>
        <w:tblW w:w="7385" w:type="dxa"/>
        <w:tblCellMar>
          <w:left w:w="70" w:type="dxa"/>
          <w:right w:w="70" w:type="dxa"/>
        </w:tblCellMar>
        <w:tblLook w:val="04A0" w:firstRow="1" w:lastRow="0" w:firstColumn="1" w:lastColumn="0" w:noHBand="0" w:noVBand="1"/>
      </w:tblPr>
      <w:tblGrid>
        <w:gridCol w:w="5086"/>
        <w:gridCol w:w="2299"/>
      </w:tblGrid>
      <w:tr w:rsidR="00F96BCB" w:rsidRPr="00F96BCB" w14:paraId="25AF825E" w14:textId="77777777" w:rsidTr="00AB3BE3">
        <w:trPr>
          <w:trHeight w:val="454"/>
        </w:trPr>
        <w:tc>
          <w:tcPr>
            <w:tcW w:w="7385" w:type="dxa"/>
            <w:gridSpan w:val="2"/>
            <w:tcBorders>
              <w:top w:val="single" w:sz="4" w:space="0" w:color="auto"/>
              <w:left w:val="single" w:sz="4" w:space="0" w:color="auto"/>
              <w:bottom w:val="single" w:sz="4" w:space="0" w:color="auto"/>
              <w:right w:val="single" w:sz="4" w:space="0" w:color="auto"/>
            </w:tcBorders>
            <w:shd w:val="clear" w:color="800080" w:fill="A90025"/>
            <w:vAlign w:val="center"/>
            <w:hideMark/>
          </w:tcPr>
          <w:p w14:paraId="3AA34C36" w14:textId="781E6275" w:rsidR="00F96BCB" w:rsidRPr="00F96BCB" w:rsidRDefault="00F96BCB" w:rsidP="00EC7D22">
            <w:pPr>
              <w:suppressAutoHyphens w:val="0"/>
              <w:overflowPunct/>
              <w:spacing w:after="0" w:line="240" w:lineRule="auto"/>
              <w:jc w:val="center"/>
              <w:rPr>
                <w:rFonts w:eastAsia="Times New Roman" w:cs="Calibri"/>
                <w:b/>
                <w:bCs/>
                <w:color w:val="FFFFFF"/>
                <w:sz w:val="16"/>
                <w:szCs w:val="16"/>
                <w:lang w:eastAsia="es-MX"/>
              </w:rPr>
            </w:pPr>
            <w:r w:rsidRPr="00F96BCB">
              <w:rPr>
                <w:rFonts w:eastAsia="Times New Roman" w:cs="Calibri"/>
                <w:b/>
                <w:bCs/>
                <w:color w:val="FFFFFF"/>
                <w:sz w:val="16"/>
                <w:szCs w:val="16"/>
                <w:lang w:eastAsia="es-MX"/>
              </w:rPr>
              <w:t>Conciliación Entre los Egresos Presupuestarios y los Gastos Contables</w:t>
            </w:r>
          </w:p>
        </w:tc>
      </w:tr>
      <w:tr w:rsidR="00F96BCB" w:rsidRPr="00F96BCB" w14:paraId="1AAFC6EC" w14:textId="77777777" w:rsidTr="00AB3BE3">
        <w:trPr>
          <w:trHeight w:val="454"/>
        </w:trPr>
        <w:tc>
          <w:tcPr>
            <w:tcW w:w="7385" w:type="dxa"/>
            <w:gridSpan w:val="2"/>
            <w:tcBorders>
              <w:top w:val="single" w:sz="4" w:space="0" w:color="auto"/>
              <w:left w:val="single" w:sz="4" w:space="0" w:color="auto"/>
              <w:bottom w:val="single" w:sz="4" w:space="0" w:color="auto"/>
              <w:right w:val="single" w:sz="4" w:space="0" w:color="auto"/>
            </w:tcBorders>
            <w:shd w:val="clear" w:color="800080" w:fill="A90025"/>
            <w:vAlign w:val="center"/>
            <w:hideMark/>
          </w:tcPr>
          <w:p w14:paraId="59292651" w14:textId="586539C8" w:rsidR="00F96BCB" w:rsidRPr="00F96BCB" w:rsidRDefault="00F96BCB" w:rsidP="00EC7D22">
            <w:pPr>
              <w:suppressAutoHyphens w:val="0"/>
              <w:overflowPunct/>
              <w:spacing w:after="0" w:line="240" w:lineRule="auto"/>
              <w:jc w:val="center"/>
              <w:rPr>
                <w:rFonts w:eastAsia="Times New Roman" w:cs="Calibri"/>
                <w:b/>
                <w:bCs/>
                <w:color w:val="FFFFFF"/>
                <w:sz w:val="16"/>
                <w:szCs w:val="16"/>
                <w:lang w:eastAsia="es-MX"/>
              </w:rPr>
            </w:pPr>
            <w:r w:rsidRPr="00F96BCB">
              <w:rPr>
                <w:rFonts w:eastAsia="Times New Roman" w:cs="Calibri"/>
                <w:b/>
                <w:bCs/>
                <w:color w:val="FFFFFF"/>
                <w:sz w:val="16"/>
                <w:szCs w:val="16"/>
                <w:lang w:eastAsia="es-MX"/>
              </w:rPr>
              <w:t>Del 1 de Enero al 31 de Diciembre de 2024.</w:t>
            </w:r>
          </w:p>
        </w:tc>
      </w:tr>
      <w:tr w:rsidR="00F96BCB" w:rsidRPr="00F96BCB" w14:paraId="2C2B282B" w14:textId="77777777" w:rsidTr="00AB3BE3">
        <w:trPr>
          <w:trHeight w:val="397"/>
        </w:trPr>
        <w:tc>
          <w:tcPr>
            <w:tcW w:w="5086" w:type="dxa"/>
            <w:tcBorders>
              <w:top w:val="nil"/>
              <w:left w:val="single" w:sz="4" w:space="0" w:color="auto"/>
              <w:bottom w:val="single" w:sz="4" w:space="0" w:color="auto"/>
              <w:right w:val="single" w:sz="4" w:space="0" w:color="auto"/>
            </w:tcBorders>
            <w:shd w:val="clear" w:color="F8CBAD" w:fill="DDC9A3"/>
            <w:vAlign w:val="center"/>
            <w:hideMark/>
          </w:tcPr>
          <w:p w14:paraId="646F08E0" w14:textId="77777777" w:rsidR="00F96BCB" w:rsidRPr="00F96BCB" w:rsidRDefault="00F96BCB" w:rsidP="00EC7D22">
            <w:pPr>
              <w:suppressAutoHyphens w:val="0"/>
              <w:overflowPunct/>
              <w:spacing w:after="0" w:line="240" w:lineRule="auto"/>
              <w:jc w:val="center"/>
              <w:rPr>
                <w:rFonts w:eastAsia="Times New Roman" w:cs="Calibri"/>
                <w:b/>
                <w:bCs/>
                <w:color w:val="000000"/>
                <w:sz w:val="14"/>
                <w:szCs w:val="14"/>
                <w:lang w:eastAsia="es-MX"/>
              </w:rPr>
            </w:pPr>
            <w:r w:rsidRPr="00F96BCB">
              <w:rPr>
                <w:rFonts w:eastAsia="Times New Roman" w:cs="Calibri"/>
                <w:b/>
                <w:bCs/>
                <w:color w:val="000000"/>
                <w:sz w:val="14"/>
                <w:szCs w:val="14"/>
                <w:lang w:eastAsia="es-MX"/>
              </w:rPr>
              <w:t>Concepto</w:t>
            </w:r>
          </w:p>
        </w:tc>
        <w:tc>
          <w:tcPr>
            <w:tcW w:w="2299" w:type="dxa"/>
            <w:tcBorders>
              <w:top w:val="nil"/>
              <w:left w:val="nil"/>
              <w:bottom w:val="single" w:sz="4" w:space="0" w:color="auto"/>
              <w:right w:val="single" w:sz="4" w:space="0" w:color="auto"/>
            </w:tcBorders>
            <w:shd w:val="clear" w:color="F8CBAD" w:fill="DDC9A3"/>
            <w:vAlign w:val="center"/>
            <w:hideMark/>
          </w:tcPr>
          <w:p w14:paraId="12B45B9C" w14:textId="77777777" w:rsidR="00F96BCB" w:rsidRPr="00F96BCB" w:rsidRDefault="00F96BCB" w:rsidP="00EC7D22">
            <w:pPr>
              <w:suppressAutoHyphens w:val="0"/>
              <w:overflowPunct/>
              <w:spacing w:after="0" w:line="240" w:lineRule="auto"/>
              <w:jc w:val="center"/>
              <w:rPr>
                <w:rFonts w:eastAsia="Times New Roman" w:cs="Calibri"/>
                <w:b/>
                <w:bCs/>
                <w:color w:val="000000"/>
                <w:sz w:val="14"/>
                <w:szCs w:val="14"/>
                <w:lang w:eastAsia="es-MX"/>
              </w:rPr>
            </w:pPr>
            <w:r w:rsidRPr="00F96BCB">
              <w:rPr>
                <w:rFonts w:eastAsia="Times New Roman" w:cs="Calibri"/>
                <w:b/>
                <w:bCs/>
                <w:color w:val="000000"/>
                <w:sz w:val="14"/>
                <w:szCs w:val="14"/>
                <w:lang w:eastAsia="es-MX"/>
              </w:rPr>
              <w:t>2024</w:t>
            </w:r>
          </w:p>
        </w:tc>
      </w:tr>
      <w:tr w:rsidR="00F96BCB" w:rsidRPr="00F96BCB" w14:paraId="03C598EF" w14:textId="77777777" w:rsidTr="00AB3BE3">
        <w:trPr>
          <w:trHeight w:val="340"/>
        </w:trPr>
        <w:tc>
          <w:tcPr>
            <w:tcW w:w="5086" w:type="dxa"/>
            <w:tcBorders>
              <w:top w:val="nil"/>
              <w:left w:val="single" w:sz="4" w:space="0" w:color="auto"/>
              <w:bottom w:val="single" w:sz="4" w:space="0" w:color="auto"/>
              <w:right w:val="single" w:sz="4" w:space="0" w:color="auto"/>
            </w:tcBorders>
            <w:shd w:val="clear" w:color="DBDBDB" w:fill="D9D9D9"/>
            <w:vAlign w:val="center"/>
            <w:hideMark/>
          </w:tcPr>
          <w:p w14:paraId="0EB0D1D1" w14:textId="77777777" w:rsidR="00F96BCB" w:rsidRPr="00F96BCB" w:rsidRDefault="00F96BCB" w:rsidP="00EC7D22">
            <w:pPr>
              <w:suppressAutoHyphens w:val="0"/>
              <w:overflowPunct/>
              <w:spacing w:after="0" w:line="240" w:lineRule="auto"/>
              <w:rPr>
                <w:rFonts w:eastAsia="Times New Roman" w:cs="Calibri"/>
                <w:b/>
                <w:bCs/>
                <w:color w:val="000000"/>
                <w:sz w:val="16"/>
                <w:szCs w:val="16"/>
                <w:lang w:eastAsia="es-MX"/>
              </w:rPr>
            </w:pPr>
            <w:r w:rsidRPr="00F96BCB">
              <w:rPr>
                <w:rFonts w:eastAsia="Times New Roman" w:cs="Calibri"/>
                <w:b/>
                <w:bCs/>
                <w:color w:val="000000"/>
                <w:sz w:val="16"/>
                <w:szCs w:val="16"/>
                <w:lang w:eastAsia="es-MX"/>
              </w:rPr>
              <w:t>1.     Total de Egresos (presupuestarios)</w:t>
            </w:r>
          </w:p>
        </w:tc>
        <w:tc>
          <w:tcPr>
            <w:tcW w:w="2299" w:type="dxa"/>
            <w:tcBorders>
              <w:top w:val="nil"/>
              <w:left w:val="nil"/>
              <w:bottom w:val="single" w:sz="4" w:space="0" w:color="auto"/>
              <w:right w:val="single" w:sz="4" w:space="0" w:color="auto"/>
            </w:tcBorders>
            <w:shd w:val="clear" w:color="DBDBDB" w:fill="D9D9D9"/>
            <w:vAlign w:val="center"/>
            <w:hideMark/>
          </w:tcPr>
          <w:p w14:paraId="306DEA63" w14:textId="77777777" w:rsidR="00F96BCB" w:rsidRPr="00F96BCB" w:rsidRDefault="00F96BCB" w:rsidP="00EC7D22">
            <w:pPr>
              <w:suppressAutoHyphens w:val="0"/>
              <w:overflowPunct/>
              <w:spacing w:after="0" w:line="240" w:lineRule="auto"/>
              <w:jc w:val="right"/>
              <w:rPr>
                <w:rFonts w:eastAsia="Times New Roman" w:cs="Calibri"/>
                <w:b/>
                <w:bCs/>
                <w:color w:val="000000"/>
                <w:sz w:val="16"/>
                <w:szCs w:val="16"/>
                <w:lang w:eastAsia="es-MX"/>
              </w:rPr>
            </w:pPr>
            <w:r w:rsidRPr="00F96BCB">
              <w:rPr>
                <w:rFonts w:eastAsia="Times New Roman" w:cs="Calibri"/>
                <w:b/>
                <w:bCs/>
                <w:color w:val="000000"/>
                <w:sz w:val="16"/>
                <w:szCs w:val="16"/>
                <w:lang w:eastAsia="es-MX"/>
              </w:rPr>
              <w:t>96,791,364,385</w:t>
            </w:r>
          </w:p>
        </w:tc>
      </w:tr>
      <w:tr w:rsidR="00F96BCB" w:rsidRPr="00F96BCB" w14:paraId="49C4A14E" w14:textId="77777777" w:rsidTr="007A75A9">
        <w:trPr>
          <w:trHeight w:val="269"/>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4E88A872" w14:textId="77777777" w:rsidR="00F96BCB" w:rsidRPr="00F96BCB" w:rsidRDefault="00F96BCB" w:rsidP="00EC7D22">
            <w:pPr>
              <w:suppressAutoHyphens w:val="0"/>
              <w:overflowPunct/>
              <w:spacing w:after="0" w:line="240" w:lineRule="auto"/>
              <w:rPr>
                <w:rFonts w:eastAsia="Times New Roman" w:cs="Calibri"/>
                <w:color w:val="000000"/>
                <w:sz w:val="20"/>
                <w:szCs w:val="20"/>
                <w:lang w:eastAsia="es-MX"/>
              </w:rPr>
            </w:pPr>
            <w:r w:rsidRPr="00F96BCB">
              <w:rPr>
                <w:rFonts w:eastAsia="Times New Roman" w:cs="Calibri"/>
                <w:color w:val="000000"/>
                <w:sz w:val="20"/>
                <w:szCs w:val="20"/>
                <w:lang w:eastAsia="es-MX"/>
              </w:rPr>
              <w:t> </w:t>
            </w:r>
          </w:p>
        </w:tc>
        <w:tc>
          <w:tcPr>
            <w:tcW w:w="2299" w:type="dxa"/>
            <w:tcBorders>
              <w:top w:val="nil"/>
              <w:left w:val="nil"/>
              <w:bottom w:val="single" w:sz="4" w:space="0" w:color="auto"/>
              <w:right w:val="single" w:sz="4" w:space="0" w:color="auto"/>
            </w:tcBorders>
            <w:shd w:val="clear" w:color="auto" w:fill="auto"/>
            <w:vAlign w:val="center"/>
            <w:hideMark/>
          </w:tcPr>
          <w:p w14:paraId="6BB2E9EA" w14:textId="77777777" w:rsidR="00F96BCB" w:rsidRPr="00F96BCB" w:rsidRDefault="00F96BCB" w:rsidP="00EC7D22">
            <w:pPr>
              <w:suppressAutoHyphens w:val="0"/>
              <w:overflowPunct/>
              <w:spacing w:after="0" w:line="240" w:lineRule="auto"/>
              <w:rPr>
                <w:rFonts w:eastAsia="Times New Roman" w:cs="Calibri"/>
                <w:color w:val="000000"/>
                <w:sz w:val="20"/>
                <w:szCs w:val="20"/>
                <w:lang w:eastAsia="es-MX"/>
              </w:rPr>
            </w:pPr>
            <w:r w:rsidRPr="00F96BCB">
              <w:rPr>
                <w:rFonts w:eastAsia="Times New Roman" w:cs="Calibri"/>
                <w:color w:val="000000"/>
                <w:sz w:val="20"/>
                <w:szCs w:val="20"/>
                <w:lang w:eastAsia="es-MX"/>
              </w:rPr>
              <w:t> </w:t>
            </w:r>
          </w:p>
        </w:tc>
      </w:tr>
      <w:tr w:rsidR="00F96BCB" w:rsidRPr="00F96BCB" w14:paraId="13B59216" w14:textId="77777777" w:rsidTr="00AB3BE3">
        <w:trPr>
          <w:trHeight w:val="340"/>
        </w:trPr>
        <w:tc>
          <w:tcPr>
            <w:tcW w:w="5086" w:type="dxa"/>
            <w:tcBorders>
              <w:top w:val="nil"/>
              <w:left w:val="single" w:sz="4" w:space="0" w:color="auto"/>
              <w:bottom w:val="single" w:sz="4" w:space="0" w:color="auto"/>
              <w:right w:val="single" w:sz="4" w:space="0" w:color="auto"/>
            </w:tcBorders>
            <w:shd w:val="clear" w:color="DBDBDB" w:fill="D9D9D9"/>
            <w:vAlign w:val="center"/>
            <w:hideMark/>
          </w:tcPr>
          <w:p w14:paraId="176D0B60" w14:textId="77777777" w:rsidR="00F96BCB" w:rsidRPr="00F96BCB" w:rsidRDefault="00F96BCB" w:rsidP="00EC7D22">
            <w:pPr>
              <w:suppressAutoHyphens w:val="0"/>
              <w:overflowPunct/>
              <w:spacing w:after="0" w:line="240" w:lineRule="auto"/>
              <w:rPr>
                <w:rFonts w:eastAsia="Times New Roman" w:cs="Calibri"/>
                <w:b/>
                <w:bCs/>
                <w:color w:val="000000"/>
                <w:sz w:val="16"/>
                <w:szCs w:val="16"/>
                <w:lang w:eastAsia="es-MX"/>
              </w:rPr>
            </w:pPr>
            <w:r w:rsidRPr="00F96BCB">
              <w:rPr>
                <w:rFonts w:eastAsia="Times New Roman" w:cs="Calibri"/>
                <w:b/>
                <w:bCs/>
                <w:color w:val="000000"/>
                <w:sz w:val="16"/>
                <w:szCs w:val="16"/>
                <w:lang w:eastAsia="es-MX"/>
              </w:rPr>
              <w:t>2.     Menos Egresos Presupuestarios no Contables</w:t>
            </w:r>
          </w:p>
        </w:tc>
        <w:tc>
          <w:tcPr>
            <w:tcW w:w="2299" w:type="dxa"/>
            <w:tcBorders>
              <w:top w:val="nil"/>
              <w:left w:val="nil"/>
              <w:bottom w:val="single" w:sz="4" w:space="0" w:color="auto"/>
              <w:right w:val="single" w:sz="4" w:space="0" w:color="auto"/>
            </w:tcBorders>
            <w:shd w:val="clear" w:color="DBDBDB" w:fill="D9D9D9"/>
            <w:vAlign w:val="center"/>
            <w:hideMark/>
          </w:tcPr>
          <w:p w14:paraId="4D5A13C7" w14:textId="77777777" w:rsidR="00F96BCB" w:rsidRPr="00F96BCB" w:rsidRDefault="00F96BCB" w:rsidP="00EC7D22">
            <w:pPr>
              <w:suppressAutoHyphens w:val="0"/>
              <w:overflowPunct/>
              <w:spacing w:after="0" w:line="240" w:lineRule="auto"/>
              <w:jc w:val="right"/>
              <w:rPr>
                <w:rFonts w:eastAsia="Times New Roman" w:cs="Calibri"/>
                <w:b/>
                <w:bCs/>
                <w:color w:val="000000"/>
                <w:sz w:val="16"/>
                <w:szCs w:val="16"/>
                <w:lang w:eastAsia="es-MX"/>
              </w:rPr>
            </w:pPr>
            <w:r w:rsidRPr="00F96BCB">
              <w:rPr>
                <w:rFonts w:eastAsia="Times New Roman" w:cs="Calibri"/>
                <w:b/>
                <w:bCs/>
                <w:color w:val="000000"/>
                <w:sz w:val="16"/>
                <w:szCs w:val="16"/>
                <w:lang w:eastAsia="es-MX"/>
              </w:rPr>
              <w:t>17,623,077,954</w:t>
            </w:r>
          </w:p>
        </w:tc>
      </w:tr>
      <w:tr w:rsidR="00F96BCB" w:rsidRPr="00F96BCB" w14:paraId="4285486D" w14:textId="77777777" w:rsidTr="007028FD">
        <w:trPr>
          <w:trHeight w:val="340"/>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37B212D6"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Materias Primas y Materiales de Producción y Comercialización</w:t>
            </w:r>
          </w:p>
        </w:tc>
        <w:tc>
          <w:tcPr>
            <w:tcW w:w="2299" w:type="dxa"/>
            <w:tcBorders>
              <w:top w:val="nil"/>
              <w:left w:val="nil"/>
              <w:bottom w:val="single" w:sz="4" w:space="0" w:color="auto"/>
              <w:right w:val="single" w:sz="4" w:space="0" w:color="auto"/>
            </w:tcBorders>
            <w:shd w:val="clear" w:color="auto" w:fill="auto"/>
            <w:vAlign w:val="center"/>
            <w:hideMark/>
          </w:tcPr>
          <w:p w14:paraId="4589621A"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6DA18467"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0E38544B"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Materiales y Suministros</w:t>
            </w:r>
          </w:p>
        </w:tc>
        <w:tc>
          <w:tcPr>
            <w:tcW w:w="2299" w:type="dxa"/>
            <w:tcBorders>
              <w:top w:val="nil"/>
              <w:left w:val="single" w:sz="4" w:space="0" w:color="auto"/>
              <w:bottom w:val="single" w:sz="4" w:space="0" w:color="auto"/>
              <w:right w:val="single" w:sz="4" w:space="0" w:color="auto"/>
            </w:tcBorders>
            <w:shd w:val="clear" w:color="auto" w:fill="auto"/>
            <w:vAlign w:val="center"/>
            <w:hideMark/>
          </w:tcPr>
          <w:p w14:paraId="22067ACB"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6519ED5C"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68614845"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Mobiliario y Equipo de Administración </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771E6BC9"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190,559,868</w:t>
            </w:r>
          </w:p>
        </w:tc>
      </w:tr>
      <w:tr w:rsidR="00F96BCB" w:rsidRPr="00F96BCB" w14:paraId="49C110DF"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2EB3DFA1"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Mobiliario y Equipo Educacional y recreativo</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4596EAF8"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14,160,672</w:t>
            </w:r>
          </w:p>
        </w:tc>
      </w:tr>
      <w:tr w:rsidR="00F96BCB" w:rsidRPr="00F96BCB" w14:paraId="0D17CEE0"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0EB1209E"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Equipo e Instrumental Médico y de Laboratorio</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3C3D0C90"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21,790,254</w:t>
            </w:r>
          </w:p>
        </w:tc>
      </w:tr>
      <w:tr w:rsidR="00F96BCB" w:rsidRPr="00F96BCB" w14:paraId="6F7F6322"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656823B1"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Vehículos y Equipos de Transporte</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672E1F9B"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339,937,979</w:t>
            </w:r>
          </w:p>
        </w:tc>
      </w:tr>
      <w:tr w:rsidR="00F96BCB" w:rsidRPr="00F96BCB" w14:paraId="2BC97F87"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050B09CA"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Equipo de Defensa y Seguridad</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1383365E"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8,342,549</w:t>
            </w:r>
          </w:p>
        </w:tc>
      </w:tr>
      <w:tr w:rsidR="00F96BCB" w:rsidRPr="00F96BCB" w14:paraId="0F093269"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6C2E2D8A"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Maquinaria, otros Equipos y Herramientas</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4295FC9F"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249,279,789</w:t>
            </w:r>
          </w:p>
        </w:tc>
      </w:tr>
      <w:tr w:rsidR="00F96BCB" w:rsidRPr="00F96BCB" w14:paraId="4BAB9838" w14:textId="77777777" w:rsidTr="007028FD">
        <w:trPr>
          <w:trHeight w:val="340"/>
        </w:trPr>
        <w:tc>
          <w:tcPr>
            <w:tcW w:w="5086" w:type="dxa"/>
            <w:tcBorders>
              <w:top w:val="single" w:sz="4" w:space="0" w:color="auto"/>
              <w:left w:val="single" w:sz="4" w:space="0" w:color="auto"/>
              <w:bottom w:val="single" w:sz="4" w:space="0" w:color="auto"/>
              <w:right w:val="nil"/>
            </w:tcBorders>
            <w:shd w:val="clear" w:color="auto" w:fill="auto"/>
            <w:vAlign w:val="center"/>
            <w:hideMark/>
          </w:tcPr>
          <w:p w14:paraId="6EDFA708"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Activos Biológicos</w:t>
            </w:r>
          </w:p>
        </w:tc>
        <w:tc>
          <w:tcPr>
            <w:tcW w:w="2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7C34A"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1,190,160</w:t>
            </w:r>
          </w:p>
        </w:tc>
      </w:tr>
      <w:tr w:rsidR="00F96BCB" w:rsidRPr="00F96BCB" w14:paraId="230D09A9"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10FB67E0"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Bienes Inmuebles</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17CCB373"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7F98F762"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46386BCA"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Activos Intangibles</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7D8C0496"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108,179,203</w:t>
            </w:r>
          </w:p>
        </w:tc>
      </w:tr>
      <w:tr w:rsidR="00F96BCB" w:rsidRPr="00F96BCB" w14:paraId="5038965C"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2A576569"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Obra Pública en Bienes de Dominio Público</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75DA3BE4"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753,671,278</w:t>
            </w:r>
          </w:p>
        </w:tc>
      </w:tr>
      <w:tr w:rsidR="00F96BCB" w:rsidRPr="00F96BCB" w14:paraId="2F27F79A" w14:textId="77777777" w:rsidTr="00AA4AEA">
        <w:trPr>
          <w:trHeight w:val="340"/>
        </w:trPr>
        <w:tc>
          <w:tcPr>
            <w:tcW w:w="5086" w:type="dxa"/>
            <w:tcBorders>
              <w:top w:val="single" w:sz="4" w:space="0" w:color="auto"/>
              <w:left w:val="single" w:sz="4" w:space="0" w:color="auto"/>
              <w:bottom w:val="single" w:sz="4" w:space="0" w:color="auto"/>
              <w:right w:val="nil"/>
            </w:tcBorders>
            <w:shd w:val="clear" w:color="auto" w:fill="auto"/>
            <w:vAlign w:val="center"/>
            <w:hideMark/>
          </w:tcPr>
          <w:p w14:paraId="25ED1D11"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Obra Pública en Bienes Propios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E042"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355,128,444</w:t>
            </w:r>
          </w:p>
        </w:tc>
      </w:tr>
      <w:tr w:rsidR="00F96BCB" w:rsidRPr="00F96BCB" w14:paraId="667C5145" w14:textId="77777777" w:rsidTr="00AA4AEA">
        <w:trPr>
          <w:trHeight w:val="340"/>
        </w:trPr>
        <w:tc>
          <w:tcPr>
            <w:tcW w:w="5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2AE8E"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lastRenderedPageBreak/>
              <w:t xml:space="preserve">        Acciones y Participaciones de Capital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4EBC"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809,322,556</w:t>
            </w:r>
          </w:p>
        </w:tc>
      </w:tr>
      <w:tr w:rsidR="00F96BCB" w:rsidRPr="00F96BCB" w14:paraId="3535F2E2" w14:textId="77777777" w:rsidTr="00AA4AEA">
        <w:trPr>
          <w:trHeight w:val="340"/>
        </w:trPr>
        <w:tc>
          <w:tcPr>
            <w:tcW w:w="5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6AF23"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Compra de Títulos y Valores</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9C136"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4442A158" w14:textId="77777777" w:rsidTr="00AA4AEA">
        <w:trPr>
          <w:trHeight w:val="340"/>
        </w:trPr>
        <w:tc>
          <w:tcPr>
            <w:tcW w:w="5086" w:type="dxa"/>
            <w:tcBorders>
              <w:top w:val="single" w:sz="4" w:space="0" w:color="auto"/>
              <w:left w:val="single" w:sz="4" w:space="0" w:color="auto"/>
              <w:bottom w:val="single" w:sz="4" w:space="0" w:color="auto"/>
              <w:right w:val="nil"/>
            </w:tcBorders>
            <w:shd w:val="clear" w:color="auto" w:fill="auto"/>
            <w:vAlign w:val="center"/>
            <w:hideMark/>
          </w:tcPr>
          <w:p w14:paraId="71B39FC4"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Concesión de Préstamos</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50FFA"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1E1A9909"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4B34774C"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Inversiones en Fideicomisos, Mandatos y Otros Análogos</w:t>
            </w:r>
          </w:p>
        </w:tc>
        <w:tc>
          <w:tcPr>
            <w:tcW w:w="2299" w:type="dxa"/>
            <w:tcBorders>
              <w:top w:val="nil"/>
              <w:left w:val="single" w:sz="4" w:space="0" w:color="auto"/>
              <w:bottom w:val="single" w:sz="4" w:space="0" w:color="auto"/>
              <w:right w:val="single" w:sz="4" w:space="0" w:color="auto"/>
            </w:tcBorders>
            <w:shd w:val="clear" w:color="auto" w:fill="auto"/>
            <w:vAlign w:val="center"/>
            <w:hideMark/>
          </w:tcPr>
          <w:p w14:paraId="36D17FA4"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34FEAD02"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7D6DBBAB"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Provisiones para Contingencias y Otras Erogaciones Especiales</w:t>
            </w:r>
          </w:p>
        </w:tc>
        <w:tc>
          <w:tcPr>
            <w:tcW w:w="2299" w:type="dxa"/>
            <w:tcBorders>
              <w:top w:val="nil"/>
              <w:left w:val="single" w:sz="4" w:space="0" w:color="auto"/>
              <w:bottom w:val="single" w:sz="4" w:space="0" w:color="auto"/>
              <w:right w:val="single" w:sz="4" w:space="0" w:color="auto"/>
            </w:tcBorders>
            <w:shd w:val="clear" w:color="auto" w:fill="auto"/>
            <w:vAlign w:val="center"/>
            <w:hideMark/>
          </w:tcPr>
          <w:p w14:paraId="75C5814F"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35F1CE59"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29400290"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Amortización de la Deuda Pública</w:t>
            </w:r>
          </w:p>
        </w:tc>
        <w:tc>
          <w:tcPr>
            <w:tcW w:w="2299" w:type="dxa"/>
            <w:tcBorders>
              <w:top w:val="nil"/>
              <w:left w:val="single" w:sz="4" w:space="0" w:color="auto"/>
              <w:bottom w:val="single" w:sz="4" w:space="0" w:color="auto"/>
              <w:right w:val="single" w:sz="4" w:space="0" w:color="auto"/>
            </w:tcBorders>
            <w:shd w:val="clear" w:color="auto" w:fill="auto"/>
            <w:vAlign w:val="center"/>
            <w:hideMark/>
          </w:tcPr>
          <w:p w14:paraId="17AF2A2D"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14,197,011,367</w:t>
            </w:r>
          </w:p>
        </w:tc>
      </w:tr>
      <w:tr w:rsidR="00F96BCB" w:rsidRPr="00F96BCB" w14:paraId="62D27E80"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1886098C"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Adeudos de Ejercicios Fiscales anteriores (ADEFAS)</w:t>
            </w:r>
          </w:p>
        </w:tc>
        <w:tc>
          <w:tcPr>
            <w:tcW w:w="2299" w:type="dxa"/>
            <w:tcBorders>
              <w:top w:val="nil"/>
              <w:left w:val="single" w:sz="4" w:space="0" w:color="auto"/>
              <w:bottom w:val="single" w:sz="4" w:space="0" w:color="auto"/>
              <w:right w:val="single" w:sz="4" w:space="0" w:color="auto"/>
            </w:tcBorders>
            <w:shd w:val="clear" w:color="auto" w:fill="auto"/>
            <w:vAlign w:val="center"/>
            <w:hideMark/>
          </w:tcPr>
          <w:p w14:paraId="6928F1D6"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574,503,834</w:t>
            </w:r>
          </w:p>
        </w:tc>
      </w:tr>
      <w:tr w:rsidR="00F96BCB" w:rsidRPr="00F96BCB" w14:paraId="15D9BE88" w14:textId="77777777" w:rsidTr="007028FD">
        <w:trPr>
          <w:trHeight w:val="340"/>
        </w:trPr>
        <w:tc>
          <w:tcPr>
            <w:tcW w:w="5086" w:type="dxa"/>
            <w:tcBorders>
              <w:top w:val="nil"/>
              <w:left w:val="single" w:sz="4" w:space="0" w:color="auto"/>
              <w:bottom w:val="single" w:sz="4" w:space="0" w:color="auto"/>
              <w:right w:val="nil"/>
            </w:tcBorders>
            <w:shd w:val="clear" w:color="auto" w:fill="auto"/>
            <w:vAlign w:val="center"/>
            <w:hideMark/>
          </w:tcPr>
          <w:p w14:paraId="404BD396"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Otros Egresos Presupuestarios no Contables</w:t>
            </w:r>
          </w:p>
        </w:tc>
        <w:tc>
          <w:tcPr>
            <w:tcW w:w="2299" w:type="dxa"/>
            <w:tcBorders>
              <w:top w:val="nil"/>
              <w:left w:val="single" w:sz="4" w:space="0" w:color="auto"/>
              <w:bottom w:val="single" w:sz="4" w:space="0" w:color="auto"/>
              <w:right w:val="single" w:sz="4" w:space="0" w:color="auto"/>
            </w:tcBorders>
            <w:shd w:val="clear" w:color="auto" w:fill="auto"/>
            <w:vAlign w:val="center"/>
            <w:hideMark/>
          </w:tcPr>
          <w:p w14:paraId="3800E83A"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312A2B00" w14:textId="77777777" w:rsidTr="00836631">
        <w:trPr>
          <w:trHeight w:val="284"/>
        </w:trPr>
        <w:tc>
          <w:tcPr>
            <w:tcW w:w="5086" w:type="dxa"/>
            <w:tcBorders>
              <w:top w:val="single" w:sz="4" w:space="0" w:color="auto"/>
              <w:left w:val="single" w:sz="4" w:space="0" w:color="auto"/>
              <w:bottom w:val="single" w:sz="4" w:space="0" w:color="auto"/>
              <w:right w:val="single" w:sz="4" w:space="0" w:color="auto"/>
            </w:tcBorders>
            <w:shd w:val="clear" w:color="DBDBDB" w:fill="D9D9D9"/>
            <w:vAlign w:val="center"/>
            <w:hideMark/>
          </w:tcPr>
          <w:p w14:paraId="5D6F297E" w14:textId="77777777" w:rsidR="00F96BCB" w:rsidRPr="00F96BCB" w:rsidRDefault="00F96BCB" w:rsidP="00EC7D22">
            <w:pPr>
              <w:suppressAutoHyphens w:val="0"/>
              <w:overflowPunct/>
              <w:spacing w:after="0" w:line="240" w:lineRule="auto"/>
              <w:rPr>
                <w:rFonts w:eastAsia="Times New Roman" w:cs="Calibri"/>
                <w:b/>
                <w:bCs/>
                <w:color w:val="000000"/>
                <w:sz w:val="16"/>
                <w:szCs w:val="16"/>
                <w:lang w:eastAsia="es-MX"/>
              </w:rPr>
            </w:pPr>
            <w:r w:rsidRPr="00F96BCB">
              <w:rPr>
                <w:rFonts w:eastAsia="Times New Roman" w:cs="Calibri"/>
                <w:b/>
                <w:bCs/>
                <w:color w:val="000000"/>
                <w:sz w:val="16"/>
                <w:szCs w:val="16"/>
                <w:lang w:eastAsia="es-MX"/>
              </w:rPr>
              <w:t>3.     Más Gastos Contables no Presupuestarios</w:t>
            </w:r>
          </w:p>
        </w:tc>
        <w:tc>
          <w:tcPr>
            <w:tcW w:w="2299" w:type="dxa"/>
            <w:tcBorders>
              <w:top w:val="single" w:sz="4" w:space="0" w:color="auto"/>
              <w:left w:val="nil"/>
              <w:bottom w:val="single" w:sz="4" w:space="0" w:color="auto"/>
              <w:right w:val="single" w:sz="4" w:space="0" w:color="auto"/>
            </w:tcBorders>
            <w:shd w:val="clear" w:color="DBDBDB" w:fill="D9D9D9"/>
            <w:vAlign w:val="center"/>
            <w:hideMark/>
          </w:tcPr>
          <w:p w14:paraId="0C97A88F" w14:textId="77777777" w:rsidR="00F96BCB" w:rsidRPr="00F96BCB" w:rsidRDefault="00F96BCB" w:rsidP="00EC7D22">
            <w:pPr>
              <w:suppressAutoHyphens w:val="0"/>
              <w:overflowPunct/>
              <w:spacing w:after="0" w:line="240" w:lineRule="auto"/>
              <w:jc w:val="right"/>
              <w:rPr>
                <w:rFonts w:eastAsia="Times New Roman" w:cs="Calibri"/>
                <w:b/>
                <w:bCs/>
                <w:color w:val="000000"/>
                <w:sz w:val="16"/>
                <w:szCs w:val="16"/>
                <w:lang w:eastAsia="es-MX"/>
              </w:rPr>
            </w:pPr>
            <w:r w:rsidRPr="00F96BCB">
              <w:rPr>
                <w:rFonts w:eastAsia="Times New Roman" w:cs="Calibri"/>
                <w:b/>
                <w:bCs/>
                <w:color w:val="000000"/>
                <w:sz w:val="16"/>
                <w:szCs w:val="16"/>
                <w:lang w:eastAsia="es-MX"/>
              </w:rPr>
              <w:t>799,729,732</w:t>
            </w:r>
          </w:p>
        </w:tc>
      </w:tr>
      <w:tr w:rsidR="00F96BCB" w:rsidRPr="00F96BCB" w14:paraId="4276C6FD" w14:textId="77777777" w:rsidTr="00836631">
        <w:trPr>
          <w:trHeight w:val="397"/>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39C0698E"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Estimaciones, depreciaciones, deterioro, Obsolescencia y Amortizaciones</w:t>
            </w:r>
          </w:p>
        </w:tc>
        <w:tc>
          <w:tcPr>
            <w:tcW w:w="2299" w:type="dxa"/>
            <w:tcBorders>
              <w:top w:val="nil"/>
              <w:left w:val="nil"/>
              <w:bottom w:val="single" w:sz="4" w:space="0" w:color="auto"/>
              <w:right w:val="single" w:sz="4" w:space="0" w:color="auto"/>
            </w:tcBorders>
            <w:shd w:val="clear" w:color="auto" w:fill="auto"/>
            <w:vAlign w:val="center"/>
            <w:hideMark/>
          </w:tcPr>
          <w:p w14:paraId="259E3C29"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777,725,423</w:t>
            </w:r>
          </w:p>
        </w:tc>
      </w:tr>
      <w:tr w:rsidR="00F96BCB" w:rsidRPr="00F96BCB" w14:paraId="34EE6722" w14:textId="77777777" w:rsidTr="00836631">
        <w:trPr>
          <w:trHeight w:val="397"/>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61BCA66F"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Provisiones</w:t>
            </w:r>
          </w:p>
        </w:tc>
        <w:tc>
          <w:tcPr>
            <w:tcW w:w="2299" w:type="dxa"/>
            <w:tcBorders>
              <w:top w:val="nil"/>
              <w:left w:val="nil"/>
              <w:bottom w:val="single" w:sz="4" w:space="0" w:color="auto"/>
              <w:right w:val="single" w:sz="4" w:space="0" w:color="auto"/>
            </w:tcBorders>
            <w:shd w:val="clear" w:color="auto" w:fill="auto"/>
            <w:vAlign w:val="center"/>
            <w:hideMark/>
          </w:tcPr>
          <w:p w14:paraId="1D49D7F4"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47C40CE2" w14:textId="77777777" w:rsidTr="00836631">
        <w:trPr>
          <w:trHeight w:val="397"/>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38F765BC"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Disminución de Inventarios</w:t>
            </w:r>
          </w:p>
        </w:tc>
        <w:tc>
          <w:tcPr>
            <w:tcW w:w="2299" w:type="dxa"/>
            <w:tcBorders>
              <w:top w:val="nil"/>
              <w:left w:val="nil"/>
              <w:bottom w:val="single" w:sz="4" w:space="0" w:color="auto"/>
              <w:right w:val="single" w:sz="4" w:space="0" w:color="auto"/>
            </w:tcBorders>
            <w:shd w:val="clear" w:color="auto" w:fill="auto"/>
            <w:vAlign w:val="center"/>
            <w:hideMark/>
          </w:tcPr>
          <w:p w14:paraId="0606A3BC"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48A502B4" w14:textId="77777777" w:rsidTr="00836631">
        <w:trPr>
          <w:trHeight w:val="397"/>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472F0CAC"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Otros Gastos </w:t>
            </w:r>
          </w:p>
        </w:tc>
        <w:tc>
          <w:tcPr>
            <w:tcW w:w="2299" w:type="dxa"/>
            <w:tcBorders>
              <w:top w:val="nil"/>
              <w:left w:val="nil"/>
              <w:bottom w:val="single" w:sz="4" w:space="0" w:color="auto"/>
              <w:right w:val="single" w:sz="4" w:space="0" w:color="auto"/>
            </w:tcBorders>
            <w:shd w:val="clear" w:color="auto" w:fill="auto"/>
            <w:vAlign w:val="center"/>
            <w:hideMark/>
          </w:tcPr>
          <w:p w14:paraId="730602C4"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26A50D58" w14:textId="77777777" w:rsidTr="00836631">
        <w:trPr>
          <w:trHeight w:val="397"/>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7D6583A3"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Otros Gastos Contables no Presupuestales</w:t>
            </w:r>
          </w:p>
        </w:tc>
        <w:tc>
          <w:tcPr>
            <w:tcW w:w="2299" w:type="dxa"/>
            <w:tcBorders>
              <w:top w:val="nil"/>
              <w:left w:val="nil"/>
              <w:bottom w:val="single" w:sz="4" w:space="0" w:color="auto"/>
              <w:right w:val="single" w:sz="4" w:space="0" w:color="auto"/>
            </w:tcBorders>
            <w:shd w:val="clear" w:color="auto" w:fill="auto"/>
            <w:vAlign w:val="center"/>
            <w:hideMark/>
          </w:tcPr>
          <w:p w14:paraId="3A77F2A9"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54A83502" w14:textId="77777777" w:rsidTr="00836631">
        <w:trPr>
          <w:trHeight w:val="397"/>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24FDBB8B"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Inversión Pública No Capitalizable</w:t>
            </w:r>
          </w:p>
        </w:tc>
        <w:tc>
          <w:tcPr>
            <w:tcW w:w="2299" w:type="dxa"/>
            <w:tcBorders>
              <w:top w:val="nil"/>
              <w:left w:val="nil"/>
              <w:bottom w:val="single" w:sz="4" w:space="0" w:color="auto"/>
              <w:right w:val="single" w:sz="4" w:space="0" w:color="auto"/>
            </w:tcBorders>
            <w:shd w:val="clear" w:color="auto" w:fill="auto"/>
            <w:vAlign w:val="center"/>
            <w:hideMark/>
          </w:tcPr>
          <w:p w14:paraId="35107D6B"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004BF8B9" w14:textId="77777777" w:rsidTr="00836631">
        <w:trPr>
          <w:trHeight w:val="397"/>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54065DF9"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Materiales y Suministros (consumos)</w:t>
            </w:r>
          </w:p>
        </w:tc>
        <w:tc>
          <w:tcPr>
            <w:tcW w:w="2299" w:type="dxa"/>
            <w:tcBorders>
              <w:top w:val="nil"/>
              <w:left w:val="nil"/>
              <w:bottom w:val="single" w:sz="4" w:space="0" w:color="auto"/>
              <w:right w:val="single" w:sz="4" w:space="0" w:color="auto"/>
            </w:tcBorders>
            <w:shd w:val="clear" w:color="auto" w:fill="auto"/>
            <w:vAlign w:val="center"/>
            <w:hideMark/>
          </w:tcPr>
          <w:p w14:paraId="135007E8"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0</w:t>
            </w:r>
          </w:p>
        </w:tc>
      </w:tr>
      <w:tr w:rsidR="00F96BCB" w:rsidRPr="00F96BCB" w14:paraId="5DC4ECAE" w14:textId="77777777" w:rsidTr="00836631">
        <w:trPr>
          <w:trHeight w:val="397"/>
        </w:trPr>
        <w:tc>
          <w:tcPr>
            <w:tcW w:w="5086" w:type="dxa"/>
            <w:tcBorders>
              <w:top w:val="nil"/>
              <w:left w:val="single" w:sz="4" w:space="0" w:color="auto"/>
              <w:bottom w:val="single" w:sz="4" w:space="0" w:color="auto"/>
              <w:right w:val="single" w:sz="4" w:space="0" w:color="auto"/>
            </w:tcBorders>
            <w:shd w:val="clear" w:color="auto" w:fill="auto"/>
            <w:vAlign w:val="center"/>
            <w:hideMark/>
          </w:tcPr>
          <w:p w14:paraId="7D916F7A" w14:textId="77777777" w:rsidR="00F96BCB" w:rsidRPr="00F96BCB" w:rsidRDefault="00F96BCB" w:rsidP="00EC7D22">
            <w:pPr>
              <w:suppressAutoHyphens w:val="0"/>
              <w:overflowPunct/>
              <w:spacing w:after="0" w:line="240" w:lineRule="auto"/>
              <w:rPr>
                <w:rFonts w:eastAsia="Times New Roman" w:cs="Calibri"/>
                <w:color w:val="000000"/>
                <w:sz w:val="14"/>
                <w:szCs w:val="14"/>
                <w:lang w:eastAsia="es-MX"/>
              </w:rPr>
            </w:pPr>
            <w:r w:rsidRPr="00F96BCB">
              <w:rPr>
                <w:rFonts w:eastAsia="Times New Roman" w:cs="Calibri"/>
                <w:color w:val="000000"/>
                <w:sz w:val="14"/>
                <w:szCs w:val="14"/>
                <w:lang w:eastAsia="es-MX"/>
              </w:rPr>
              <w:t xml:space="preserve">       Otros Gastos Contables No Presupuestarios</w:t>
            </w:r>
          </w:p>
        </w:tc>
        <w:tc>
          <w:tcPr>
            <w:tcW w:w="2299" w:type="dxa"/>
            <w:tcBorders>
              <w:top w:val="nil"/>
              <w:left w:val="nil"/>
              <w:bottom w:val="single" w:sz="4" w:space="0" w:color="auto"/>
              <w:right w:val="single" w:sz="4" w:space="0" w:color="auto"/>
            </w:tcBorders>
            <w:shd w:val="clear" w:color="auto" w:fill="auto"/>
            <w:vAlign w:val="center"/>
            <w:hideMark/>
          </w:tcPr>
          <w:p w14:paraId="4F6E83D9" w14:textId="77777777" w:rsidR="00F96BCB" w:rsidRPr="00F96BCB" w:rsidRDefault="00F96BCB" w:rsidP="00EC7D22">
            <w:pPr>
              <w:suppressAutoHyphens w:val="0"/>
              <w:overflowPunct/>
              <w:spacing w:after="0" w:line="240" w:lineRule="auto"/>
              <w:jc w:val="right"/>
              <w:rPr>
                <w:rFonts w:eastAsia="Times New Roman" w:cs="Calibri"/>
                <w:color w:val="000000"/>
                <w:sz w:val="14"/>
                <w:szCs w:val="14"/>
                <w:lang w:eastAsia="es-MX"/>
              </w:rPr>
            </w:pPr>
            <w:r w:rsidRPr="00F96BCB">
              <w:rPr>
                <w:rFonts w:eastAsia="Times New Roman" w:cs="Calibri"/>
                <w:color w:val="000000"/>
                <w:sz w:val="14"/>
                <w:szCs w:val="14"/>
                <w:lang w:eastAsia="es-MX"/>
              </w:rPr>
              <w:t>22,004,309</w:t>
            </w:r>
          </w:p>
        </w:tc>
      </w:tr>
      <w:tr w:rsidR="00F96BCB" w:rsidRPr="00F96BCB" w14:paraId="0BF2CFA2" w14:textId="77777777" w:rsidTr="00AB3BE3">
        <w:trPr>
          <w:trHeight w:val="397"/>
        </w:trPr>
        <w:tc>
          <w:tcPr>
            <w:tcW w:w="5086" w:type="dxa"/>
            <w:tcBorders>
              <w:top w:val="nil"/>
              <w:left w:val="single" w:sz="4" w:space="0" w:color="auto"/>
              <w:bottom w:val="single" w:sz="4" w:space="0" w:color="auto"/>
              <w:right w:val="single" w:sz="4" w:space="0" w:color="auto"/>
            </w:tcBorders>
            <w:shd w:val="clear" w:color="F8CBAD" w:fill="DDC9A3"/>
            <w:vAlign w:val="center"/>
            <w:hideMark/>
          </w:tcPr>
          <w:p w14:paraId="66B8A8AC" w14:textId="77777777" w:rsidR="00F96BCB" w:rsidRPr="00F96BCB" w:rsidRDefault="00F96BCB" w:rsidP="00EC7D22">
            <w:pPr>
              <w:suppressAutoHyphens w:val="0"/>
              <w:overflowPunct/>
              <w:spacing w:after="0" w:line="240" w:lineRule="auto"/>
              <w:rPr>
                <w:rFonts w:eastAsia="Times New Roman" w:cs="Calibri"/>
                <w:b/>
                <w:bCs/>
                <w:color w:val="000000"/>
                <w:sz w:val="16"/>
                <w:szCs w:val="16"/>
                <w:lang w:eastAsia="es-MX"/>
              </w:rPr>
            </w:pPr>
            <w:r w:rsidRPr="00F96BCB">
              <w:rPr>
                <w:rFonts w:eastAsia="Times New Roman" w:cs="Calibri"/>
                <w:b/>
                <w:bCs/>
                <w:color w:val="000000"/>
                <w:sz w:val="16"/>
                <w:szCs w:val="16"/>
                <w:lang w:eastAsia="es-MX"/>
              </w:rPr>
              <w:t xml:space="preserve">4.      Total de Gastos Contables </w:t>
            </w:r>
          </w:p>
        </w:tc>
        <w:tc>
          <w:tcPr>
            <w:tcW w:w="2299" w:type="dxa"/>
            <w:tcBorders>
              <w:top w:val="nil"/>
              <w:left w:val="nil"/>
              <w:bottom w:val="single" w:sz="4" w:space="0" w:color="auto"/>
              <w:right w:val="single" w:sz="4" w:space="0" w:color="auto"/>
            </w:tcBorders>
            <w:shd w:val="clear" w:color="F8CBAD" w:fill="DDC9A3"/>
            <w:vAlign w:val="center"/>
            <w:hideMark/>
          </w:tcPr>
          <w:p w14:paraId="552BCA0A" w14:textId="77777777" w:rsidR="00F96BCB" w:rsidRPr="00F96BCB" w:rsidRDefault="00F96BCB" w:rsidP="00EC7D22">
            <w:pPr>
              <w:suppressAutoHyphens w:val="0"/>
              <w:overflowPunct/>
              <w:spacing w:after="0" w:line="240" w:lineRule="auto"/>
              <w:jc w:val="right"/>
              <w:rPr>
                <w:rFonts w:eastAsia="Times New Roman" w:cs="Calibri"/>
                <w:b/>
                <w:bCs/>
                <w:color w:val="000000"/>
                <w:sz w:val="16"/>
                <w:szCs w:val="16"/>
                <w:lang w:eastAsia="es-MX"/>
              </w:rPr>
            </w:pPr>
            <w:r w:rsidRPr="00F96BCB">
              <w:rPr>
                <w:rFonts w:eastAsia="Times New Roman" w:cs="Calibri"/>
                <w:b/>
                <w:bCs/>
                <w:color w:val="000000"/>
                <w:sz w:val="16"/>
                <w:szCs w:val="16"/>
                <w:lang w:eastAsia="es-MX"/>
              </w:rPr>
              <w:t>79,968,016,163</w:t>
            </w:r>
          </w:p>
        </w:tc>
      </w:tr>
    </w:tbl>
    <w:p w14:paraId="7C8E4089" w14:textId="77777777" w:rsidR="007745EB" w:rsidRDefault="007745EB" w:rsidP="00EC7D22">
      <w:pPr>
        <w:pStyle w:val="NormalWeb"/>
        <w:spacing w:before="0" w:after="0"/>
        <w:jc w:val="both"/>
        <w:rPr>
          <w:rFonts w:ascii="Calibri" w:hAnsi="Calibri" w:cs="Calibri"/>
          <w:b/>
          <w:sz w:val="18"/>
          <w:szCs w:val="18"/>
          <w:lang w:eastAsia="es-ES"/>
        </w:rPr>
      </w:pPr>
    </w:p>
    <w:p w14:paraId="5C114998" w14:textId="33FF032E" w:rsidR="00F96BCB" w:rsidRDefault="00F96BCB" w:rsidP="00EC7D22">
      <w:pPr>
        <w:pStyle w:val="NormalWeb"/>
        <w:spacing w:before="0" w:after="0"/>
        <w:jc w:val="both"/>
        <w:rPr>
          <w:rFonts w:ascii="Calibri" w:hAnsi="Calibri" w:cs="Calibri"/>
          <w:b/>
          <w:sz w:val="18"/>
          <w:szCs w:val="18"/>
          <w:lang w:eastAsia="es-ES"/>
        </w:rPr>
      </w:pPr>
    </w:p>
    <w:p w14:paraId="1751AADF" w14:textId="77777777" w:rsidR="00D14088" w:rsidRPr="00D14088" w:rsidRDefault="00D14088" w:rsidP="00EC7D22">
      <w:pPr>
        <w:spacing w:line="240" w:lineRule="auto"/>
        <w:jc w:val="both"/>
        <w:rPr>
          <w:rFonts w:cs="Calibri"/>
          <w:b/>
          <w:sz w:val="20"/>
          <w:szCs w:val="20"/>
        </w:rPr>
      </w:pPr>
      <w:r w:rsidRPr="00D14088">
        <w:rPr>
          <w:rFonts w:cs="Calibri"/>
          <w:b/>
          <w:sz w:val="20"/>
          <w:szCs w:val="20"/>
        </w:rPr>
        <w:t>Servicios Personales:</w:t>
      </w:r>
    </w:p>
    <w:p w14:paraId="3314F3E5" w14:textId="77777777" w:rsidR="00D14088" w:rsidRPr="00D14088" w:rsidRDefault="00D14088" w:rsidP="00EC7D22">
      <w:pPr>
        <w:spacing w:line="240" w:lineRule="auto"/>
        <w:jc w:val="both"/>
        <w:rPr>
          <w:rFonts w:cs="Calibri"/>
          <w:b/>
          <w:sz w:val="20"/>
          <w:szCs w:val="20"/>
        </w:rPr>
      </w:pPr>
      <w:r w:rsidRPr="00D14088">
        <w:rPr>
          <w:rFonts w:cs="Calibri"/>
          <w:sz w:val="20"/>
          <w:szCs w:val="20"/>
        </w:rPr>
        <w:t>En el capítulo de Servicios Personales la principal modificación se presenta en el recurso federal del Ramo 33 Fondo de Aportaciones para la Nómina Educativa (FONE Nómina) al verse reflejado un incremento del 6.3% en su aplicación.</w:t>
      </w:r>
    </w:p>
    <w:p w14:paraId="45DD6B96" w14:textId="77777777" w:rsidR="00D14088" w:rsidRPr="00D14088" w:rsidRDefault="00D14088" w:rsidP="00EC7D22">
      <w:pPr>
        <w:spacing w:line="240" w:lineRule="auto"/>
        <w:jc w:val="both"/>
        <w:rPr>
          <w:rFonts w:cs="Calibri"/>
          <w:b/>
          <w:sz w:val="20"/>
          <w:szCs w:val="20"/>
        </w:rPr>
      </w:pPr>
      <w:r w:rsidRPr="00D14088">
        <w:rPr>
          <w:rFonts w:cs="Calibri"/>
          <w:b/>
          <w:sz w:val="20"/>
          <w:szCs w:val="20"/>
        </w:rPr>
        <w:t>Materiales y Suministros:</w:t>
      </w:r>
    </w:p>
    <w:p w14:paraId="5A7539B3" w14:textId="77777777" w:rsidR="00D14088" w:rsidRPr="00D14088" w:rsidRDefault="00D14088" w:rsidP="00EC7D22">
      <w:pPr>
        <w:spacing w:line="240" w:lineRule="auto"/>
        <w:jc w:val="both"/>
        <w:rPr>
          <w:rFonts w:cs="Calibri"/>
          <w:b/>
          <w:sz w:val="20"/>
          <w:szCs w:val="20"/>
        </w:rPr>
      </w:pPr>
      <w:r w:rsidRPr="00D14088">
        <w:rPr>
          <w:rFonts w:cs="Calibri"/>
          <w:sz w:val="20"/>
          <w:szCs w:val="20"/>
        </w:rPr>
        <w:t xml:space="preserve">En el capítulo de Materiales y Suministros se presentan algunas diferencias en diferentes conceptos de gasto. En lo que respecta a las disminuciones con recurso estatal, corresponde a la partida de Alimentos y utensilios y a la partida de productos químicos, farmacéuticos y de laboratorio. En las partidas de materiales de administración, emisión de documentos y artículos oficiales, materias primas y artículos de construcción y de reparación, combustibles lubricantes y aditivos, vestuarios, blancos, prensas de protección y artículos deportivos, materiales y suministros para la seguridad y herramientas, refacciones y accesorios menores presentan incrementos. </w:t>
      </w:r>
    </w:p>
    <w:p w14:paraId="5E336A8E" w14:textId="77777777" w:rsidR="00D14088" w:rsidRDefault="00D14088" w:rsidP="00EC7D22">
      <w:pPr>
        <w:spacing w:line="240" w:lineRule="auto"/>
        <w:jc w:val="both"/>
        <w:rPr>
          <w:rFonts w:cs="Calibri"/>
          <w:sz w:val="20"/>
          <w:szCs w:val="20"/>
        </w:rPr>
      </w:pPr>
      <w:r w:rsidRPr="00D14088">
        <w:rPr>
          <w:rFonts w:cs="Calibri"/>
          <w:sz w:val="20"/>
          <w:szCs w:val="20"/>
        </w:rPr>
        <w:t>En lo que respecta a recurso federal, los incrementos más significativos se presentan en el concepto de materiales de administración, emisión de documentos y artículos oficiales y productos químicos, farmacéuticos y de laboratorio; en los fondos FONE Gastos de Operación y FASP.</w:t>
      </w:r>
    </w:p>
    <w:p w14:paraId="6F48EA0F" w14:textId="77777777" w:rsidR="00AA4AEA" w:rsidRPr="00D14088" w:rsidRDefault="00AA4AEA" w:rsidP="00EC7D22">
      <w:pPr>
        <w:spacing w:line="240" w:lineRule="auto"/>
        <w:jc w:val="both"/>
        <w:rPr>
          <w:rFonts w:cs="Calibri"/>
          <w:sz w:val="20"/>
          <w:szCs w:val="20"/>
        </w:rPr>
      </w:pPr>
    </w:p>
    <w:p w14:paraId="758BC451" w14:textId="77777777" w:rsidR="00D14088" w:rsidRPr="00D14088" w:rsidRDefault="00D14088" w:rsidP="00EC7D22">
      <w:pPr>
        <w:spacing w:line="240" w:lineRule="auto"/>
        <w:jc w:val="both"/>
        <w:rPr>
          <w:rFonts w:cs="Calibri"/>
          <w:b/>
          <w:sz w:val="20"/>
          <w:szCs w:val="20"/>
        </w:rPr>
      </w:pPr>
      <w:r w:rsidRPr="00D14088">
        <w:rPr>
          <w:rFonts w:cs="Calibri"/>
          <w:b/>
          <w:sz w:val="20"/>
          <w:szCs w:val="20"/>
        </w:rPr>
        <w:lastRenderedPageBreak/>
        <w:t>Servicios Generales:</w:t>
      </w:r>
    </w:p>
    <w:p w14:paraId="0DF74580" w14:textId="77777777" w:rsidR="00D14088" w:rsidRPr="00D14088" w:rsidRDefault="00D14088" w:rsidP="00EC7D22">
      <w:pPr>
        <w:spacing w:line="240" w:lineRule="auto"/>
        <w:jc w:val="both"/>
        <w:rPr>
          <w:rFonts w:cs="Calibri"/>
          <w:sz w:val="20"/>
          <w:szCs w:val="20"/>
        </w:rPr>
      </w:pPr>
      <w:r w:rsidRPr="00D14088">
        <w:rPr>
          <w:rFonts w:cs="Calibri"/>
          <w:sz w:val="20"/>
          <w:szCs w:val="20"/>
        </w:rPr>
        <w:t>En el capítulo de Servicios Generales se presentan algunas ampliaciones en diferentes conceptos de gasto. En lo que respecta a recurso estatal, los incrementos más significativos son ocasionados servicios profesionales, científicos, técnicos y otros servicios además de una disminución en la partida de servicios financieros, bancarios y comerciales.</w:t>
      </w:r>
    </w:p>
    <w:p w14:paraId="6231EC88" w14:textId="3F8220DA" w:rsidR="00D14088" w:rsidRDefault="00D14088" w:rsidP="00EC7D22">
      <w:pPr>
        <w:spacing w:line="240" w:lineRule="auto"/>
        <w:jc w:val="both"/>
        <w:rPr>
          <w:rFonts w:cs="Calibri"/>
          <w:sz w:val="20"/>
          <w:szCs w:val="20"/>
        </w:rPr>
      </w:pPr>
      <w:r w:rsidRPr="00D14088">
        <w:rPr>
          <w:rFonts w:cs="Calibri"/>
          <w:sz w:val="20"/>
          <w:szCs w:val="20"/>
        </w:rPr>
        <w:t>En lo que respecta a recurso federal, los incrementos más significativos se presentan por el FAM Infraestructuras básica, superior y media superior, Fondo de Aportaciones para la Seguridad Pública, Fondo para el fortalecimiento de las Entidades Federativas. Cabe mencionar que los recursos para algunos de estos fondos y programas se reciben después de haber iniciado el ejercicio fiscal correspondiente.</w:t>
      </w:r>
    </w:p>
    <w:p w14:paraId="304BFD9E" w14:textId="77777777" w:rsidR="00D14088" w:rsidRPr="00D14088" w:rsidRDefault="00D14088" w:rsidP="00EC7D22">
      <w:pPr>
        <w:spacing w:line="240" w:lineRule="auto"/>
        <w:jc w:val="both"/>
        <w:rPr>
          <w:rFonts w:cs="Calibri"/>
          <w:b/>
          <w:sz w:val="20"/>
          <w:szCs w:val="20"/>
        </w:rPr>
      </w:pPr>
      <w:r w:rsidRPr="00D14088">
        <w:rPr>
          <w:rFonts w:cs="Calibri"/>
          <w:b/>
          <w:sz w:val="20"/>
          <w:szCs w:val="20"/>
        </w:rPr>
        <w:t xml:space="preserve">Transferencias, Asignaciones, Subsidios y Otras Ayudas </w:t>
      </w:r>
    </w:p>
    <w:p w14:paraId="6E4D5290" w14:textId="77777777" w:rsidR="00D14088" w:rsidRPr="00D14088" w:rsidRDefault="00D14088" w:rsidP="00EC7D22">
      <w:pPr>
        <w:spacing w:line="240" w:lineRule="auto"/>
        <w:jc w:val="both"/>
        <w:rPr>
          <w:rFonts w:cs="Calibri"/>
          <w:sz w:val="20"/>
          <w:szCs w:val="20"/>
        </w:rPr>
      </w:pPr>
      <w:r w:rsidRPr="00D14088">
        <w:rPr>
          <w:rFonts w:cs="Calibri"/>
          <w:sz w:val="20"/>
          <w:szCs w:val="20"/>
        </w:rPr>
        <w:t>Es importante destacar que este capítulo de gasto principalmente se refiere a los subsidios y ayudas que se entregan a la población; sin embargo, también es el mecanismo por medio del cual se asignan transferencias relativas al presupuesto correspondiente a los Poderes, Organismos Autónomos y Organismos Públicos Descentralizados.</w:t>
      </w:r>
    </w:p>
    <w:p w14:paraId="2765590C" w14:textId="77777777" w:rsidR="00D14088" w:rsidRPr="00D14088" w:rsidRDefault="00D14088" w:rsidP="00EC7D22">
      <w:pPr>
        <w:spacing w:line="240" w:lineRule="auto"/>
        <w:jc w:val="both"/>
        <w:rPr>
          <w:rFonts w:cs="Calibri"/>
          <w:sz w:val="20"/>
          <w:szCs w:val="20"/>
        </w:rPr>
      </w:pPr>
      <w:r w:rsidRPr="00D14088">
        <w:rPr>
          <w:rFonts w:cs="Calibri"/>
          <w:sz w:val="20"/>
          <w:szCs w:val="20"/>
        </w:rPr>
        <w:t>Las ampliaciones que se reflejan en este capítulo de gasto corresponden en términos generales a proyectos productivos con recursos federales recibidos una vez iniciado el ejercicio fiscal correspondiente, como son los Programas de Salud, el Fondo de Aportaciones Múltiples para Educación Básica, Superior y Media Superior Universidad Autónoma de Tamaulipas y Universidades Politécnicas y Tecnológicas.</w:t>
      </w:r>
    </w:p>
    <w:p w14:paraId="7615E936" w14:textId="77777777" w:rsidR="00D14088" w:rsidRPr="00D14088" w:rsidRDefault="00D14088" w:rsidP="00EC7D22">
      <w:pPr>
        <w:spacing w:line="240" w:lineRule="auto"/>
        <w:jc w:val="both"/>
        <w:rPr>
          <w:rFonts w:cs="Calibri"/>
          <w:sz w:val="20"/>
          <w:szCs w:val="20"/>
        </w:rPr>
      </w:pPr>
      <w:r w:rsidRPr="00D14088">
        <w:rPr>
          <w:rFonts w:cs="Calibri"/>
          <w:sz w:val="20"/>
          <w:szCs w:val="20"/>
        </w:rPr>
        <w:t>En lo que respecta al concepto de gasto de pensiones y jubilaciones, se presenta un incremento ya que los gastos de seguro de vida y funerarios del personal pensionado de las Entidades del Gobierno del Estado se les otorgan como subsidios, dado que así lo establece la ley del Instituto de Previsión y Seguridad Social del Estado de Tamaulipas.</w:t>
      </w:r>
    </w:p>
    <w:p w14:paraId="41A0C43D" w14:textId="77777777" w:rsidR="00D14088" w:rsidRPr="00D14088" w:rsidRDefault="00D14088" w:rsidP="00EC7D22">
      <w:pPr>
        <w:spacing w:line="240" w:lineRule="auto"/>
        <w:jc w:val="both"/>
        <w:rPr>
          <w:rFonts w:cs="Calibri"/>
          <w:b/>
          <w:sz w:val="20"/>
          <w:szCs w:val="20"/>
        </w:rPr>
      </w:pPr>
      <w:r w:rsidRPr="00D14088">
        <w:rPr>
          <w:rFonts w:cs="Calibri"/>
          <w:b/>
          <w:sz w:val="20"/>
          <w:szCs w:val="20"/>
        </w:rPr>
        <w:t xml:space="preserve">Bienes Muebles, Inmuebles e Intangibles </w:t>
      </w:r>
    </w:p>
    <w:p w14:paraId="4F95294F" w14:textId="77777777" w:rsidR="00D14088" w:rsidRPr="00D14088" w:rsidRDefault="00D14088" w:rsidP="00EC7D22">
      <w:pPr>
        <w:spacing w:line="240" w:lineRule="auto"/>
        <w:jc w:val="both"/>
        <w:rPr>
          <w:rFonts w:cs="Calibri"/>
          <w:sz w:val="20"/>
          <w:szCs w:val="20"/>
        </w:rPr>
      </w:pPr>
      <w:r w:rsidRPr="00D14088">
        <w:rPr>
          <w:rFonts w:cs="Calibri"/>
          <w:sz w:val="20"/>
          <w:szCs w:val="20"/>
        </w:rPr>
        <w:t>Este capítulo conforme se va autorizando Proyectos Productivos se va asignando presupuesto a este capítulo conforme a los requerimientos que se identifican en el marco de la operación de los Programas Presupuestarios correspondientes.</w:t>
      </w:r>
    </w:p>
    <w:p w14:paraId="285E8AAD" w14:textId="77777777" w:rsidR="00D14088" w:rsidRPr="00D14088" w:rsidRDefault="00D14088" w:rsidP="00EC7D22">
      <w:pPr>
        <w:spacing w:line="240" w:lineRule="auto"/>
        <w:jc w:val="both"/>
        <w:rPr>
          <w:rFonts w:cs="Calibri"/>
          <w:sz w:val="20"/>
          <w:szCs w:val="20"/>
        </w:rPr>
      </w:pPr>
      <w:r w:rsidRPr="00D14088">
        <w:rPr>
          <w:rFonts w:cs="Calibri"/>
          <w:sz w:val="20"/>
          <w:szCs w:val="20"/>
        </w:rPr>
        <w:t>Por tal motivo, las partidas presupuestales solicitadas inicialmente a través del capítulo 5000, forman parte de un Proyecto, el cuál responderá a una necesidad identificada al amparo de la operación de un Programa Presupuestario.</w:t>
      </w:r>
    </w:p>
    <w:p w14:paraId="4DFAD38E" w14:textId="77777777" w:rsidR="00D14088" w:rsidRPr="00D14088" w:rsidRDefault="00D14088" w:rsidP="00EC7D22">
      <w:pPr>
        <w:spacing w:line="240" w:lineRule="auto"/>
        <w:jc w:val="both"/>
        <w:rPr>
          <w:rFonts w:cs="Calibri"/>
          <w:b/>
          <w:sz w:val="20"/>
          <w:szCs w:val="20"/>
        </w:rPr>
      </w:pPr>
      <w:r w:rsidRPr="00D14088">
        <w:rPr>
          <w:rFonts w:cs="Calibri"/>
          <w:b/>
          <w:sz w:val="20"/>
          <w:szCs w:val="20"/>
        </w:rPr>
        <w:t>Inversión Pública</w:t>
      </w:r>
    </w:p>
    <w:p w14:paraId="2A92DE15" w14:textId="77777777" w:rsidR="00D14088" w:rsidRPr="00D14088" w:rsidRDefault="00D14088" w:rsidP="00EC7D22">
      <w:pPr>
        <w:spacing w:line="240" w:lineRule="auto"/>
        <w:jc w:val="both"/>
        <w:rPr>
          <w:rFonts w:cs="Calibri"/>
          <w:sz w:val="20"/>
          <w:szCs w:val="20"/>
        </w:rPr>
      </w:pPr>
      <w:r w:rsidRPr="00D14088">
        <w:rPr>
          <w:rFonts w:cs="Calibri"/>
          <w:sz w:val="20"/>
          <w:szCs w:val="20"/>
        </w:rPr>
        <w:t>Las partidas del capítulo 6000, están presupuestadas en un Proyecto de Inversión, el cual se registra al amparo del Programa Presupuestario de modalidad "K” que corresponda, de acuerdo con el destino que se determine para cada Proyecto.</w:t>
      </w:r>
    </w:p>
    <w:p w14:paraId="5F5E89E5" w14:textId="77777777" w:rsidR="00D14088" w:rsidRPr="00D14088" w:rsidRDefault="00D14088" w:rsidP="00EC7D22">
      <w:pPr>
        <w:spacing w:line="240" w:lineRule="auto"/>
        <w:jc w:val="both"/>
        <w:rPr>
          <w:rFonts w:cs="Calibri"/>
          <w:sz w:val="20"/>
          <w:szCs w:val="20"/>
        </w:rPr>
      </w:pPr>
      <w:r w:rsidRPr="00D14088">
        <w:rPr>
          <w:rFonts w:cs="Calibri"/>
          <w:sz w:val="20"/>
          <w:szCs w:val="20"/>
        </w:rPr>
        <w:t>Se entenderá como inversión pública, el presupuesto que comprende aquellas erogaciones que contribuyen a ampliar la infraestructura social y productiva, así como incrementar y preservar el patrimonio público del Estado de Tamaulipas, que contribuye a mejorar las condiciones de vida de su población.</w:t>
      </w:r>
    </w:p>
    <w:p w14:paraId="48DCEDDB" w14:textId="3666112E" w:rsidR="00D14088" w:rsidRDefault="00D14088" w:rsidP="00EC7D22">
      <w:pPr>
        <w:spacing w:line="240" w:lineRule="auto"/>
        <w:jc w:val="both"/>
        <w:rPr>
          <w:rFonts w:cs="Calibri"/>
          <w:sz w:val="20"/>
          <w:szCs w:val="20"/>
        </w:rPr>
      </w:pPr>
      <w:r w:rsidRPr="00D14088">
        <w:rPr>
          <w:rFonts w:cs="Calibri"/>
          <w:sz w:val="20"/>
          <w:szCs w:val="20"/>
        </w:rPr>
        <w:t>La ampliación registrada en este capítulo de gasto corresponde, entre otras cosas, por remanentes del Fondo de Aportaciones para el Fortalecimiento de las Entidades Federativas y Fondo para Entidades Federativas y Municipios Productores de Hidrocarburos.</w:t>
      </w:r>
    </w:p>
    <w:p w14:paraId="04ADE303" w14:textId="77777777" w:rsidR="007028FD" w:rsidRDefault="007028FD" w:rsidP="00EC7D22">
      <w:pPr>
        <w:spacing w:line="240" w:lineRule="auto"/>
        <w:jc w:val="both"/>
        <w:rPr>
          <w:rFonts w:cs="Calibri"/>
          <w:sz w:val="20"/>
          <w:szCs w:val="20"/>
        </w:rPr>
      </w:pPr>
    </w:p>
    <w:p w14:paraId="7CC6A41A" w14:textId="77777777" w:rsidR="00AA4AEA" w:rsidRPr="00D14088" w:rsidRDefault="00AA4AEA" w:rsidP="00EC7D22">
      <w:pPr>
        <w:spacing w:line="240" w:lineRule="auto"/>
        <w:jc w:val="both"/>
        <w:rPr>
          <w:rFonts w:cs="Calibri"/>
          <w:sz w:val="20"/>
          <w:szCs w:val="20"/>
        </w:rPr>
      </w:pPr>
    </w:p>
    <w:p w14:paraId="5E9DD854" w14:textId="77777777" w:rsidR="00D14088" w:rsidRPr="00D14088" w:rsidRDefault="00D14088" w:rsidP="00EC7D22">
      <w:pPr>
        <w:spacing w:line="240" w:lineRule="auto"/>
        <w:jc w:val="both"/>
        <w:rPr>
          <w:rFonts w:cs="Calibri"/>
          <w:b/>
          <w:sz w:val="20"/>
          <w:szCs w:val="20"/>
        </w:rPr>
      </w:pPr>
      <w:r w:rsidRPr="00D14088">
        <w:rPr>
          <w:rFonts w:cs="Calibri"/>
          <w:b/>
          <w:sz w:val="20"/>
          <w:szCs w:val="20"/>
        </w:rPr>
        <w:lastRenderedPageBreak/>
        <w:t>Inversiones Financieras y Otras Provisiones</w:t>
      </w:r>
    </w:p>
    <w:p w14:paraId="6880EC53" w14:textId="77777777" w:rsidR="00D14088" w:rsidRPr="00D14088" w:rsidRDefault="00D14088" w:rsidP="00EC7D22">
      <w:pPr>
        <w:spacing w:line="240" w:lineRule="auto"/>
        <w:jc w:val="both"/>
        <w:rPr>
          <w:rFonts w:cs="Calibri"/>
          <w:sz w:val="20"/>
          <w:szCs w:val="20"/>
        </w:rPr>
      </w:pPr>
      <w:r w:rsidRPr="00D14088">
        <w:rPr>
          <w:rFonts w:cs="Calibri"/>
          <w:sz w:val="20"/>
          <w:szCs w:val="20"/>
        </w:rPr>
        <w:t>El incremento para el concepto de gasto, inversiones en fideicomisos, mandatos y otros análogos, se origina por la radicación por parte de la federación de recursos extraordinarios para el fideicomiso Fondo de Fomento Agropecuario de Tamaulipas. La presupuestación la realizan exclusivamente las Dependencias o Entidades que en función de sus atribuciones lo requieran, quedando sujeta a su aprobación conforme a la normatividad aplicable.</w:t>
      </w:r>
    </w:p>
    <w:p w14:paraId="34F715E1" w14:textId="77777777" w:rsidR="00D14088" w:rsidRPr="00D14088" w:rsidRDefault="00D14088" w:rsidP="00EC7D22">
      <w:pPr>
        <w:spacing w:line="240" w:lineRule="auto"/>
        <w:jc w:val="both"/>
        <w:rPr>
          <w:rFonts w:cs="Calibri"/>
          <w:b/>
          <w:sz w:val="20"/>
          <w:szCs w:val="20"/>
        </w:rPr>
      </w:pPr>
      <w:r w:rsidRPr="00D14088">
        <w:rPr>
          <w:rFonts w:cs="Calibri"/>
          <w:b/>
          <w:sz w:val="20"/>
          <w:szCs w:val="20"/>
        </w:rPr>
        <w:t>Participaciones y Aportaciones</w:t>
      </w:r>
    </w:p>
    <w:p w14:paraId="060F1788" w14:textId="0497CA16" w:rsidR="00D14088" w:rsidRPr="00D14088" w:rsidRDefault="00D14088" w:rsidP="00EC7D22">
      <w:pPr>
        <w:spacing w:line="240" w:lineRule="auto"/>
        <w:jc w:val="both"/>
        <w:rPr>
          <w:rFonts w:cs="Calibri"/>
          <w:sz w:val="20"/>
          <w:szCs w:val="20"/>
        </w:rPr>
      </w:pPr>
      <w:r w:rsidRPr="00D14088">
        <w:rPr>
          <w:rFonts w:cs="Calibri"/>
          <w:sz w:val="20"/>
          <w:szCs w:val="20"/>
        </w:rPr>
        <w:t xml:space="preserve">Asignaciones destinadas a la ejecución de programas a través de los </w:t>
      </w:r>
      <w:r w:rsidR="000A0221">
        <w:rPr>
          <w:rFonts w:cs="Calibri"/>
          <w:sz w:val="20"/>
          <w:szCs w:val="20"/>
        </w:rPr>
        <w:t>municipios del e</w:t>
      </w:r>
      <w:r w:rsidRPr="00D14088">
        <w:rPr>
          <w:rFonts w:cs="Calibri"/>
          <w:sz w:val="20"/>
          <w:szCs w:val="20"/>
        </w:rPr>
        <w:t xml:space="preserve">stado, presentan incrementos en </w:t>
      </w:r>
      <w:r w:rsidR="000A0221">
        <w:rPr>
          <w:rFonts w:cs="Calibri"/>
          <w:sz w:val="20"/>
          <w:szCs w:val="20"/>
        </w:rPr>
        <w:t>participaciones a m</w:t>
      </w:r>
      <w:r w:rsidRPr="00D14088">
        <w:rPr>
          <w:rFonts w:cs="Calibri"/>
          <w:sz w:val="20"/>
          <w:szCs w:val="20"/>
        </w:rPr>
        <w:t xml:space="preserve">unicipios y en cuanto a Convenios derivado de la Regularización de Vehículos de Procedencia Extranjera y disminuciones en los fondos de FISMUN Y FORTAMUN. </w:t>
      </w:r>
    </w:p>
    <w:p w14:paraId="0C067821" w14:textId="77777777" w:rsidR="00D14088" w:rsidRPr="00D14088" w:rsidRDefault="00D14088" w:rsidP="00EC7D22">
      <w:pPr>
        <w:spacing w:line="240" w:lineRule="auto"/>
        <w:jc w:val="both"/>
        <w:rPr>
          <w:rFonts w:cs="Calibri"/>
          <w:b/>
          <w:sz w:val="20"/>
          <w:szCs w:val="20"/>
        </w:rPr>
      </w:pPr>
      <w:r w:rsidRPr="00D14088">
        <w:rPr>
          <w:rFonts w:cs="Calibri"/>
          <w:b/>
          <w:sz w:val="20"/>
          <w:szCs w:val="20"/>
        </w:rPr>
        <w:t>Deuda Pública</w:t>
      </w:r>
    </w:p>
    <w:p w14:paraId="6F3B348C" w14:textId="77777777" w:rsidR="00D14088" w:rsidRPr="00D14088" w:rsidRDefault="00D14088" w:rsidP="00EC7D22">
      <w:pPr>
        <w:spacing w:line="240" w:lineRule="auto"/>
        <w:jc w:val="both"/>
        <w:rPr>
          <w:rFonts w:cs="Calibri"/>
          <w:b/>
          <w:sz w:val="20"/>
          <w:szCs w:val="20"/>
        </w:rPr>
      </w:pPr>
      <w:r w:rsidRPr="00D14088">
        <w:rPr>
          <w:rFonts w:cs="Calibri"/>
          <w:sz w:val="20"/>
          <w:szCs w:val="20"/>
        </w:rPr>
        <w:t>El monto destinado en este capítulo de gasto es presupuestado por la Secretaría de Finanzas conforme a las obligaciones crediticias del Gobierno del Estado, en cumplimiento a los programas de pago correspondientes se llevaron a cabo de acuerdo con las tablas de amortización y los intereses generados a la fecha de pago.</w:t>
      </w:r>
    </w:p>
    <w:p w14:paraId="4D5BBF4B" w14:textId="77777777" w:rsidR="00D14088" w:rsidRPr="00D14088" w:rsidRDefault="00D14088" w:rsidP="00EC7D22">
      <w:pPr>
        <w:spacing w:line="240" w:lineRule="auto"/>
        <w:jc w:val="both"/>
        <w:rPr>
          <w:rFonts w:cs="Calibri"/>
          <w:b/>
          <w:sz w:val="20"/>
          <w:szCs w:val="20"/>
        </w:rPr>
      </w:pPr>
      <w:r w:rsidRPr="00D14088">
        <w:rPr>
          <w:rFonts w:cs="Calibri"/>
          <w:b/>
          <w:sz w:val="20"/>
          <w:szCs w:val="20"/>
        </w:rPr>
        <w:t>Intereses y Comisiones de la Deuda Pública</w:t>
      </w:r>
    </w:p>
    <w:p w14:paraId="53C67164" w14:textId="4E7CD37C" w:rsidR="00D14088" w:rsidRPr="00D14088" w:rsidRDefault="00D14088" w:rsidP="00EC7D22">
      <w:pPr>
        <w:jc w:val="both"/>
        <w:rPr>
          <w:rFonts w:cs="Calibri"/>
          <w:sz w:val="20"/>
          <w:szCs w:val="20"/>
        </w:rPr>
      </w:pPr>
      <w:r w:rsidRPr="00D14088">
        <w:rPr>
          <w:rFonts w:cs="Calibri"/>
          <w:sz w:val="20"/>
          <w:szCs w:val="20"/>
        </w:rPr>
        <w:t xml:space="preserve">Con respecto a los intereses de la deuda pública de largo y de corto </w:t>
      </w:r>
      <w:r w:rsidR="001132DE" w:rsidRPr="00D14088">
        <w:rPr>
          <w:rFonts w:cs="Calibri"/>
          <w:sz w:val="20"/>
          <w:szCs w:val="20"/>
        </w:rPr>
        <w:t>plazo contratados</w:t>
      </w:r>
      <w:r w:rsidRPr="00D14088">
        <w:rPr>
          <w:rFonts w:cs="Calibri"/>
          <w:sz w:val="20"/>
          <w:szCs w:val="20"/>
        </w:rPr>
        <w:t xml:space="preserve"> a diferentes tasas, estos fueron cubiertos de forma oportuna durante el ejercicio 2024.</w:t>
      </w:r>
    </w:p>
    <w:p w14:paraId="7EF8FEAA" w14:textId="77777777" w:rsidR="00D14088" w:rsidRPr="00D14088" w:rsidRDefault="00D14088" w:rsidP="00EC7D22">
      <w:pPr>
        <w:spacing w:line="240" w:lineRule="auto"/>
        <w:jc w:val="both"/>
        <w:rPr>
          <w:rFonts w:cs="Calibri"/>
          <w:b/>
          <w:sz w:val="20"/>
          <w:szCs w:val="20"/>
        </w:rPr>
      </w:pPr>
      <w:r w:rsidRPr="00D14088">
        <w:rPr>
          <w:rFonts w:cs="Calibri"/>
          <w:b/>
          <w:sz w:val="20"/>
          <w:szCs w:val="20"/>
        </w:rPr>
        <w:t>Adeudos de Ejercicios Fiscales Anteriores.</w:t>
      </w:r>
    </w:p>
    <w:p w14:paraId="314EAAD5" w14:textId="77777777" w:rsidR="00D14088" w:rsidRPr="00D14088" w:rsidRDefault="00D14088" w:rsidP="00EC7D22">
      <w:pPr>
        <w:spacing w:line="240" w:lineRule="auto"/>
        <w:jc w:val="both"/>
        <w:rPr>
          <w:rFonts w:cs="Calibri"/>
          <w:sz w:val="20"/>
          <w:szCs w:val="20"/>
        </w:rPr>
      </w:pPr>
      <w:r w:rsidRPr="00D14088">
        <w:rPr>
          <w:rFonts w:cs="Calibri"/>
          <w:sz w:val="20"/>
          <w:szCs w:val="20"/>
        </w:rPr>
        <w:t>En el Proyecto de Presupuesto de Egresos para el siguiente ejercicio fiscal, se considera para ADEFAS un importe menor de lo permitido en la Ley de Disciplina Financiera para las Entidades Federativas y los Municipios sin embargo, el proyecto antes mencionado se envía al H. Congreso del Estado durante los primero diez días del mes de diciembre, después de esa fecha se determinó una cantidad menor para este tema derivado de ingresos que pudieron cubrir parte de esos adeudos de ejercicios fiscales anteriores, que ya estaban considerados en el Proyecto de Presupuesto de Egresos enviado previamente al H. Congreso del Estado para su autorización y publicación en el Periódico Oficial del Estado.</w:t>
      </w:r>
    </w:p>
    <w:p w14:paraId="5EA73C1D" w14:textId="77777777" w:rsidR="00D14088" w:rsidRPr="00D14088" w:rsidRDefault="00D14088" w:rsidP="00EC7D22">
      <w:pPr>
        <w:spacing w:after="0" w:line="240" w:lineRule="auto"/>
        <w:rPr>
          <w:rFonts w:eastAsia="Times New Roman" w:cs="Calibri"/>
          <w:b/>
          <w:bCs/>
          <w:sz w:val="20"/>
          <w:szCs w:val="20"/>
          <w:lang w:val="es-ES" w:eastAsia="es-ES"/>
        </w:rPr>
      </w:pPr>
      <w:r w:rsidRPr="00D14088">
        <w:rPr>
          <w:rFonts w:eastAsia="Times New Roman" w:cs="Calibri"/>
          <w:b/>
          <w:bCs/>
          <w:sz w:val="20"/>
          <w:szCs w:val="20"/>
          <w:lang w:val="es-ES" w:eastAsia="es-ES"/>
        </w:rPr>
        <w:t>Remanentes del Ejercicio</w:t>
      </w:r>
    </w:p>
    <w:p w14:paraId="50BA12AE" w14:textId="77777777" w:rsidR="00D14088" w:rsidRPr="00D14088" w:rsidRDefault="00D14088" w:rsidP="00EC7D22">
      <w:pPr>
        <w:spacing w:after="0" w:line="240" w:lineRule="auto"/>
        <w:rPr>
          <w:rFonts w:cs="Calibri"/>
          <w:sz w:val="20"/>
          <w:szCs w:val="20"/>
        </w:rPr>
      </w:pPr>
    </w:p>
    <w:p w14:paraId="0D6B7781" w14:textId="77777777" w:rsidR="00D14088" w:rsidRPr="00D14088" w:rsidRDefault="00D14088" w:rsidP="00EC7D22">
      <w:pPr>
        <w:spacing w:after="0" w:line="240" w:lineRule="auto"/>
        <w:jc w:val="both"/>
        <w:rPr>
          <w:rFonts w:cs="Calibri"/>
          <w:sz w:val="20"/>
          <w:szCs w:val="20"/>
        </w:rPr>
      </w:pPr>
      <w:r w:rsidRPr="00D14088">
        <w:rPr>
          <w:rFonts w:cs="Calibri"/>
          <w:sz w:val="20"/>
          <w:szCs w:val="20"/>
        </w:rPr>
        <w:t>Remanentes de ingresos de libre disposición y remanentes de transferencias federales etiquetadas son recursos de años anteriores ejercidos en el periodo que se informa, el 43 % de estos recursos fueron contemplados para transferencias, asignaciones, subsidios y otras ayudas, principalmente en el concepto de transferencias internas y asignaciones al sector público; un 28 % para inversión pública que en su mayoría es recurso que se encuentra en proceso de ejecución con un calendario vigente y debidamente formalizado; 10 % para servicios generales en el concepto de otros servicios generales; el 6 % para servicios personales principalmente en remuneraciones, y el 11 % restante en los demás capítulos de gasto.</w:t>
      </w:r>
    </w:p>
    <w:p w14:paraId="7E553010" w14:textId="41010D01" w:rsidR="007745EB" w:rsidRDefault="00C87FDA" w:rsidP="00EC7D22">
      <w:pPr>
        <w:spacing w:after="0" w:line="240" w:lineRule="auto"/>
        <w:jc w:val="both"/>
        <w:rPr>
          <w:rFonts w:cs="Calibri"/>
          <w:b/>
          <w:sz w:val="18"/>
          <w:szCs w:val="18"/>
          <w:lang w:eastAsia="es-ES"/>
        </w:rPr>
      </w:pPr>
      <w:r>
        <w:rPr>
          <w:rFonts w:cs="Calibri"/>
          <w:b/>
          <w:sz w:val="18"/>
          <w:szCs w:val="18"/>
          <w:lang w:eastAsia="es-ES"/>
        </w:rPr>
        <w:t xml:space="preserve">                              </w:t>
      </w:r>
    </w:p>
    <w:p w14:paraId="2521DF9C" w14:textId="68E0AE57" w:rsidR="007745EB" w:rsidRPr="002B096A" w:rsidRDefault="006B1207" w:rsidP="00EC7D22">
      <w:pPr>
        <w:spacing w:after="0" w:line="240" w:lineRule="auto"/>
        <w:rPr>
          <w:rFonts w:eastAsia="Times New Roman" w:cs="Calibri"/>
          <w:i/>
          <w:iCs/>
          <w:sz w:val="14"/>
          <w:szCs w:val="14"/>
          <w:lang w:val="es-ES" w:eastAsia="es-ES"/>
        </w:rPr>
      </w:pPr>
      <w:r w:rsidRPr="002B096A">
        <w:rPr>
          <w:rFonts w:eastAsia="Times New Roman" w:cs="Calibri"/>
          <w:i/>
          <w:iCs/>
          <w:sz w:val="14"/>
          <w:szCs w:val="14"/>
          <w:lang w:val="es-ES" w:eastAsia="es-ES"/>
        </w:rPr>
        <w:t>“</w:t>
      </w:r>
      <w:r w:rsidRPr="00D14088">
        <w:rPr>
          <w:rFonts w:eastAsia="Times New Roman" w:cs="Calibri"/>
          <w:i/>
          <w:iCs/>
          <w:sz w:val="16"/>
          <w:szCs w:val="16"/>
          <w:lang w:val="es-ES" w:eastAsia="es-ES"/>
        </w:rPr>
        <w:t>Bajo</w:t>
      </w:r>
      <w:r w:rsidR="00C87FDA" w:rsidRPr="00D14088">
        <w:rPr>
          <w:rFonts w:eastAsia="Times New Roman" w:cs="Calibri"/>
          <w:i/>
          <w:iCs/>
          <w:sz w:val="16"/>
          <w:szCs w:val="16"/>
          <w:lang w:val="es-ES" w:eastAsia="es-ES"/>
        </w:rPr>
        <w:t xml:space="preserve"> protesta de decir verdad declaramos que los Estados Financieros y sus Notas, son razonablemente correctos y son responsabilidad del</w:t>
      </w:r>
      <w:r w:rsidR="00C87FDA" w:rsidRPr="002B096A">
        <w:rPr>
          <w:rFonts w:eastAsia="Times New Roman" w:cs="Calibri"/>
          <w:i/>
          <w:iCs/>
          <w:sz w:val="14"/>
          <w:szCs w:val="14"/>
          <w:lang w:val="es-ES" w:eastAsia="es-ES"/>
        </w:rPr>
        <w:t xml:space="preserve"> emisor “</w:t>
      </w:r>
    </w:p>
    <w:p w14:paraId="4B0D94D3" w14:textId="00467141" w:rsidR="00836631" w:rsidRDefault="00836631" w:rsidP="00EC7D22">
      <w:pPr>
        <w:spacing w:after="0" w:line="240" w:lineRule="auto"/>
        <w:rPr>
          <w:rFonts w:eastAsia="Times New Roman" w:cs="Calibri"/>
          <w:sz w:val="14"/>
          <w:szCs w:val="14"/>
          <w:lang w:val="es-ES" w:eastAsia="es-ES"/>
        </w:rPr>
      </w:pPr>
    </w:p>
    <w:p w14:paraId="13EC3265" w14:textId="77777777" w:rsidR="00836631" w:rsidRDefault="00836631" w:rsidP="00EC7D22">
      <w:pPr>
        <w:spacing w:after="0" w:line="240" w:lineRule="auto"/>
        <w:rPr>
          <w:rFonts w:eastAsia="Times New Roman" w:cs="Calibri"/>
          <w:sz w:val="14"/>
          <w:szCs w:val="14"/>
          <w:lang w:val="es-ES" w:eastAsia="es-ES"/>
        </w:rPr>
      </w:pPr>
    </w:p>
    <w:p w14:paraId="140D6FC6" w14:textId="2C7EE037" w:rsidR="00670690" w:rsidRDefault="00670690" w:rsidP="00EC7D22">
      <w:pPr>
        <w:spacing w:after="0" w:line="240" w:lineRule="auto"/>
        <w:rPr>
          <w:rFonts w:eastAsia="Times New Roman" w:cs="Calibri"/>
          <w:sz w:val="14"/>
          <w:szCs w:val="14"/>
          <w:lang w:val="es-ES" w:eastAsia="es-ES"/>
        </w:rPr>
      </w:pPr>
    </w:p>
    <w:p w14:paraId="41222E89" w14:textId="73BBF260" w:rsidR="00670690" w:rsidRDefault="00670690" w:rsidP="00EC7D22">
      <w:pPr>
        <w:spacing w:after="0" w:line="240" w:lineRule="auto"/>
        <w:rPr>
          <w:rFonts w:eastAsia="Times New Roman" w:cs="Calibri"/>
          <w:sz w:val="14"/>
          <w:szCs w:val="14"/>
          <w:lang w:val="es-ES" w:eastAsia="es-ES"/>
        </w:rPr>
      </w:pPr>
    </w:p>
    <w:p w14:paraId="1F8C18A6" w14:textId="77777777" w:rsidR="007745EB" w:rsidRDefault="007745EB" w:rsidP="00EC7D22">
      <w:pPr>
        <w:spacing w:before="240" w:after="0" w:line="240" w:lineRule="auto"/>
        <w:rPr>
          <w:rFonts w:eastAsia="Times New Roman" w:cs="Calibri"/>
          <w:b/>
          <w:szCs w:val="14"/>
          <w:lang w:val="es-ES" w:eastAsia="es-ES"/>
        </w:rPr>
      </w:pPr>
    </w:p>
    <w:p w14:paraId="0628373B" w14:textId="0E3705DB" w:rsidR="007745EB" w:rsidRDefault="00C87FDA" w:rsidP="00EC7D22">
      <w:pPr>
        <w:spacing w:before="240" w:after="0" w:line="240" w:lineRule="auto"/>
        <w:jc w:val="center"/>
        <w:rPr>
          <w:rFonts w:eastAsia="Times New Roman" w:cs="Calibri"/>
          <w:b/>
          <w:szCs w:val="14"/>
          <w:lang w:val="es-ES" w:eastAsia="es-ES"/>
        </w:rPr>
      </w:pPr>
      <w:r>
        <w:rPr>
          <w:rFonts w:eastAsia="Times New Roman" w:cs="Calibri"/>
          <w:b/>
          <w:szCs w:val="14"/>
          <w:lang w:val="es-ES" w:eastAsia="es-ES"/>
        </w:rPr>
        <w:lastRenderedPageBreak/>
        <w:t>ESTADOS FINANCIEROS</w:t>
      </w:r>
    </w:p>
    <w:p w14:paraId="4FDB7580" w14:textId="03855D6A" w:rsidR="007745EB" w:rsidRDefault="00C87FDA" w:rsidP="00EC7D22">
      <w:pPr>
        <w:pStyle w:val="Texto"/>
        <w:spacing w:before="240" w:after="0" w:line="360" w:lineRule="auto"/>
        <w:ind w:firstLine="0"/>
        <w:jc w:val="center"/>
        <w:rPr>
          <w:rFonts w:ascii="Calibri" w:hAnsi="Calibri" w:cs="Calibri"/>
          <w:b/>
          <w:sz w:val="22"/>
          <w:szCs w:val="18"/>
        </w:rPr>
      </w:pPr>
      <w:r>
        <w:rPr>
          <w:rFonts w:ascii="Calibri" w:hAnsi="Calibri" w:cs="Calibri"/>
          <w:b/>
          <w:sz w:val="22"/>
          <w:szCs w:val="18"/>
        </w:rPr>
        <w:t>Al 3</w:t>
      </w:r>
      <w:r w:rsidR="00645ECA">
        <w:rPr>
          <w:rFonts w:ascii="Calibri" w:hAnsi="Calibri" w:cs="Calibri"/>
          <w:b/>
          <w:sz w:val="22"/>
          <w:szCs w:val="18"/>
        </w:rPr>
        <w:t xml:space="preserve">1 de </w:t>
      </w:r>
      <w:proofErr w:type="gramStart"/>
      <w:r w:rsidR="00645ECA">
        <w:rPr>
          <w:rFonts w:ascii="Calibri" w:hAnsi="Calibri" w:cs="Calibri"/>
          <w:b/>
          <w:sz w:val="22"/>
          <w:szCs w:val="18"/>
        </w:rPr>
        <w:t>Diciembre</w:t>
      </w:r>
      <w:proofErr w:type="gramEnd"/>
      <w:r w:rsidR="00645ECA">
        <w:rPr>
          <w:rFonts w:ascii="Calibri" w:hAnsi="Calibri" w:cs="Calibri"/>
          <w:b/>
          <w:sz w:val="22"/>
          <w:szCs w:val="18"/>
        </w:rPr>
        <w:t xml:space="preserve"> </w:t>
      </w:r>
      <w:r>
        <w:rPr>
          <w:rFonts w:ascii="Calibri" w:hAnsi="Calibri" w:cs="Calibri"/>
          <w:b/>
          <w:sz w:val="22"/>
          <w:szCs w:val="18"/>
        </w:rPr>
        <w:t>de 2024.</w:t>
      </w:r>
    </w:p>
    <w:p w14:paraId="313789A4" w14:textId="7E4D2C05" w:rsidR="007745EB" w:rsidRDefault="00B011F4" w:rsidP="00EC7D22">
      <w:pPr>
        <w:spacing w:after="0" w:line="240" w:lineRule="exact"/>
        <w:jc w:val="center"/>
        <w:rPr>
          <w:rFonts w:eastAsia="Times New Roman" w:cs="Calibri"/>
          <w:b/>
          <w:szCs w:val="18"/>
          <w:lang w:eastAsia="es-ES"/>
        </w:rPr>
      </w:pPr>
      <w:r>
        <w:rPr>
          <w:rFonts w:eastAsia="Times New Roman" w:cs="Calibri"/>
          <w:b/>
          <w:szCs w:val="18"/>
          <w:lang w:eastAsia="es-ES"/>
        </w:rPr>
        <w:t>c)</w:t>
      </w:r>
      <w:r w:rsidR="00C77DB7">
        <w:rPr>
          <w:rFonts w:eastAsia="Times New Roman" w:cs="Calibri"/>
          <w:b/>
          <w:szCs w:val="18"/>
          <w:lang w:eastAsia="es-ES"/>
        </w:rPr>
        <w:t xml:space="preserve">  </w:t>
      </w:r>
      <w:r w:rsidR="00C87FDA" w:rsidRPr="00C77DB7">
        <w:rPr>
          <w:rFonts w:eastAsia="Times New Roman" w:cs="Calibri"/>
          <w:b/>
          <w:szCs w:val="18"/>
          <w:lang w:eastAsia="es-ES"/>
        </w:rPr>
        <w:t>Notas de Memoria (Cuentas de Orden)</w:t>
      </w:r>
    </w:p>
    <w:p w14:paraId="703A50E0" w14:textId="77777777" w:rsidR="005E025E" w:rsidRPr="005E025E" w:rsidRDefault="005E025E" w:rsidP="00EC7D22">
      <w:pPr>
        <w:pStyle w:val="Prrafodelista"/>
        <w:spacing w:after="0" w:line="240" w:lineRule="exact"/>
        <w:ind w:left="0"/>
        <w:jc w:val="center"/>
        <w:rPr>
          <w:rFonts w:eastAsia="Times New Roman" w:cs="Calibri"/>
          <w:bCs/>
          <w:i/>
          <w:iCs/>
          <w:sz w:val="20"/>
          <w:szCs w:val="20"/>
          <w:lang w:eastAsia="es-ES"/>
        </w:rPr>
      </w:pPr>
      <w:r w:rsidRPr="005E025E">
        <w:rPr>
          <w:rFonts w:eastAsia="Times New Roman" w:cs="Calibri"/>
          <w:bCs/>
          <w:i/>
          <w:iCs/>
          <w:sz w:val="20"/>
          <w:szCs w:val="20"/>
          <w:lang w:eastAsia="es-ES"/>
        </w:rPr>
        <w:t>(Cifras en Pesos)</w:t>
      </w:r>
    </w:p>
    <w:p w14:paraId="07375165" w14:textId="77777777" w:rsidR="005E025E" w:rsidRDefault="005E025E" w:rsidP="00EC7D22">
      <w:pPr>
        <w:spacing w:after="0" w:line="240" w:lineRule="exact"/>
        <w:jc w:val="center"/>
        <w:rPr>
          <w:rFonts w:eastAsia="Times New Roman" w:cs="Calibri"/>
          <w:b/>
          <w:szCs w:val="18"/>
          <w:lang w:eastAsia="es-ES"/>
        </w:rPr>
      </w:pPr>
    </w:p>
    <w:p w14:paraId="05123A39" w14:textId="77777777" w:rsidR="006B1207" w:rsidRDefault="006B1207" w:rsidP="00EC7D22">
      <w:pPr>
        <w:spacing w:after="0" w:line="240" w:lineRule="exact"/>
        <w:jc w:val="center"/>
        <w:rPr>
          <w:rFonts w:eastAsia="Times New Roman" w:cs="Calibri"/>
          <w:b/>
          <w:szCs w:val="18"/>
          <w:lang w:eastAsia="es-ES"/>
        </w:rPr>
      </w:pPr>
    </w:p>
    <w:p w14:paraId="4FF8830C" w14:textId="77777777" w:rsidR="006B1207" w:rsidRPr="00C77DB7" w:rsidRDefault="006B1207" w:rsidP="00EC7D22">
      <w:pPr>
        <w:spacing w:after="0" w:line="240" w:lineRule="exact"/>
        <w:jc w:val="center"/>
        <w:rPr>
          <w:rFonts w:eastAsia="Times New Roman" w:cs="Calibri"/>
          <w:b/>
          <w:szCs w:val="18"/>
          <w:lang w:eastAsia="es-ES"/>
        </w:rPr>
      </w:pPr>
    </w:p>
    <w:p w14:paraId="3AA81FC3" w14:textId="77777777" w:rsidR="007745EB" w:rsidRPr="000B130C" w:rsidRDefault="00C87FDA" w:rsidP="00EC7D22">
      <w:pPr>
        <w:pStyle w:val="Texto"/>
        <w:spacing w:after="0" w:line="240" w:lineRule="exact"/>
        <w:ind w:firstLine="0"/>
        <w:rPr>
          <w:rFonts w:ascii="Calibri" w:hAnsi="Calibri" w:cs="Calibri"/>
          <w:sz w:val="20"/>
          <w:lang w:val="es-MX"/>
        </w:rPr>
      </w:pPr>
      <w:r w:rsidRPr="000B130C">
        <w:rPr>
          <w:rFonts w:ascii="Calibri" w:hAnsi="Calibri" w:cs="Calibri"/>
          <w:sz w:val="20"/>
        </w:rPr>
        <w:t xml:space="preserve">Las Cuentas de Orden se utilizan </w:t>
      </w:r>
      <w:r w:rsidRPr="000B130C">
        <w:rPr>
          <w:rFonts w:ascii="Calibri" w:hAnsi="Calibri" w:cs="Calibri"/>
          <w:sz w:val="20"/>
          <w:lang w:val="es-MX"/>
        </w:rPr>
        <w:t>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5ED744BE" w14:textId="77777777" w:rsidR="007745EB" w:rsidRPr="000B130C" w:rsidRDefault="007745EB" w:rsidP="00EC7D22">
      <w:pPr>
        <w:pStyle w:val="Texto"/>
        <w:spacing w:after="0" w:line="240" w:lineRule="exact"/>
        <w:ind w:firstLine="0"/>
        <w:rPr>
          <w:rFonts w:ascii="Calibri" w:hAnsi="Calibri" w:cs="Calibri"/>
          <w:sz w:val="20"/>
          <w:lang w:val="es-MX"/>
        </w:rPr>
      </w:pPr>
    </w:p>
    <w:p w14:paraId="0375231D" w14:textId="77777777" w:rsidR="007745EB" w:rsidRPr="000B130C" w:rsidRDefault="00C87FDA" w:rsidP="00EC7D22">
      <w:pPr>
        <w:spacing w:after="0"/>
        <w:rPr>
          <w:rFonts w:cs="Calibri"/>
          <w:sz w:val="20"/>
          <w:szCs w:val="20"/>
        </w:rPr>
      </w:pPr>
      <w:r w:rsidRPr="000B130C">
        <w:rPr>
          <w:rFonts w:cs="Calibri"/>
          <w:sz w:val="20"/>
          <w:szCs w:val="20"/>
        </w:rPr>
        <w:t>Las cuentas que se manejan para efectos de este documento son las siguientes:</w:t>
      </w:r>
    </w:p>
    <w:p w14:paraId="3FD0CD34" w14:textId="77777777" w:rsidR="007745EB" w:rsidRDefault="007745EB" w:rsidP="00EC7D22">
      <w:pPr>
        <w:spacing w:after="0"/>
        <w:rPr>
          <w:rFonts w:cs="Calibri"/>
          <w:b/>
          <w:sz w:val="20"/>
          <w:szCs w:val="18"/>
        </w:rPr>
      </w:pPr>
    </w:p>
    <w:p w14:paraId="1B7C03BA" w14:textId="77777777" w:rsidR="006B1207" w:rsidRDefault="006B1207" w:rsidP="00EC7D22">
      <w:pPr>
        <w:spacing w:after="0"/>
        <w:rPr>
          <w:rFonts w:cs="Calibri"/>
          <w:b/>
          <w:sz w:val="20"/>
          <w:szCs w:val="18"/>
        </w:rPr>
      </w:pPr>
    </w:p>
    <w:p w14:paraId="485D0A2C" w14:textId="77777777" w:rsidR="007745EB" w:rsidRDefault="00C87FDA" w:rsidP="00EC7D22">
      <w:pPr>
        <w:spacing w:after="0"/>
        <w:rPr>
          <w:rFonts w:cs="Calibri"/>
          <w:b/>
          <w:sz w:val="20"/>
          <w:szCs w:val="18"/>
        </w:rPr>
      </w:pPr>
      <w:r>
        <w:rPr>
          <w:rFonts w:cs="Calibri"/>
          <w:b/>
          <w:sz w:val="20"/>
          <w:szCs w:val="18"/>
        </w:rPr>
        <w:t>Cuentas de Orden Contables y Presupuestarias</w:t>
      </w:r>
    </w:p>
    <w:p w14:paraId="1D7AE279" w14:textId="77777777" w:rsidR="00C37BBC" w:rsidRDefault="00C37BBC" w:rsidP="00EC7D22">
      <w:pPr>
        <w:spacing w:after="0"/>
        <w:rPr>
          <w:rFonts w:cs="Calibri"/>
          <w:b/>
          <w:sz w:val="20"/>
          <w:szCs w:val="18"/>
        </w:rPr>
      </w:pPr>
    </w:p>
    <w:tbl>
      <w:tblPr>
        <w:tblW w:w="7463" w:type="dxa"/>
        <w:tblCellMar>
          <w:left w:w="70" w:type="dxa"/>
          <w:right w:w="70" w:type="dxa"/>
        </w:tblCellMar>
        <w:tblLook w:val="04A0" w:firstRow="1" w:lastRow="0" w:firstColumn="1" w:lastColumn="0" w:noHBand="0" w:noVBand="1"/>
      </w:tblPr>
      <w:tblGrid>
        <w:gridCol w:w="5806"/>
        <w:gridCol w:w="1657"/>
      </w:tblGrid>
      <w:tr w:rsidR="00F11740" w:rsidRPr="00F11740" w14:paraId="6F629C97" w14:textId="77777777" w:rsidTr="001F679E">
        <w:trPr>
          <w:trHeight w:val="480"/>
        </w:trPr>
        <w:tc>
          <w:tcPr>
            <w:tcW w:w="5806"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428C6089" w14:textId="77777777" w:rsidR="00F11740" w:rsidRPr="00F11740" w:rsidRDefault="00F11740" w:rsidP="00EC7D22">
            <w:pPr>
              <w:suppressAutoHyphens w:val="0"/>
              <w:overflowPunct/>
              <w:spacing w:after="0" w:line="240" w:lineRule="auto"/>
              <w:jc w:val="center"/>
              <w:rPr>
                <w:rFonts w:eastAsia="Times New Roman" w:cs="Calibri"/>
                <w:b/>
                <w:bCs/>
                <w:color w:val="FFFFFF"/>
                <w:sz w:val="16"/>
                <w:szCs w:val="16"/>
                <w:lang w:eastAsia="es-MX"/>
              </w:rPr>
            </w:pPr>
            <w:r w:rsidRPr="00F11740">
              <w:rPr>
                <w:rFonts w:eastAsia="Times New Roman" w:cs="Calibri"/>
                <w:b/>
                <w:bCs/>
                <w:color w:val="FFFFFF"/>
                <w:sz w:val="16"/>
                <w:szCs w:val="16"/>
                <w:lang w:eastAsia="es-MX"/>
              </w:rPr>
              <w:t>Cuentas de Orden Contable</w:t>
            </w:r>
          </w:p>
        </w:tc>
        <w:tc>
          <w:tcPr>
            <w:tcW w:w="1657" w:type="dxa"/>
            <w:tcBorders>
              <w:top w:val="single" w:sz="4" w:space="0" w:color="auto"/>
              <w:left w:val="nil"/>
              <w:bottom w:val="single" w:sz="4" w:space="0" w:color="auto"/>
              <w:right w:val="single" w:sz="4" w:space="0" w:color="auto"/>
            </w:tcBorders>
            <w:shd w:val="clear" w:color="800080" w:fill="A90025"/>
            <w:vAlign w:val="center"/>
            <w:hideMark/>
          </w:tcPr>
          <w:p w14:paraId="1E604C7A" w14:textId="77777777" w:rsidR="00F11740" w:rsidRPr="00F11740" w:rsidRDefault="00F11740" w:rsidP="00EC7D22">
            <w:pPr>
              <w:suppressAutoHyphens w:val="0"/>
              <w:overflowPunct/>
              <w:spacing w:after="0" w:line="240" w:lineRule="auto"/>
              <w:jc w:val="center"/>
              <w:rPr>
                <w:rFonts w:eastAsia="Times New Roman" w:cs="Calibri"/>
                <w:b/>
                <w:bCs/>
                <w:color w:val="FFFFFF"/>
                <w:sz w:val="16"/>
                <w:szCs w:val="16"/>
                <w:lang w:eastAsia="es-MX"/>
              </w:rPr>
            </w:pPr>
            <w:r w:rsidRPr="00F11740">
              <w:rPr>
                <w:rFonts w:eastAsia="Times New Roman" w:cs="Calibri"/>
                <w:b/>
                <w:bCs/>
                <w:color w:val="FFFFFF"/>
                <w:sz w:val="16"/>
                <w:szCs w:val="16"/>
                <w:lang w:eastAsia="es-MX"/>
              </w:rPr>
              <w:t>Importes</w:t>
            </w:r>
          </w:p>
        </w:tc>
      </w:tr>
      <w:tr w:rsidR="00F11740" w:rsidRPr="00F11740" w14:paraId="631DD132" w14:textId="77777777" w:rsidTr="004D1037">
        <w:trPr>
          <w:trHeight w:val="317"/>
        </w:trPr>
        <w:tc>
          <w:tcPr>
            <w:tcW w:w="74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E3681" w14:textId="77777777" w:rsidR="00F11740" w:rsidRPr="00F11740" w:rsidRDefault="00F11740" w:rsidP="00EC7D22">
            <w:pPr>
              <w:suppressAutoHyphens w:val="0"/>
              <w:overflowPunct/>
              <w:spacing w:after="0" w:line="240" w:lineRule="auto"/>
              <w:rPr>
                <w:rFonts w:eastAsia="Times New Roman" w:cs="Calibri"/>
                <w:b/>
                <w:bCs/>
                <w:color w:val="000000"/>
                <w:sz w:val="16"/>
                <w:szCs w:val="16"/>
                <w:lang w:eastAsia="es-MX"/>
              </w:rPr>
            </w:pPr>
            <w:r w:rsidRPr="00F11740">
              <w:rPr>
                <w:rFonts w:eastAsia="Times New Roman" w:cs="Calibri"/>
                <w:b/>
                <w:bCs/>
                <w:color w:val="000000"/>
                <w:sz w:val="16"/>
                <w:szCs w:val="16"/>
                <w:lang w:eastAsia="es-MX"/>
              </w:rPr>
              <w:t>Avales y Garantías</w:t>
            </w:r>
          </w:p>
        </w:tc>
      </w:tr>
      <w:tr w:rsidR="00F11740" w:rsidRPr="00F11740" w14:paraId="7BEDA747" w14:textId="77777777" w:rsidTr="001F679E">
        <w:trPr>
          <w:trHeight w:val="32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09EF5F4E"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Avales Autorizados</w:t>
            </w:r>
          </w:p>
        </w:tc>
        <w:tc>
          <w:tcPr>
            <w:tcW w:w="1657" w:type="dxa"/>
            <w:tcBorders>
              <w:top w:val="nil"/>
              <w:left w:val="nil"/>
              <w:bottom w:val="single" w:sz="4" w:space="0" w:color="auto"/>
              <w:right w:val="single" w:sz="4" w:space="0" w:color="auto"/>
            </w:tcBorders>
            <w:shd w:val="clear" w:color="auto" w:fill="auto"/>
            <w:noWrap/>
            <w:vAlign w:val="bottom"/>
            <w:hideMark/>
          </w:tcPr>
          <w:p w14:paraId="3F27FBA4"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123,536,471</w:t>
            </w:r>
          </w:p>
        </w:tc>
      </w:tr>
      <w:tr w:rsidR="00F11740" w:rsidRPr="00F11740" w14:paraId="32722EF7" w14:textId="77777777" w:rsidTr="001F679E">
        <w:trPr>
          <w:trHeight w:val="32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673753CA"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Avales Firmados</w:t>
            </w:r>
          </w:p>
        </w:tc>
        <w:tc>
          <w:tcPr>
            <w:tcW w:w="1657" w:type="dxa"/>
            <w:tcBorders>
              <w:top w:val="nil"/>
              <w:left w:val="nil"/>
              <w:bottom w:val="single" w:sz="4" w:space="0" w:color="auto"/>
              <w:right w:val="single" w:sz="4" w:space="0" w:color="auto"/>
            </w:tcBorders>
            <w:shd w:val="clear" w:color="auto" w:fill="auto"/>
            <w:noWrap/>
            <w:vAlign w:val="bottom"/>
            <w:hideMark/>
          </w:tcPr>
          <w:p w14:paraId="5096561B"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-123,536,471</w:t>
            </w:r>
          </w:p>
        </w:tc>
      </w:tr>
      <w:tr w:rsidR="00F11740" w:rsidRPr="00F11740" w14:paraId="18268DB4" w14:textId="77777777" w:rsidTr="004D1037">
        <w:trPr>
          <w:trHeight w:val="401"/>
        </w:trPr>
        <w:tc>
          <w:tcPr>
            <w:tcW w:w="74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807572" w14:textId="77777777" w:rsidR="00F11740" w:rsidRPr="00F11740" w:rsidRDefault="00F11740" w:rsidP="00EC7D22">
            <w:pPr>
              <w:suppressAutoHyphens w:val="0"/>
              <w:overflowPunct/>
              <w:spacing w:after="0" w:line="240" w:lineRule="auto"/>
              <w:rPr>
                <w:rFonts w:eastAsia="Times New Roman" w:cs="Calibri"/>
                <w:b/>
                <w:bCs/>
                <w:color w:val="000000"/>
                <w:sz w:val="16"/>
                <w:szCs w:val="16"/>
                <w:lang w:eastAsia="es-MX"/>
              </w:rPr>
            </w:pPr>
            <w:r w:rsidRPr="00F11740">
              <w:rPr>
                <w:rFonts w:eastAsia="Times New Roman" w:cs="Calibri"/>
                <w:b/>
                <w:bCs/>
                <w:color w:val="000000"/>
                <w:sz w:val="16"/>
                <w:szCs w:val="16"/>
                <w:lang w:eastAsia="es-MX"/>
              </w:rPr>
              <w:t xml:space="preserve">Inversión </w:t>
            </w:r>
            <w:proofErr w:type="spellStart"/>
            <w:r w:rsidRPr="00F11740">
              <w:rPr>
                <w:rFonts w:eastAsia="Times New Roman" w:cs="Calibri"/>
                <w:b/>
                <w:bCs/>
                <w:color w:val="000000"/>
                <w:sz w:val="16"/>
                <w:szCs w:val="16"/>
                <w:lang w:eastAsia="es-MX"/>
              </w:rPr>
              <w:t>Med</w:t>
            </w:r>
            <w:proofErr w:type="spellEnd"/>
            <w:r w:rsidRPr="00F11740">
              <w:rPr>
                <w:rFonts w:eastAsia="Times New Roman" w:cs="Calibri"/>
                <w:b/>
                <w:bCs/>
                <w:color w:val="000000"/>
                <w:sz w:val="16"/>
                <w:szCs w:val="16"/>
                <w:lang w:eastAsia="es-MX"/>
              </w:rPr>
              <w:t>. Proyectos para Prest. De Servicios</w:t>
            </w:r>
          </w:p>
        </w:tc>
      </w:tr>
      <w:tr w:rsidR="00F11740" w:rsidRPr="00F11740" w14:paraId="785A548E" w14:textId="77777777" w:rsidTr="001F679E">
        <w:trPr>
          <w:trHeight w:val="30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1A16EC76"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Contrato de APP Autopista Mante-Tula S.A. de C.V.</w:t>
            </w:r>
          </w:p>
        </w:tc>
        <w:tc>
          <w:tcPr>
            <w:tcW w:w="1657" w:type="dxa"/>
            <w:tcBorders>
              <w:top w:val="nil"/>
              <w:left w:val="nil"/>
              <w:bottom w:val="single" w:sz="4" w:space="0" w:color="auto"/>
              <w:right w:val="single" w:sz="4" w:space="0" w:color="auto"/>
            </w:tcBorders>
            <w:shd w:val="clear" w:color="auto" w:fill="auto"/>
            <w:vAlign w:val="center"/>
            <w:hideMark/>
          </w:tcPr>
          <w:p w14:paraId="7C7A3BF0"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6,300,000,000</w:t>
            </w:r>
          </w:p>
        </w:tc>
      </w:tr>
      <w:tr w:rsidR="00F11740" w:rsidRPr="00F11740" w14:paraId="41B2150E" w14:textId="77777777" w:rsidTr="001F679E">
        <w:trPr>
          <w:trHeight w:val="30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3C6ABADB"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Contrato de APP Autopista Mante-Tula S.A. de C.V.</w:t>
            </w:r>
          </w:p>
        </w:tc>
        <w:tc>
          <w:tcPr>
            <w:tcW w:w="1657" w:type="dxa"/>
            <w:tcBorders>
              <w:top w:val="nil"/>
              <w:left w:val="nil"/>
              <w:bottom w:val="single" w:sz="4" w:space="0" w:color="auto"/>
              <w:right w:val="single" w:sz="4" w:space="0" w:color="auto"/>
            </w:tcBorders>
            <w:shd w:val="clear" w:color="auto" w:fill="auto"/>
            <w:vAlign w:val="center"/>
            <w:hideMark/>
          </w:tcPr>
          <w:p w14:paraId="658F335B"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-6,300,000,000</w:t>
            </w:r>
          </w:p>
        </w:tc>
      </w:tr>
      <w:tr w:rsidR="00F11740" w:rsidRPr="00F11740" w14:paraId="39D45283" w14:textId="77777777" w:rsidTr="004D1037">
        <w:trPr>
          <w:trHeight w:val="317"/>
        </w:trPr>
        <w:tc>
          <w:tcPr>
            <w:tcW w:w="74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DBAEF8" w14:textId="77777777" w:rsidR="00F11740" w:rsidRPr="00F11740" w:rsidRDefault="00F11740" w:rsidP="00EC7D22">
            <w:pPr>
              <w:suppressAutoHyphens w:val="0"/>
              <w:overflowPunct/>
              <w:spacing w:after="0" w:line="240" w:lineRule="auto"/>
              <w:rPr>
                <w:rFonts w:eastAsia="Times New Roman" w:cs="Calibri"/>
                <w:b/>
                <w:bCs/>
                <w:color w:val="000000"/>
                <w:sz w:val="16"/>
                <w:szCs w:val="16"/>
                <w:lang w:eastAsia="es-MX"/>
              </w:rPr>
            </w:pPr>
            <w:r w:rsidRPr="00F11740">
              <w:rPr>
                <w:rFonts w:eastAsia="Times New Roman" w:cs="Calibri"/>
                <w:b/>
                <w:bCs/>
                <w:color w:val="000000"/>
                <w:sz w:val="16"/>
                <w:szCs w:val="16"/>
                <w:lang w:eastAsia="es-MX"/>
              </w:rPr>
              <w:t>Bienes en Concesión o en Comodato</w:t>
            </w:r>
          </w:p>
        </w:tc>
      </w:tr>
      <w:tr w:rsidR="00F11740" w:rsidRPr="00F11740" w14:paraId="7258D7C6" w14:textId="77777777" w:rsidTr="001F679E">
        <w:trPr>
          <w:trHeight w:val="32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216E2D14"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Bienes bajo Contrato en Comodato</w:t>
            </w:r>
          </w:p>
        </w:tc>
        <w:tc>
          <w:tcPr>
            <w:tcW w:w="1657" w:type="dxa"/>
            <w:tcBorders>
              <w:top w:val="nil"/>
              <w:left w:val="nil"/>
              <w:bottom w:val="single" w:sz="4" w:space="0" w:color="auto"/>
              <w:right w:val="single" w:sz="4" w:space="0" w:color="auto"/>
            </w:tcBorders>
            <w:shd w:val="clear" w:color="auto" w:fill="auto"/>
            <w:vAlign w:val="center"/>
            <w:hideMark/>
          </w:tcPr>
          <w:p w14:paraId="1AC428AB"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-25,223,859</w:t>
            </w:r>
          </w:p>
        </w:tc>
      </w:tr>
      <w:tr w:rsidR="00F11740" w:rsidRPr="00F11740" w14:paraId="0062F31F" w14:textId="77777777" w:rsidTr="001F679E">
        <w:trPr>
          <w:trHeight w:val="32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555AB4D9"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Contrato de Comodato por Bienes</w:t>
            </w:r>
          </w:p>
        </w:tc>
        <w:tc>
          <w:tcPr>
            <w:tcW w:w="1657" w:type="dxa"/>
            <w:tcBorders>
              <w:top w:val="nil"/>
              <w:left w:val="nil"/>
              <w:bottom w:val="single" w:sz="4" w:space="0" w:color="auto"/>
              <w:right w:val="single" w:sz="4" w:space="0" w:color="auto"/>
            </w:tcBorders>
            <w:shd w:val="clear" w:color="auto" w:fill="auto"/>
            <w:vAlign w:val="center"/>
            <w:hideMark/>
          </w:tcPr>
          <w:p w14:paraId="13D8D4A8"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-25,223,859</w:t>
            </w:r>
          </w:p>
        </w:tc>
      </w:tr>
      <w:tr w:rsidR="00F11740" w:rsidRPr="00F11740" w14:paraId="2CCE99A0" w14:textId="77777777" w:rsidTr="004D1037">
        <w:trPr>
          <w:trHeight w:val="317"/>
        </w:trPr>
        <w:tc>
          <w:tcPr>
            <w:tcW w:w="74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5A7AD" w14:textId="77777777" w:rsidR="00F11740" w:rsidRPr="00F11740" w:rsidRDefault="00F11740" w:rsidP="00EC7D22">
            <w:pPr>
              <w:suppressAutoHyphens w:val="0"/>
              <w:overflowPunct/>
              <w:spacing w:after="0" w:line="240" w:lineRule="auto"/>
              <w:rPr>
                <w:rFonts w:eastAsia="Times New Roman" w:cs="Calibri"/>
                <w:b/>
                <w:bCs/>
                <w:color w:val="000000"/>
                <w:sz w:val="16"/>
                <w:szCs w:val="16"/>
                <w:lang w:eastAsia="es-MX"/>
              </w:rPr>
            </w:pPr>
            <w:r w:rsidRPr="00F11740">
              <w:rPr>
                <w:rFonts w:eastAsia="Times New Roman" w:cs="Calibri"/>
                <w:b/>
                <w:bCs/>
                <w:color w:val="000000"/>
                <w:sz w:val="16"/>
                <w:szCs w:val="16"/>
                <w:lang w:eastAsia="es-MX"/>
              </w:rPr>
              <w:t>Bienes arqueológicos, artísticos e históricos en custodia</w:t>
            </w:r>
          </w:p>
        </w:tc>
      </w:tr>
      <w:tr w:rsidR="00F11740" w:rsidRPr="00F11740" w14:paraId="05C95B20" w14:textId="77777777" w:rsidTr="001F679E">
        <w:trPr>
          <w:trHeight w:val="32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0CE86811"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Bienes Artísticos en Custodia</w:t>
            </w:r>
          </w:p>
        </w:tc>
        <w:tc>
          <w:tcPr>
            <w:tcW w:w="1657" w:type="dxa"/>
            <w:tcBorders>
              <w:top w:val="nil"/>
              <w:left w:val="nil"/>
              <w:bottom w:val="single" w:sz="4" w:space="0" w:color="auto"/>
              <w:right w:val="single" w:sz="4" w:space="0" w:color="auto"/>
            </w:tcBorders>
            <w:shd w:val="clear" w:color="auto" w:fill="auto"/>
            <w:vAlign w:val="center"/>
            <w:hideMark/>
          </w:tcPr>
          <w:p w14:paraId="4AED1EF4"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402,500</w:t>
            </w:r>
          </w:p>
        </w:tc>
      </w:tr>
      <w:tr w:rsidR="00F11740" w:rsidRPr="00F11740" w14:paraId="27B162CC" w14:textId="77777777" w:rsidTr="001F679E">
        <w:trPr>
          <w:trHeight w:val="32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18B97DFE"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Custodia de Bienes Artísticos</w:t>
            </w:r>
          </w:p>
        </w:tc>
        <w:tc>
          <w:tcPr>
            <w:tcW w:w="1657" w:type="dxa"/>
            <w:tcBorders>
              <w:top w:val="nil"/>
              <w:left w:val="nil"/>
              <w:bottom w:val="single" w:sz="4" w:space="0" w:color="auto"/>
              <w:right w:val="single" w:sz="4" w:space="0" w:color="auto"/>
            </w:tcBorders>
            <w:shd w:val="clear" w:color="auto" w:fill="auto"/>
            <w:vAlign w:val="center"/>
            <w:hideMark/>
          </w:tcPr>
          <w:p w14:paraId="1F2348ED"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-402,500</w:t>
            </w:r>
          </w:p>
        </w:tc>
      </w:tr>
      <w:tr w:rsidR="00F11740" w:rsidRPr="00F11740" w14:paraId="2728E798" w14:textId="77777777" w:rsidTr="004D1037">
        <w:trPr>
          <w:trHeight w:val="317"/>
        </w:trPr>
        <w:tc>
          <w:tcPr>
            <w:tcW w:w="74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7F683" w14:textId="77777777" w:rsidR="00F11740" w:rsidRPr="00F11740" w:rsidRDefault="00F11740" w:rsidP="00EC7D22">
            <w:pPr>
              <w:suppressAutoHyphens w:val="0"/>
              <w:overflowPunct/>
              <w:spacing w:after="0" w:line="240" w:lineRule="auto"/>
              <w:rPr>
                <w:rFonts w:eastAsia="Times New Roman" w:cs="Calibri"/>
                <w:b/>
                <w:bCs/>
                <w:color w:val="000000"/>
                <w:sz w:val="16"/>
                <w:szCs w:val="16"/>
                <w:lang w:eastAsia="es-MX"/>
              </w:rPr>
            </w:pPr>
            <w:r w:rsidRPr="00F11740">
              <w:rPr>
                <w:rFonts w:eastAsia="Times New Roman" w:cs="Calibri"/>
                <w:b/>
                <w:bCs/>
                <w:color w:val="000000"/>
                <w:sz w:val="16"/>
                <w:szCs w:val="16"/>
                <w:lang w:eastAsia="es-MX"/>
              </w:rPr>
              <w:t>Bienes arqueológicos, artísticos e históricos en custodia</w:t>
            </w:r>
          </w:p>
        </w:tc>
      </w:tr>
      <w:tr w:rsidR="00F11740" w:rsidRPr="00F11740" w14:paraId="50D8A112" w14:textId="77777777" w:rsidTr="001F679E">
        <w:trPr>
          <w:trHeight w:val="32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67496A30"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Bienes Históricos en Custodia</w:t>
            </w:r>
          </w:p>
        </w:tc>
        <w:tc>
          <w:tcPr>
            <w:tcW w:w="1657" w:type="dxa"/>
            <w:tcBorders>
              <w:top w:val="nil"/>
              <w:left w:val="nil"/>
              <w:bottom w:val="single" w:sz="4" w:space="0" w:color="auto"/>
              <w:right w:val="single" w:sz="4" w:space="0" w:color="auto"/>
            </w:tcBorders>
            <w:shd w:val="clear" w:color="auto" w:fill="auto"/>
            <w:vAlign w:val="center"/>
            <w:hideMark/>
          </w:tcPr>
          <w:p w14:paraId="067BA795"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5,097,000</w:t>
            </w:r>
          </w:p>
        </w:tc>
      </w:tr>
      <w:tr w:rsidR="00F11740" w:rsidRPr="00F11740" w14:paraId="2BF1812F" w14:textId="77777777" w:rsidTr="001F679E">
        <w:trPr>
          <w:trHeight w:val="320"/>
        </w:trPr>
        <w:tc>
          <w:tcPr>
            <w:tcW w:w="5806" w:type="dxa"/>
            <w:tcBorders>
              <w:top w:val="nil"/>
              <w:left w:val="single" w:sz="4" w:space="0" w:color="auto"/>
              <w:bottom w:val="single" w:sz="4" w:space="0" w:color="auto"/>
              <w:right w:val="single" w:sz="4" w:space="0" w:color="auto"/>
            </w:tcBorders>
            <w:shd w:val="clear" w:color="auto" w:fill="auto"/>
            <w:vAlign w:val="center"/>
            <w:hideMark/>
          </w:tcPr>
          <w:p w14:paraId="21A8143F"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      Custodia de Bienes Históricos</w:t>
            </w:r>
          </w:p>
        </w:tc>
        <w:tc>
          <w:tcPr>
            <w:tcW w:w="1657" w:type="dxa"/>
            <w:tcBorders>
              <w:top w:val="nil"/>
              <w:left w:val="nil"/>
              <w:bottom w:val="single" w:sz="4" w:space="0" w:color="auto"/>
              <w:right w:val="single" w:sz="4" w:space="0" w:color="auto"/>
            </w:tcBorders>
            <w:shd w:val="clear" w:color="auto" w:fill="auto"/>
            <w:vAlign w:val="center"/>
            <w:hideMark/>
          </w:tcPr>
          <w:p w14:paraId="481D6D28"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-5,097,000</w:t>
            </w:r>
          </w:p>
        </w:tc>
      </w:tr>
    </w:tbl>
    <w:p w14:paraId="20E79B90" w14:textId="77777777" w:rsidR="006B1207" w:rsidRDefault="006B1207" w:rsidP="00EC7D22">
      <w:pPr>
        <w:spacing w:after="0"/>
        <w:rPr>
          <w:rFonts w:cs="Calibri"/>
          <w:b/>
          <w:sz w:val="20"/>
          <w:szCs w:val="18"/>
        </w:rPr>
      </w:pPr>
    </w:p>
    <w:p w14:paraId="57E1D6E2" w14:textId="118AA36C" w:rsidR="00A6788C" w:rsidRPr="007A75A9" w:rsidRDefault="00C87FDA" w:rsidP="00EC7D22">
      <w:pPr>
        <w:spacing w:after="0"/>
        <w:rPr>
          <w:rFonts w:cs="Calibri"/>
          <w:b/>
          <w:sz w:val="18"/>
          <w:szCs w:val="24"/>
        </w:rPr>
      </w:pPr>
      <w:r w:rsidRPr="007A75A9">
        <w:rPr>
          <w:rFonts w:cs="Calibri"/>
          <w:b/>
          <w:sz w:val="18"/>
          <w:szCs w:val="24"/>
        </w:rPr>
        <w:t xml:space="preserve"> *Desglose de pasivos contingentes (Avales y Garantías)      </w:t>
      </w:r>
    </w:p>
    <w:p w14:paraId="78D46502" w14:textId="073401D4" w:rsidR="001341A8" w:rsidRDefault="001341A8" w:rsidP="00EC7D22">
      <w:pPr>
        <w:spacing w:after="0"/>
        <w:rPr>
          <w:rFonts w:cs="Calibri"/>
          <w:b/>
          <w:sz w:val="14"/>
          <w:szCs w:val="18"/>
        </w:rPr>
      </w:pPr>
    </w:p>
    <w:p w14:paraId="7136DE7B" w14:textId="27D0B9B7" w:rsidR="001341A8" w:rsidRDefault="001341A8" w:rsidP="00EC7D22">
      <w:pPr>
        <w:spacing w:after="0"/>
        <w:rPr>
          <w:rFonts w:cs="Calibri"/>
          <w:b/>
          <w:sz w:val="14"/>
          <w:szCs w:val="18"/>
        </w:rPr>
      </w:pPr>
    </w:p>
    <w:p w14:paraId="0D7174CE" w14:textId="7E54943E" w:rsidR="00CF1038" w:rsidRDefault="00CF1038" w:rsidP="00EC7D22">
      <w:pPr>
        <w:spacing w:after="0"/>
        <w:rPr>
          <w:rFonts w:cs="Calibri"/>
          <w:b/>
          <w:sz w:val="14"/>
          <w:szCs w:val="18"/>
        </w:rPr>
      </w:pPr>
    </w:p>
    <w:p w14:paraId="0DC80CC8" w14:textId="77777777" w:rsidR="00CF1038" w:rsidRDefault="00CF1038" w:rsidP="00EC7D22">
      <w:pPr>
        <w:spacing w:after="0"/>
        <w:rPr>
          <w:rFonts w:cs="Calibri"/>
          <w:b/>
          <w:sz w:val="14"/>
          <w:szCs w:val="18"/>
        </w:rPr>
      </w:pPr>
    </w:p>
    <w:tbl>
      <w:tblPr>
        <w:tblW w:w="8784" w:type="dxa"/>
        <w:tblCellMar>
          <w:left w:w="70" w:type="dxa"/>
          <w:right w:w="70" w:type="dxa"/>
        </w:tblCellMar>
        <w:tblLook w:val="04A0" w:firstRow="1" w:lastRow="0" w:firstColumn="1" w:lastColumn="0" w:noHBand="0" w:noVBand="1"/>
      </w:tblPr>
      <w:tblGrid>
        <w:gridCol w:w="3114"/>
        <w:gridCol w:w="1417"/>
        <w:gridCol w:w="1261"/>
        <w:gridCol w:w="1446"/>
        <w:gridCol w:w="19"/>
        <w:gridCol w:w="1527"/>
      </w:tblGrid>
      <w:tr w:rsidR="00F11740" w:rsidRPr="00F11740" w14:paraId="741D50AD" w14:textId="77777777" w:rsidTr="00F84089">
        <w:trPr>
          <w:trHeight w:val="612"/>
        </w:trPr>
        <w:tc>
          <w:tcPr>
            <w:tcW w:w="3114"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54F7AC93" w14:textId="77777777" w:rsidR="00F11740" w:rsidRPr="00F11740" w:rsidRDefault="00F11740" w:rsidP="00EC7D22">
            <w:pPr>
              <w:suppressAutoHyphens w:val="0"/>
              <w:overflowPunct/>
              <w:spacing w:after="0" w:line="240" w:lineRule="auto"/>
              <w:jc w:val="center"/>
              <w:rPr>
                <w:rFonts w:eastAsia="Times New Roman" w:cs="Calibri"/>
                <w:b/>
                <w:bCs/>
                <w:color w:val="FFFFFF"/>
                <w:sz w:val="16"/>
                <w:szCs w:val="16"/>
                <w:lang w:eastAsia="es-MX"/>
              </w:rPr>
            </w:pPr>
            <w:r w:rsidRPr="00F11740">
              <w:rPr>
                <w:rFonts w:eastAsia="Times New Roman" w:cs="Calibri"/>
                <w:b/>
                <w:bCs/>
                <w:color w:val="FFFFFF"/>
                <w:sz w:val="16"/>
                <w:szCs w:val="16"/>
                <w:lang w:eastAsia="es-MX"/>
              </w:rPr>
              <w:lastRenderedPageBreak/>
              <w:t>Deudor</w:t>
            </w:r>
          </w:p>
        </w:tc>
        <w:tc>
          <w:tcPr>
            <w:tcW w:w="1417" w:type="dxa"/>
            <w:tcBorders>
              <w:top w:val="single" w:sz="4" w:space="0" w:color="auto"/>
              <w:left w:val="nil"/>
              <w:bottom w:val="single" w:sz="4" w:space="0" w:color="auto"/>
              <w:right w:val="single" w:sz="4" w:space="0" w:color="auto"/>
            </w:tcBorders>
            <w:shd w:val="clear" w:color="800080" w:fill="A90025"/>
            <w:vAlign w:val="center"/>
            <w:hideMark/>
          </w:tcPr>
          <w:p w14:paraId="3CA467A8" w14:textId="77777777" w:rsidR="00F11740" w:rsidRPr="00F11740" w:rsidRDefault="00F11740" w:rsidP="00EC7D22">
            <w:pPr>
              <w:suppressAutoHyphens w:val="0"/>
              <w:overflowPunct/>
              <w:spacing w:after="0" w:line="240" w:lineRule="auto"/>
              <w:jc w:val="center"/>
              <w:rPr>
                <w:rFonts w:eastAsia="Times New Roman" w:cs="Calibri"/>
                <w:b/>
                <w:bCs/>
                <w:color w:val="FFFFFF"/>
                <w:sz w:val="16"/>
                <w:szCs w:val="16"/>
                <w:lang w:eastAsia="es-MX"/>
              </w:rPr>
            </w:pPr>
            <w:r w:rsidRPr="00F11740">
              <w:rPr>
                <w:rFonts w:eastAsia="Times New Roman" w:cs="Calibri"/>
                <w:b/>
                <w:bCs/>
                <w:color w:val="FFFFFF"/>
                <w:sz w:val="16"/>
                <w:szCs w:val="16"/>
                <w:lang w:eastAsia="es-MX"/>
              </w:rPr>
              <w:t>Acreedor</w:t>
            </w:r>
          </w:p>
        </w:tc>
        <w:tc>
          <w:tcPr>
            <w:tcW w:w="1261" w:type="dxa"/>
            <w:tcBorders>
              <w:top w:val="single" w:sz="4" w:space="0" w:color="auto"/>
              <w:left w:val="nil"/>
              <w:bottom w:val="single" w:sz="4" w:space="0" w:color="auto"/>
              <w:right w:val="single" w:sz="4" w:space="0" w:color="auto"/>
            </w:tcBorders>
            <w:shd w:val="clear" w:color="800080" w:fill="A90025"/>
            <w:vAlign w:val="center"/>
            <w:hideMark/>
          </w:tcPr>
          <w:p w14:paraId="0A297339" w14:textId="77777777" w:rsidR="00F11740" w:rsidRPr="00F11740" w:rsidRDefault="00F11740" w:rsidP="00EC7D22">
            <w:pPr>
              <w:suppressAutoHyphens w:val="0"/>
              <w:overflowPunct/>
              <w:spacing w:after="0" w:line="240" w:lineRule="auto"/>
              <w:jc w:val="center"/>
              <w:rPr>
                <w:rFonts w:eastAsia="Times New Roman" w:cs="Calibri"/>
                <w:b/>
                <w:bCs/>
                <w:color w:val="FFFFFF"/>
                <w:sz w:val="16"/>
                <w:szCs w:val="16"/>
                <w:lang w:eastAsia="es-MX"/>
              </w:rPr>
            </w:pPr>
            <w:r w:rsidRPr="00F11740">
              <w:rPr>
                <w:rFonts w:eastAsia="Times New Roman" w:cs="Calibri"/>
                <w:b/>
                <w:bCs/>
                <w:color w:val="FFFFFF"/>
                <w:sz w:val="16"/>
                <w:szCs w:val="16"/>
                <w:lang w:eastAsia="es-MX"/>
              </w:rPr>
              <w:t>Registro SHCP</w:t>
            </w:r>
          </w:p>
        </w:tc>
        <w:tc>
          <w:tcPr>
            <w:tcW w:w="1446" w:type="dxa"/>
            <w:tcBorders>
              <w:top w:val="single" w:sz="4" w:space="0" w:color="auto"/>
              <w:left w:val="nil"/>
              <w:bottom w:val="single" w:sz="4" w:space="0" w:color="auto"/>
              <w:right w:val="single" w:sz="4" w:space="0" w:color="auto"/>
            </w:tcBorders>
            <w:shd w:val="clear" w:color="800080" w:fill="A90025"/>
            <w:vAlign w:val="center"/>
            <w:hideMark/>
          </w:tcPr>
          <w:p w14:paraId="7336075A" w14:textId="77777777" w:rsidR="00F11740" w:rsidRPr="00F11740" w:rsidRDefault="00F11740" w:rsidP="00EC7D22">
            <w:pPr>
              <w:suppressAutoHyphens w:val="0"/>
              <w:overflowPunct/>
              <w:spacing w:after="0" w:line="240" w:lineRule="auto"/>
              <w:jc w:val="center"/>
              <w:rPr>
                <w:rFonts w:eastAsia="Times New Roman" w:cs="Calibri"/>
                <w:b/>
                <w:bCs/>
                <w:color w:val="FFFFFF"/>
                <w:sz w:val="16"/>
                <w:szCs w:val="16"/>
                <w:lang w:eastAsia="es-MX"/>
              </w:rPr>
            </w:pPr>
            <w:r w:rsidRPr="00F11740">
              <w:rPr>
                <w:rFonts w:eastAsia="Times New Roman" w:cs="Calibri"/>
                <w:b/>
                <w:bCs/>
                <w:color w:val="FFFFFF"/>
                <w:sz w:val="16"/>
                <w:szCs w:val="16"/>
                <w:lang w:eastAsia="es-MX"/>
              </w:rPr>
              <w:t>Saldo del Crédito</w:t>
            </w:r>
          </w:p>
        </w:tc>
        <w:tc>
          <w:tcPr>
            <w:tcW w:w="1546" w:type="dxa"/>
            <w:gridSpan w:val="2"/>
            <w:tcBorders>
              <w:top w:val="single" w:sz="4" w:space="0" w:color="auto"/>
              <w:left w:val="nil"/>
              <w:bottom w:val="single" w:sz="4" w:space="0" w:color="auto"/>
              <w:right w:val="single" w:sz="4" w:space="0" w:color="auto"/>
            </w:tcBorders>
            <w:shd w:val="clear" w:color="800080" w:fill="A90025"/>
            <w:vAlign w:val="center"/>
            <w:hideMark/>
          </w:tcPr>
          <w:p w14:paraId="7AC509FE" w14:textId="77777777" w:rsidR="00F11740" w:rsidRPr="00F11740" w:rsidRDefault="00F11740" w:rsidP="00EC7D22">
            <w:pPr>
              <w:suppressAutoHyphens w:val="0"/>
              <w:overflowPunct/>
              <w:spacing w:after="0" w:line="240" w:lineRule="auto"/>
              <w:jc w:val="center"/>
              <w:rPr>
                <w:rFonts w:eastAsia="Times New Roman" w:cs="Calibri"/>
                <w:b/>
                <w:bCs/>
                <w:color w:val="FFFFFF"/>
                <w:sz w:val="16"/>
                <w:szCs w:val="16"/>
                <w:lang w:eastAsia="es-MX"/>
              </w:rPr>
            </w:pPr>
            <w:r w:rsidRPr="00F11740">
              <w:rPr>
                <w:rFonts w:eastAsia="Times New Roman" w:cs="Calibri"/>
                <w:b/>
                <w:bCs/>
                <w:color w:val="FFFFFF"/>
                <w:sz w:val="16"/>
                <w:szCs w:val="16"/>
                <w:lang w:eastAsia="es-MX"/>
              </w:rPr>
              <w:t xml:space="preserve">Importe </w:t>
            </w:r>
          </w:p>
        </w:tc>
      </w:tr>
      <w:tr w:rsidR="00F11740" w:rsidRPr="00F11740" w14:paraId="025C918E" w14:textId="77777777" w:rsidTr="00F84089">
        <w:trPr>
          <w:trHeight w:val="286"/>
        </w:trPr>
        <w:tc>
          <w:tcPr>
            <w:tcW w:w="3114" w:type="dxa"/>
            <w:tcBorders>
              <w:top w:val="nil"/>
              <w:left w:val="single" w:sz="8" w:space="0" w:color="auto"/>
              <w:bottom w:val="nil"/>
              <w:right w:val="nil"/>
            </w:tcBorders>
            <w:shd w:val="clear" w:color="auto" w:fill="auto"/>
            <w:noWrap/>
            <w:vAlign w:val="center"/>
            <w:hideMark/>
          </w:tcPr>
          <w:p w14:paraId="23AD0359" w14:textId="77777777" w:rsidR="00F11740" w:rsidRPr="00F11740" w:rsidRDefault="00F11740" w:rsidP="00EC7D22">
            <w:pPr>
              <w:suppressAutoHyphens w:val="0"/>
              <w:overflowPunct/>
              <w:spacing w:after="0" w:line="240" w:lineRule="auto"/>
              <w:rPr>
                <w:rFonts w:eastAsia="Times New Roman" w:cs="Calibri"/>
                <w:b/>
                <w:bCs/>
                <w:color w:val="000000"/>
                <w:sz w:val="14"/>
                <w:szCs w:val="14"/>
                <w:lang w:eastAsia="es-MX"/>
              </w:rPr>
            </w:pPr>
            <w:r w:rsidRPr="00F11740">
              <w:rPr>
                <w:rFonts w:eastAsia="Times New Roman" w:cs="Calibri"/>
                <w:b/>
                <w:bCs/>
                <w:color w:val="000000"/>
                <w:sz w:val="14"/>
                <w:szCs w:val="14"/>
                <w:lang w:eastAsia="es-MX"/>
              </w:rPr>
              <w:t>A Municipios</w:t>
            </w:r>
          </w:p>
        </w:tc>
        <w:tc>
          <w:tcPr>
            <w:tcW w:w="1417" w:type="dxa"/>
            <w:tcBorders>
              <w:top w:val="nil"/>
              <w:left w:val="nil"/>
              <w:bottom w:val="nil"/>
              <w:right w:val="nil"/>
            </w:tcBorders>
            <w:shd w:val="clear" w:color="auto" w:fill="auto"/>
            <w:noWrap/>
            <w:vAlign w:val="center"/>
            <w:hideMark/>
          </w:tcPr>
          <w:p w14:paraId="3F66229B" w14:textId="77777777" w:rsidR="00F11740" w:rsidRPr="00F11740" w:rsidRDefault="00F11740" w:rsidP="00EC7D22">
            <w:pPr>
              <w:suppressAutoHyphens w:val="0"/>
              <w:overflowPunct/>
              <w:spacing w:after="0" w:line="240" w:lineRule="auto"/>
              <w:rPr>
                <w:rFonts w:eastAsia="Times New Roman" w:cs="Calibri"/>
                <w:b/>
                <w:bCs/>
                <w:color w:val="000000"/>
                <w:sz w:val="14"/>
                <w:szCs w:val="14"/>
                <w:lang w:eastAsia="es-MX"/>
              </w:rPr>
            </w:pPr>
          </w:p>
        </w:tc>
        <w:tc>
          <w:tcPr>
            <w:tcW w:w="1261" w:type="dxa"/>
            <w:tcBorders>
              <w:top w:val="nil"/>
              <w:left w:val="nil"/>
              <w:bottom w:val="nil"/>
              <w:right w:val="nil"/>
            </w:tcBorders>
            <w:shd w:val="clear" w:color="auto" w:fill="auto"/>
            <w:noWrap/>
            <w:vAlign w:val="center"/>
            <w:hideMark/>
          </w:tcPr>
          <w:p w14:paraId="4C4A73C4" w14:textId="77777777" w:rsidR="00F11740" w:rsidRPr="00F11740" w:rsidRDefault="00F11740" w:rsidP="00EC7D22">
            <w:pPr>
              <w:suppressAutoHyphens w:val="0"/>
              <w:overflowPunct/>
              <w:spacing w:after="0" w:line="240" w:lineRule="auto"/>
              <w:rPr>
                <w:rFonts w:ascii="Times New Roman" w:eastAsia="Times New Roman" w:hAnsi="Times New Roman"/>
                <w:sz w:val="20"/>
                <w:szCs w:val="20"/>
                <w:lang w:eastAsia="es-MX"/>
              </w:rPr>
            </w:pPr>
          </w:p>
        </w:tc>
        <w:tc>
          <w:tcPr>
            <w:tcW w:w="1446" w:type="dxa"/>
            <w:tcBorders>
              <w:top w:val="nil"/>
              <w:left w:val="nil"/>
              <w:bottom w:val="nil"/>
              <w:right w:val="nil"/>
            </w:tcBorders>
            <w:shd w:val="clear" w:color="auto" w:fill="auto"/>
            <w:noWrap/>
            <w:vAlign w:val="center"/>
            <w:hideMark/>
          </w:tcPr>
          <w:p w14:paraId="5F480FC7" w14:textId="77777777" w:rsidR="00F11740" w:rsidRPr="00F11740" w:rsidRDefault="00F11740" w:rsidP="00EC7D22">
            <w:pPr>
              <w:suppressAutoHyphens w:val="0"/>
              <w:overflowPunct/>
              <w:spacing w:after="0" w:line="240" w:lineRule="auto"/>
              <w:jc w:val="center"/>
              <w:rPr>
                <w:rFonts w:ascii="Times New Roman" w:eastAsia="Times New Roman" w:hAnsi="Times New Roman"/>
                <w:sz w:val="20"/>
                <w:szCs w:val="20"/>
                <w:lang w:eastAsia="es-MX"/>
              </w:rPr>
            </w:pPr>
          </w:p>
        </w:tc>
        <w:tc>
          <w:tcPr>
            <w:tcW w:w="1546" w:type="dxa"/>
            <w:gridSpan w:val="2"/>
            <w:tcBorders>
              <w:top w:val="nil"/>
              <w:left w:val="nil"/>
              <w:bottom w:val="nil"/>
              <w:right w:val="single" w:sz="8" w:space="0" w:color="auto"/>
            </w:tcBorders>
            <w:shd w:val="clear" w:color="auto" w:fill="auto"/>
            <w:noWrap/>
            <w:vAlign w:val="center"/>
            <w:hideMark/>
          </w:tcPr>
          <w:p w14:paraId="6A921C82" w14:textId="77777777" w:rsidR="00F11740" w:rsidRPr="00F11740" w:rsidRDefault="00F11740" w:rsidP="00EC7D22">
            <w:pPr>
              <w:suppressAutoHyphens w:val="0"/>
              <w:overflowPunct/>
              <w:spacing w:after="0" w:line="240" w:lineRule="auto"/>
              <w:jc w:val="right"/>
              <w:rPr>
                <w:rFonts w:eastAsia="Times New Roman" w:cs="Calibri"/>
                <w:b/>
                <w:bCs/>
                <w:color w:val="000000"/>
                <w:sz w:val="14"/>
                <w:szCs w:val="14"/>
                <w:lang w:eastAsia="es-MX"/>
              </w:rPr>
            </w:pPr>
            <w:r w:rsidRPr="00F11740">
              <w:rPr>
                <w:rFonts w:eastAsia="Times New Roman" w:cs="Calibri"/>
                <w:b/>
                <w:bCs/>
                <w:color w:val="000000"/>
                <w:sz w:val="14"/>
                <w:szCs w:val="14"/>
                <w:lang w:eastAsia="es-MX"/>
              </w:rPr>
              <w:t>47,032,745</w:t>
            </w:r>
          </w:p>
        </w:tc>
      </w:tr>
      <w:tr w:rsidR="00F11740" w:rsidRPr="00F11740" w14:paraId="63E7C322" w14:textId="77777777" w:rsidTr="00F84089">
        <w:trPr>
          <w:trHeight w:val="283"/>
        </w:trPr>
        <w:tc>
          <w:tcPr>
            <w:tcW w:w="3114" w:type="dxa"/>
            <w:tcBorders>
              <w:top w:val="nil"/>
              <w:left w:val="single" w:sz="8" w:space="0" w:color="auto"/>
              <w:bottom w:val="nil"/>
              <w:right w:val="nil"/>
            </w:tcBorders>
            <w:shd w:val="clear" w:color="auto" w:fill="auto"/>
            <w:noWrap/>
            <w:vAlign w:val="bottom"/>
            <w:hideMark/>
          </w:tcPr>
          <w:p w14:paraId="34489E66"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Nuevo Laredo (CETES)</w:t>
            </w:r>
          </w:p>
        </w:tc>
        <w:tc>
          <w:tcPr>
            <w:tcW w:w="1417" w:type="dxa"/>
            <w:tcBorders>
              <w:top w:val="nil"/>
              <w:left w:val="nil"/>
              <w:bottom w:val="nil"/>
              <w:right w:val="nil"/>
            </w:tcBorders>
            <w:shd w:val="clear" w:color="auto" w:fill="auto"/>
            <w:noWrap/>
            <w:vAlign w:val="bottom"/>
            <w:hideMark/>
          </w:tcPr>
          <w:p w14:paraId="60F1702B"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Banobras</w:t>
            </w:r>
          </w:p>
        </w:tc>
        <w:tc>
          <w:tcPr>
            <w:tcW w:w="1261" w:type="dxa"/>
            <w:tcBorders>
              <w:top w:val="nil"/>
              <w:left w:val="nil"/>
              <w:bottom w:val="nil"/>
              <w:right w:val="nil"/>
            </w:tcBorders>
            <w:shd w:val="clear" w:color="auto" w:fill="auto"/>
            <w:noWrap/>
            <w:vAlign w:val="bottom"/>
            <w:hideMark/>
          </w:tcPr>
          <w:p w14:paraId="29690C8C" w14:textId="77777777" w:rsidR="00F11740" w:rsidRPr="00F11740" w:rsidRDefault="00F11740" w:rsidP="00EC7D22">
            <w:pPr>
              <w:suppressAutoHyphens w:val="0"/>
              <w:overflowPunct/>
              <w:spacing w:after="0" w:line="240" w:lineRule="auto"/>
              <w:jc w:val="center"/>
              <w:rPr>
                <w:rFonts w:eastAsia="Times New Roman" w:cs="Calibri"/>
                <w:color w:val="000000"/>
                <w:sz w:val="14"/>
                <w:szCs w:val="14"/>
                <w:lang w:eastAsia="es-MX"/>
              </w:rPr>
            </w:pPr>
            <w:r w:rsidRPr="00F11740">
              <w:rPr>
                <w:rFonts w:eastAsia="Times New Roman" w:cs="Calibri"/>
                <w:color w:val="000000"/>
                <w:sz w:val="14"/>
                <w:szCs w:val="14"/>
                <w:lang w:eastAsia="es-MX"/>
              </w:rPr>
              <w:t>25/200</w:t>
            </w:r>
          </w:p>
        </w:tc>
        <w:tc>
          <w:tcPr>
            <w:tcW w:w="1446" w:type="dxa"/>
            <w:tcBorders>
              <w:top w:val="nil"/>
              <w:left w:val="nil"/>
              <w:bottom w:val="nil"/>
              <w:right w:val="nil"/>
            </w:tcBorders>
            <w:shd w:val="clear" w:color="F2F2F2" w:fill="FFFFFF"/>
            <w:noWrap/>
            <w:vAlign w:val="bottom"/>
            <w:hideMark/>
          </w:tcPr>
          <w:p w14:paraId="3E13120E"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0</w:t>
            </w:r>
          </w:p>
        </w:tc>
        <w:tc>
          <w:tcPr>
            <w:tcW w:w="1546" w:type="dxa"/>
            <w:gridSpan w:val="2"/>
            <w:tcBorders>
              <w:top w:val="nil"/>
              <w:left w:val="nil"/>
              <w:bottom w:val="nil"/>
              <w:right w:val="single" w:sz="8" w:space="0" w:color="auto"/>
            </w:tcBorders>
            <w:shd w:val="clear" w:color="auto" w:fill="auto"/>
            <w:noWrap/>
            <w:vAlign w:val="bottom"/>
            <w:hideMark/>
          </w:tcPr>
          <w:p w14:paraId="7CA86997"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F11740" w14:paraId="580349AF" w14:textId="77777777" w:rsidTr="00F84089">
        <w:trPr>
          <w:trHeight w:val="283"/>
        </w:trPr>
        <w:tc>
          <w:tcPr>
            <w:tcW w:w="3114" w:type="dxa"/>
            <w:tcBorders>
              <w:top w:val="nil"/>
              <w:left w:val="single" w:sz="8" w:space="0" w:color="auto"/>
              <w:bottom w:val="nil"/>
              <w:right w:val="nil"/>
            </w:tcBorders>
            <w:shd w:val="clear" w:color="auto" w:fill="auto"/>
            <w:noWrap/>
            <w:vAlign w:val="bottom"/>
            <w:hideMark/>
          </w:tcPr>
          <w:p w14:paraId="4D35E42A"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Nuevo Laredo (UDIS)</w:t>
            </w:r>
          </w:p>
        </w:tc>
        <w:tc>
          <w:tcPr>
            <w:tcW w:w="1417" w:type="dxa"/>
            <w:tcBorders>
              <w:top w:val="nil"/>
              <w:left w:val="nil"/>
              <w:bottom w:val="nil"/>
              <w:right w:val="nil"/>
            </w:tcBorders>
            <w:shd w:val="clear" w:color="auto" w:fill="auto"/>
            <w:noWrap/>
            <w:vAlign w:val="bottom"/>
            <w:hideMark/>
          </w:tcPr>
          <w:p w14:paraId="277EFFEB"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Banobras</w:t>
            </w:r>
          </w:p>
        </w:tc>
        <w:tc>
          <w:tcPr>
            <w:tcW w:w="1261" w:type="dxa"/>
            <w:tcBorders>
              <w:top w:val="nil"/>
              <w:left w:val="nil"/>
              <w:bottom w:val="nil"/>
              <w:right w:val="nil"/>
            </w:tcBorders>
            <w:shd w:val="clear" w:color="auto" w:fill="auto"/>
            <w:noWrap/>
            <w:vAlign w:val="bottom"/>
            <w:hideMark/>
          </w:tcPr>
          <w:p w14:paraId="4E2C99FC" w14:textId="77777777" w:rsidR="00F11740" w:rsidRPr="00F11740" w:rsidRDefault="00F11740" w:rsidP="00EC7D22">
            <w:pPr>
              <w:suppressAutoHyphens w:val="0"/>
              <w:overflowPunct/>
              <w:spacing w:after="0" w:line="240" w:lineRule="auto"/>
              <w:jc w:val="center"/>
              <w:rPr>
                <w:rFonts w:eastAsia="Times New Roman" w:cs="Calibri"/>
                <w:color w:val="000000"/>
                <w:sz w:val="14"/>
                <w:szCs w:val="14"/>
                <w:lang w:eastAsia="es-MX"/>
              </w:rPr>
            </w:pPr>
            <w:r w:rsidRPr="00F11740">
              <w:rPr>
                <w:rFonts w:eastAsia="Times New Roman" w:cs="Calibri"/>
                <w:color w:val="000000"/>
                <w:sz w:val="14"/>
                <w:szCs w:val="14"/>
                <w:lang w:eastAsia="es-MX"/>
              </w:rPr>
              <w:t>25/200</w:t>
            </w:r>
          </w:p>
        </w:tc>
        <w:tc>
          <w:tcPr>
            <w:tcW w:w="1446" w:type="dxa"/>
            <w:tcBorders>
              <w:top w:val="nil"/>
              <w:left w:val="nil"/>
              <w:bottom w:val="nil"/>
              <w:right w:val="nil"/>
            </w:tcBorders>
            <w:shd w:val="clear" w:color="F2F2F2" w:fill="FFFFFF"/>
            <w:noWrap/>
            <w:vAlign w:val="bottom"/>
            <w:hideMark/>
          </w:tcPr>
          <w:p w14:paraId="201C3A8E"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0</w:t>
            </w:r>
          </w:p>
        </w:tc>
        <w:tc>
          <w:tcPr>
            <w:tcW w:w="1546" w:type="dxa"/>
            <w:gridSpan w:val="2"/>
            <w:tcBorders>
              <w:top w:val="nil"/>
              <w:left w:val="nil"/>
              <w:bottom w:val="nil"/>
              <w:right w:val="single" w:sz="8" w:space="0" w:color="auto"/>
            </w:tcBorders>
            <w:shd w:val="clear" w:color="auto" w:fill="auto"/>
            <w:noWrap/>
            <w:vAlign w:val="bottom"/>
            <w:hideMark/>
          </w:tcPr>
          <w:p w14:paraId="75FF238A"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F11740" w14:paraId="5C0F5A76" w14:textId="77777777" w:rsidTr="00F84089">
        <w:trPr>
          <w:trHeight w:val="283"/>
        </w:trPr>
        <w:tc>
          <w:tcPr>
            <w:tcW w:w="3114" w:type="dxa"/>
            <w:tcBorders>
              <w:top w:val="nil"/>
              <w:left w:val="single" w:sz="8" w:space="0" w:color="auto"/>
              <w:bottom w:val="nil"/>
              <w:right w:val="nil"/>
            </w:tcBorders>
            <w:shd w:val="clear" w:color="auto" w:fill="auto"/>
            <w:noWrap/>
            <w:vAlign w:val="bottom"/>
            <w:hideMark/>
          </w:tcPr>
          <w:p w14:paraId="112EB5CA"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Nuevo Laredo </w:t>
            </w:r>
          </w:p>
        </w:tc>
        <w:tc>
          <w:tcPr>
            <w:tcW w:w="1417" w:type="dxa"/>
            <w:tcBorders>
              <w:top w:val="nil"/>
              <w:left w:val="nil"/>
              <w:bottom w:val="nil"/>
              <w:right w:val="nil"/>
            </w:tcBorders>
            <w:shd w:val="clear" w:color="auto" w:fill="auto"/>
            <w:noWrap/>
            <w:vAlign w:val="bottom"/>
            <w:hideMark/>
          </w:tcPr>
          <w:p w14:paraId="4800B97C"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proofErr w:type="spellStart"/>
            <w:r w:rsidRPr="00F11740">
              <w:rPr>
                <w:rFonts w:eastAsia="Times New Roman" w:cs="Calibri"/>
                <w:color w:val="000000"/>
                <w:sz w:val="14"/>
                <w:szCs w:val="14"/>
                <w:lang w:eastAsia="es-MX"/>
              </w:rPr>
              <w:t>Cofidan</w:t>
            </w:r>
            <w:proofErr w:type="spellEnd"/>
          </w:p>
        </w:tc>
        <w:tc>
          <w:tcPr>
            <w:tcW w:w="1261" w:type="dxa"/>
            <w:tcBorders>
              <w:top w:val="nil"/>
              <w:left w:val="nil"/>
              <w:bottom w:val="nil"/>
              <w:right w:val="nil"/>
            </w:tcBorders>
            <w:shd w:val="clear" w:color="auto" w:fill="auto"/>
            <w:noWrap/>
            <w:vAlign w:val="bottom"/>
            <w:hideMark/>
          </w:tcPr>
          <w:p w14:paraId="5ED89F3D" w14:textId="77777777" w:rsidR="00F11740" w:rsidRPr="00F11740" w:rsidRDefault="00F11740" w:rsidP="00EC7D22">
            <w:pPr>
              <w:suppressAutoHyphens w:val="0"/>
              <w:overflowPunct/>
              <w:spacing w:after="0" w:line="240" w:lineRule="auto"/>
              <w:jc w:val="center"/>
              <w:rPr>
                <w:rFonts w:eastAsia="Times New Roman" w:cs="Calibri"/>
                <w:color w:val="000000"/>
                <w:sz w:val="14"/>
                <w:szCs w:val="14"/>
                <w:lang w:eastAsia="es-MX"/>
              </w:rPr>
            </w:pPr>
            <w:r w:rsidRPr="00F11740">
              <w:rPr>
                <w:rFonts w:eastAsia="Times New Roman" w:cs="Calibri"/>
                <w:color w:val="000000"/>
                <w:sz w:val="14"/>
                <w:szCs w:val="14"/>
                <w:lang w:eastAsia="es-MX"/>
              </w:rPr>
              <w:t>032/2008</w:t>
            </w:r>
          </w:p>
        </w:tc>
        <w:tc>
          <w:tcPr>
            <w:tcW w:w="1446" w:type="dxa"/>
            <w:tcBorders>
              <w:top w:val="nil"/>
              <w:left w:val="nil"/>
              <w:bottom w:val="nil"/>
              <w:right w:val="nil"/>
            </w:tcBorders>
            <w:shd w:val="clear" w:color="F2F2F2" w:fill="FFFFFF"/>
            <w:noWrap/>
            <w:vAlign w:val="bottom"/>
            <w:hideMark/>
          </w:tcPr>
          <w:p w14:paraId="3761D528"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47,032,745</w:t>
            </w:r>
          </w:p>
        </w:tc>
        <w:tc>
          <w:tcPr>
            <w:tcW w:w="1546" w:type="dxa"/>
            <w:gridSpan w:val="2"/>
            <w:tcBorders>
              <w:top w:val="nil"/>
              <w:left w:val="nil"/>
              <w:bottom w:val="nil"/>
              <w:right w:val="single" w:sz="8" w:space="0" w:color="auto"/>
            </w:tcBorders>
            <w:shd w:val="clear" w:color="auto" w:fill="auto"/>
            <w:noWrap/>
            <w:vAlign w:val="bottom"/>
            <w:hideMark/>
          </w:tcPr>
          <w:p w14:paraId="3F3B2BE2"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F11740" w14:paraId="6FFA9D0A" w14:textId="77777777" w:rsidTr="00F84089">
        <w:trPr>
          <w:trHeight w:val="286"/>
        </w:trPr>
        <w:tc>
          <w:tcPr>
            <w:tcW w:w="3114" w:type="dxa"/>
            <w:tcBorders>
              <w:top w:val="nil"/>
              <w:left w:val="single" w:sz="8" w:space="0" w:color="auto"/>
              <w:bottom w:val="nil"/>
              <w:right w:val="nil"/>
            </w:tcBorders>
            <w:shd w:val="clear" w:color="auto" w:fill="auto"/>
            <w:noWrap/>
            <w:vAlign w:val="bottom"/>
            <w:hideMark/>
          </w:tcPr>
          <w:p w14:paraId="540E4725"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c>
          <w:tcPr>
            <w:tcW w:w="1417" w:type="dxa"/>
            <w:tcBorders>
              <w:top w:val="nil"/>
              <w:left w:val="nil"/>
              <w:bottom w:val="nil"/>
              <w:right w:val="nil"/>
            </w:tcBorders>
            <w:shd w:val="clear" w:color="auto" w:fill="auto"/>
            <w:noWrap/>
            <w:vAlign w:val="bottom"/>
            <w:hideMark/>
          </w:tcPr>
          <w:p w14:paraId="42CC2DF5"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p>
        </w:tc>
        <w:tc>
          <w:tcPr>
            <w:tcW w:w="1261" w:type="dxa"/>
            <w:tcBorders>
              <w:top w:val="nil"/>
              <w:left w:val="nil"/>
              <w:bottom w:val="nil"/>
              <w:right w:val="nil"/>
            </w:tcBorders>
            <w:shd w:val="clear" w:color="auto" w:fill="auto"/>
            <w:noWrap/>
            <w:vAlign w:val="bottom"/>
            <w:hideMark/>
          </w:tcPr>
          <w:p w14:paraId="2E0BEFD7" w14:textId="77777777" w:rsidR="00F11740" w:rsidRPr="00F11740" w:rsidRDefault="00F11740" w:rsidP="00EC7D22">
            <w:pPr>
              <w:suppressAutoHyphens w:val="0"/>
              <w:overflowPunct/>
              <w:spacing w:after="0" w:line="240" w:lineRule="auto"/>
              <w:rPr>
                <w:rFonts w:ascii="Times New Roman" w:eastAsia="Times New Roman" w:hAnsi="Times New Roman"/>
                <w:sz w:val="20"/>
                <w:szCs w:val="20"/>
                <w:lang w:eastAsia="es-MX"/>
              </w:rPr>
            </w:pPr>
          </w:p>
        </w:tc>
        <w:tc>
          <w:tcPr>
            <w:tcW w:w="1446" w:type="dxa"/>
            <w:tcBorders>
              <w:top w:val="nil"/>
              <w:left w:val="nil"/>
              <w:bottom w:val="nil"/>
              <w:right w:val="nil"/>
            </w:tcBorders>
            <w:shd w:val="clear" w:color="F2F2F2" w:fill="FFFFFF"/>
            <w:noWrap/>
            <w:vAlign w:val="bottom"/>
            <w:hideMark/>
          </w:tcPr>
          <w:p w14:paraId="1AFCCACC"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c>
          <w:tcPr>
            <w:tcW w:w="1546" w:type="dxa"/>
            <w:gridSpan w:val="2"/>
            <w:tcBorders>
              <w:top w:val="nil"/>
              <w:left w:val="nil"/>
              <w:bottom w:val="nil"/>
              <w:right w:val="single" w:sz="8" w:space="0" w:color="auto"/>
            </w:tcBorders>
            <w:shd w:val="clear" w:color="auto" w:fill="auto"/>
            <w:noWrap/>
            <w:vAlign w:val="bottom"/>
            <w:hideMark/>
          </w:tcPr>
          <w:p w14:paraId="6EFCB6B8"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F11740" w14:paraId="73899F56" w14:textId="77777777" w:rsidTr="00F84089">
        <w:trPr>
          <w:trHeight w:val="286"/>
        </w:trPr>
        <w:tc>
          <w:tcPr>
            <w:tcW w:w="4531" w:type="dxa"/>
            <w:gridSpan w:val="2"/>
            <w:tcBorders>
              <w:top w:val="nil"/>
              <w:left w:val="single" w:sz="8" w:space="0" w:color="auto"/>
              <w:bottom w:val="nil"/>
              <w:right w:val="nil"/>
            </w:tcBorders>
            <w:shd w:val="clear" w:color="auto" w:fill="auto"/>
            <w:noWrap/>
            <w:vAlign w:val="center"/>
            <w:hideMark/>
          </w:tcPr>
          <w:p w14:paraId="7C676D8F" w14:textId="77777777" w:rsidR="00F11740" w:rsidRPr="00F11740" w:rsidRDefault="00F11740" w:rsidP="00EC7D22">
            <w:pPr>
              <w:suppressAutoHyphens w:val="0"/>
              <w:overflowPunct/>
              <w:spacing w:after="0" w:line="240" w:lineRule="auto"/>
              <w:rPr>
                <w:rFonts w:eastAsia="Times New Roman" w:cs="Calibri"/>
                <w:b/>
                <w:bCs/>
                <w:color w:val="000000"/>
                <w:sz w:val="14"/>
                <w:szCs w:val="14"/>
                <w:lang w:eastAsia="es-MX"/>
              </w:rPr>
            </w:pPr>
            <w:r w:rsidRPr="00F11740">
              <w:rPr>
                <w:rFonts w:eastAsia="Times New Roman" w:cs="Calibri"/>
                <w:b/>
                <w:bCs/>
                <w:color w:val="000000"/>
                <w:sz w:val="14"/>
                <w:szCs w:val="14"/>
                <w:lang w:eastAsia="es-MX"/>
              </w:rPr>
              <w:t>A Organismos Operadores del Agua</w:t>
            </w:r>
          </w:p>
        </w:tc>
        <w:tc>
          <w:tcPr>
            <w:tcW w:w="1261" w:type="dxa"/>
            <w:tcBorders>
              <w:top w:val="nil"/>
              <w:left w:val="nil"/>
              <w:bottom w:val="nil"/>
              <w:right w:val="nil"/>
            </w:tcBorders>
            <w:shd w:val="clear" w:color="auto" w:fill="auto"/>
            <w:noWrap/>
            <w:vAlign w:val="center"/>
            <w:hideMark/>
          </w:tcPr>
          <w:p w14:paraId="26E2FA91" w14:textId="77777777" w:rsidR="00F11740" w:rsidRPr="00F11740" w:rsidRDefault="00F11740" w:rsidP="00EC7D22">
            <w:pPr>
              <w:suppressAutoHyphens w:val="0"/>
              <w:overflowPunct/>
              <w:spacing w:after="0" w:line="240" w:lineRule="auto"/>
              <w:rPr>
                <w:rFonts w:eastAsia="Times New Roman" w:cs="Calibri"/>
                <w:b/>
                <w:bCs/>
                <w:color w:val="000000"/>
                <w:sz w:val="14"/>
                <w:szCs w:val="14"/>
                <w:lang w:eastAsia="es-MX"/>
              </w:rPr>
            </w:pPr>
          </w:p>
        </w:tc>
        <w:tc>
          <w:tcPr>
            <w:tcW w:w="1446" w:type="dxa"/>
            <w:tcBorders>
              <w:top w:val="nil"/>
              <w:left w:val="nil"/>
              <w:bottom w:val="nil"/>
              <w:right w:val="nil"/>
            </w:tcBorders>
            <w:shd w:val="clear" w:color="F2F2F2" w:fill="FFFFFF"/>
            <w:noWrap/>
            <w:vAlign w:val="center"/>
            <w:hideMark/>
          </w:tcPr>
          <w:p w14:paraId="6CB34AA4" w14:textId="77777777" w:rsidR="00F11740" w:rsidRPr="00F11740" w:rsidRDefault="00F11740" w:rsidP="00EC7D22">
            <w:pPr>
              <w:suppressAutoHyphens w:val="0"/>
              <w:overflowPunct/>
              <w:spacing w:after="0" w:line="240" w:lineRule="auto"/>
              <w:rPr>
                <w:rFonts w:eastAsia="Times New Roman" w:cs="Calibri"/>
                <w:b/>
                <w:bCs/>
                <w:color w:val="000000"/>
                <w:sz w:val="14"/>
                <w:szCs w:val="14"/>
                <w:lang w:eastAsia="es-MX"/>
              </w:rPr>
            </w:pPr>
            <w:r w:rsidRPr="00F11740">
              <w:rPr>
                <w:rFonts w:eastAsia="Times New Roman" w:cs="Calibri"/>
                <w:b/>
                <w:bCs/>
                <w:color w:val="000000"/>
                <w:sz w:val="14"/>
                <w:szCs w:val="14"/>
                <w:lang w:eastAsia="es-MX"/>
              </w:rPr>
              <w:t> </w:t>
            </w:r>
          </w:p>
        </w:tc>
        <w:tc>
          <w:tcPr>
            <w:tcW w:w="1546" w:type="dxa"/>
            <w:gridSpan w:val="2"/>
            <w:tcBorders>
              <w:top w:val="nil"/>
              <w:left w:val="nil"/>
              <w:bottom w:val="nil"/>
              <w:right w:val="single" w:sz="8" w:space="0" w:color="auto"/>
            </w:tcBorders>
            <w:shd w:val="clear" w:color="auto" w:fill="auto"/>
            <w:noWrap/>
            <w:vAlign w:val="center"/>
            <w:hideMark/>
          </w:tcPr>
          <w:p w14:paraId="354357BC" w14:textId="77777777" w:rsidR="00F11740" w:rsidRPr="00F11740" w:rsidRDefault="00F11740" w:rsidP="00EC7D22">
            <w:pPr>
              <w:suppressAutoHyphens w:val="0"/>
              <w:overflowPunct/>
              <w:spacing w:after="0" w:line="240" w:lineRule="auto"/>
              <w:jc w:val="right"/>
              <w:rPr>
                <w:rFonts w:eastAsia="Times New Roman" w:cs="Calibri"/>
                <w:b/>
                <w:bCs/>
                <w:color w:val="000000"/>
                <w:sz w:val="14"/>
                <w:szCs w:val="14"/>
                <w:lang w:eastAsia="es-MX"/>
              </w:rPr>
            </w:pPr>
            <w:r w:rsidRPr="00F11740">
              <w:rPr>
                <w:rFonts w:eastAsia="Times New Roman" w:cs="Calibri"/>
                <w:b/>
                <w:bCs/>
                <w:color w:val="000000"/>
                <w:sz w:val="14"/>
                <w:szCs w:val="14"/>
                <w:lang w:eastAsia="es-MX"/>
              </w:rPr>
              <w:t>17,209,680</w:t>
            </w:r>
          </w:p>
        </w:tc>
      </w:tr>
      <w:tr w:rsidR="00F11740" w:rsidRPr="00F11740" w14:paraId="241FDC21" w14:textId="77777777" w:rsidTr="00F84089">
        <w:trPr>
          <w:trHeight w:val="283"/>
        </w:trPr>
        <w:tc>
          <w:tcPr>
            <w:tcW w:w="3114" w:type="dxa"/>
            <w:tcBorders>
              <w:top w:val="nil"/>
              <w:left w:val="single" w:sz="8" w:space="0" w:color="auto"/>
              <w:bottom w:val="nil"/>
              <w:right w:val="nil"/>
            </w:tcBorders>
            <w:shd w:val="clear" w:color="auto" w:fill="auto"/>
            <w:noWrap/>
            <w:vAlign w:val="bottom"/>
            <w:hideMark/>
          </w:tcPr>
          <w:p w14:paraId="01B2907F"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xml:space="preserve">Comapa </w:t>
            </w:r>
            <w:proofErr w:type="spellStart"/>
            <w:r w:rsidRPr="00F11740">
              <w:rPr>
                <w:rFonts w:eastAsia="Times New Roman" w:cs="Calibri"/>
                <w:color w:val="000000"/>
                <w:sz w:val="14"/>
                <w:szCs w:val="14"/>
                <w:lang w:eastAsia="es-MX"/>
              </w:rPr>
              <w:t>Nvo</w:t>
            </w:r>
            <w:proofErr w:type="spellEnd"/>
            <w:r w:rsidRPr="00F11740">
              <w:rPr>
                <w:rFonts w:eastAsia="Times New Roman" w:cs="Calibri"/>
                <w:color w:val="000000"/>
                <w:sz w:val="14"/>
                <w:szCs w:val="14"/>
                <w:lang w:eastAsia="es-MX"/>
              </w:rPr>
              <w:t xml:space="preserve"> Laredo</w:t>
            </w:r>
          </w:p>
        </w:tc>
        <w:tc>
          <w:tcPr>
            <w:tcW w:w="1417" w:type="dxa"/>
            <w:tcBorders>
              <w:top w:val="nil"/>
              <w:left w:val="nil"/>
              <w:bottom w:val="nil"/>
              <w:right w:val="nil"/>
            </w:tcBorders>
            <w:shd w:val="clear" w:color="auto" w:fill="auto"/>
            <w:noWrap/>
            <w:vAlign w:val="bottom"/>
            <w:hideMark/>
          </w:tcPr>
          <w:p w14:paraId="3A5DFB21"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proofErr w:type="spellStart"/>
            <w:r w:rsidRPr="00F11740">
              <w:rPr>
                <w:rFonts w:eastAsia="Times New Roman" w:cs="Calibri"/>
                <w:color w:val="000000"/>
                <w:sz w:val="14"/>
                <w:szCs w:val="14"/>
                <w:lang w:eastAsia="es-MX"/>
              </w:rPr>
              <w:t>Cofidan</w:t>
            </w:r>
            <w:proofErr w:type="spellEnd"/>
          </w:p>
        </w:tc>
        <w:tc>
          <w:tcPr>
            <w:tcW w:w="1261" w:type="dxa"/>
            <w:tcBorders>
              <w:top w:val="nil"/>
              <w:left w:val="nil"/>
              <w:bottom w:val="nil"/>
              <w:right w:val="nil"/>
            </w:tcBorders>
            <w:shd w:val="clear" w:color="auto" w:fill="auto"/>
            <w:noWrap/>
            <w:vAlign w:val="bottom"/>
            <w:hideMark/>
          </w:tcPr>
          <w:p w14:paraId="4277F429" w14:textId="77777777" w:rsidR="00F11740" w:rsidRPr="00F11740" w:rsidRDefault="00F11740" w:rsidP="00EC7D22">
            <w:pPr>
              <w:suppressAutoHyphens w:val="0"/>
              <w:overflowPunct/>
              <w:spacing w:after="0" w:line="240" w:lineRule="auto"/>
              <w:jc w:val="center"/>
              <w:rPr>
                <w:rFonts w:eastAsia="Times New Roman" w:cs="Calibri"/>
                <w:color w:val="000000"/>
                <w:sz w:val="14"/>
                <w:szCs w:val="14"/>
                <w:lang w:eastAsia="es-MX"/>
              </w:rPr>
            </w:pPr>
            <w:r w:rsidRPr="00F11740">
              <w:rPr>
                <w:rFonts w:eastAsia="Times New Roman" w:cs="Calibri"/>
                <w:color w:val="000000"/>
                <w:sz w:val="14"/>
                <w:szCs w:val="14"/>
                <w:lang w:eastAsia="es-MX"/>
              </w:rPr>
              <w:t>308/2006</w:t>
            </w:r>
          </w:p>
        </w:tc>
        <w:tc>
          <w:tcPr>
            <w:tcW w:w="1446" w:type="dxa"/>
            <w:tcBorders>
              <w:top w:val="nil"/>
              <w:left w:val="nil"/>
              <w:bottom w:val="nil"/>
              <w:right w:val="nil"/>
            </w:tcBorders>
            <w:shd w:val="clear" w:color="F2F2F2" w:fill="FFFFFF"/>
            <w:noWrap/>
            <w:vAlign w:val="bottom"/>
            <w:hideMark/>
          </w:tcPr>
          <w:p w14:paraId="0EDEAB34"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6,841,680</w:t>
            </w:r>
          </w:p>
        </w:tc>
        <w:tc>
          <w:tcPr>
            <w:tcW w:w="1546" w:type="dxa"/>
            <w:gridSpan w:val="2"/>
            <w:tcBorders>
              <w:top w:val="nil"/>
              <w:left w:val="nil"/>
              <w:bottom w:val="nil"/>
              <w:right w:val="single" w:sz="8" w:space="0" w:color="auto"/>
            </w:tcBorders>
            <w:shd w:val="clear" w:color="auto" w:fill="auto"/>
            <w:noWrap/>
            <w:vAlign w:val="bottom"/>
            <w:hideMark/>
          </w:tcPr>
          <w:p w14:paraId="0F5AA95C"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F11740" w14:paraId="39C0EB8E" w14:textId="77777777" w:rsidTr="00F84089">
        <w:trPr>
          <w:trHeight w:val="286"/>
        </w:trPr>
        <w:tc>
          <w:tcPr>
            <w:tcW w:w="3114" w:type="dxa"/>
            <w:tcBorders>
              <w:top w:val="nil"/>
              <w:left w:val="single" w:sz="8" w:space="0" w:color="auto"/>
              <w:bottom w:val="nil"/>
              <w:right w:val="nil"/>
            </w:tcBorders>
            <w:shd w:val="clear" w:color="auto" w:fill="auto"/>
            <w:noWrap/>
            <w:vAlign w:val="bottom"/>
            <w:hideMark/>
          </w:tcPr>
          <w:p w14:paraId="754CB02F"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Comapa Río Bravo</w:t>
            </w:r>
          </w:p>
        </w:tc>
        <w:tc>
          <w:tcPr>
            <w:tcW w:w="1417" w:type="dxa"/>
            <w:tcBorders>
              <w:top w:val="nil"/>
              <w:left w:val="nil"/>
              <w:bottom w:val="nil"/>
              <w:right w:val="nil"/>
            </w:tcBorders>
            <w:shd w:val="clear" w:color="auto" w:fill="auto"/>
            <w:noWrap/>
            <w:vAlign w:val="bottom"/>
            <w:hideMark/>
          </w:tcPr>
          <w:p w14:paraId="1A0FDEE2"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proofErr w:type="spellStart"/>
            <w:r w:rsidRPr="00F11740">
              <w:rPr>
                <w:rFonts w:eastAsia="Times New Roman" w:cs="Calibri"/>
                <w:color w:val="000000"/>
                <w:sz w:val="14"/>
                <w:szCs w:val="14"/>
                <w:lang w:eastAsia="es-MX"/>
              </w:rPr>
              <w:t>Cofidan</w:t>
            </w:r>
            <w:proofErr w:type="spellEnd"/>
          </w:p>
        </w:tc>
        <w:tc>
          <w:tcPr>
            <w:tcW w:w="1261" w:type="dxa"/>
            <w:tcBorders>
              <w:top w:val="nil"/>
              <w:left w:val="nil"/>
              <w:bottom w:val="nil"/>
              <w:right w:val="nil"/>
            </w:tcBorders>
            <w:shd w:val="clear" w:color="auto" w:fill="auto"/>
            <w:noWrap/>
            <w:vAlign w:val="bottom"/>
            <w:hideMark/>
          </w:tcPr>
          <w:p w14:paraId="6DE6357A" w14:textId="77777777" w:rsidR="00F11740" w:rsidRPr="00F11740" w:rsidRDefault="00F11740" w:rsidP="00EC7D22">
            <w:pPr>
              <w:suppressAutoHyphens w:val="0"/>
              <w:overflowPunct/>
              <w:spacing w:after="0" w:line="240" w:lineRule="auto"/>
              <w:jc w:val="center"/>
              <w:rPr>
                <w:rFonts w:eastAsia="Times New Roman" w:cs="Calibri"/>
                <w:color w:val="000000"/>
                <w:sz w:val="14"/>
                <w:szCs w:val="14"/>
                <w:lang w:eastAsia="es-MX"/>
              </w:rPr>
            </w:pPr>
            <w:r w:rsidRPr="00F11740">
              <w:rPr>
                <w:rFonts w:eastAsia="Times New Roman" w:cs="Calibri"/>
                <w:color w:val="000000"/>
                <w:sz w:val="14"/>
                <w:szCs w:val="14"/>
                <w:lang w:eastAsia="es-MX"/>
              </w:rPr>
              <w:t>193/2008</w:t>
            </w:r>
          </w:p>
        </w:tc>
        <w:tc>
          <w:tcPr>
            <w:tcW w:w="1446" w:type="dxa"/>
            <w:tcBorders>
              <w:top w:val="nil"/>
              <w:left w:val="nil"/>
              <w:bottom w:val="nil"/>
              <w:right w:val="nil"/>
            </w:tcBorders>
            <w:shd w:val="clear" w:color="F2F2F2" w:fill="FFFFFF"/>
            <w:noWrap/>
            <w:vAlign w:val="bottom"/>
            <w:hideMark/>
          </w:tcPr>
          <w:p w14:paraId="339E7E0F"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10,368,000</w:t>
            </w:r>
          </w:p>
        </w:tc>
        <w:tc>
          <w:tcPr>
            <w:tcW w:w="1546" w:type="dxa"/>
            <w:gridSpan w:val="2"/>
            <w:tcBorders>
              <w:top w:val="nil"/>
              <w:left w:val="nil"/>
              <w:bottom w:val="nil"/>
              <w:right w:val="single" w:sz="8" w:space="0" w:color="auto"/>
            </w:tcBorders>
            <w:shd w:val="clear" w:color="auto" w:fill="auto"/>
            <w:noWrap/>
            <w:vAlign w:val="bottom"/>
            <w:hideMark/>
          </w:tcPr>
          <w:p w14:paraId="6256DF49"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F11740" w14:paraId="38F8547A" w14:textId="77777777" w:rsidTr="00F84089">
        <w:trPr>
          <w:trHeight w:val="286"/>
        </w:trPr>
        <w:tc>
          <w:tcPr>
            <w:tcW w:w="3114" w:type="dxa"/>
            <w:tcBorders>
              <w:top w:val="nil"/>
              <w:left w:val="single" w:sz="8" w:space="0" w:color="auto"/>
              <w:bottom w:val="nil"/>
              <w:right w:val="nil"/>
            </w:tcBorders>
            <w:shd w:val="clear" w:color="auto" w:fill="auto"/>
            <w:noWrap/>
            <w:vAlign w:val="bottom"/>
            <w:hideMark/>
          </w:tcPr>
          <w:p w14:paraId="39197FFA"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Comapa Zona Conurbada</w:t>
            </w:r>
          </w:p>
        </w:tc>
        <w:tc>
          <w:tcPr>
            <w:tcW w:w="1417" w:type="dxa"/>
            <w:tcBorders>
              <w:top w:val="nil"/>
              <w:left w:val="nil"/>
              <w:bottom w:val="nil"/>
              <w:right w:val="nil"/>
            </w:tcBorders>
            <w:shd w:val="clear" w:color="auto" w:fill="auto"/>
            <w:noWrap/>
            <w:vAlign w:val="bottom"/>
            <w:hideMark/>
          </w:tcPr>
          <w:p w14:paraId="224F680C"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Interacciones</w:t>
            </w:r>
          </w:p>
        </w:tc>
        <w:tc>
          <w:tcPr>
            <w:tcW w:w="1261" w:type="dxa"/>
            <w:tcBorders>
              <w:top w:val="nil"/>
              <w:left w:val="nil"/>
              <w:bottom w:val="nil"/>
              <w:right w:val="nil"/>
            </w:tcBorders>
            <w:shd w:val="clear" w:color="auto" w:fill="auto"/>
            <w:noWrap/>
            <w:vAlign w:val="bottom"/>
            <w:hideMark/>
          </w:tcPr>
          <w:p w14:paraId="5B57601C" w14:textId="77777777" w:rsidR="00F11740" w:rsidRPr="00F11740" w:rsidRDefault="00F11740" w:rsidP="00EC7D22">
            <w:pPr>
              <w:suppressAutoHyphens w:val="0"/>
              <w:overflowPunct/>
              <w:spacing w:after="0" w:line="240" w:lineRule="auto"/>
              <w:jc w:val="center"/>
              <w:rPr>
                <w:rFonts w:eastAsia="Times New Roman" w:cs="Calibri"/>
                <w:color w:val="000000"/>
                <w:sz w:val="14"/>
                <w:szCs w:val="14"/>
                <w:lang w:eastAsia="es-MX"/>
              </w:rPr>
            </w:pPr>
            <w:r w:rsidRPr="00F11740">
              <w:rPr>
                <w:rFonts w:eastAsia="Times New Roman" w:cs="Calibri"/>
                <w:color w:val="000000"/>
                <w:sz w:val="14"/>
                <w:szCs w:val="14"/>
                <w:lang w:eastAsia="es-MX"/>
              </w:rPr>
              <w:t>053/2010</w:t>
            </w:r>
          </w:p>
        </w:tc>
        <w:tc>
          <w:tcPr>
            <w:tcW w:w="1446" w:type="dxa"/>
            <w:tcBorders>
              <w:top w:val="nil"/>
              <w:left w:val="nil"/>
              <w:bottom w:val="nil"/>
              <w:right w:val="nil"/>
            </w:tcBorders>
            <w:shd w:val="clear" w:color="F2F2F2" w:fill="FFFFFF"/>
            <w:noWrap/>
            <w:vAlign w:val="bottom"/>
            <w:hideMark/>
          </w:tcPr>
          <w:p w14:paraId="420F0483"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0</w:t>
            </w:r>
          </w:p>
        </w:tc>
        <w:tc>
          <w:tcPr>
            <w:tcW w:w="1546" w:type="dxa"/>
            <w:gridSpan w:val="2"/>
            <w:tcBorders>
              <w:top w:val="nil"/>
              <w:left w:val="nil"/>
              <w:bottom w:val="nil"/>
              <w:right w:val="single" w:sz="8" w:space="0" w:color="auto"/>
            </w:tcBorders>
            <w:shd w:val="clear" w:color="auto" w:fill="auto"/>
            <w:noWrap/>
            <w:vAlign w:val="bottom"/>
            <w:hideMark/>
          </w:tcPr>
          <w:p w14:paraId="552CF679"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F11740" w14:paraId="19444247" w14:textId="77777777" w:rsidTr="00F84089">
        <w:trPr>
          <w:trHeight w:val="286"/>
        </w:trPr>
        <w:tc>
          <w:tcPr>
            <w:tcW w:w="3114" w:type="dxa"/>
            <w:tcBorders>
              <w:top w:val="nil"/>
              <w:left w:val="single" w:sz="8" w:space="0" w:color="auto"/>
              <w:bottom w:val="nil"/>
              <w:right w:val="nil"/>
            </w:tcBorders>
            <w:shd w:val="clear" w:color="auto" w:fill="auto"/>
            <w:noWrap/>
            <w:vAlign w:val="bottom"/>
            <w:hideMark/>
          </w:tcPr>
          <w:p w14:paraId="29CDA1F7"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c>
          <w:tcPr>
            <w:tcW w:w="1417" w:type="dxa"/>
            <w:tcBorders>
              <w:top w:val="nil"/>
              <w:left w:val="nil"/>
              <w:bottom w:val="nil"/>
              <w:right w:val="nil"/>
            </w:tcBorders>
            <w:shd w:val="clear" w:color="auto" w:fill="auto"/>
            <w:noWrap/>
            <w:vAlign w:val="bottom"/>
            <w:hideMark/>
          </w:tcPr>
          <w:p w14:paraId="50CB4BCF"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p>
        </w:tc>
        <w:tc>
          <w:tcPr>
            <w:tcW w:w="1261" w:type="dxa"/>
            <w:tcBorders>
              <w:top w:val="nil"/>
              <w:left w:val="nil"/>
              <w:bottom w:val="nil"/>
              <w:right w:val="nil"/>
            </w:tcBorders>
            <w:shd w:val="clear" w:color="auto" w:fill="auto"/>
            <w:noWrap/>
            <w:vAlign w:val="bottom"/>
            <w:hideMark/>
          </w:tcPr>
          <w:p w14:paraId="22281E31" w14:textId="77777777" w:rsidR="00F11740" w:rsidRPr="00F11740" w:rsidRDefault="00F11740" w:rsidP="00EC7D22">
            <w:pPr>
              <w:suppressAutoHyphens w:val="0"/>
              <w:overflowPunct/>
              <w:spacing w:after="0" w:line="240" w:lineRule="auto"/>
              <w:rPr>
                <w:rFonts w:ascii="Times New Roman" w:eastAsia="Times New Roman" w:hAnsi="Times New Roman"/>
                <w:sz w:val="20"/>
                <w:szCs w:val="20"/>
                <w:lang w:eastAsia="es-MX"/>
              </w:rPr>
            </w:pPr>
          </w:p>
        </w:tc>
        <w:tc>
          <w:tcPr>
            <w:tcW w:w="1446" w:type="dxa"/>
            <w:tcBorders>
              <w:top w:val="nil"/>
              <w:left w:val="nil"/>
              <w:bottom w:val="nil"/>
              <w:right w:val="nil"/>
            </w:tcBorders>
            <w:shd w:val="clear" w:color="F2F2F2" w:fill="FFFFFF"/>
            <w:noWrap/>
            <w:vAlign w:val="bottom"/>
            <w:hideMark/>
          </w:tcPr>
          <w:p w14:paraId="781AF70B"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c>
          <w:tcPr>
            <w:tcW w:w="1546" w:type="dxa"/>
            <w:gridSpan w:val="2"/>
            <w:tcBorders>
              <w:top w:val="nil"/>
              <w:left w:val="nil"/>
              <w:bottom w:val="nil"/>
              <w:right w:val="single" w:sz="8" w:space="0" w:color="auto"/>
            </w:tcBorders>
            <w:shd w:val="clear" w:color="auto" w:fill="auto"/>
            <w:noWrap/>
            <w:vAlign w:val="bottom"/>
            <w:hideMark/>
          </w:tcPr>
          <w:p w14:paraId="3D845882"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F11740" w14:paraId="63382737" w14:textId="77777777" w:rsidTr="00F84089">
        <w:trPr>
          <w:trHeight w:val="286"/>
        </w:trPr>
        <w:tc>
          <w:tcPr>
            <w:tcW w:w="4531" w:type="dxa"/>
            <w:gridSpan w:val="2"/>
            <w:tcBorders>
              <w:top w:val="nil"/>
              <w:left w:val="single" w:sz="8" w:space="0" w:color="auto"/>
              <w:bottom w:val="nil"/>
              <w:right w:val="nil"/>
            </w:tcBorders>
            <w:shd w:val="clear" w:color="auto" w:fill="auto"/>
            <w:noWrap/>
            <w:vAlign w:val="center"/>
            <w:hideMark/>
          </w:tcPr>
          <w:p w14:paraId="6AAF6978" w14:textId="77777777" w:rsidR="00F11740" w:rsidRPr="00F11740" w:rsidRDefault="00F11740" w:rsidP="00EC7D22">
            <w:pPr>
              <w:suppressAutoHyphens w:val="0"/>
              <w:overflowPunct/>
              <w:spacing w:after="0" w:line="240" w:lineRule="auto"/>
              <w:rPr>
                <w:rFonts w:eastAsia="Times New Roman" w:cs="Calibri"/>
                <w:b/>
                <w:bCs/>
                <w:color w:val="000000"/>
                <w:sz w:val="14"/>
                <w:szCs w:val="14"/>
                <w:lang w:eastAsia="es-MX"/>
              </w:rPr>
            </w:pPr>
            <w:r w:rsidRPr="00F11740">
              <w:rPr>
                <w:rFonts w:eastAsia="Times New Roman" w:cs="Calibri"/>
                <w:b/>
                <w:bCs/>
                <w:color w:val="000000"/>
                <w:sz w:val="14"/>
                <w:szCs w:val="14"/>
                <w:lang w:eastAsia="es-MX"/>
              </w:rPr>
              <w:t xml:space="preserve">A Organismos Descentralizados (ITAVU) </w:t>
            </w:r>
          </w:p>
        </w:tc>
        <w:tc>
          <w:tcPr>
            <w:tcW w:w="1261" w:type="dxa"/>
            <w:tcBorders>
              <w:top w:val="nil"/>
              <w:left w:val="nil"/>
              <w:bottom w:val="nil"/>
              <w:right w:val="nil"/>
            </w:tcBorders>
            <w:shd w:val="clear" w:color="auto" w:fill="auto"/>
            <w:noWrap/>
            <w:vAlign w:val="center"/>
            <w:hideMark/>
          </w:tcPr>
          <w:p w14:paraId="666E0BF7" w14:textId="77777777" w:rsidR="00F11740" w:rsidRPr="00F11740" w:rsidRDefault="00F11740" w:rsidP="00EC7D22">
            <w:pPr>
              <w:suppressAutoHyphens w:val="0"/>
              <w:overflowPunct/>
              <w:spacing w:after="0" w:line="240" w:lineRule="auto"/>
              <w:rPr>
                <w:rFonts w:eastAsia="Times New Roman" w:cs="Calibri"/>
                <w:b/>
                <w:bCs/>
                <w:color w:val="000000"/>
                <w:sz w:val="14"/>
                <w:szCs w:val="14"/>
                <w:lang w:eastAsia="es-MX"/>
              </w:rPr>
            </w:pPr>
          </w:p>
        </w:tc>
        <w:tc>
          <w:tcPr>
            <w:tcW w:w="1446" w:type="dxa"/>
            <w:tcBorders>
              <w:top w:val="nil"/>
              <w:left w:val="nil"/>
              <w:bottom w:val="nil"/>
              <w:right w:val="nil"/>
            </w:tcBorders>
            <w:shd w:val="clear" w:color="F2F2F2" w:fill="FFFFFF"/>
            <w:noWrap/>
            <w:vAlign w:val="center"/>
            <w:hideMark/>
          </w:tcPr>
          <w:p w14:paraId="26CDE7BC"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c>
          <w:tcPr>
            <w:tcW w:w="1546" w:type="dxa"/>
            <w:gridSpan w:val="2"/>
            <w:tcBorders>
              <w:top w:val="nil"/>
              <w:left w:val="nil"/>
              <w:bottom w:val="nil"/>
              <w:right w:val="single" w:sz="8" w:space="0" w:color="auto"/>
            </w:tcBorders>
            <w:shd w:val="clear" w:color="auto" w:fill="auto"/>
            <w:noWrap/>
            <w:vAlign w:val="center"/>
            <w:hideMark/>
          </w:tcPr>
          <w:p w14:paraId="443FEB71" w14:textId="77777777" w:rsidR="00F11740" w:rsidRPr="00F11740" w:rsidRDefault="00F11740" w:rsidP="00EC7D22">
            <w:pPr>
              <w:suppressAutoHyphens w:val="0"/>
              <w:overflowPunct/>
              <w:spacing w:after="0" w:line="240" w:lineRule="auto"/>
              <w:jc w:val="right"/>
              <w:rPr>
                <w:rFonts w:eastAsia="Times New Roman" w:cs="Calibri"/>
                <w:b/>
                <w:bCs/>
                <w:color w:val="000000"/>
                <w:sz w:val="14"/>
                <w:szCs w:val="14"/>
                <w:lang w:eastAsia="es-MX"/>
              </w:rPr>
            </w:pPr>
            <w:r w:rsidRPr="00F11740">
              <w:rPr>
                <w:rFonts w:eastAsia="Times New Roman" w:cs="Calibri"/>
                <w:b/>
                <w:bCs/>
                <w:color w:val="000000"/>
                <w:sz w:val="14"/>
                <w:szCs w:val="14"/>
                <w:lang w:eastAsia="es-MX"/>
              </w:rPr>
              <w:t>59,294,046</w:t>
            </w:r>
          </w:p>
        </w:tc>
      </w:tr>
      <w:tr w:rsidR="00F11740" w:rsidRPr="00F11740" w14:paraId="12716C20" w14:textId="77777777" w:rsidTr="00F84089">
        <w:trPr>
          <w:trHeight w:val="382"/>
        </w:trPr>
        <w:tc>
          <w:tcPr>
            <w:tcW w:w="3114" w:type="dxa"/>
            <w:tcBorders>
              <w:top w:val="nil"/>
              <w:left w:val="single" w:sz="8" w:space="0" w:color="auto"/>
              <w:bottom w:val="nil"/>
              <w:right w:val="nil"/>
            </w:tcBorders>
            <w:shd w:val="clear" w:color="auto" w:fill="auto"/>
            <w:vAlign w:val="center"/>
            <w:hideMark/>
          </w:tcPr>
          <w:p w14:paraId="7C4548A9"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Instituto Tamaulipeco de Vivienda y Urbanismo</w:t>
            </w:r>
          </w:p>
        </w:tc>
        <w:tc>
          <w:tcPr>
            <w:tcW w:w="1417" w:type="dxa"/>
            <w:tcBorders>
              <w:top w:val="nil"/>
              <w:left w:val="nil"/>
              <w:bottom w:val="nil"/>
              <w:right w:val="nil"/>
            </w:tcBorders>
            <w:shd w:val="clear" w:color="auto" w:fill="auto"/>
            <w:noWrap/>
            <w:vAlign w:val="center"/>
            <w:hideMark/>
          </w:tcPr>
          <w:p w14:paraId="090179E1" w14:textId="6B0B5188"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BBV</w:t>
            </w:r>
            <w:r w:rsidR="00955F1B">
              <w:rPr>
                <w:rFonts w:eastAsia="Times New Roman" w:cs="Calibri"/>
                <w:color w:val="000000"/>
                <w:sz w:val="14"/>
                <w:szCs w:val="14"/>
                <w:lang w:eastAsia="es-MX"/>
              </w:rPr>
              <w:t>A</w:t>
            </w:r>
            <w:r w:rsidRPr="00F11740">
              <w:rPr>
                <w:rFonts w:eastAsia="Times New Roman" w:cs="Calibri"/>
                <w:color w:val="000000"/>
                <w:sz w:val="14"/>
                <w:szCs w:val="14"/>
                <w:lang w:eastAsia="es-MX"/>
              </w:rPr>
              <w:t xml:space="preserve"> Bancomer</w:t>
            </w:r>
          </w:p>
        </w:tc>
        <w:tc>
          <w:tcPr>
            <w:tcW w:w="1261" w:type="dxa"/>
            <w:tcBorders>
              <w:top w:val="nil"/>
              <w:left w:val="nil"/>
              <w:bottom w:val="nil"/>
              <w:right w:val="nil"/>
            </w:tcBorders>
            <w:shd w:val="clear" w:color="auto" w:fill="auto"/>
            <w:noWrap/>
            <w:vAlign w:val="center"/>
            <w:hideMark/>
          </w:tcPr>
          <w:p w14:paraId="18AD513B" w14:textId="77777777" w:rsidR="00F11740" w:rsidRPr="00F11740" w:rsidRDefault="00F11740" w:rsidP="00EC7D22">
            <w:pPr>
              <w:suppressAutoHyphens w:val="0"/>
              <w:overflowPunct/>
              <w:spacing w:after="0" w:line="240" w:lineRule="auto"/>
              <w:jc w:val="center"/>
              <w:rPr>
                <w:rFonts w:eastAsia="Times New Roman" w:cs="Calibri"/>
                <w:color w:val="000000"/>
                <w:sz w:val="14"/>
                <w:szCs w:val="14"/>
                <w:lang w:eastAsia="es-MX"/>
              </w:rPr>
            </w:pPr>
            <w:r w:rsidRPr="00F11740">
              <w:rPr>
                <w:rFonts w:eastAsia="Times New Roman" w:cs="Calibri"/>
                <w:color w:val="000000"/>
                <w:sz w:val="14"/>
                <w:szCs w:val="14"/>
                <w:lang w:eastAsia="es-MX"/>
              </w:rPr>
              <w:t>324/2007</w:t>
            </w:r>
          </w:p>
        </w:tc>
        <w:tc>
          <w:tcPr>
            <w:tcW w:w="1446" w:type="dxa"/>
            <w:tcBorders>
              <w:top w:val="nil"/>
              <w:left w:val="nil"/>
              <w:bottom w:val="nil"/>
              <w:right w:val="nil"/>
            </w:tcBorders>
            <w:shd w:val="clear" w:color="F2F2F2" w:fill="FFFFFF"/>
            <w:noWrap/>
            <w:vAlign w:val="center"/>
            <w:hideMark/>
          </w:tcPr>
          <w:p w14:paraId="4C120984"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0</w:t>
            </w:r>
          </w:p>
        </w:tc>
        <w:tc>
          <w:tcPr>
            <w:tcW w:w="1546" w:type="dxa"/>
            <w:gridSpan w:val="2"/>
            <w:tcBorders>
              <w:top w:val="nil"/>
              <w:left w:val="nil"/>
              <w:bottom w:val="nil"/>
              <w:right w:val="single" w:sz="8" w:space="0" w:color="auto"/>
            </w:tcBorders>
            <w:shd w:val="clear" w:color="auto" w:fill="auto"/>
            <w:noWrap/>
            <w:vAlign w:val="center"/>
            <w:hideMark/>
          </w:tcPr>
          <w:p w14:paraId="6B03F8EC"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F11740" w14:paraId="32CC3873" w14:textId="77777777" w:rsidTr="00F84089">
        <w:trPr>
          <w:trHeight w:val="382"/>
        </w:trPr>
        <w:tc>
          <w:tcPr>
            <w:tcW w:w="3114" w:type="dxa"/>
            <w:tcBorders>
              <w:top w:val="nil"/>
              <w:left w:val="single" w:sz="8" w:space="0" w:color="auto"/>
              <w:bottom w:val="nil"/>
              <w:right w:val="nil"/>
            </w:tcBorders>
            <w:shd w:val="clear" w:color="auto" w:fill="auto"/>
            <w:vAlign w:val="center"/>
            <w:hideMark/>
          </w:tcPr>
          <w:p w14:paraId="244DBACE"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Instituto Tamaulipeco de Vivienda y Urbanismo</w:t>
            </w:r>
          </w:p>
        </w:tc>
        <w:tc>
          <w:tcPr>
            <w:tcW w:w="1417" w:type="dxa"/>
            <w:tcBorders>
              <w:top w:val="nil"/>
              <w:left w:val="nil"/>
              <w:bottom w:val="nil"/>
              <w:right w:val="nil"/>
            </w:tcBorders>
            <w:shd w:val="clear" w:color="auto" w:fill="auto"/>
            <w:noWrap/>
            <w:vAlign w:val="center"/>
            <w:hideMark/>
          </w:tcPr>
          <w:p w14:paraId="550426A2" w14:textId="2C43CF5C"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BBV</w:t>
            </w:r>
            <w:r w:rsidR="00955F1B">
              <w:rPr>
                <w:rFonts w:eastAsia="Times New Roman" w:cs="Calibri"/>
                <w:color w:val="000000"/>
                <w:sz w:val="14"/>
                <w:szCs w:val="14"/>
                <w:lang w:eastAsia="es-MX"/>
              </w:rPr>
              <w:t>A</w:t>
            </w:r>
            <w:r w:rsidRPr="00F11740">
              <w:rPr>
                <w:rFonts w:eastAsia="Times New Roman" w:cs="Calibri"/>
                <w:color w:val="000000"/>
                <w:sz w:val="14"/>
                <w:szCs w:val="14"/>
                <w:lang w:eastAsia="es-MX"/>
              </w:rPr>
              <w:t xml:space="preserve">  Bancomer</w:t>
            </w:r>
          </w:p>
        </w:tc>
        <w:tc>
          <w:tcPr>
            <w:tcW w:w="1261" w:type="dxa"/>
            <w:tcBorders>
              <w:top w:val="nil"/>
              <w:left w:val="nil"/>
              <w:bottom w:val="nil"/>
              <w:right w:val="nil"/>
            </w:tcBorders>
            <w:shd w:val="clear" w:color="auto" w:fill="auto"/>
            <w:noWrap/>
            <w:vAlign w:val="center"/>
            <w:hideMark/>
          </w:tcPr>
          <w:p w14:paraId="1B4AFEBA" w14:textId="77777777" w:rsidR="00F11740" w:rsidRPr="00F11740" w:rsidRDefault="00F11740" w:rsidP="00EC7D22">
            <w:pPr>
              <w:suppressAutoHyphens w:val="0"/>
              <w:overflowPunct/>
              <w:spacing w:after="0" w:line="240" w:lineRule="auto"/>
              <w:jc w:val="center"/>
              <w:rPr>
                <w:rFonts w:eastAsia="Times New Roman" w:cs="Calibri"/>
                <w:color w:val="000000"/>
                <w:sz w:val="14"/>
                <w:szCs w:val="14"/>
                <w:lang w:eastAsia="es-MX"/>
              </w:rPr>
            </w:pPr>
            <w:r w:rsidRPr="00F11740">
              <w:rPr>
                <w:rFonts w:eastAsia="Times New Roman" w:cs="Calibri"/>
                <w:color w:val="000000"/>
                <w:sz w:val="14"/>
                <w:szCs w:val="14"/>
                <w:lang w:eastAsia="es-MX"/>
              </w:rPr>
              <w:t>P-28-0814125</w:t>
            </w:r>
          </w:p>
        </w:tc>
        <w:tc>
          <w:tcPr>
            <w:tcW w:w="1446" w:type="dxa"/>
            <w:tcBorders>
              <w:top w:val="nil"/>
              <w:left w:val="nil"/>
              <w:bottom w:val="nil"/>
              <w:right w:val="nil"/>
            </w:tcBorders>
            <w:shd w:val="clear" w:color="F2F2F2" w:fill="FFFFFF"/>
            <w:noWrap/>
            <w:vAlign w:val="center"/>
            <w:hideMark/>
          </w:tcPr>
          <w:p w14:paraId="271AF24C" w14:textId="77777777" w:rsidR="00F11740" w:rsidRPr="00F11740" w:rsidRDefault="00F11740" w:rsidP="00EC7D22">
            <w:pPr>
              <w:suppressAutoHyphens w:val="0"/>
              <w:overflowPunct/>
              <w:spacing w:after="0" w:line="240" w:lineRule="auto"/>
              <w:jc w:val="right"/>
              <w:rPr>
                <w:rFonts w:eastAsia="Times New Roman" w:cs="Calibri"/>
                <w:color w:val="000000"/>
                <w:sz w:val="14"/>
                <w:szCs w:val="14"/>
                <w:lang w:eastAsia="es-MX"/>
              </w:rPr>
            </w:pPr>
            <w:r w:rsidRPr="00F11740">
              <w:rPr>
                <w:rFonts w:eastAsia="Times New Roman" w:cs="Calibri"/>
                <w:color w:val="000000"/>
                <w:sz w:val="14"/>
                <w:szCs w:val="14"/>
                <w:lang w:eastAsia="es-MX"/>
              </w:rPr>
              <w:t>59,294,046</w:t>
            </w:r>
          </w:p>
        </w:tc>
        <w:tc>
          <w:tcPr>
            <w:tcW w:w="1546" w:type="dxa"/>
            <w:gridSpan w:val="2"/>
            <w:tcBorders>
              <w:top w:val="nil"/>
              <w:left w:val="nil"/>
              <w:bottom w:val="nil"/>
              <w:right w:val="single" w:sz="8" w:space="0" w:color="auto"/>
            </w:tcBorders>
            <w:shd w:val="clear" w:color="auto" w:fill="auto"/>
            <w:noWrap/>
            <w:vAlign w:val="center"/>
            <w:hideMark/>
          </w:tcPr>
          <w:p w14:paraId="4FCE2773" w14:textId="77777777" w:rsidR="00F11740" w:rsidRPr="00F11740" w:rsidRDefault="00F11740" w:rsidP="00EC7D22">
            <w:pPr>
              <w:suppressAutoHyphens w:val="0"/>
              <w:overflowPunct/>
              <w:spacing w:after="0" w:line="240" w:lineRule="auto"/>
              <w:rPr>
                <w:rFonts w:eastAsia="Times New Roman" w:cs="Calibri"/>
                <w:color w:val="000000"/>
                <w:sz w:val="14"/>
                <w:szCs w:val="14"/>
                <w:lang w:eastAsia="es-MX"/>
              </w:rPr>
            </w:pPr>
            <w:r w:rsidRPr="00F11740">
              <w:rPr>
                <w:rFonts w:eastAsia="Times New Roman" w:cs="Calibri"/>
                <w:color w:val="000000"/>
                <w:sz w:val="14"/>
                <w:szCs w:val="14"/>
                <w:lang w:eastAsia="es-MX"/>
              </w:rPr>
              <w:t> </w:t>
            </w:r>
          </w:p>
        </w:tc>
      </w:tr>
      <w:tr w:rsidR="00F11740" w:rsidRPr="00A6788C" w14:paraId="2961C896" w14:textId="77777777" w:rsidTr="00F84089">
        <w:trPr>
          <w:trHeight w:val="406"/>
        </w:trPr>
        <w:tc>
          <w:tcPr>
            <w:tcW w:w="7257" w:type="dxa"/>
            <w:gridSpan w:val="5"/>
            <w:tcBorders>
              <w:top w:val="single" w:sz="4" w:space="0" w:color="auto"/>
              <w:left w:val="single" w:sz="4" w:space="0" w:color="auto"/>
              <w:bottom w:val="single" w:sz="4" w:space="0" w:color="auto"/>
              <w:right w:val="single" w:sz="4" w:space="0" w:color="auto"/>
            </w:tcBorders>
            <w:shd w:val="clear" w:color="F8CBAD" w:fill="DDC9A3"/>
            <w:vAlign w:val="center"/>
            <w:hideMark/>
          </w:tcPr>
          <w:p w14:paraId="5F9E6D2A" w14:textId="77777777" w:rsidR="00F11740" w:rsidRPr="00A6788C" w:rsidRDefault="00F11740" w:rsidP="00EC7D22">
            <w:pPr>
              <w:suppressAutoHyphens w:val="0"/>
              <w:overflowPunct/>
              <w:spacing w:after="0" w:line="240" w:lineRule="auto"/>
              <w:jc w:val="center"/>
              <w:rPr>
                <w:rFonts w:eastAsia="Times New Roman" w:cs="Calibri"/>
                <w:b/>
                <w:bCs/>
                <w:color w:val="000000"/>
                <w:sz w:val="16"/>
                <w:szCs w:val="14"/>
                <w:lang w:eastAsia="es-MX"/>
              </w:rPr>
            </w:pPr>
            <w:r w:rsidRPr="00A6788C">
              <w:rPr>
                <w:rFonts w:eastAsia="Times New Roman" w:cs="Calibri"/>
                <w:b/>
                <w:bCs/>
                <w:color w:val="000000"/>
                <w:sz w:val="16"/>
                <w:szCs w:val="14"/>
                <w:lang w:eastAsia="es-MX"/>
              </w:rPr>
              <w:t>Total</w:t>
            </w:r>
          </w:p>
        </w:tc>
        <w:tc>
          <w:tcPr>
            <w:tcW w:w="1527" w:type="dxa"/>
            <w:tcBorders>
              <w:top w:val="single" w:sz="4" w:space="0" w:color="auto"/>
              <w:left w:val="nil"/>
              <w:bottom w:val="single" w:sz="4" w:space="0" w:color="auto"/>
              <w:right w:val="single" w:sz="4" w:space="0" w:color="auto"/>
            </w:tcBorders>
            <w:shd w:val="clear" w:color="F8CBAD" w:fill="DDC9A3"/>
            <w:vAlign w:val="center"/>
            <w:hideMark/>
          </w:tcPr>
          <w:p w14:paraId="5BCED8D8" w14:textId="77777777" w:rsidR="00F11740" w:rsidRPr="00A6788C" w:rsidRDefault="00F11740" w:rsidP="00EC7D22">
            <w:pPr>
              <w:suppressAutoHyphens w:val="0"/>
              <w:overflowPunct/>
              <w:spacing w:after="0" w:line="240" w:lineRule="auto"/>
              <w:jc w:val="right"/>
              <w:rPr>
                <w:rFonts w:eastAsia="Times New Roman" w:cs="Calibri"/>
                <w:b/>
                <w:bCs/>
                <w:color w:val="000000"/>
                <w:sz w:val="16"/>
                <w:szCs w:val="14"/>
                <w:lang w:eastAsia="es-MX"/>
              </w:rPr>
            </w:pPr>
            <w:r w:rsidRPr="00A6788C">
              <w:rPr>
                <w:rFonts w:eastAsia="Times New Roman" w:cs="Calibri"/>
                <w:b/>
                <w:bCs/>
                <w:color w:val="000000"/>
                <w:sz w:val="16"/>
                <w:szCs w:val="14"/>
                <w:lang w:eastAsia="es-MX"/>
              </w:rPr>
              <w:t>123,536,471</w:t>
            </w:r>
          </w:p>
        </w:tc>
      </w:tr>
    </w:tbl>
    <w:p w14:paraId="6D81B55A" w14:textId="77777777" w:rsidR="00956161" w:rsidRDefault="00956161" w:rsidP="00EC7D22">
      <w:pPr>
        <w:spacing w:after="0"/>
        <w:rPr>
          <w:rFonts w:cs="Calibri"/>
          <w:b/>
          <w:sz w:val="14"/>
          <w:szCs w:val="18"/>
        </w:rPr>
      </w:pPr>
    </w:p>
    <w:tbl>
      <w:tblPr>
        <w:tblW w:w="7792" w:type="dxa"/>
        <w:tblCellMar>
          <w:left w:w="70" w:type="dxa"/>
          <w:right w:w="70" w:type="dxa"/>
        </w:tblCellMar>
        <w:tblLook w:val="04A0" w:firstRow="1" w:lastRow="0" w:firstColumn="1" w:lastColumn="0" w:noHBand="0" w:noVBand="1"/>
      </w:tblPr>
      <w:tblGrid>
        <w:gridCol w:w="5665"/>
        <w:gridCol w:w="2127"/>
      </w:tblGrid>
      <w:tr w:rsidR="004D1037" w:rsidRPr="004D1037" w14:paraId="350F4B85" w14:textId="77777777" w:rsidTr="00AB3BE3">
        <w:trPr>
          <w:trHeight w:val="443"/>
        </w:trPr>
        <w:tc>
          <w:tcPr>
            <w:tcW w:w="5665" w:type="dxa"/>
            <w:tcBorders>
              <w:top w:val="single" w:sz="4" w:space="0" w:color="auto"/>
              <w:left w:val="single" w:sz="4" w:space="0" w:color="auto"/>
              <w:bottom w:val="single" w:sz="4" w:space="0" w:color="auto"/>
              <w:right w:val="single" w:sz="4" w:space="0" w:color="auto"/>
            </w:tcBorders>
            <w:shd w:val="clear" w:color="800080" w:fill="A90025"/>
            <w:vAlign w:val="center"/>
            <w:hideMark/>
          </w:tcPr>
          <w:p w14:paraId="4AF0A2C9" w14:textId="77777777" w:rsidR="004D1037" w:rsidRPr="004D1037" w:rsidRDefault="004D1037" w:rsidP="00EC7D22">
            <w:pPr>
              <w:suppressAutoHyphens w:val="0"/>
              <w:overflowPunct/>
              <w:spacing w:after="0" w:line="240" w:lineRule="auto"/>
              <w:jc w:val="center"/>
              <w:rPr>
                <w:rFonts w:eastAsia="Times New Roman" w:cs="Calibri"/>
                <w:b/>
                <w:bCs/>
                <w:color w:val="FFFFFF"/>
                <w:sz w:val="16"/>
                <w:szCs w:val="16"/>
                <w:lang w:eastAsia="es-MX"/>
              </w:rPr>
            </w:pPr>
            <w:r w:rsidRPr="004D1037">
              <w:rPr>
                <w:rFonts w:eastAsia="Times New Roman" w:cs="Calibri"/>
                <w:b/>
                <w:bCs/>
                <w:color w:val="FFFFFF"/>
                <w:sz w:val="16"/>
                <w:szCs w:val="16"/>
                <w:lang w:eastAsia="es-MX"/>
              </w:rPr>
              <w:t>Cuentas de Orden Presupuestales</w:t>
            </w:r>
          </w:p>
        </w:tc>
        <w:tc>
          <w:tcPr>
            <w:tcW w:w="2127" w:type="dxa"/>
            <w:tcBorders>
              <w:top w:val="single" w:sz="4" w:space="0" w:color="auto"/>
              <w:left w:val="nil"/>
              <w:bottom w:val="single" w:sz="4" w:space="0" w:color="auto"/>
              <w:right w:val="single" w:sz="4" w:space="0" w:color="auto"/>
            </w:tcBorders>
            <w:shd w:val="clear" w:color="800080" w:fill="A90025"/>
            <w:vAlign w:val="center"/>
            <w:hideMark/>
          </w:tcPr>
          <w:p w14:paraId="0CA1C500" w14:textId="77777777" w:rsidR="004D1037" w:rsidRPr="004D1037" w:rsidRDefault="004D1037" w:rsidP="00EC7D22">
            <w:pPr>
              <w:suppressAutoHyphens w:val="0"/>
              <w:overflowPunct/>
              <w:spacing w:after="0" w:line="240" w:lineRule="auto"/>
              <w:jc w:val="center"/>
              <w:rPr>
                <w:rFonts w:eastAsia="Times New Roman" w:cs="Calibri"/>
                <w:b/>
                <w:bCs/>
                <w:color w:val="FFFFFF"/>
                <w:sz w:val="16"/>
                <w:szCs w:val="16"/>
                <w:lang w:eastAsia="es-MX"/>
              </w:rPr>
            </w:pPr>
            <w:r w:rsidRPr="004D1037">
              <w:rPr>
                <w:rFonts w:eastAsia="Times New Roman" w:cs="Calibri"/>
                <w:b/>
                <w:bCs/>
                <w:color w:val="FFFFFF"/>
                <w:sz w:val="16"/>
                <w:szCs w:val="16"/>
                <w:lang w:eastAsia="es-MX"/>
              </w:rPr>
              <w:t>Importes</w:t>
            </w:r>
          </w:p>
        </w:tc>
      </w:tr>
      <w:tr w:rsidR="004D1037" w:rsidRPr="004D1037" w14:paraId="2B8C550B" w14:textId="77777777" w:rsidTr="00AB3BE3">
        <w:trPr>
          <w:trHeight w:val="29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6D101D6" w14:textId="77777777" w:rsidR="004D1037" w:rsidRPr="004D1037" w:rsidRDefault="004D1037" w:rsidP="00EC7D22">
            <w:pPr>
              <w:suppressAutoHyphens w:val="0"/>
              <w:overflowPunct/>
              <w:spacing w:after="0" w:line="240" w:lineRule="auto"/>
              <w:jc w:val="center"/>
              <w:rPr>
                <w:rFonts w:eastAsia="Times New Roman" w:cs="Calibri"/>
                <w:b/>
                <w:bCs/>
                <w:color w:val="000000"/>
                <w:sz w:val="18"/>
                <w:szCs w:val="18"/>
                <w:lang w:eastAsia="es-MX"/>
              </w:rPr>
            </w:pPr>
            <w:r w:rsidRPr="004D1037">
              <w:rPr>
                <w:rFonts w:eastAsia="Times New Roman" w:cs="Calibri"/>
                <w:b/>
                <w:bCs/>
                <w:color w:val="000000"/>
                <w:sz w:val="18"/>
                <w:szCs w:val="18"/>
                <w:lang w:eastAsia="es-MX"/>
              </w:rPr>
              <w:t>Cuentas de Ingresos</w:t>
            </w:r>
          </w:p>
        </w:tc>
        <w:tc>
          <w:tcPr>
            <w:tcW w:w="2127" w:type="dxa"/>
            <w:tcBorders>
              <w:top w:val="nil"/>
              <w:left w:val="nil"/>
              <w:bottom w:val="single" w:sz="4" w:space="0" w:color="auto"/>
              <w:right w:val="single" w:sz="4" w:space="0" w:color="auto"/>
            </w:tcBorders>
            <w:shd w:val="clear" w:color="auto" w:fill="auto"/>
            <w:vAlign w:val="center"/>
            <w:hideMark/>
          </w:tcPr>
          <w:p w14:paraId="3B404463" w14:textId="77777777" w:rsidR="004D1037" w:rsidRPr="004D1037" w:rsidRDefault="004D1037" w:rsidP="00EC7D22">
            <w:pPr>
              <w:suppressAutoHyphens w:val="0"/>
              <w:overflowPunct/>
              <w:spacing w:after="0" w:line="240" w:lineRule="auto"/>
              <w:jc w:val="center"/>
              <w:rPr>
                <w:rFonts w:eastAsia="Times New Roman" w:cs="Calibri"/>
                <w:b/>
                <w:bCs/>
                <w:color w:val="000000"/>
                <w:sz w:val="18"/>
                <w:szCs w:val="18"/>
                <w:lang w:eastAsia="es-MX"/>
              </w:rPr>
            </w:pPr>
            <w:r w:rsidRPr="004D1037">
              <w:rPr>
                <w:rFonts w:eastAsia="Times New Roman" w:cs="Calibri"/>
                <w:b/>
                <w:bCs/>
                <w:color w:val="000000"/>
                <w:sz w:val="18"/>
                <w:szCs w:val="18"/>
                <w:lang w:eastAsia="es-MX"/>
              </w:rPr>
              <w:t> </w:t>
            </w:r>
          </w:p>
        </w:tc>
      </w:tr>
      <w:tr w:rsidR="004D1037" w:rsidRPr="004D1037" w14:paraId="3EF466AE"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A760FC"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Ley de Ingresos Estimada</w:t>
            </w:r>
          </w:p>
        </w:tc>
        <w:tc>
          <w:tcPr>
            <w:tcW w:w="2127" w:type="dxa"/>
            <w:tcBorders>
              <w:top w:val="nil"/>
              <w:left w:val="nil"/>
              <w:bottom w:val="single" w:sz="4" w:space="0" w:color="auto"/>
              <w:right w:val="single" w:sz="4" w:space="0" w:color="auto"/>
            </w:tcBorders>
            <w:shd w:val="clear" w:color="auto" w:fill="auto"/>
            <w:vAlign w:val="center"/>
            <w:hideMark/>
          </w:tcPr>
          <w:p w14:paraId="4D408328"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76,280,717,938</w:t>
            </w:r>
          </w:p>
        </w:tc>
      </w:tr>
      <w:tr w:rsidR="004D1037" w:rsidRPr="004D1037" w14:paraId="48AE48EF"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13F030"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Ley de Ingresos por Ejecutar</w:t>
            </w:r>
          </w:p>
        </w:tc>
        <w:tc>
          <w:tcPr>
            <w:tcW w:w="2127" w:type="dxa"/>
            <w:tcBorders>
              <w:top w:val="nil"/>
              <w:left w:val="nil"/>
              <w:bottom w:val="single" w:sz="4" w:space="0" w:color="auto"/>
              <w:right w:val="single" w:sz="4" w:space="0" w:color="auto"/>
            </w:tcBorders>
            <w:shd w:val="clear" w:color="auto" w:fill="auto"/>
            <w:vAlign w:val="center"/>
            <w:hideMark/>
          </w:tcPr>
          <w:p w14:paraId="34F22626"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5,750,877,461</w:t>
            </w:r>
          </w:p>
        </w:tc>
      </w:tr>
      <w:tr w:rsidR="004D1037" w:rsidRPr="004D1037" w14:paraId="3723069B"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130DD74"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Modificaciones a la Ley de Ingresos Estimada</w:t>
            </w:r>
          </w:p>
        </w:tc>
        <w:tc>
          <w:tcPr>
            <w:tcW w:w="2127" w:type="dxa"/>
            <w:tcBorders>
              <w:top w:val="nil"/>
              <w:left w:val="nil"/>
              <w:bottom w:val="single" w:sz="4" w:space="0" w:color="auto"/>
              <w:right w:val="single" w:sz="4" w:space="0" w:color="auto"/>
            </w:tcBorders>
            <w:shd w:val="clear" w:color="auto" w:fill="auto"/>
            <w:vAlign w:val="center"/>
            <w:hideMark/>
          </w:tcPr>
          <w:p w14:paraId="2AAC82CF"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13,412,587,093</w:t>
            </w:r>
          </w:p>
        </w:tc>
      </w:tr>
      <w:tr w:rsidR="004D1037" w:rsidRPr="004D1037" w14:paraId="455576EA"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5C1461E"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Ley de Ingresos Devengada</w:t>
            </w:r>
          </w:p>
        </w:tc>
        <w:tc>
          <w:tcPr>
            <w:tcW w:w="2127" w:type="dxa"/>
            <w:tcBorders>
              <w:top w:val="nil"/>
              <w:left w:val="nil"/>
              <w:bottom w:val="single" w:sz="4" w:space="0" w:color="auto"/>
              <w:right w:val="single" w:sz="4" w:space="0" w:color="auto"/>
            </w:tcBorders>
            <w:shd w:val="clear" w:color="auto" w:fill="auto"/>
            <w:vAlign w:val="center"/>
            <w:hideMark/>
          </w:tcPr>
          <w:p w14:paraId="72ABD69F"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0</w:t>
            </w:r>
          </w:p>
        </w:tc>
      </w:tr>
      <w:tr w:rsidR="004D1037" w:rsidRPr="004D1037" w14:paraId="2366C829"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ABFD13C"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Ley de Ingresos Recaudada</w:t>
            </w:r>
          </w:p>
        </w:tc>
        <w:tc>
          <w:tcPr>
            <w:tcW w:w="2127" w:type="dxa"/>
            <w:tcBorders>
              <w:top w:val="nil"/>
              <w:left w:val="nil"/>
              <w:bottom w:val="single" w:sz="4" w:space="0" w:color="auto"/>
              <w:right w:val="single" w:sz="4" w:space="0" w:color="auto"/>
            </w:tcBorders>
            <w:shd w:val="clear" w:color="auto" w:fill="auto"/>
            <w:vAlign w:val="center"/>
            <w:hideMark/>
          </w:tcPr>
          <w:p w14:paraId="2BCAF005"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-95,444,182,492</w:t>
            </w:r>
          </w:p>
        </w:tc>
      </w:tr>
      <w:tr w:rsidR="004D1037" w:rsidRPr="004D1037" w14:paraId="283C27D4" w14:textId="77777777" w:rsidTr="001132DE">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919864A" w14:textId="77777777" w:rsidR="004D1037" w:rsidRPr="004D1037" w:rsidRDefault="004D1037" w:rsidP="00EC7D22">
            <w:pPr>
              <w:suppressAutoHyphens w:val="0"/>
              <w:overflowPunct/>
              <w:spacing w:after="0" w:line="240" w:lineRule="auto"/>
              <w:jc w:val="center"/>
              <w:rPr>
                <w:rFonts w:eastAsia="Times New Roman" w:cs="Calibri"/>
                <w:b/>
                <w:bCs/>
                <w:color w:val="000000"/>
                <w:sz w:val="18"/>
                <w:szCs w:val="18"/>
                <w:lang w:eastAsia="es-MX"/>
              </w:rPr>
            </w:pPr>
            <w:r w:rsidRPr="004D1037">
              <w:rPr>
                <w:rFonts w:eastAsia="Times New Roman" w:cs="Calibri"/>
                <w:b/>
                <w:bCs/>
                <w:color w:val="000000"/>
                <w:sz w:val="18"/>
                <w:szCs w:val="18"/>
                <w:lang w:eastAsia="es-MX"/>
              </w:rPr>
              <w:t>Cuentas de Egresos</w:t>
            </w:r>
          </w:p>
        </w:tc>
        <w:tc>
          <w:tcPr>
            <w:tcW w:w="2127" w:type="dxa"/>
            <w:tcBorders>
              <w:top w:val="nil"/>
              <w:left w:val="nil"/>
              <w:bottom w:val="single" w:sz="4" w:space="0" w:color="auto"/>
              <w:right w:val="single" w:sz="4" w:space="0" w:color="auto"/>
            </w:tcBorders>
            <w:shd w:val="clear" w:color="auto" w:fill="auto"/>
            <w:vAlign w:val="center"/>
            <w:hideMark/>
          </w:tcPr>
          <w:p w14:paraId="2341A3F8"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 </w:t>
            </w:r>
          </w:p>
        </w:tc>
      </w:tr>
      <w:tr w:rsidR="004D1037" w:rsidRPr="004D1037" w14:paraId="2B5E3690"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6D0B57A"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Presupuesto de Egresos Aprobado</w:t>
            </w:r>
          </w:p>
        </w:tc>
        <w:tc>
          <w:tcPr>
            <w:tcW w:w="2127" w:type="dxa"/>
            <w:tcBorders>
              <w:top w:val="nil"/>
              <w:left w:val="nil"/>
              <w:bottom w:val="single" w:sz="4" w:space="0" w:color="auto"/>
              <w:right w:val="single" w:sz="4" w:space="0" w:color="auto"/>
            </w:tcBorders>
            <w:shd w:val="clear" w:color="auto" w:fill="auto"/>
            <w:vAlign w:val="center"/>
            <w:hideMark/>
          </w:tcPr>
          <w:p w14:paraId="2FCECB69"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-76,280,717,938</w:t>
            </w:r>
          </w:p>
        </w:tc>
      </w:tr>
      <w:tr w:rsidR="004D1037" w:rsidRPr="004D1037" w14:paraId="02169234"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600DB9"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Presupuesto de Egresos por Ejercer</w:t>
            </w:r>
          </w:p>
        </w:tc>
        <w:tc>
          <w:tcPr>
            <w:tcW w:w="2127" w:type="dxa"/>
            <w:tcBorders>
              <w:top w:val="nil"/>
              <w:left w:val="nil"/>
              <w:bottom w:val="single" w:sz="4" w:space="0" w:color="auto"/>
              <w:right w:val="single" w:sz="4" w:space="0" w:color="auto"/>
            </w:tcBorders>
            <w:shd w:val="clear" w:color="auto" w:fill="auto"/>
            <w:vAlign w:val="center"/>
            <w:hideMark/>
          </w:tcPr>
          <w:p w14:paraId="77FB631F"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-16,323,661</w:t>
            </w:r>
          </w:p>
        </w:tc>
      </w:tr>
      <w:tr w:rsidR="004D1037" w:rsidRPr="004D1037" w14:paraId="2DA640EE"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6F384C5"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Modificaciones al Presupuesto de Egresos por Ejercer</w:t>
            </w:r>
          </w:p>
        </w:tc>
        <w:tc>
          <w:tcPr>
            <w:tcW w:w="2127" w:type="dxa"/>
            <w:tcBorders>
              <w:top w:val="nil"/>
              <w:left w:val="nil"/>
              <w:bottom w:val="single" w:sz="4" w:space="0" w:color="auto"/>
              <w:right w:val="single" w:sz="4" w:space="0" w:color="auto"/>
            </w:tcBorders>
            <w:shd w:val="clear" w:color="auto" w:fill="auto"/>
            <w:vAlign w:val="center"/>
            <w:hideMark/>
          </w:tcPr>
          <w:p w14:paraId="37395608"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-22,849,755,173</w:t>
            </w:r>
          </w:p>
        </w:tc>
      </w:tr>
      <w:tr w:rsidR="004D1037" w:rsidRPr="004D1037" w14:paraId="0431DEC6"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E15C400"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Presupuesto de Egresos Comprometido</w:t>
            </w:r>
          </w:p>
        </w:tc>
        <w:tc>
          <w:tcPr>
            <w:tcW w:w="2127" w:type="dxa"/>
            <w:tcBorders>
              <w:top w:val="nil"/>
              <w:left w:val="nil"/>
              <w:bottom w:val="single" w:sz="4" w:space="0" w:color="auto"/>
              <w:right w:val="single" w:sz="4" w:space="0" w:color="auto"/>
            </w:tcBorders>
            <w:shd w:val="clear" w:color="auto" w:fill="auto"/>
            <w:vAlign w:val="center"/>
            <w:hideMark/>
          </w:tcPr>
          <w:p w14:paraId="040D102A"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2,189,996,978</w:t>
            </w:r>
          </w:p>
        </w:tc>
      </w:tr>
      <w:tr w:rsidR="004D1037" w:rsidRPr="004D1037" w14:paraId="4B6830AA"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83BF84C"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Presupuesto de Egresos Devengado</w:t>
            </w:r>
          </w:p>
        </w:tc>
        <w:tc>
          <w:tcPr>
            <w:tcW w:w="2127" w:type="dxa"/>
            <w:tcBorders>
              <w:top w:val="nil"/>
              <w:left w:val="nil"/>
              <w:bottom w:val="single" w:sz="4" w:space="0" w:color="auto"/>
              <w:right w:val="single" w:sz="4" w:space="0" w:color="auto"/>
            </w:tcBorders>
            <w:shd w:val="clear" w:color="auto" w:fill="auto"/>
            <w:vAlign w:val="center"/>
            <w:hideMark/>
          </w:tcPr>
          <w:p w14:paraId="7FB12F15"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-2,178</w:t>
            </w:r>
          </w:p>
        </w:tc>
      </w:tr>
      <w:tr w:rsidR="004D1037" w:rsidRPr="004D1037" w14:paraId="043A6D98"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71FC34B"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Presupuesto de Egresos Ejercido</w:t>
            </w:r>
          </w:p>
        </w:tc>
        <w:tc>
          <w:tcPr>
            <w:tcW w:w="2127" w:type="dxa"/>
            <w:tcBorders>
              <w:top w:val="nil"/>
              <w:left w:val="nil"/>
              <w:bottom w:val="single" w:sz="4" w:space="0" w:color="auto"/>
              <w:right w:val="single" w:sz="4" w:space="0" w:color="auto"/>
            </w:tcBorders>
            <w:shd w:val="clear" w:color="auto" w:fill="auto"/>
            <w:vAlign w:val="center"/>
            <w:hideMark/>
          </w:tcPr>
          <w:p w14:paraId="189416C6"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1,067,182,152</w:t>
            </w:r>
          </w:p>
        </w:tc>
      </w:tr>
      <w:tr w:rsidR="004D1037" w:rsidRPr="004D1037" w14:paraId="2965FA6E" w14:textId="77777777" w:rsidTr="001132DE">
        <w:trPr>
          <w:trHeight w:val="36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08B1485" w14:textId="77777777" w:rsidR="004D1037" w:rsidRPr="004D1037" w:rsidRDefault="004D1037" w:rsidP="00EC7D22">
            <w:pPr>
              <w:suppressAutoHyphens w:val="0"/>
              <w:overflowPunct/>
              <w:spacing w:after="0" w:line="240" w:lineRule="auto"/>
              <w:rPr>
                <w:rFonts w:eastAsia="Times New Roman" w:cs="Calibri"/>
                <w:color w:val="000000"/>
                <w:sz w:val="14"/>
                <w:szCs w:val="14"/>
                <w:lang w:eastAsia="es-MX"/>
              </w:rPr>
            </w:pPr>
            <w:r w:rsidRPr="004D1037">
              <w:rPr>
                <w:rFonts w:eastAsia="Times New Roman" w:cs="Calibri"/>
                <w:color w:val="000000"/>
                <w:sz w:val="14"/>
                <w:szCs w:val="14"/>
                <w:lang w:eastAsia="es-MX"/>
              </w:rPr>
              <w:t>Presupuesto de Egresos Pagado</w:t>
            </w:r>
          </w:p>
        </w:tc>
        <w:tc>
          <w:tcPr>
            <w:tcW w:w="2127" w:type="dxa"/>
            <w:tcBorders>
              <w:top w:val="nil"/>
              <w:left w:val="nil"/>
              <w:bottom w:val="single" w:sz="4" w:space="0" w:color="auto"/>
              <w:right w:val="single" w:sz="4" w:space="0" w:color="auto"/>
            </w:tcBorders>
            <w:shd w:val="clear" w:color="auto" w:fill="auto"/>
            <w:vAlign w:val="center"/>
            <w:hideMark/>
          </w:tcPr>
          <w:p w14:paraId="029F03EB" w14:textId="77777777" w:rsidR="004D1037" w:rsidRPr="004D1037" w:rsidRDefault="004D1037" w:rsidP="00EC7D22">
            <w:pPr>
              <w:suppressAutoHyphens w:val="0"/>
              <w:overflowPunct/>
              <w:spacing w:after="0" w:line="240" w:lineRule="auto"/>
              <w:jc w:val="right"/>
              <w:rPr>
                <w:rFonts w:eastAsia="Times New Roman" w:cs="Calibri"/>
                <w:color w:val="000000"/>
                <w:sz w:val="14"/>
                <w:szCs w:val="14"/>
                <w:lang w:eastAsia="es-MX"/>
              </w:rPr>
            </w:pPr>
            <w:r w:rsidRPr="004D1037">
              <w:rPr>
                <w:rFonts w:eastAsia="Times New Roman" w:cs="Calibri"/>
                <w:color w:val="000000"/>
                <w:sz w:val="14"/>
                <w:szCs w:val="14"/>
                <w:lang w:eastAsia="es-MX"/>
              </w:rPr>
              <w:t>95,889,619,821</w:t>
            </w:r>
          </w:p>
        </w:tc>
      </w:tr>
    </w:tbl>
    <w:p w14:paraId="2417367B" w14:textId="77777777" w:rsidR="00956161" w:rsidRDefault="00956161" w:rsidP="00EC7D22">
      <w:pPr>
        <w:spacing w:after="0"/>
        <w:rPr>
          <w:rFonts w:cs="Calibri"/>
          <w:b/>
          <w:sz w:val="14"/>
          <w:szCs w:val="18"/>
        </w:rPr>
      </w:pPr>
    </w:p>
    <w:p w14:paraId="79994C79" w14:textId="54114C14" w:rsidR="00956161" w:rsidRDefault="00956161" w:rsidP="00EC7D22">
      <w:pPr>
        <w:spacing w:after="0"/>
        <w:rPr>
          <w:rFonts w:cs="Calibri"/>
          <w:b/>
          <w:sz w:val="16"/>
          <w:szCs w:val="18"/>
        </w:rPr>
      </w:pPr>
    </w:p>
    <w:p w14:paraId="36A07E8C" w14:textId="21D473B9" w:rsidR="001132DE" w:rsidRDefault="001132DE" w:rsidP="00EC7D22">
      <w:pPr>
        <w:spacing w:after="0"/>
        <w:rPr>
          <w:rFonts w:cs="Calibri"/>
          <w:b/>
          <w:sz w:val="16"/>
          <w:szCs w:val="18"/>
        </w:rPr>
      </w:pPr>
    </w:p>
    <w:p w14:paraId="58B35D7E" w14:textId="10B3AC41" w:rsidR="001132DE" w:rsidRDefault="001132DE" w:rsidP="00EC7D22">
      <w:pPr>
        <w:spacing w:after="0"/>
        <w:rPr>
          <w:rFonts w:cs="Calibri"/>
          <w:b/>
          <w:sz w:val="16"/>
          <w:szCs w:val="18"/>
        </w:rPr>
      </w:pPr>
    </w:p>
    <w:p w14:paraId="27B10CEC" w14:textId="6869996E" w:rsidR="007745EB" w:rsidRPr="000B130C" w:rsidRDefault="00C87FDA" w:rsidP="00EC7D22">
      <w:pPr>
        <w:tabs>
          <w:tab w:val="left" w:pos="720"/>
        </w:tabs>
        <w:spacing w:after="0" w:line="240" w:lineRule="exact"/>
        <w:jc w:val="both"/>
        <w:rPr>
          <w:rFonts w:eastAsia="Times New Roman" w:cs="Calibri"/>
          <w:sz w:val="20"/>
          <w:szCs w:val="20"/>
          <w:lang w:eastAsia="es-ES"/>
        </w:rPr>
      </w:pPr>
      <w:r w:rsidRPr="000B130C">
        <w:rPr>
          <w:rFonts w:eastAsia="Times New Roman" w:cs="Calibri"/>
          <w:sz w:val="20"/>
          <w:szCs w:val="20"/>
          <w:lang w:eastAsia="es-ES"/>
        </w:rPr>
        <w:lastRenderedPageBreak/>
        <w:t xml:space="preserve">1. Valores en custodia:    </w:t>
      </w:r>
      <w:r w:rsidRPr="000B130C">
        <w:rPr>
          <w:rFonts w:eastAsia="Times New Roman" w:cs="Calibri"/>
          <w:b/>
          <w:sz w:val="20"/>
          <w:szCs w:val="20"/>
          <w:lang w:eastAsia="es-ES"/>
        </w:rPr>
        <w:t>No Aplica</w:t>
      </w:r>
    </w:p>
    <w:p w14:paraId="4E49864F" w14:textId="3AC93C37" w:rsidR="007745EB" w:rsidRPr="000B130C" w:rsidRDefault="007745EB" w:rsidP="00EC7D22">
      <w:pPr>
        <w:tabs>
          <w:tab w:val="left" w:pos="720"/>
        </w:tabs>
        <w:spacing w:after="0" w:line="240" w:lineRule="exact"/>
        <w:jc w:val="both"/>
        <w:rPr>
          <w:rFonts w:eastAsia="Times New Roman" w:cs="Calibri"/>
          <w:sz w:val="20"/>
          <w:szCs w:val="20"/>
          <w:lang w:eastAsia="es-ES"/>
        </w:rPr>
      </w:pPr>
    </w:p>
    <w:p w14:paraId="75B276F6" w14:textId="77777777" w:rsidR="007745EB" w:rsidRPr="000B130C" w:rsidRDefault="00C87FDA" w:rsidP="00EC7D22">
      <w:pPr>
        <w:tabs>
          <w:tab w:val="left" w:pos="720"/>
        </w:tabs>
        <w:spacing w:after="0" w:line="240" w:lineRule="exact"/>
        <w:jc w:val="both"/>
        <w:rPr>
          <w:rFonts w:eastAsia="Times New Roman" w:cs="Calibri"/>
          <w:sz w:val="20"/>
          <w:szCs w:val="20"/>
          <w:lang w:eastAsia="es-ES"/>
        </w:rPr>
      </w:pPr>
      <w:r w:rsidRPr="000B130C">
        <w:rPr>
          <w:rFonts w:eastAsia="Times New Roman" w:cs="Calibri"/>
          <w:sz w:val="20"/>
          <w:szCs w:val="20"/>
          <w:lang w:eastAsia="es-ES"/>
        </w:rPr>
        <w:t xml:space="preserve">2. Por tipo de emisión de Instrumento:   </w:t>
      </w:r>
      <w:r w:rsidRPr="000B130C">
        <w:rPr>
          <w:rFonts w:eastAsia="Times New Roman" w:cs="Calibri"/>
          <w:b/>
          <w:sz w:val="20"/>
          <w:szCs w:val="20"/>
          <w:lang w:eastAsia="es-ES"/>
        </w:rPr>
        <w:t>No Aplica</w:t>
      </w:r>
    </w:p>
    <w:p w14:paraId="5A8ABBA5" w14:textId="2A0A6A6A" w:rsidR="007745EB" w:rsidRPr="000B130C" w:rsidRDefault="007745EB" w:rsidP="00EC7D22">
      <w:pPr>
        <w:tabs>
          <w:tab w:val="left" w:pos="720"/>
        </w:tabs>
        <w:spacing w:after="0" w:line="240" w:lineRule="exact"/>
        <w:jc w:val="both"/>
        <w:rPr>
          <w:rFonts w:eastAsia="Times New Roman" w:cs="Calibri"/>
          <w:sz w:val="20"/>
          <w:szCs w:val="20"/>
          <w:lang w:eastAsia="es-ES"/>
        </w:rPr>
      </w:pPr>
    </w:p>
    <w:p w14:paraId="174D8196" w14:textId="18F31A18" w:rsidR="007745EB" w:rsidRPr="000B130C" w:rsidRDefault="00C87FDA" w:rsidP="00EC7D22">
      <w:pPr>
        <w:tabs>
          <w:tab w:val="left" w:pos="720"/>
        </w:tabs>
        <w:spacing w:after="0" w:line="240" w:lineRule="exact"/>
        <w:jc w:val="both"/>
        <w:rPr>
          <w:rFonts w:eastAsia="Times New Roman" w:cs="Calibri"/>
          <w:sz w:val="20"/>
          <w:szCs w:val="20"/>
          <w:lang w:eastAsia="es-ES"/>
        </w:rPr>
      </w:pPr>
      <w:r w:rsidRPr="000B130C">
        <w:rPr>
          <w:rFonts w:eastAsia="Times New Roman" w:cs="Calibri"/>
          <w:sz w:val="20"/>
          <w:szCs w:val="20"/>
          <w:lang w:eastAsia="es-ES"/>
        </w:rPr>
        <w:t>3. Los contratos firmados de construcciones por tipo de contrato:</w:t>
      </w:r>
    </w:p>
    <w:p w14:paraId="13710666" w14:textId="77777777" w:rsidR="007745EB" w:rsidRPr="000B130C" w:rsidRDefault="007745EB" w:rsidP="00EC7D22">
      <w:pPr>
        <w:tabs>
          <w:tab w:val="left" w:pos="720"/>
        </w:tabs>
        <w:spacing w:after="0" w:line="240" w:lineRule="exact"/>
        <w:jc w:val="both"/>
        <w:rPr>
          <w:rFonts w:eastAsia="Times New Roman" w:cs="Calibri"/>
          <w:sz w:val="20"/>
          <w:szCs w:val="20"/>
          <w:lang w:eastAsia="es-ES"/>
        </w:rPr>
      </w:pPr>
    </w:p>
    <w:p w14:paraId="720F45A7" w14:textId="3CAFFB82" w:rsidR="007745EB" w:rsidRPr="000B130C" w:rsidRDefault="00C87FDA" w:rsidP="00EC7D22">
      <w:pPr>
        <w:spacing w:after="0" w:line="240" w:lineRule="auto"/>
        <w:rPr>
          <w:rFonts w:ascii="Arial" w:hAnsi="Arial" w:cs="Arial"/>
          <w:color w:val="AB0033"/>
          <w:sz w:val="20"/>
          <w:szCs w:val="20"/>
          <w:shd w:val="clear" w:color="auto" w:fill="FFFFFF"/>
        </w:rPr>
      </w:pPr>
      <w:r w:rsidRPr="000B130C">
        <w:rPr>
          <w:rFonts w:eastAsia="Times New Roman" w:cs="Calibri"/>
          <w:sz w:val="20"/>
          <w:szCs w:val="20"/>
          <w:lang w:eastAsia="es-ES"/>
        </w:rPr>
        <w:t>La Información la proporciona la Secretaría de OBRAS PÚBLICAS ya que es la dependencia que res</w:t>
      </w:r>
      <w:r w:rsidR="00662FDE">
        <w:rPr>
          <w:rFonts w:eastAsia="Times New Roman" w:cs="Calibri"/>
          <w:sz w:val="20"/>
          <w:szCs w:val="20"/>
          <w:lang w:eastAsia="es-ES"/>
        </w:rPr>
        <w:t xml:space="preserve">guarda la documentación en </w:t>
      </w:r>
      <w:r w:rsidRPr="000B130C">
        <w:rPr>
          <w:rFonts w:eastAsia="Times New Roman" w:cs="Calibri"/>
          <w:sz w:val="20"/>
          <w:szCs w:val="20"/>
          <w:lang w:eastAsia="es-ES"/>
        </w:rPr>
        <w:t>los expedientes de obra correspondientes y dicha información esta publicada en su página oficial.</w:t>
      </w:r>
      <w:r w:rsidRPr="000B130C">
        <w:rPr>
          <w:rFonts w:eastAsia="Times New Roman" w:cs="Calibri"/>
          <w:color w:val="AB0033"/>
          <w:sz w:val="20"/>
          <w:szCs w:val="20"/>
          <w:lang w:eastAsia="es-ES"/>
        </w:rPr>
        <w:t xml:space="preserve"> </w:t>
      </w:r>
    </w:p>
    <w:p w14:paraId="4EF00643" w14:textId="663A0E0F" w:rsidR="007745EB" w:rsidRPr="000B130C" w:rsidRDefault="007745EB" w:rsidP="00EC7D22">
      <w:pPr>
        <w:spacing w:after="0" w:line="240" w:lineRule="auto"/>
        <w:rPr>
          <w:rFonts w:ascii="Arial" w:hAnsi="Arial" w:cs="Arial"/>
          <w:color w:val="AB0033"/>
          <w:sz w:val="20"/>
          <w:szCs w:val="20"/>
          <w:shd w:val="clear" w:color="auto" w:fill="FFFFFF"/>
        </w:rPr>
      </w:pPr>
    </w:p>
    <w:p w14:paraId="0E2EC0CB" w14:textId="52EA1AED" w:rsidR="003D23BE" w:rsidRDefault="003D23BE" w:rsidP="00EC7D22">
      <w:pPr>
        <w:tabs>
          <w:tab w:val="left" w:pos="720"/>
        </w:tabs>
        <w:spacing w:after="0" w:line="240" w:lineRule="exact"/>
        <w:jc w:val="both"/>
        <w:rPr>
          <w:rFonts w:eastAsia="Times New Roman" w:cs="Calibri"/>
          <w:b/>
          <w:bCs/>
          <w:sz w:val="20"/>
          <w:szCs w:val="20"/>
          <w:lang w:eastAsia="es-ES"/>
        </w:rPr>
      </w:pPr>
    </w:p>
    <w:p w14:paraId="34F65698" w14:textId="78C8C0A6" w:rsidR="003D23BE" w:rsidRDefault="003D23BE" w:rsidP="00EC7D22">
      <w:pPr>
        <w:tabs>
          <w:tab w:val="left" w:pos="720"/>
        </w:tabs>
        <w:spacing w:after="0" w:line="240" w:lineRule="exact"/>
        <w:jc w:val="both"/>
        <w:rPr>
          <w:rFonts w:eastAsia="Times New Roman" w:cs="Calibri"/>
          <w:b/>
          <w:bCs/>
          <w:sz w:val="20"/>
          <w:szCs w:val="20"/>
          <w:lang w:eastAsia="es-ES"/>
        </w:rPr>
      </w:pPr>
    </w:p>
    <w:p w14:paraId="01B4B9A9" w14:textId="4AA94633" w:rsidR="007745EB" w:rsidRPr="007028FD" w:rsidRDefault="00C76DEB" w:rsidP="00EC7D22">
      <w:pPr>
        <w:spacing w:after="0" w:line="240" w:lineRule="auto"/>
        <w:rPr>
          <w:rFonts w:eastAsia="Times New Roman" w:cs="Calibri"/>
          <w:i/>
          <w:sz w:val="14"/>
          <w:szCs w:val="14"/>
          <w:lang w:val="es-ES" w:eastAsia="es-ES"/>
        </w:rPr>
      </w:pPr>
      <w:r w:rsidRPr="007028FD">
        <w:rPr>
          <w:rFonts w:eastAsia="Times New Roman" w:cs="Calibri"/>
          <w:i/>
          <w:sz w:val="14"/>
          <w:szCs w:val="14"/>
          <w:lang w:val="es-ES" w:eastAsia="es-ES"/>
        </w:rPr>
        <w:t>“Bajo</w:t>
      </w:r>
      <w:r w:rsidR="00C87FDA" w:rsidRPr="007028FD">
        <w:rPr>
          <w:rFonts w:eastAsia="Times New Roman" w:cs="Calibri"/>
          <w:i/>
          <w:sz w:val="14"/>
          <w:szCs w:val="14"/>
          <w:lang w:val="es-ES" w:eastAsia="es-ES"/>
        </w:rPr>
        <w:t xml:space="preserve"> protesta de decir verdad declaramos que los Estados Financieros y sus Notas, son razonablemente correctos y son responsabilidad del emisor “</w:t>
      </w:r>
    </w:p>
    <w:p w14:paraId="6D3939E6" w14:textId="149D67D3" w:rsidR="00670690" w:rsidRDefault="00670690" w:rsidP="00EC7D22">
      <w:pPr>
        <w:spacing w:after="0" w:line="240" w:lineRule="auto"/>
        <w:rPr>
          <w:rFonts w:eastAsia="Times New Roman" w:cs="Calibri"/>
          <w:sz w:val="14"/>
          <w:szCs w:val="14"/>
          <w:lang w:val="es-ES" w:eastAsia="es-ES"/>
        </w:rPr>
      </w:pPr>
    </w:p>
    <w:p w14:paraId="75A4D853" w14:textId="500BDDB7" w:rsidR="00670690" w:rsidRDefault="00670690" w:rsidP="00EC7D22">
      <w:pPr>
        <w:spacing w:after="0" w:line="240" w:lineRule="auto"/>
        <w:rPr>
          <w:rFonts w:eastAsia="Times New Roman" w:cs="Calibri"/>
          <w:sz w:val="14"/>
          <w:szCs w:val="14"/>
          <w:lang w:val="es-ES" w:eastAsia="es-ES"/>
        </w:rPr>
      </w:pPr>
    </w:p>
    <w:p w14:paraId="72458F2B" w14:textId="71924EB8" w:rsidR="00670690" w:rsidRDefault="00670690" w:rsidP="00EC7D22">
      <w:pPr>
        <w:spacing w:after="0" w:line="240" w:lineRule="auto"/>
        <w:rPr>
          <w:rFonts w:eastAsia="Times New Roman" w:cs="Calibri"/>
          <w:sz w:val="14"/>
          <w:szCs w:val="14"/>
          <w:lang w:val="es-ES" w:eastAsia="es-ES"/>
        </w:rPr>
      </w:pPr>
    </w:p>
    <w:p w14:paraId="14E2CA7A" w14:textId="5B7E77DF" w:rsidR="00670690" w:rsidRDefault="00670690" w:rsidP="00EC7D22">
      <w:pPr>
        <w:spacing w:after="0" w:line="240" w:lineRule="auto"/>
        <w:rPr>
          <w:rFonts w:eastAsia="Times New Roman" w:cs="Calibri"/>
          <w:sz w:val="14"/>
          <w:szCs w:val="14"/>
          <w:lang w:val="es-ES" w:eastAsia="es-ES"/>
        </w:rPr>
      </w:pPr>
    </w:p>
    <w:p w14:paraId="1DC97FC7" w14:textId="775446B3" w:rsidR="00670690" w:rsidRDefault="00670690" w:rsidP="00EC7D22">
      <w:pPr>
        <w:spacing w:after="0" w:line="240" w:lineRule="auto"/>
        <w:rPr>
          <w:rFonts w:eastAsia="Times New Roman" w:cs="Calibri"/>
          <w:sz w:val="14"/>
          <w:szCs w:val="14"/>
          <w:lang w:val="es-ES" w:eastAsia="es-ES"/>
        </w:rPr>
      </w:pPr>
    </w:p>
    <w:p w14:paraId="55E58E4E" w14:textId="27A4078A" w:rsidR="00670690" w:rsidRDefault="0005725B" w:rsidP="00EC7D22">
      <w:pPr>
        <w:spacing w:after="0" w:line="240" w:lineRule="auto"/>
        <w:rPr>
          <w:rFonts w:eastAsia="Times New Roman" w:cs="Calibri"/>
          <w:sz w:val="14"/>
          <w:szCs w:val="14"/>
          <w:lang w:val="es-ES" w:eastAsia="es-ES"/>
        </w:rPr>
      </w:pPr>
      <w:r>
        <w:rPr>
          <w:rFonts w:eastAsia="Times New Roman" w:cs="Calibri"/>
          <w:sz w:val="14"/>
          <w:szCs w:val="14"/>
          <w:lang w:val="es-ES" w:eastAsia="es-ES"/>
        </w:rPr>
        <w:t xml:space="preserve"> </w:t>
      </w:r>
      <w:r w:rsidR="00D12D89">
        <w:rPr>
          <w:rFonts w:eastAsia="Times New Roman" w:cs="Calibri"/>
          <w:sz w:val="14"/>
          <w:szCs w:val="14"/>
          <w:lang w:val="es-ES" w:eastAsia="es-ES"/>
        </w:rPr>
        <w:t xml:space="preserve"> </w:t>
      </w:r>
    </w:p>
    <w:p w14:paraId="0D434B4F" w14:textId="59CA3B89" w:rsidR="007745EB" w:rsidRDefault="007745EB" w:rsidP="00EC7D22">
      <w:pPr>
        <w:spacing w:after="0" w:line="240" w:lineRule="auto"/>
        <w:rPr>
          <w:rFonts w:eastAsia="Times New Roman" w:cs="Calibri"/>
          <w:sz w:val="14"/>
          <w:szCs w:val="14"/>
          <w:lang w:val="es-ES" w:eastAsia="es-ES"/>
        </w:rPr>
      </w:pPr>
    </w:p>
    <w:p w14:paraId="69ACD10B" w14:textId="2875C709" w:rsidR="007745EB" w:rsidRDefault="007745EB" w:rsidP="00EC7D22">
      <w:pPr>
        <w:spacing w:after="0" w:line="240" w:lineRule="auto"/>
        <w:rPr>
          <w:rFonts w:eastAsia="Times New Roman" w:cs="Calibri"/>
          <w:sz w:val="14"/>
          <w:szCs w:val="14"/>
          <w:lang w:val="es-ES" w:eastAsia="es-ES"/>
        </w:rPr>
      </w:pPr>
    </w:p>
    <w:p w14:paraId="25DC7E70" w14:textId="08CABC5A" w:rsidR="007745EB" w:rsidRDefault="007745EB" w:rsidP="00EC7D22">
      <w:pPr>
        <w:spacing w:after="0" w:line="240" w:lineRule="auto"/>
        <w:rPr>
          <w:rFonts w:eastAsia="Times New Roman" w:cs="Calibri"/>
          <w:sz w:val="14"/>
          <w:szCs w:val="14"/>
          <w:lang w:val="es-ES" w:eastAsia="es-ES"/>
        </w:rPr>
      </w:pPr>
    </w:p>
    <w:p w14:paraId="64A88D67" w14:textId="09B2BAFE" w:rsidR="00F84089" w:rsidRDefault="00F84089" w:rsidP="00EC7D22">
      <w:pPr>
        <w:spacing w:after="0" w:line="240" w:lineRule="auto"/>
        <w:rPr>
          <w:rFonts w:eastAsia="Times New Roman" w:cs="Calibri"/>
          <w:sz w:val="14"/>
          <w:szCs w:val="14"/>
          <w:lang w:val="es-ES" w:eastAsia="es-ES"/>
        </w:rPr>
      </w:pPr>
    </w:p>
    <w:p w14:paraId="28BC4E8F" w14:textId="77777777" w:rsidR="00F84089" w:rsidRDefault="00F84089" w:rsidP="00EC7D22">
      <w:pPr>
        <w:spacing w:after="0" w:line="240" w:lineRule="auto"/>
        <w:rPr>
          <w:rFonts w:eastAsia="Times New Roman" w:cs="Calibri"/>
          <w:sz w:val="14"/>
          <w:szCs w:val="14"/>
          <w:lang w:val="es-ES" w:eastAsia="es-ES"/>
        </w:rPr>
      </w:pPr>
    </w:p>
    <w:p w14:paraId="16EB4503" w14:textId="515A2A3E" w:rsidR="007745EB" w:rsidRDefault="007745EB" w:rsidP="00EC7D22">
      <w:pPr>
        <w:spacing w:after="0" w:line="240" w:lineRule="auto"/>
        <w:rPr>
          <w:rFonts w:eastAsia="Times New Roman" w:cs="Calibri"/>
          <w:sz w:val="14"/>
          <w:szCs w:val="14"/>
          <w:lang w:val="es-ES" w:eastAsia="es-ES"/>
        </w:rPr>
      </w:pPr>
    </w:p>
    <w:p w14:paraId="5AC35204" w14:textId="251CBE59" w:rsidR="00A71ABC" w:rsidRDefault="00A71ABC" w:rsidP="00EC7D22">
      <w:pPr>
        <w:spacing w:after="0" w:line="240" w:lineRule="auto"/>
        <w:rPr>
          <w:rFonts w:eastAsia="Times New Roman" w:cs="Calibri"/>
          <w:sz w:val="14"/>
          <w:szCs w:val="14"/>
          <w:lang w:val="es-ES" w:eastAsia="es-ES"/>
        </w:rPr>
      </w:pPr>
    </w:p>
    <w:p w14:paraId="122E39B3" w14:textId="3F83D4BE" w:rsidR="007745EB" w:rsidRDefault="007745EB" w:rsidP="00EC7D22">
      <w:pPr>
        <w:spacing w:after="0" w:line="240" w:lineRule="auto"/>
        <w:rPr>
          <w:rFonts w:eastAsia="Times New Roman" w:cs="Calibri"/>
          <w:sz w:val="14"/>
          <w:szCs w:val="14"/>
          <w:lang w:val="es-ES" w:eastAsia="es-ES"/>
        </w:rPr>
      </w:pPr>
    </w:p>
    <w:sectPr w:rsidR="007745EB" w:rsidSect="001B28EB">
      <w:headerReference w:type="default" r:id="rId18"/>
      <w:footerReference w:type="default" r:id="rId19"/>
      <w:pgSz w:w="12240" w:h="15840" w:code="1"/>
      <w:pgMar w:top="1134" w:right="1183" w:bottom="851" w:left="1418" w:header="567" w:footer="567" w:gutter="0"/>
      <w:pgNumType w:start="9"/>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E59F0" w14:textId="77777777" w:rsidR="000A0221" w:rsidRDefault="000A0221">
      <w:pPr>
        <w:spacing w:after="0" w:line="240" w:lineRule="auto"/>
      </w:pPr>
      <w:r>
        <w:separator/>
      </w:r>
    </w:p>
  </w:endnote>
  <w:endnote w:type="continuationSeparator" w:id="0">
    <w:p w14:paraId="240A2781" w14:textId="77777777" w:rsidR="000A0221" w:rsidRDefault="000A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Univers (W1)">
    <w:altName w:val="Arial"/>
    <w:panose1 w:val="00000000000000000000"/>
    <w:charset w:val="00"/>
    <w:family w:val="swiss"/>
    <w:notTrueType/>
    <w:pitch w:val="variable"/>
    <w:sig w:usb0="00000003" w:usb1="00000000" w:usb2="00000000" w:usb3="00000000" w:csb0="00000001" w:csb1="00000000"/>
  </w:font>
  <w:font w:name="Encode Sans Expanded Medium">
    <w:altName w:val="Calibri"/>
    <w:charset w:val="00"/>
    <w:family w:val="auto"/>
    <w:pitch w:val="variable"/>
    <w:sig w:usb0="A00000FF" w:usb1="4000207B" w:usb2="00000000" w:usb3="00000000" w:csb0="00000193" w:csb1="00000000"/>
  </w:font>
  <w:font w:name="Encode Sans Expanded SemiBold">
    <w:altName w:val="Calibri"/>
    <w:charset w:val="00"/>
    <w:family w:val="auto"/>
    <w:pitch w:val="variable"/>
    <w:sig w:usb0="A00000FF" w:usb1="4000207B" w:usb2="00000000" w:usb3="00000000" w:csb0="00000193" w:csb1="00000000"/>
  </w:font>
  <w:font w:name="DIN Pro Bold">
    <w:charset w:val="00"/>
    <w:family w:val="swiss"/>
    <w:pitch w:val="variable"/>
    <w:sig w:usb0="A00002BF" w:usb1="4000207B" w:usb2="00000008" w:usb3="00000000" w:csb0="00000097" w:csb1="00000000"/>
  </w:font>
  <w:font w:name="Encode Sans Medium">
    <w:altName w:val="Calibri"/>
    <w:charset w:val="00"/>
    <w:family w:val="auto"/>
    <w:pitch w:val="variable"/>
    <w:sig w:usb0="A00000FF" w:usb1="4000207B" w:usb2="00000000" w:usb3="00000000" w:csb0="00000193"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E16A" w14:textId="2BF323BC" w:rsidR="000A0221" w:rsidRPr="00CB2A9A" w:rsidRDefault="000A0221">
    <w:pPr>
      <w:pStyle w:val="Piedepgina"/>
      <w:jc w:val="center"/>
    </w:pPr>
    <w:r w:rsidRPr="00CB2A9A">
      <w:rPr>
        <w:noProof/>
        <w:lang w:eastAsia="es-MX"/>
      </w:rPr>
      <mc:AlternateContent>
        <mc:Choice Requires="wps">
          <w:drawing>
            <wp:anchor distT="13335" distB="13335" distL="635" distR="0" simplePos="0" relativeHeight="251660288" behindDoc="1" locked="0" layoutInCell="1" allowOverlap="1" wp14:anchorId="29AEBC2A" wp14:editId="4854DCA4">
              <wp:simplePos x="0" y="0"/>
              <wp:positionH relativeFrom="column">
                <wp:posOffset>-95250</wp:posOffset>
              </wp:positionH>
              <wp:positionV relativeFrom="paragraph">
                <wp:posOffset>127635</wp:posOffset>
              </wp:positionV>
              <wp:extent cx="6191885" cy="0"/>
              <wp:effectExtent l="0" t="0" r="37465" b="19050"/>
              <wp:wrapNone/>
              <wp:docPr id="5"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560">
                        <a:solidFill>
                          <a:srgbClr val="BC955C"/>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BDE259F" id="Conector recto 12" o:spid="_x0000_s1026" style="position:absolute;z-index:-251656192;visibility:visible;mso-wrap-style:square;mso-wrap-distance-left:.05pt;mso-wrap-distance-top:1.05pt;mso-wrap-distance-right:0;mso-wrap-distance-bottom:1.05pt;mso-position-horizontal:absolute;mso-position-horizontal-relative:text;mso-position-vertical:absolute;mso-position-vertical-relative:text" from="-7.5pt,10.05pt" to="48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" strokecolor="#bc955c" strokeweight=".71mm">
              <v:stroke joinstyle="miter"/>
            </v:line>
          </w:pict>
        </mc:Fallback>
      </mc:AlternateContent>
    </w:r>
  </w:p>
  <w:p w14:paraId="1A04C75C" w14:textId="7F845DC1" w:rsidR="000A0221" w:rsidRPr="001F679E" w:rsidRDefault="000A0221">
    <w:pPr>
      <w:pStyle w:val="Piedepgina"/>
      <w:jc w:val="center"/>
      <w:rPr>
        <w:sz w:val="20"/>
        <w:szCs w:val="20"/>
      </w:rPr>
    </w:pPr>
    <w:r w:rsidRPr="001F679E">
      <w:rPr>
        <w:sz w:val="20"/>
        <w:szCs w:val="20"/>
      </w:rPr>
      <w:t>CONTABLE/</w:t>
    </w:r>
    <w:sdt>
      <w:sdtPr>
        <w:rPr>
          <w:sz w:val="20"/>
          <w:szCs w:val="20"/>
        </w:rPr>
        <w:id w:val="-521003445"/>
        <w:docPartObj>
          <w:docPartGallery w:val="Page Numbers (Bottom of Page)"/>
          <w:docPartUnique/>
        </w:docPartObj>
      </w:sdtPr>
      <w:sdtEndPr/>
      <w:sdtContent>
        <w:r w:rsidRPr="001F679E">
          <w:rPr>
            <w:sz w:val="20"/>
            <w:szCs w:val="20"/>
          </w:rPr>
          <w:fldChar w:fldCharType="begin"/>
        </w:r>
        <w:r w:rsidRPr="001F679E">
          <w:rPr>
            <w:sz w:val="20"/>
            <w:szCs w:val="20"/>
          </w:rPr>
          <w:instrText>PAGE   \* MERGEFORMAT</w:instrText>
        </w:r>
        <w:r w:rsidRPr="001F679E">
          <w:rPr>
            <w:sz w:val="20"/>
            <w:szCs w:val="20"/>
          </w:rPr>
          <w:fldChar w:fldCharType="separate"/>
        </w:r>
        <w:r w:rsidR="00B4016C" w:rsidRPr="00B4016C">
          <w:rPr>
            <w:noProof/>
            <w:sz w:val="20"/>
            <w:szCs w:val="20"/>
            <w:lang w:val="es-ES"/>
          </w:rPr>
          <w:t>38</w:t>
        </w:r>
        <w:r w:rsidRPr="001F679E">
          <w:rPr>
            <w:sz w:val="20"/>
            <w:szCs w:val="20"/>
          </w:rPr>
          <w:fldChar w:fldCharType="end"/>
        </w:r>
      </w:sdtContent>
    </w:sdt>
  </w:p>
  <w:p w14:paraId="10EE9E60" w14:textId="77777777" w:rsidR="000A0221" w:rsidRDefault="000A0221">
    <w:pPr>
      <w:jc w:val="center"/>
      <w:rPr>
        <w:rFonts w:ascii="HelveticaNeueLT Std Lt" w:hAnsi="HelveticaNeueLT Std Lt"/>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4488E" w14:textId="77777777" w:rsidR="000A0221" w:rsidRDefault="000A0221">
      <w:pPr>
        <w:spacing w:after="0" w:line="240" w:lineRule="auto"/>
      </w:pPr>
      <w:r>
        <w:separator/>
      </w:r>
    </w:p>
  </w:footnote>
  <w:footnote w:type="continuationSeparator" w:id="0">
    <w:p w14:paraId="7BD5BAB2" w14:textId="77777777" w:rsidR="000A0221" w:rsidRDefault="000A0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F8DC" w14:textId="05B6582C" w:rsidR="000A0221" w:rsidRPr="001132DE" w:rsidRDefault="000A0221" w:rsidP="00600CF6">
    <w:pPr>
      <w:pStyle w:val="Encabezado"/>
      <w:tabs>
        <w:tab w:val="left" w:pos="1670"/>
        <w:tab w:val="center" w:pos="4702"/>
      </w:tabs>
      <w:jc w:val="center"/>
      <w:rPr>
        <w:rFonts w:ascii="Encode Sans Expanded Medium" w:hAnsi="Encode Sans Expanded Medium" w:cs="Calibri"/>
        <w:bCs/>
        <w:sz w:val="20"/>
        <w:szCs w:val="20"/>
      </w:rPr>
    </w:pPr>
    <w:r w:rsidRPr="001132DE">
      <w:rPr>
        <w:rFonts w:ascii="Encode Sans Expanded Medium" w:hAnsi="Encode Sans Expanded Medium" w:cs="Calibri"/>
        <w:bCs/>
        <w:sz w:val="20"/>
        <w:szCs w:val="20"/>
      </w:rPr>
      <w:t>PODER EJECUTIVO</w:t>
    </w:r>
  </w:p>
  <w:p w14:paraId="50FD208C" w14:textId="2DAEAABC" w:rsidR="000A0221" w:rsidRPr="001132DE" w:rsidRDefault="000A0221" w:rsidP="00600CF6">
    <w:pPr>
      <w:pStyle w:val="Encabezado"/>
      <w:tabs>
        <w:tab w:val="left" w:pos="1670"/>
        <w:tab w:val="center" w:pos="4702"/>
      </w:tabs>
      <w:jc w:val="center"/>
      <w:rPr>
        <w:rFonts w:ascii="Encode Sans Expanded Medium" w:hAnsi="Encode Sans Expanded Medium" w:cs="Calibri"/>
        <w:bCs/>
        <w:sz w:val="20"/>
        <w:szCs w:val="20"/>
      </w:rPr>
    </w:pPr>
    <w:r w:rsidRPr="001132DE">
      <w:rPr>
        <w:rFonts w:ascii="Encode Sans Expanded Medium" w:hAnsi="Encode Sans Expanded Medium" w:cs="Calibri"/>
        <w:b/>
        <w:noProof/>
        <w:lang w:eastAsia="es-MX"/>
      </w:rPr>
      <mc:AlternateContent>
        <mc:Choice Requires="wps">
          <w:drawing>
            <wp:anchor distT="13335" distB="13335" distL="635" distR="0" simplePos="0" relativeHeight="106" behindDoc="1" locked="0" layoutInCell="1" allowOverlap="1" wp14:anchorId="4C576720" wp14:editId="1601EF2E">
              <wp:simplePos x="0" y="0"/>
              <wp:positionH relativeFrom="column">
                <wp:posOffset>-133985</wp:posOffset>
              </wp:positionH>
              <wp:positionV relativeFrom="paragraph">
                <wp:posOffset>199390</wp:posOffset>
              </wp:positionV>
              <wp:extent cx="6191885" cy="0"/>
              <wp:effectExtent l="0" t="0" r="37465" b="19050"/>
              <wp:wrapNone/>
              <wp:docPr id="15"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560">
                        <a:solidFill>
                          <a:srgbClr val="BC955C"/>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EA3F539" id="Conector recto 12" o:spid="_x0000_s1026" style="position:absolute;z-index:-503316374;visibility:visible;mso-wrap-style:square;mso-wrap-distance-left:.05pt;mso-wrap-distance-top:1.05pt;mso-wrap-distance-right:0;mso-wrap-distance-bottom:1.05pt;mso-position-horizontal:absolute;mso-position-horizontal-relative:text;mso-position-vertical:absolute;mso-position-vertical-relative:text" from="-10.55pt,15.7pt" to="47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" strokecolor="#bc955c" strokeweight=".71mm">
              <v:stroke joinstyle="miter"/>
            </v:line>
          </w:pict>
        </mc:Fallback>
      </mc:AlternateContent>
    </w:r>
    <w:r w:rsidRPr="001132DE">
      <w:rPr>
        <w:rFonts w:ascii="Encode Sans Expanded Medium" w:hAnsi="Encode Sans Expanded Medium" w:cs="Calibri"/>
        <w:bCs/>
        <w:sz w:val="20"/>
        <w:szCs w:val="20"/>
      </w:rPr>
      <w:t>DEL ESTADO DE TAMAULIPAS</w:t>
    </w:r>
  </w:p>
  <w:p w14:paraId="45B31D3B" w14:textId="1F2D0E4C" w:rsidR="000A0221" w:rsidRPr="008F2DCC" w:rsidRDefault="000A0221" w:rsidP="00600CF6">
    <w:pPr>
      <w:pStyle w:val="Encabezado"/>
      <w:tabs>
        <w:tab w:val="left" w:pos="1670"/>
        <w:tab w:val="center" w:pos="4702"/>
      </w:tabs>
      <w:jc w:val="center"/>
      <w:rPr>
        <w:rFonts w:ascii="Encode Sans Expanded SemiBold" w:hAnsi="Encode Sans Expanded SemiBold" w:cs="DIN Pro Bold"/>
        <w:bCs/>
        <w:sz w:val="24"/>
        <w:szCs w:val="24"/>
      </w:rPr>
    </w:pPr>
    <w:r>
      <w:rPr>
        <w:noProof/>
        <w:lang w:eastAsia="es-MX"/>
      </w:rPr>
      <w:drawing>
        <wp:anchor distT="0" distB="0" distL="114300" distR="114300" simplePos="0" relativeHeight="251658240" behindDoc="0" locked="0" layoutInCell="1" allowOverlap="1" wp14:anchorId="3CB6DE77" wp14:editId="2A6AC827">
          <wp:simplePos x="0" y="0"/>
          <wp:positionH relativeFrom="column">
            <wp:posOffset>5166360</wp:posOffset>
          </wp:positionH>
          <wp:positionV relativeFrom="paragraph">
            <wp:posOffset>111125</wp:posOffset>
          </wp:positionV>
          <wp:extent cx="934085" cy="719455"/>
          <wp:effectExtent l="0" t="0" r="0" b="4445"/>
          <wp:wrapSquare wrapText="bothSides"/>
          <wp:docPr id="844783524" name="Imagen 10">
            <a:extLst xmlns:a="http://schemas.openxmlformats.org/drawingml/2006/main">
              <a:ext uri="{FF2B5EF4-FFF2-40B4-BE49-F238E27FC236}">
                <a16:creationId xmlns:a16="http://schemas.microsoft.com/office/drawing/2014/main" id="{00000000-0008-0000-1B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00000000-0008-0000-1B00-00000B000000}"/>
                      </a:ext>
                    </a:extLst>
                  </pic:cNvPr>
                  <pic:cNvPicPr>
                    <a:picLocks noChangeAspect="1"/>
                  </pic:cNvPicPr>
                </pic:nvPicPr>
                <pic:blipFill>
                  <a:blip r:embed="rId1" cstate="print">
                    <a:extLst>
                      <a:ext uri="{BEBA8EAE-BF5A-486C-A8C5-ECC9F3942E4B}">
                        <a14:imgProps xmlns:a14="http://schemas.microsoft.com/office/drawing/2010/main">
                          <a14:imgLayer r:embed="rId2">
                            <a14:imgEffect>
                              <a14:sharpenSoften amount="500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934085" cy="7194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36" behindDoc="1" locked="0" layoutInCell="0" allowOverlap="1" wp14:anchorId="2458E75A" wp14:editId="1E8A4C1C">
          <wp:simplePos x="0" y="0"/>
          <wp:positionH relativeFrom="margin">
            <wp:posOffset>-187325</wp:posOffset>
          </wp:positionH>
          <wp:positionV relativeFrom="paragraph">
            <wp:posOffset>119380</wp:posOffset>
          </wp:positionV>
          <wp:extent cx="1880235" cy="638175"/>
          <wp:effectExtent l="0" t="0" r="5715" b="9525"/>
          <wp:wrapSquare wrapText="bothSides"/>
          <wp:docPr id="294263270" name="Image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21"/>
                  <pic:cNvPicPr>
                    <a:picLocks noChangeAspect="1" noChangeArrowheads="1"/>
                  </pic:cNvPicPr>
                </pic:nvPicPr>
                <pic:blipFill>
                  <a:blip r:embed="rId3"/>
                  <a:srcRect t="10233" b="7711"/>
                  <a:stretch>
                    <a:fillRect/>
                  </a:stretch>
                </pic:blipFill>
                <pic:spPr bwMode="auto">
                  <a:xfrm>
                    <a:off x="0" y="0"/>
                    <a:ext cx="1880235" cy="638175"/>
                  </a:xfrm>
                  <a:prstGeom prst="rect">
                    <a:avLst/>
                  </a:prstGeom>
                </pic:spPr>
              </pic:pic>
            </a:graphicData>
          </a:graphic>
        </wp:anchor>
      </w:drawing>
    </w:r>
  </w:p>
  <w:p w14:paraId="1E3FE232" w14:textId="24255DD5" w:rsidR="000A0221" w:rsidRDefault="000A0221">
    <w:pPr>
      <w:pStyle w:val="Encabezado"/>
      <w:tabs>
        <w:tab w:val="left" w:pos="1670"/>
        <w:tab w:val="center" w:pos="4702"/>
      </w:tabs>
      <w:rPr>
        <w:rFonts w:ascii="Encode Sans Medium" w:hAnsi="Encode Sans Medium" w:cs="DIN Pro Bold"/>
        <w:sz w:val="24"/>
        <w:szCs w:val="24"/>
      </w:rPr>
    </w:pPr>
    <w:r>
      <w:rPr>
        <w:rFonts w:ascii="Encode Sans Medium" w:hAnsi="Encode Sans Medium" w:cs="DIN Pro Bold"/>
        <w:sz w:val="24"/>
        <w:szCs w:val="24"/>
      </w:rPr>
      <w:t xml:space="preserve">                                                                  </w:t>
    </w:r>
  </w:p>
  <w:p w14:paraId="7B4D4705" w14:textId="52FA7912" w:rsidR="000A0221" w:rsidRPr="0059455A" w:rsidRDefault="000A0221">
    <w:pPr>
      <w:pStyle w:val="Encabezado"/>
      <w:tabs>
        <w:tab w:val="left" w:pos="1670"/>
        <w:tab w:val="center" w:pos="4702"/>
      </w:tabs>
      <w:rPr>
        <w:rFonts w:cs="Calibri"/>
        <w:b/>
        <w:bCs/>
        <w:sz w:val="24"/>
        <w:szCs w:val="24"/>
      </w:rPr>
    </w:pPr>
    <w:r>
      <w:rPr>
        <w:rFonts w:ascii="Encode Sans Medium" w:hAnsi="Encode Sans Medium" w:cs="DIN Pro Bold"/>
        <w:szCs w:val="24"/>
      </w:rPr>
      <w:t xml:space="preserve">             </w:t>
    </w:r>
    <w:r w:rsidRPr="00FB125D">
      <w:rPr>
        <w:rFonts w:cs="Calibri"/>
        <w:b/>
        <w:bCs/>
        <w:sz w:val="24"/>
        <w:szCs w:val="24"/>
      </w:rPr>
      <w:t>CUENTA PÚBLICA 2024</w:t>
    </w:r>
  </w:p>
  <w:p w14:paraId="0626E900" w14:textId="207C3547" w:rsidR="000A0221" w:rsidRPr="0059455A" w:rsidRDefault="000A0221">
    <w:pPr>
      <w:pStyle w:val="Encabezado"/>
      <w:jc w:val="center"/>
      <w:rPr>
        <w:rFonts w:cs="Calibri"/>
        <w:b/>
        <w:bCs/>
        <w:sz w:val="24"/>
        <w:szCs w:val="24"/>
      </w:rPr>
    </w:pPr>
  </w:p>
  <w:p w14:paraId="5EAA7FEE" w14:textId="272EF1DB" w:rsidR="000A0221" w:rsidRDefault="000A0221">
    <w:pPr>
      <w:pStyle w:val="Encabezado"/>
      <w:jc w:val="center"/>
      <w:rPr>
        <w:rFonts w:ascii="HelveticaNeueLT Std Lt" w:hAnsi="HelveticaNeueLT Std Lt"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0A1"/>
    <w:multiLevelType w:val="hybridMultilevel"/>
    <w:tmpl w:val="46CA1116"/>
    <w:lvl w:ilvl="0" w:tplc="50565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C3F77"/>
    <w:multiLevelType w:val="multilevel"/>
    <w:tmpl w:val="001EE414"/>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822415"/>
    <w:multiLevelType w:val="multilevel"/>
    <w:tmpl w:val="F47A9E5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3C4A5A"/>
    <w:multiLevelType w:val="multilevel"/>
    <w:tmpl w:val="36689A6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BA5799"/>
    <w:multiLevelType w:val="multilevel"/>
    <w:tmpl w:val="BBCC09A4"/>
    <w:lvl w:ilvl="0">
      <w:start w:val="1"/>
      <w:numFmt w:val="upperRoman"/>
      <w:lvlText w:val="%1."/>
      <w:lvlJc w:val="left"/>
      <w:pPr>
        <w:tabs>
          <w:tab w:val="num" w:pos="0"/>
        </w:tabs>
        <w:ind w:left="1080" w:hanging="72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ED65F5"/>
    <w:multiLevelType w:val="hybridMultilevel"/>
    <w:tmpl w:val="50262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4B37BB"/>
    <w:multiLevelType w:val="hybridMultilevel"/>
    <w:tmpl w:val="9D8A6334"/>
    <w:lvl w:ilvl="0" w:tplc="57E204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BB26B3"/>
    <w:multiLevelType w:val="multilevel"/>
    <w:tmpl w:val="CB76EF2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195E594C"/>
    <w:multiLevelType w:val="hybridMultilevel"/>
    <w:tmpl w:val="1828F4FA"/>
    <w:lvl w:ilvl="0" w:tplc="B74C84AA">
      <w:start w:val="1"/>
      <w:numFmt w:val="upperRoman"/>
      <w:lvlText w:val="%1."/>
      <w:lvlJc w:val="left"/>
      <w:pPr>
        <w:ind w:left="1574" w:hanging="720"/>
      </w:pPr>
      <w:rPr>
        <w:rFonts w:hint="default"/>
      </w:rPr>
    </w:lvl>
    <w:lvl w:ilvl="1" w:tplc="080A0019">
      <w:start w:val="1"/>
      <w:numFmt w:val="lowerLetter"/>
      <w:lvlText w:val="%2."/>
      <w:lvlJc w:val="left"/>
      <w:pPr>
        <w:ind w:left="1934" w:hanging="360"/>
      </w:pPr>
    </w:lvl>
    <w:lvl w:ilvl="2" w:tplc="080A001B" w:tentative="1">
      <w:start w:val="1"/>
      <w:numFmt w:val="lowerRoman"/>
      <w:lvlText w:val="%3."/>
      <w:lvlJc w:val="right"/>
      <w:pPr>
        <w:ind w:left="2654" w:hanging="180"/>
      </w:pPr>
    </w:lvl>
    <w:lvl w:ilvl="3" w:tplc="080A000F" w:tentative="1">
      <w:start w:val="1"/>
      <w:numFmt w:val="decimal"/>
      <w:lvlText w:val="%4."/>
      <w:lvlJc w:val="left"/>
      <w:pPr>
        <w:ind w:left="3374" w:hanging="360"/>
      </w:pPr>
    </w:lvl>
    <w:lvl w:ilvl="4" w:tplc="080A0019" w:tentative="1">
      <w:start w:val="1"/>
      <w:numFmt w:val="lowerLetter"/>
      <w:lvlText w:val="%5."/>
      <w:lvlJc w:val="left"/>
      <w:pPr>
        <w:ind w:left="4094" w:hanging="360"/>
      </w:pPr>
    </w:lvl>
    <w:lvl w:ilvl="5" w:tplc="080A001B" w:tentative="1">
      <w:start w:val="1"/>
      <w:numFmt w:val="lowerRoman"/>
      <w:lvlText w:val="%6."/>
      <w:lvlJc w:val="right"/>
      <w:pPr>
        <w:ind w:left="4814" w:hanging="180"/>
      </w:pPr>
    </w:lvl>
    <w:lvl w:ilvl="6" w:tplc="080A000F" w:tentative="1">
      <w:start w:val="1"/>
      <w:numFmt w:val="decimal"/>
      <w:lvlText w:val="%7."/>
      <w:lvlJc w:val="left"/>
      <w:pPr>
        <w:ind w:left="5534" w:hanging="360"/>
      </w:pPr>
    </w:lvl>
    <w:lvl w:ilvl="7" w:tplc="080A0019" w:tentative="1">
      <w:start w:val="1"/>
      <w:numFmt w:val="lowerLetter"/>
      <w:lvlText w:val="%8."/>
      <w:lvlJc w:val="left"/>
      <w:pPr>
        <w:ind w:left="6254" w:hanging="360"/>
      </w:pPr>
    </w:lvl>
    <w:lvl w:ilvl="8" w:tplc="080A001B" w:tentative="1">
      <w:start w:val="1"/>
      <w:numFmt w:val="lowerRoman"/>
      <w:lvlText w:val="%9."/>
      <w:lvlJc w:val="right"/>
      <w:pPr>
        <w:ind w:left="6974" w:hanging="180"/>
      </w:pPr>
    </w:lvl>
  </w:abstractNum>
  <w:abstractNum w:abstractNumId="9" w15:restartNumberingAfterBreak="0">
    <w:nsid w:val="1B651DD8"/>
    <w:multiLevelType w:val="multilevel"/>
    <w:tmpl w:val="7BD284B0"/>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63A9E"/>
    <w:multiLevelType w:val="hybridMultilevel"/>
    <w:tmpl w:val="F8AA1D04"/>
    <w:lvl w:ilvl="0" w:tplc="57E204C8">
      <w:start w:val="1"/>
      <w:numFmt w:val="upperRoman"/>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1E20636F"/>
    <w:multiLevelType w:val="multilevel"/>
    <w:tmpl w:val="DFF69F3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040714D"/>
    <w:multiLevelType w:val="multilevel"/>
    <w:tmpl w:val="E02460A0"/>
    <w:lvl w:ilvl="0">
      <w:start w:val="8"/>
      <w:numFmt w:val="decimal"/>
      <w:lvlText w:val="%1."/>
      <w:lvlJc w:val="left"/>
      <w:pPr>
        <w:tabs>
          <w:tab w:val="num" w:pos="0"/>
        </w:tabs>
        <w:ind w:left="1006" w:hanging="360"/>
      </w:pPr>
    </w:lvl>
    <w:lvl w:ilvl="1">
      <w:start w:val="1"/>
      <w:numFmt w:val="lowerLetter"/>
      <w:lvlText w:val="%2."/>
      <w:lvlJc w:val="left"/>
      <w:pPr>
        <w:tabs>
          <w:tab w:val="num" w:pos="0"/>
        </w:tabs>
        <w:ind w:left="1726" w:hanging="360"/>
      </w:pPr>
    </w:lvl>
    <w:lvl w:ilvl="2">
      <w:start w:val="1"/>
      <w:numFmt w:val="lowerRoman"/>
      <w:lvlText w:val="%3."/>
      <w:lvlJc w:val="right"/>
      <w:pPr>
        <w:tabs>
          <w:tab w:val="num" w:pos="0"/>
        </w:tabs>
        <w:ind w:left="2446" w:hanging="180"/>
      </w:pPr>
    </w:lvl>
    <w:lvl w:ilvl="3">
      <w:start w:val="1"/>
      <w:numFmt w:val="decimal"/>
      <w:lvlText w:val="%4."/>
      <w:lvlJc w:val="left"/>
      <w:pPr>
        <w:tabs>
          <w:tab w:val="num" w:pos="0"/>
        </w:tabs>
        <w:ind w:left="3166" w:hanging="360"/>
      </w:pPr>
    </w:lvl>
    <w:lvl w:ilvl="4">
      <w:start w:val="1"/>
      <w:numFmt w:val="lowerLetter"/>
      <w:lvlText w:val="%5."/>
      <w:lvlJc w:val="left"/>
      <w:pPr>
        <w:tabs>
          <w:tab w:val="num" w:pos="0"/>
        </w:tabs>
        <w:ind w:left="3886" w:hanging="360"/>
      </w:pPr>
    </w:lvl>
    <w:lvl w:ilvl="5">
      <w:start w:val="1"/>
      <w:numFmt w:val="lowerRoman"/>
      <w:lvlText w:val="%6."/>
      <w:lvlJc w:val="right"/>
      <w:pPr>
        <w:tabs>
          <w:tab w:val="num" w:pos="0"/>
        </w:tabs>
        <w:ind w:left="4606" w:hanging="180"/>
      </w:pPr>
    </w:lvl>
    <w:lvl w:ilvl="6">
      <w:start w:val="1"/>
      <w:numFmt w:val="decimal"/>
      <w:lvlText w:val="%7."/>
      <w:lvlJc w:val="left"/>
      <w:pPr>
        <w:tabs>
          <w:tab w:val="num" w:pos="0"/>
        </w:tabs>
        <w:ind w:left="5326" w:hanging="360"/>
      </w:pPr>
    </w:lvl>
    <w:lvl w:ilvl="7">
      <w:start w:val="1"/>
      <w:numFmt w:val="lowerLetter"/>
      <w:lvlText w:val="%8."/>
      <w:lvlJc w:val="left"/>
      <w:pPr>
        <w:tabs>
          <w:tab w:val="num" w:pos="0"/>
        </w:tabs>
        <w:ind w:left="6046" w:hanging="360"/>
      </w:pPr>
    </w:lvl>
    <w:lvl w:ilvl="8">
      <w:start w:val="1"/>
      <w:numFmt w:val="lowerRoman"/>
      <w:lvlText w:val="%9."/>
      <w:lvlJc w:val="right"/>
      <w:pPr>
        <w:tabs>
          <w:tab w:val="num" w:pos="0"/>
        </w:tabs>
        <w:ind w:left="6766" w:hanging="180"/>
      </w:pPr>
    </w:lvl>
  </w:abstractNum>
  <w:abstractNum w:abstractNumId="13" w15:restartNumberingAfterBreak="0">
    <w:nsid w:val="228C0A9C"/>
    <w:multiLevelType w:val="multilevel"/>
    <w:tmpl w:val="36F60D98"/>
    <w:lvl w:ilvl="0">
      <w:start w:val="10"/>
      <w:numFmt w:val="decimal"/>
      <w:lvlText w:val="%1."/>
      <w:lvlJc w:val="left"/>
      <w:pPr>
        <w:tabs>
          <w:tab w:val="num" w:pos="0"/>
        </w:tabs>
        <w:ind w:left="360" w:hanging="360"/>
      </w:pPr>
      <w:rPr>
        <w:rFonts w:hint="default"/>
        <w:b w:val="0"/>
        <w:sz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4" w15:restartNumberingAfterBreak="0">
    <w:nsid w:val="280E5197"/>
    <w:multiLevelType w:val="hybridMultilevel"/>
    <w:tmpl w:val="332EE7A6"/>
    <w:lvl w:ilvl="0" w:tplc="21A86E00">
      <w:start w:val="1"/>
      <w:numFmt w:val="upperRoman"/>
      <w:lvlText w:val="%1."/>
      <w:lvlJc w:val="left"/>
      <w:pPr>
        <w:ind w:left="1080" w:hanging="720"/>
      </w:pPr>
      <w:rPr>
        <w:rFonts w:eastAsia="Times New Roman" w:hint="default"/>
      </w:rPr>
    </w:lvl>
    <w:lvl w:ilvl="1" w:tplc="5B9E1AF2" w:tentative="1">
      <w:start w:val="1"/>
      <w:numFmt w:val="lowerLetter"/>
      <w:lvlText w:val="%2."/>
      <w:lvlJc w:val="left"/>
      <w:pPr>
        <w:ind w:left="1440" w:hanging="360"/>
      </w:pPr>
    </w:lvl>
    <w:lvl w:ilvl="2" w:tplc="34DA082A" w:tentative="1">
      <w:start w:val="1"/>
      <w:numFmt w:val="lowerRoman"/>
      <w:lvlText w:val="%3."/>
      <w:lvlJc w:val="right"/>
      <w:pPr>
        <w:ind w:left="2160" w:hanging="180"/>
      </w:pPr>
    </w:lvl>
    <w:lvl w:ilvl="3" w:tplc="75326940" w:tentative="1">
      <w:start w:val="1"/>
      <w:numFmt w:val="decimal"/>
      <w:lvlText w:val="%4."/>
      <w:lvlJc w:val="left"/>
      <w:pPr>
        <w:ind w:left="2880" w:hanging="360"/>
      </w:pPr>
    </w:lvl>
    <w:lvl w:ilvl="4" w:tplc="30881FC4" w:tentative="1">
      <w:start w:val="1"/>
      <w:numFmt w:val="lowerLetter"/>
      <w:lvlText w:val="%5."/>
      <w:lvlJc w:val="left"/>
      <w:pPr>
        <w:ind w:left="3600" w:hanging="360"/>
      </w:pPr>
    </w:lvl>
    <w:lvl w:ilvl="5" w:tplc="1B142C48" w:tentative="1">
      <w:start w:val="1"/>
      <w:numFmt w:val="lowerRoman"/>
      <w:lvlText w:val="%6."/>
      <w:lvlJc w:val="right"/>
      <w:pPr>
        <w:ind w:left="4320" w:hanging="180"/>
      </w:pPr>
    </w:lvl>
    <w:lvl w:ilvl="6" w:tplc="19A4EF4E" w:tentative="1">
      <w:start w:val="1"/>
      <w:numFmt w:val="decimal"/>
      <w:lvlText w:val="%7."/>
      <w:lvlJc w:val="left"/>
      <w:pPr>
        <w:ind w:left="5040" w:hanging="360"/>
      </w:pPr>
    </w:lvl>
    <w:lvl w:ilvl="7" w:tplc="1AE64FC8" w:tentative="1">
      <w:start w:val="1"/>
      <w:numFmt w:val="lowerLetter"/>
      <w:lvlText w:val="%8."/>
      <w:lvlJc w:val="left"/>
      <w:pPr>
        <w:ind w:left="5760" w:hanging="360"/>
      </w:pPr>
    </w:lvl>
    <w:lvl w:ilvl="8" w:tplc="2DA0B180" w:tentative="1">
      <w:start w:val="1"/>
      <w:numFmt w:val="lowerRoman"/>
      <w:lvlText w:val="%9."/>
      <w:lvlJc w:val="right"/>
      <w:pPr>
        <w:ind w:left="6480" w:hanging="180"/>
      </w:pPr>
    </w:lvl>
  </w:abstractNum>
  <w:abstractNum w:abstractNumId="15" w15:restartNumberingAfterBreak="0">
    <w:nsid w:val="2B4B27F5"/>
    <w:multiLevelType w:val="multilevel"/>
    <w:tmpl w:val="590EDDF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15:restartNumberingAfterBreak="0">
    <w:nsid w:val="2B6C0BE9"/>
    <w:multiLevelType w:val="multilevel"/>
    <w:tmpl w:val="2B5E1B46"/>
    <w:lvl w:ilvl="0">
      <w:start w:val="7"/>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15:restartNumberingAfterBreak="0">
    <w:nsid w:val="2E401521"/>
    <w:multiLevelType w:val="multilevel"/>
    <w:tmpl w:val="AA225A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4B82562"/>
    <w:multiLevelType w:val="hybridMultilevel"/>
    <w:tmpl w:val="D90AEE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7EF09E0"/>
    <w:multiLevelType w:val="multilevel"/>
    <w:tmpl w:val="01CEA1C4"/>
    <w:lvl w:ilvl="0">
      <w:start w:val="1"/>
      <w:numFmt w:val="decimal"/>
      <w:lvlText w:val="%1."/>
      <w:lvlJc w:val="left"/>
      <w:pPr>
        <w:tabs>
          <w:tab w:val="num" w:pos="0"/>
        </w:tabs>
        <w:ind w:left="1068" w:hanging="360"/>
      </w:p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0" w15:restartNumberingAfterBreak="0">
    <w:nsid w:val="3A5750E2"/>
    <w:multiLevelType w:val="hybridMultilevel"/>
    <w:tmpl w:val="6F50BDCA"/>
    <w:lvl w:ilvl="0" w:tplc="257C5D5C">
      <w:start w:val="1"/>
      <w:numFmt w:val="upperRoman"/>
      <w:lvlText w:val="%1."/>
      <w:lvlJc w:val="left"/>
      <w:pPr>
        <w:ind w:left="1657" w:hanging="720"/>
      </w:pPr>
      <w:rPr>
        <w:rFonts w:hint="default"/>
      </w:rPr>
    </w:lvl>
    <w:lvl w:ilvl="1" w:tplc="E6BA31C4" w:tentative="1">
      <w:start w:val="1"/>
      <w:numFmt w:val="lowerLetter"/>
      <w:lvlText w:val="%2."/>
      <w:lvlJc w:val="left"/>
      <w:pPr>
        <w:ind w:left="2017" w:hanging="360"/>
      </w:pPr>
    </w:lvl>
    <w:lvl w:ilvl="2" w:tplc="AC98E5C6" w:tentative="1">
      <w:start w:val="1"/>
      <w:numFmt w:val="lowerRoman"/>
      <w:lvlText w:val="%3."/>
      <w:lvlJc w:val="right"/>
      <w:pPr>
        <w:ind w:left="2737" w:hanging="180"/>
      </w:pPr>
    </w:lvl>
    <w:lvl w:ilvl="3" w:tplc="94307D44" w:tentative="1">
      <w:start w:val="1"/>
      <w:numFmt w:val="decimal"/>
      <w:lvlText w:val="%4."/>
      <w:lvlJc w:val="left"/>
      <w:pPr>
        <w:ind w:left="3457" w:hanging="360"/>
      </w:pPr>
    </w:lvl>
    <w:lvl w:ilvl="4" w:tplc="38E89478" w:tentative="1">
      <w:start w:val="1"/>
      <w:numFmt w:val="lowerLetter"/>
      <w:lvlText w:val="%5."/>
      <w:lvlJc w:val="left"/>
      <w:pPr>
        <w:ind w:left="4177" w:hanging="360"/>
      </w:pPr>
    </w:lvl>
    <w:lvl w:ilvl="5" w:tplc="50B20F42" w:tentative="1">
      <w:start w:val="1"/>
      <w:numFmt w:val="lowerRoman"/>
      <w:lvlText w:val="%6."/>
      <w:lvlJc w:val="right"/>
      <w:pPr>
        <w:ind w:left="4897" w:hanging="180"/>
      </w:pPr>
    </w:lvl>
    <w:lvl w:ilvl="6" w:tplc="9CAE5992" w:tentative="1">
      <w:start w:val="1"/>
      <w:numFmt w:val="decimal"/>
      <w:lvlText w:val="%7."/>
      <w:lvlJc w:val="left"/>
      <w:pPr>
        <w:ind w:left="5617" w:hanging="360"/>
      </w:pPr>
    </w:lvl>
    <w:lvl w:ilvl="7" w:tplc="B2B418FC" w:tentative="1">
      <w:start w:val="1"/>
      <w:numFmt w:val="lowerLetter"/>
      <w:lvlText w:val="%8."/>
      <w:lvlJc w:val="left"/>
      <w:pPr>
        <w:ind w:left="6337" w:hanging="360"/>
      </w:pPr>
    </w:lvl>
    <w:lvl w:ilvl="8" w:tplc="BAD64C50" w:tentative="1">
      <w:start w:val="1"/>
      <w:numFmt w:val="lowerRoman"/>
      <w:lvlText w:val="%9."/>
      <w:lvlJc w:val="right"/>
      <w:pPr>
        <w:ind w:left="7057" w:hanging="180"/>
      </w:pPr>
    </w:lvl>
  </w:abstractNum>
  <w:abstractNum w:abstractNumId="21" w15:restartNumberingAfterBreak="0">
    <w:nsid w:val="407E6F9D"/>
    <w:multiLevelType w:val="multilevel"/>
    <w:tmpl w:val="0B5637EE"/>
    <w:lvl w:ilvl="0">
      <w:start w:val="1"/>
      <w:numFmt w:val="lowerLetter"/>
      <w:lvlText w:val="%1)"/>
      <w:lvlJc w:val="left"/>
      <w:pPr>
        <w:tabs>
          <w:tab w:val="num" w:pos="0"/>
        </w:tabs>
        <w:ind w:left="786" w:hanging="360"/>
      </w:pPr>
      <w:rPr>
        <w:rFonts w:ascii="Calibri" w:hAnsi="Calibri" w:cs="Calibri" w:hint="default"/>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44C9189C"/>
    <w:multiLevelType w:val="multilevel"/>
    <w:tmpl w:val="BD0035FA"/>
    <w:lvl w:ilvl="0">
      <w:start w:val="1"/>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5437A1"/>
    <w:multiLevelType w:val="hybridMultilevel"/>
    <w:tmpl w:val="731675D6"/>
    <w:lvl w:ilvl="0" w:tplc="FFFFFFFF">
      <w:start w:val="1"/>
      <w:numFmt w:val="upperRoman"/>
      <w:lvlText w:val="%1."/>
      <w:lvlJc w:val="left"/>
      <w:pPr>
        <w:ind w:left="1997" w:hanging="720"/>
      </w:pPr>
      <w:rPr>
        <w:rFonts w:hint="default"/>
      </w:rPr>
    </w:lvl>
    <w:lvl w:ilvl="1" w:tplc="FFA63EF8"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4" w15:restartNumberingAfterBreak="0">
    <w:nsid w:val="486D310A"/>
    <w:multiLevelType w:val="multilevel"/>
    <w:tmpl w:val="09CC41A8"/>
    <w:lvl w:ilvl="0">
      <w:start w:val="1"/>
      <w:numFmt w:val="upperRoman"/>
      <w:lvlText w:val="%1."/>
      <w:lvlJc w:val="right"/>
      <w:pPr>
        <w:tabs>
          <w:tab w:val="num" w:pos="0"/>
        </w:tabs>
        <w:ind w:left="1080" w:hanging="360"/>
      </w:pPr>
      <w:rPr>
        <w:sz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4AAB4CCB"/>
    <w:multiLevelType w:val="hybridMultilevel"/>
    <w:tmpl w:val="4E1E44AE"/>
    <w:lvl w:ilvl="0" w:tplc="BB0E9012">
      <w:start w:val="1"/>
      <w:numFmt w:val="upperRoman"/>
      <w:lvlText w:val="%1."/>
      <w:lvlJc w:val="left"/>
      <w:pPr>
        <w:ind w:left="1004" w:hanging="720"/>
      </w:pPr>
      <w:rPr>
        <w:rFonts w:hint="default"/>
      </w:rPr>
    </w:lvl>
    <w:lvl w:ilvl="1" w:tplc="AEFEB940">
      <w:start w:val="1"/>
      <w:numFmt w:val="lowerLetter"/>
      <w:lvlText w:val="%2."/>
      <w:lvlJc w:val="left"/>
      <w:pPr>
        <w:ind w:left="1364" w:hanging="360"/>
      </w:pPr>
    </w:lvl>
    <w:lvl w:ilvl="2" w:tplc="3D101846" w:tentative="1">
      <w:start w:val="1"/>
      <w:numFmt w:val="lowerRoman"/>
      <w:lvlText w:val="%3."/>
      <w:lvlJc w:val="right"/>
      <w:pPr>
        <w:ind w:left="2084" w:hanging="180"/>
      </w:pPr>
    </w:lvl>
    <w:lvl w:ilvl="3" w:tplc="7F4E6D02" w:tentative="1">
      <w:start w:val="1"/>
      <w:numFmt w:val="decimal"/>
      <w:lvlText w:val="%4."/>
      <w:lvlJc w:val="left"/>
      <w:pPr>
        <w:ind w:left="2804" w:hanging="360"/>
      </w:pPr>
    </w:lvl>
    <w:lvl w:ilvl="4" w:tplc="68D42868" w:tentative="1">
      <w:start w:val="1"/>
      <w:numFmt w:val="lowerLetter"/>
      <w:lvlText w:val="%5."/>
      <w:lvlJc w:val="left"/>
      <w:pPr>
        <w:ind w:left="3524" w:hanging="360"/>
      </w:pPr>
    </w:lvl>
    <w:lvl w:ilvl="5" w:tplc="913630B8" w:tentative="1">
      <w:start w:val="1"/>
      <w:numFmt w:val="lowerRoman"/>
      <w:lvlText w:val="%6."/>
      <w:lvlJc w:val="right"/>
      <w:pPr>
        <w:ind w:left="4244" w:hanging="180"/>
      </w:pPr>
    </w:lvl>
    <w:lvl w:ilvl="6" w:tplc="8294CDF2" w:tentative="1">
      <w:start w:val="1"/>
      <w:numFmt w:val="decimal"/>
      <w:lvlText w:val="%7."/>
      <w:lvlJc w:val="left"/>
      <w:pPr>
        <w:ind w:left="4964" w:hanging="360"/>
      </w:pPr>
    </w:lvl>
    <w:lvl w:ilvl="7" w:tplc="5E72B82A" w:tentative="1">
      <w:start w:val="1"/>
      <w:numFmt w:val="lowerLetter"/>
      <w:lvlText w:val="%8."/>
      <w:lvlJc w:val="left"/>
      <w:pPr>
        <w:ind w:left="5684" w:hanging="360"/>
      </w:pPr>
    </w:lvl>
    <w:lvl w:ilvl="8" w:tplc="A5122522" w:tentative="1">
      <w:start w:val="1"/>
      <w:numFmt w:val="lowerRoman"/>
      <w:lvlText w:val="%9."/>
      <w:lvlJc w:val="right"/>
      <w:pPr>
        <w:ind w:left="6404" w:hanging="180"/>
      </w:pPr>
    </w:lvl>
  </w:abstractNum>
  <w:abstractNum w:abstractNumId="26" w15:restartNumberingAfterBreak="0">
    <w:nsid w:val="5127152E"/>
    <w:multiLevelType w:val="multilevel"/>
    <w:tmpl w:val="6A1ACFD4"/>
    <w:lvl w:ilvl="0">
      <w:start w:val="6"/>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15:restartNumberingAfterBreak="0">
    <w:nsid w:val="5177175E"/>
    <w:multiLevelType w:val="multilevel"/>
    <w:tmpl w:val="EE3643BC"/>
    <w:lvl w:ilvl="0">
      <w:start w:val="11"/>
      <w:numFmt w:val="decimal"/>
      <w:lvlText w:val="%1."/>
      <w:lvlJc w:val="left"/>
      <w:pPr>
        <w:tabs>
          <w:tab w:val="num" w:pos="-646"/>
        </w:tabs>
        <w:ind w:left="360" w:hanging="360"/>
      </w:pPr>
      <w:rPr>
        <w:rFonts w:hint="default"/>
        <w:b w:val="0"/>
      </w:rPr>
    </w:lvl>
    <w:lvl w:ilvl="1">
      <w:start w:val="1"/>
      <w:numFmt w:val="lowerLetter"/>
      <w:lvlText w:val="%2."/>
      <w:lvlJc w:val="left"/>
      <w:pPr>
        <w:tabs>
          <w:tab w:val="num" w:pos="-646"/>
        </w:tabs>
        <w:ind w:left="1080" w:hanging="360"/>
      </w:pPr>
      <w:rPr>
        <w:rFonts w:hint="default"/>
      </w:rPr>
    </w:lvl>
    <w:lvl w:ilvl="2">
      <w:start w:val="1"/>
      <w:numFmt w:val="lowerRoman"/>
      <w:lvlText w:val="%3."/>
      <w:lvlJc w:val="right"/>
      <w:pPr>
        <w:tabs>
          <w:tab w:val="num" w:pos="-646"/>
        </w:tabs>
        <w:ind w:left="1800" w:hanging="180"/>
      </w:pPr>
      <w:rPr>
        <w:rFonts w:hint="default"/>
      </w:rPr>
    </w:lvl>
    <w:lvl w:ilvl="3">
      <w:start w:val="1"/>
      <w:numFmt w:val="decimal"/>
      <w:lvlText w:val="%4."/>
      <w:lvlJc w:val="left"/>
      <w:pPr>
        <w:tabs>
          <w:tab w:val="num" w:pos="-646"/>
        </w:tabs>
        <w:ind w:left="2520" w:hanging="360"/>
      </w:pPr>
      <w:rPr>
        <w:rFonts w:hint="default"/>
      </w:rPr>
    </w:lvl>
    <w:lvl w:ilvl="4">
      <w:start w:val="1"/>
      <w:numFmt w:val="lowerLetter"/>
      <w:lvlText w:val="%5."/>
      <w:lvlJc w:val="left"/>
      <w:pPr>
        <w:tabs>
          <w:tab w:val="num" w:pos="-646"/>
        </w:tabs>
        <w:ind w:left="3240" w:hanging="360"/>
      </w:pPr>
      <w:rPr>
        <w:rFonts w:hint="default"/>
      </w:rPr>
    </w:lvl>
    <w:lvl w:ilvl="5">
      <w:start w:val="1"/>
      <w:numFmt w:val="lowerRoman"/>
      <w:lvlText w:val="%6."/>
      <w:lvlJc w:val="right"/>
      <w:pPr>
        <w:tabs>
          <w:tab w:val="num" w:pos="-646"/>
        </w:tabs>
        <w:ind w:left="3960" w:hanging="180"/>
      </w:pPr>
      <w:rPr>
        <w:rFonts w:hint="default"/>
      </w:rPr>
    </w:lvl>
    <w:lvl w:ilvl="6">
      <w:start w:val="1"/>
      <w:numFmt w:val="decimal"/>
      <w:lvlText w:val="%7."/>
      <w:lvlJc w:val="left"/>
      <w:pPr>
        <w:tabs>
          <w:tab w:val="num" w:pos="-646"/>
        </w:tabs>
        <w:ind w:left="4680" w:hanging="360"/>
      </w:pPr>
      <w:rPr>
        <w:rFonts w:hint="default"/>
      </w:rPr>
    </w:lvl>
    <w:lvl w:ilvl="7">
      <w:start w:val="1"/>
      <w:numFmt w:val="lowerLetter"/>
      <w:lvlText w:val="%8."/>
      <w:lvlJc w:val="left"/>
      <w:pPr>
        <w:tabs>
          <w:tab w:val="num" w:pos="-646"/>
        </w:tabs>
        <w:ind w:left="5400" w:hanging="360"/>
      </w:pPr>
      <w:rPr>
        <w:rFonts w:hint="default"/>
      </w:rPr>
    </w:lvl>
    <w:lvl w:ilvl="8">
      <w:start w:val="1"/>
      <w:numFmt w:val="lowerRoman"/>
      <w:lvlText w:val="%9."/>
      <w:lvlJc w:val="right"/>
      <w:pPr>
        <w:tabs>
          <w:tab w:val="num" w:pos="-646"/>
        </w:tabs>
        <w:ind w:left="6120" w:hanging="180"/>
      </w:pPr>
      <w:rPr>
        <w:rFonts w:hint="default"/>
      </w:rPr>
    </w:lvl>
  </w:abstractNum>
  <w:abstractNum w:abstractNumId="28" w15:restartNumberingAfterBreak="0">
    <w:nsid w:val="53CF735C"/>
    <w:multiLevelType w:val="multilevel"/>
    <w:tmpl w:val="A1246C90"/>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6680962"/>
    <w:multiLevelType w:val="hybridMultilevel"/>
    <w:tmpl w:val="C862CD3A"/>
    <w:lvl w:ilvl="0" w:tplc="FC841200">
      <w:start w:val="1"/>
      <w:numFmt w:val="decimal"/>
      <w:lvlText w:val="%1."/>
      <w:lvlJc w:val="left"/>
      <w:pPr>
        <w:ind w:left="360" w:hanging="360"/>
      </w:pPr>
    </w:lvl>
    <w:lvl w:ilvl="1" w:tplc="E10ABBCA" w:tentative="1">
      <w:start w:val="1"/>
      <w:numFmt w:val="lowerLetter"/>
      <w:lvlText w:val="%2."/>
      <w:lvlJc w:val="left"/>
      <w:pPr>
        <w:ind w:left="1080" w:hanging="360"/>
      </w:pPr>
    </w:lvl>
    <w:lvl w:ilvl="2" w:tplc="D7A8DE00" w:tentative="1">
      <w:start w:val="1"/>
      <w:numFmt w:val="lowerRoman"/>
      <w:lvlText w:val="%3."/>
      <w:lvlJc w:val="right"/>
      <w:pPr>
        <w:ind w:left="1800" w:hanging="180"/>
      </w:pPr>
    </w:lvl>
    <w:lvl w:ilvl="3" w:tplc="4752A224" w:tentative="1">
      <w:start w:val="1"/>
      <w:numFmt w:val="decimal"/>
      <w:lvlText w:val="%4."/>
      <w:lvlJc w:val="left"/>
      <w:pPr>
        <w:ind w:left="2520" w:hanging="360"/>
      </w:pPr>
    </w:lvl>
    <w:lvl w:ilvl="4" w:tplc="B5AAE3A8" w:tentative="1">
      <w:start w:val="1"/>
      <w:numFmt w:val="lowerLetter"/>
      <w:lvlText w:val="%5."/>
      <w:lvlJc w:val="left"/>
      <w:pPr>
        <w:ind w:left="3240" w:hanging="360"/>
      </w:pPr>
    </w:lvl>
    <w:lvl w:ilvl="5" w:tplc="50461E0E" w:tentative="1">
      <w:start w:val="1"/>
      <w:numFmt w:val="lowerRoman"/>
      <w:lvlText w:val="%6."/>
      <w:lvlJc w:val="right"/>
      <w:pPr>
        <w:ind w:left="3960" w:hanging="180"/>
      </w:pPr>
    </w:lvl>
    <w:lvl w:ilvl="6" w:tplc="6AE8CCAC" w:tentative="1">
      <w:start w:val="1"/>
      <w:numFmt w:val="decimal"/>
      <w:lvlText w:val="%7."/>
      <w:lvlJc w:val="left"/>
      <w:pPr>
        <w:ind w:left="4680" w:hanging="360"/>
      </w:pPr>
    </w:lvl>
    <w:lvl w:ilvl="7" w:tplc="778CB2BE" w:tentative="1">
      <w:start w:val="1"/>
      <w:numFmt w:val="lowerLetter"/>
      <w:lvlText w:val="%8."/>
      <w:lvlJc w:val="left"/>
      <w:pPr>
        <w:ind w:left="5400" w:hanging="360"/>
      </w:pPr>
    </w:lvl>
    <w:lvl w:ilvl="8" w:tplc="D96CAA46" w:tentative="1">
      <w:start w:val="1"/>
      <w:numFmt w:val="lowerRoman"/>
      <w:lvlText w:val="%9."/>
      <w:lvlJc w:val="right"/>
      <w:pPr>
        <w:ind w:left="6120" w:hanging="180"/>
      </w:pPr>
    </w:lvl>
  </w:abstractNum>
  <w:abstractNum w:abstractNumId="30" w15:restartNumberingAfterBreak="0">
    <w:nsid w:val="56C76623"/>
    <w:multiLevelType w:val="hybridMultilevel"/>
    <w:tmpl w:val="1F72D07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1" w15:restartNumberingAfterBreak="0">
    <w:nsid w:val="56F6584B"/>
    <w:multiLevelType w:val="multilevel"/>
    <w:tmpl w:val="FB0CB772"/>
    <w:lvl w:ilvl="0">
      <w:start w:val="1"/>
      <w:numFmt w:val="upperRoman"/>
      <w:lvlText w:val="%1)"/>
      <w:lvlJc w:val="left"/>
      <w:pPr>
        <w:tabs>
          <w:tab w:val="num" w:pos="0"/>
        </w:tabs>
        <w:ind w:left="436" w:hanging="72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32" w15:restartNumberingAfterBreak="0">
    <w:nsid w:val="5A4D7835"/>
    <w:multiLevelType w:val="multilevel"/>
    <w:tmpl w:val="C862CD3A"/>
    <w:styleLink w:val="Estilo1"/>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A581B26"/>
    <w:multiLevelType w:val="multilevel"/>
    <w:tmpl w:val="7036367C"/>
    <w:lvl w:ilvl="0">
      <w:start w:val="1"/>
      <w:numFmt w:val="low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34" w15:restartNumberingAfterBreak="0">
    <w:nsid w:val="5DB10D52"/>
    <w:multiLevelType w:val="multilevel"/>
    <w:tmpl w:val="52AE38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0196B52"/>
    <w:multiLevelType w:val="multilevel"/>
    <w:tmpl w:val="FA44C30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1FF44C4"/>
    <w:multiLevelType w:val="hybridMultilevel"/>
    <w:tmpl w:val="4DBEF868"/>
    <w:lvl w:ilvl="0" w:tplc="F3C2F56E">
      <w:start w:val="1"/>
      <w:numFmt w:val="upperRoman"/>
      <w:lvlText w:val="%1."/>
      <w:lvlJc w:val="left"/>
      <w:pPr>
        <w:ind w:left="1080" w:hanging="720"/>
      </w:pPr>
      <w:rPr>
        <w:rFonts w:hint="default"/>
        <w:b w:val="0"/>
      </w:rPr>
    </w:lvl>
    <w:lvl w:ilvl="1" w:tplc="01649346">
      <w:start w:val="1"/>
      <w:numFmt w:val="lowerLetter"/>
      <w:lvlText w:val="%2."/>
      <w:lvlJc w:val="left"/>
      <w:pPr>
        <w:ind w:left="1440" w:hanging="360"/>
      </w:pPr>
    </w:lvl>
    <w:lvl w:ilvl="2" w:tplc="7666C538" w:tentative="1">
      <w:start w:val="1"/>
      <w:numFmt w:val="lowerRoman"/>
      <w:lvlText w:val="%3."/>
      <w:lvlJc w:val="right"/>
      <w:pPr>
        <w:ind w:left="2160" w:hanging="180"/>
      </w:pPr>
    </w:lvl>
    <w:lvl w:ilvl="3" w:tplc="754C7FE2" w:tentative="1">
      <w:start w:val="1"/>
      <w:numFmt w:val="decimal"/>
      <w:lvlText w:val="%4."/>
      <w:lvlJc w:val="left"/>
      <w:pPr>
        <w:ind w:left="2880" w:hanging="360"/>
      </w:pPr>
    </w:lvl>
    <w:lvl w:ilvl="4" w:tplc="97564F52" w:tentative="1">
      <w:start w:val="1"/>
      <w:numFmt w:val="lowerLetter"/>
      <w:lvlText w:val="%5."/>
      <w:lvlJc w:val="left"/>
      <w:pPr>
        <w:ind w:left="3600" w:hanging="360"/>
      </w:pPr>
    </w:lvl>
    <w:lvl w:ilvl="5" w:tplc="681EE2A4" w:tentative="1">
      <w:start w:val="1"/>
      <w:numFmt w:val="lowerRoman"/>
      <w:lvlText w:val="%6."/>
      <w:lvlJc w:val="right"/>
      <w:pPr>
        <w:ind w:left="4320" w:hanging="180"/>
      </w:pPr>
    </w:lvl>
    <w:lvl w:ilvl="6" w:tplc="4CCCAB1A" w:tentative="1">
      <w:start w:val="1"/>
      <w:numFmt w:val="decimal"/>
      <w:lvlText w:val="%7."/>
      <w:lvlJc w:val="left"/>
      <w:pPr>
        <w:ind w:left="5040" w:hanging="360"/>
      </w:pPr>
    </w:lvl>
    <w:lvl w:ilvl="7" w:tplc="7430E294" w:tentative="1">
      <w:start w:val="1"/>
      <w:numFmt w:val="lowerLetter"/>
      <w:lvlText w:val="%8."/>
      <w:lvlJc w:val="left"/>
      <w:pPr>
        <w:ind w:left="5760" w:hanging="360"/>
      </w:pPr>
    </w:lvl>
    <w:lvl w:ilvl="8" w:tplc="E8383B2C" w:tentative="1">
      <w:start w:val="1"/>
      <w:numFmt w:val="lowerRoman"/>
      <w:lvlText w:val="%9."/>
      <w:lvlJc w:val="right"/>
      <w:pPr>
        <w:ind w:left="6480" w:hanging="180"/>
      </w:pPr>
    </w:lvl>
  </w:abstractNum>
  <w:abstractNum w:abstractNumId="37" w15:restartNumberingAfterBreak="0">
    <w:nsid w:val="62454463"/>
    <w:multiLevelType w:val="multilevel"/>
    <w:tmpl w:val="A8508A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7945A7E"/>
    <w:multiLevelType w:val="hybridMultilevel"/>
    <w:tmpl w:val="AC3AE104"/>
    <w:lvl w:ilvl="0" w:tplc="7D8CF694">
      <w:start w:val="1"/>
      <w:numFmt w:val="upperRoman"/>
      <w:lvlText w:val="%1."/>
      <w:lvlJc w:val="left"/>
      <w:pPr>
        <w:ind w:left="720" w:hanging="360"/>
      </w:pPr>
      <w:rPr>
        <w:rFonts w:hint="default"/>
      </w:rPr>
    </w:lvl>
    <w:lvl w:ilvl="1" w:tplc="0CE28D08" w:tentative="1">
      <w:start w:val="1"/>
      <w:numFmt w:val="lowerLetter"/>
      <w:lvlText w:val="%2."/>
      <w:lvlJc w:val="left"/>
      <w:pPr>
        <w:ind w:left="1440" w:hanging="360"/>
      </w:pPr>
    </w:lvl>
    <w:lvl w:ilvl="2" w:tplc="FEA477BA" w:tentative="1">
      <w:start w:val="1"/>
      <w:numFmt w:val="lowerRoman"/>
      <w:lvlText w:val="%3."/>
      <w:lvlJc w:val="right"/>
      <w:pPr>
        <w:ind w:left="2160" w:hanging="180"/>
      </w:pPr>
    </w:lvl>
    <w:lvl w:ilvl="3" w:tplc="789EE794" w:tentative="1">
      <w:start w:val="1"/>
      <w:numFmt w:val="decimal"/>
      <w:lvlText w:val="%4."/>
      <w:lvlJc w:val="left"/>
      <w:pPr>
        <w:ind w:left="2880" w:hanging="360"/>
      </w:pPr>
    </w:lvl>
    <w:lvl w:ilvl="4" w:tplc="A86EF7BA" w:tentative="1">
      <w:start w:val="1"/>
      <w:numFmt w:val="lowerLetter"/>
      <w:lvlText w:val="%5."/>
      <w:lvlJc w:val="left"/>
      <w:pPr>
        <w:ind w:left="3600" w:hanging="360"/>
      </w:pPr>
    </w:lvl>
    <w:lvl w:ilvl="5" w:tplc="2A183C90" w:tentative="1">
      <w:start w:val="1"/>
      <w:numFmt w:val="lowerRoman"/>
      <w:lvlText w:val="%6."/>
      <w:lvlJc w:val="right"/>
      <w:pPr>
        <w:ind w:left="4320" w:hanging="180"/>
      </w:pPr>
    </w:lvl>
    <w:lvl w:ilvl="6" w:tplc="D0D2ADB6" w:tentative="1">
      <w:start w:val="1"/>
      <w:numFmt w:val="decimal"/>
      <w:lvlText w:val="%7."/>
      <w:lvlJc w:val="left"/>
      <w:pPr>
        <w:ind w:left="5040" w:hanging="360"/>
      </w:pPr>
    </w:lvl>
    <w:lvl w:ilvl="7" w:tplc="B0B49A0C" w:tentative="1">
      <w:start w:val="1"/>
      <w:numFmt w:val="lowerLetter"/>
      <w:lvlText w:val="%8."/>
      <w:lvlJc w:val="left"/>
      <w:pPr>
        <w:ind w:left="5760" w:hanging="360"/>
      </w:pPr>
    </w:lvl>
    <w:lvl w:ilvl="8" w:tplc="33CEE898" w:tentative="1">
      <w:start w:val="1"/>
      <w:numFmt w:val="lowerRoman"/>
      <w:lvlText w:val="%9."/>
      <w:lvlJc w:val="right"/>
      <w:pPr>
        <w:ind w:left="6480" w:hanging="180"/>
      </w:pPr>
    </w:lvl>
  </w:abstractNum>
  <w:abstractNum w:abstractNumId="39" w15:restartNumberingAfterBreak="0">
    <w:nsid w:val="6BBB3546"/>
    <w:multiLevelType w:val="multilevel"/>
    <w:tmpl w:val="070EE902"/>
    <w:lvl w:ilvl="0">
      <w:start w:val="2"/>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513FC2"/>
    <w:multiLevelType w:val="hybridMultilevel"/>
    <w:tmpl w:val="E7460976"/>
    <w:lvl w:ilvl="0" w:tplc="178A7AEE">
      <w:start w:val="1"/>
      <w:numFmt w:val="upperRoman"/>
      <w:lvlText w:val="%1."/>
      <w:lvlJc w:val="left"/>
      <w:pPr>
        <w:ind w:left="996" w:hanging="720"/>
      </w:pPr>
      <w:rPr>
        <w:rFonts w:hint="default"/>
      </w:rPr>
    </w:lvl>
    <w:lvl w:ilvl="1" w:tplc="6C08F0F0" w:tentative="1">
      <w:start w:val="1"/>
      <w:numFmt w:val="lowerLetter"/>
      <w:lvlText w:val="%2."/>
      <w:lvlJc w:val="left"/>
      <w:pPr>
        <w:ind w:left="1356" w:hanging="360"/>
      </w:pPr>
    </w:lvl>
    <w:lvl w:ilvl="2" w:tplc="B24CB6F0" w:tentative="1">
      <w:start w:val="1"/>
      <w:numFmt w:val="lowerRoman"/>
      <w:lvlText w:val="%3."/>
      <w:lvlJc w:val="right"/>
      <w:pPr>
        <w:ind w:left="2076" w:hanging="180"/>
      </w:pPr>
    </w:lvl>
    <w:lvl w:ilvl="3" w:tplc="8BC8F72E" w:tentative="1">
      <w:start w:val="1"/>
      <w:numFmt w:val="decimal"/>
      <w:lvlText w:val="%4."/>
      <w:lvlJc w:val="left"/>
      <w:pPr>
        <w:ind w:left="2796" w:hanging="360"/>
      </w:pPr>
    </w:lvl>
    <w:lvl w:ilvl="4" w:tplc="2222BB04" w:tentative="1">
      <w:start w:val="1"/>
      <w:numFmt w:val="lowerLetter"/>
      <w:lvlText w:val="%5."/>
      <w:lvlJc w:val="left"/>
      <w:pPr>
        <w:ind w:left="3516" w:hanging="360"/>
      </w:pPr>
    </w:lvl>
    <w:lvl w:ilvl="5" w:tplc="FD9CDE16" w:tentative="1">
      <w:start w:val="1"/>
      <w:numFmt w:val="lowerRoman"/>
      <w:lvlText w:val="%6."/>
      <w:lvlJc w:val="right"/>
      <w:pPr>
        <w:ind w:left="4236" w:hanging="180"/>
      </w:pPr>
    </w:lvl>
    <w:lvl w:ilvl="6" w:tplc="A372EBD2" w:tentative="1">
      <w:start w:val="1"/>
      <w:numFmt w:val="decimal"/>
      <w:lvlText w:val="%7."/>
      <w:lvlJc w:val="left"/>
      <w:pPr>
        <w:ind w:left="4956" w:hanging="360"/>
      </w:pPr>
    </w:lvl>
    <w:lvl w:ilvl="7" w:tplc="93F6ABEC" w:tentative="1">
      <w:start w:val="1"/>
      <w:numFmt w:val="lowerLetter"/>
      <w:lvlText w:val="%8."/>
      <w:lvlJc w:val="left"/>
      <w:pPr>
        <w:ind w:left="5676" w:hanging="360"/>
      </w:pPr>
    </w:lvl>
    <w:lvl w:ilvl="8" w:tplc="2E0AA868" w:tentative="1">
      <w:start w:val="1"/>
      <w:numFmt w:val="lowerRoman"/>
      <w:lvlText w:val="%9."/>
      <w:lvlJc w:val="right"/>
      <w:pPr>
        <w:ind w:left="6396" w:hanging="180"/>
      </w:pPr>
    </w:lvl>
  </w:abstractNum>
  <w:abstractNum w:abstractNumId="41" w15:restartNumberingAfterBreak="0">
    <w:nsid w:val="6FFD0668"/>
    <w:multiLevelType w:val="multilevel"/>
    <w:tmpl w:val="C7CC5A4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2" w15:restartNumberingAfterBreak="0">
    <w:nsid w:val="73376024"/>
    <w:multiLevelType w:val="hybridMultilevel"/>
    <w:tmpl w:val="BEA695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9D0CD9"/>
    <w:multiLevelType w:val="multilevel"/>
    <w:tmpl w:val="1F40327E"/>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440" w:hanging="360"/>
      </w:pPr>
      <w:rPr>
        <w:rFonts w:ascii="Symbol" w:hAnsi="Symbol" w:cs="Symbol" w:hint="default"/>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8F22765"/>
    <w:multiLevelType w:val="multilevel"/>
    <w:tmpl w:val="0524B3F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5" w15:restartNumberingAfterBreak="0">
    <w:nsid w:val="7A136CCF"/>
    <w:multiLevelType w:val="multilevel"/>
    <w:tmpl w:val="35789EE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7CD250AD"/>
    <w:multiLevelType w:val="multilevel"/>
    <w:tmpl w:val="B99AE24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07124618">
    <w:abstractNumId w:val="1"/>
  </w:num>
  <w:num w:numId="2" w16cid:durableId="1943104036">
    <w:abstractNumId w:val="21"/>
  </w:num>
  <w:num w:numId="3" w16cid:durableId="1133790137">
    <w:abstractNumId w:val="45"/>
  </w:num>
  <w:num w:numId="4" w16cid:durableId="111873168">
    <w:abstractNumId w:val="3"/>
  </w:num>
  <w:num w:numId="5" w16cid:durableId="1161657350">
    <w:abstractNumId w:val="39"/>
  </w:num>
  <w:num w:numId="6" w16cid:durableId="1231044260">
    <w:abstractNumId w:val="28"/>
  </w:num>
  <w:num w:numId="7" w16cid:durableId="1967932122">
    <w:abstractNumId w:val="34"/>
  </w:num>
  <w:num w:numId="8" w16cid:durableId="1404988777">
    <w:abstractNumId w:val="33"/>
  </w:num>
  <w:num w:numId="9" w16cid:durableId="825899186">
    <w:abstractNumId w:val="7"/>
  </w:num>
  <w:num w:numId="10" w16cid:durableId="1797793163">
    <w:abstractNumId w:val="4"/>
  </w:num>
  <w:num w:numId="11" w16cid:durableId="981891427">
    <w:abstractNumId w:val="15"/>
  </w:num>
  <w:num w:numId="12" w16cid:durableId="536048701">
    <w:abstractNumId w:val="11"/>
  </w:num>
  <w:num w:numId="13" w16cid:durableId="22248265">
    <w:abstractNumId w:val="46"/>
  </w:num>
  <w:num w:numId="14" w16cid:durableId="485627454">
    <w:abstractNumId w:val="44"/>
  </w:num>
  <w:num w:numId="15" w16cid:durableId="427165949">
    <w:abstractNumId w:val="37"/>
  </w:num>
  <w:num w:numId="16" w16cid:durableId="1599168993">
    <w:abstractNumId w:val="26"/>
  </w:num>
  <w:num w:numId="17" w16cid:durableId="1853255201">
    <w:abstractNumId w:val="24"/>
  </w:num>
  <w:num w:numId="18" w16cid:durableId="1851136550">
    <w:abstractNumId w:val="12"/>
  </w:num>
  <w:num w:numId="19" w16cid:durableId="1475637201">
    <w:abstractNumId w:val="19"/>
  </w:num>
  <w:num w:numId="20" w16cid:durableId="33700035">
    <w:abstractNumId w:val="16"/>
  </w:num>
  <w:num w:numId="21" w16cid:durableId="621693958">
    <w:abstractNumId w:val="35"/>
  </w:num>
  <w:num w:numId="22" w16cid:durableId="1473979410">
    <w:abstractNumId w:val="17"/>
  </w:num>
  <w:num w:numId="23" w16cid:durableId="1022970829">
    <w:abstractNumId w:val="31"/>
  </w:num>
  <w:num w:numId="24" w16cid:durableId="578905949">
    <w:abstractNumId w:val="13"/>
  </w:num>
  <w:num w:numId="25" w16cid:durableId="529270533">
    <w:abstractNumId w:val="41"/>
  </w:num>
  <w:num w:numId="26" w16cid:durableId="515579162">
    <w:abstractNumId w:val="2"/>
  </w:num>
  <w:num w:numId="27" w16cid:durableId="1364669083">
    <w:abstractNumId w:val="43"/>
    <w:lvlOverride w:ilvl="0">
      <w:startOverride w:val="1"/>
    </w:lvlOverride>
  </w:num>
  <w:num w:numId="28" w16cid:durableId="950549593">
    <w:abstractNumId w:val="43"/>
  </w:num>
  <w:num w:numId="29" w16cid:durableId="331765132">
    <w:abstractNumId w:val="43"/>
  </w:num>
  <w:num w:numId="30" w16cid:durableId="1908880009">
    <w:abstractNumId w:val="43"/>
  </w:num>
  <w:num w:numId="31" w16cid:durableId="38482476">
    <w:abstractNumId w:val="43"/>
  </w:num>
  <w:num w:numId="32" w16cid:durableId="2023778290">
    <w:abstractNumId w:val="43"/>
  </w:num>
  <w:num w:numId="33" w16cid:durableId="2112621000">
    <w:abstractNumId w:val="43"/>
  </w:num>
  <w:num w:numId="34" w16cid:durableId="1552962400">
    <w:abstractNumId w:val="43"/>
  </w:num>
  <w:num w:numId="35" w16cid:durableId="676156695">
    <w:abstractNumId w:val="43"/>
  </w:num>
  <w:num w:numId="36" w16cid:durableId="1883665594">
    <w:abstractNumId w:val="43"/>
  </w:num>
  <w:num w:numId="37" w16cid:durableId="1648899370">
    <w:abstractNumId w:val="43"/>
  </w:num>
  <w:num w:numId="38" w16cid:durableId="2130394156">
    <w:abstractNumId w:val="43"/>
  </w:num>
  <w:num w:numId="39" w16cid:durableId="1529176838">
    <w:abstractNumId w:val="43"/>
  </w:num>
  <w:num w:numId="40" w16cid:durableId="858854727">
    <w:abstractNumId w:val="43"/>
  </w:num>
  <w:num w:numId="41" w16cid:durableId="400718715">
    <w:abstractNumId w:val="43"/>
  </w:num>
  <w:num w:numId="42" w16cid:durableId="362900139">
    <w:abstractNumId w:val="43"/>
  </w:num>
  <w:num w:numId="43" w16cid:durableId="301352431">
    <w:abstractNumId w:val="43"/>
  </w:num>
  <w:num w:numId="44" w16cid:durableId="1410035521">
    <w:abstractNumId w:val="43"/>
  </w:num>
  <w:num w:numId="45" w16cid:durableId="223637518">
    <w:abstractNumId w:val="43"/>
  </w:num>
  <w:num w:numId="46" w16cid:durableId="866524865">
    <w:abstractNumId w:val="43"/>
  </w:num>
  <w:num w:numId="47" w16cid:durableId="1468665874">
    <w:abstractNumId w:val="43"/>
  </w:num>
  <w:num w:numId="48" w16cid:durableId="160632374">
    <w:abstractNumId w:val="43"/>
  </w:num>
  <w:num w:numId="49" w16cid:durableId="904535435">
    <w:abstractNumId w:val="43"/>
  </w:num>
  <w:num w:numId="50" w16cid:durableId="618687266">
    <w:abstractNumId w:val="43"/>
  </w:num>
  <w:num w:numId="51" w16cid:durableId="592124769">
    <w:abstractNumId w:val="43"/>
  </w:num>
  <w:num w:numId="52" w16cid:durableId="1848012553">
    <w:abstractNumId w:val="43"/>
  </w:num>
  <w:num w:numId="53" w16cid:durableId="1181434943">
    <w:abstractNumId w:val="43"/>
  </w:num>
  <w:num w:numId="54" w16cid:durableId="990061733">
    <w:abstractNumId w:val="43"/>
  </w:num>
  <w:num w:numId="55" w16cid:durableId="366637725">
    <w:abstractNumId w:val="43"/>
  </w:num>
  <w:num w:numId="56" w16cid:durableId="486477196">
    <w:abstractNumId w:val="43"/>
  </w:num>
  <w:num w:numId="57" w16cid:durableId="1315068863">
    <w:abstractNumId w:val="43"/>
  </w:num>
  <w:num w:numId="58" w16cid:durableId="358119793">
    <w:abstractNumId w:val="5"/>
  </w:num>
  <w:num w:numId="59" w16cid:durableId="1238859693">
    <w:abstractNumId w:val="27"/>
  </w:num>
  <w:num w:numId="60" w16cid:durableId="1104030560">
    <w:abstractNumId w:val="40"/>
  </w:num>
  <w:num w:numId="61" w16cid:durableId="792556718">
    <w:abstractNumId w:val="14"/>
  </w:num>
  <w:num w:numId="62" w16cid:durableId="1602226341">
    <w:abstractNumId w:val="8"/>
  </w:num>
  <w:num w:numId="63" w16cid:durableId="600454611">
    <w:abstractNumId w:val="36"/>
  </w:num>
  <w:num w:numId="64" w16cid:durableId="1975256875">
    <w:abstractNumId w:val="23"/>
  </w:num>
  <w:num w:numId="65" w16cid:durableId="484780749">
    <w:abstractNumId w:val="20"/>
  </w:num>
  <w:num w:numId="66" w16cid:durableId="1740441500">
    <w:abstractNumId w:val="25"/>
  </w:num>
  <w:num w:numId="67" w16cid:durableId="1095633300">
    <w:abstractNumId w:val="38"/>
  </w:num>
  <w:num w:numId="68" w16cid:durableId="2106875499">
    <w:abstractNumId w:val="6"/>
  </w:num>
  <w:num w:numId="69" w16cid:durableId="769158740">
    <w:abstractNumId w:val="0"/>
  </w:num>
  <w:num w:numId="70" w16cid:durableId="288629494">
    <w:abstractNumId w:val="29"/>
  </w:num>
  <w:num w:numId="71" w16cid:durableId="1421557739">
    <w:abstractNumId w:val="22"/>
  </w:num>
  <w:num w:numId="72" w16cid:durableId="748579148">
    <w:abstractNumId w:val="9"/>
  </w:num>
  <w:num w:numId="73" w16cid:durableId="140581746">
    <w:abstractNumId w:val="32"/>
  </w:num>
  <w:num w:numId="74" w16cid:durableId="1435246946">
    <w:abstractNumId w:val="10"/>
  </w:num>
  <w:num w:numId="75" w16cid:durableId="1049915636">
    <w:abstractNumId w:val="30"/>
  </w:num>
  <w:num w:numId="76" w16cid:durableId="2066298764">
    <w:abstractNumId w:val="18"/>
  </w:num>
  <w:num w:numId="77" w16cid:durableId="294413046">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EB"/>
    <w:rsid w:val="0001479C"/>
    <w:rsid w:val="00015EAF"/>
    <w:rsid w:val="00020DD3"/>
    <w:rsid w:val="000311C6"/>
    <w:rsid w:val="00036395"/>
    <w:rsid w:val="00040804"/>
    <w:rsid w:val="0005725B"/>
    <w:rsid w:val="00074FD7"/>
    <w:rsid w:val="000817F2"/>
    <w:rsid w:val="00092CC8"/>
    <w:rsid w:val="000A0221"/>
    <w:rsid w:val="000A16E7"/>
    <w:rsid w:val="000A1B1C"/>
    <w:rsid w:val="000A1CF9"/>
    <w:rsid w:val="000A5926"/>
    <w:rsid w:val="000B130C"/>
    <w:rsid w:val="000C0D70"/>
    <w:rsid w:val="000C1456"/>
    <w:rsid w:val="000C3676"/>
    <w:rsid w:val="000C429E"/>
    <w:rsid w:val="000D14CF"/>
    <w:rsid w:val="000D7EA6"/>
    <w:rsid w:val="000E318F"/>
    <w:rsid w:val="000E40F1"/>
    <w:rsid w:val="000E5626"/>
    <w:rsid w:val="000E5D4C"/>
    <w:rsid w:val="000E652D"/>
    <w:rsid w:val="000F0C9B"/>
    <w:rsid w:val="000F4839"/>
    <w:rsid w:val="000F4F4C"/>
    <w:rsid w:val="000F58A6"/>
    <w:rsid w:val="00100834"/>
    <w:rsid w:val="001132DE"/>
    <w:rsid w:val="001133D1"/>
    <w:rsid w:val="00122622"/>
    <w:rsid w:val="00125B84"/>
    <w:rsid w:val="00126B13"/>
    <w:rsid w:val="00132EC0"/>
    <w:rsid w:val="001341A8"/>
    <w:rsid w:val="0014127D"/>
    <w:rsid w:val="00143484"/>
    <w:rsid w:val="001610D9"/>
    <w:rsid w:val="00165B66"/>
    <w:rsid w:val="001679EC"/>
    <w:rsid w:val="001701C5"/>
    <w:rsid w:val="00170775"/>
    <w:rsid w:val="00181CEA"/>
    <w:rsid w:val="00184BD7"/>
    <w:rsid w:val="00187D60"/>
    <w:rsid w:val="001971CE"/>
    <w:rsid w:val="001A1C1C"/>
    <w:rsid w:val="001A1FD3"/>
    <w:rsid w:val="001A27B7"/>
    <w:rsid w:val="001B28EB"/>
    <w:rsid w:val="001C02FF"/>
    <w:rsid w:val="001D2578"/>
    <w:rsid w:val="001D3C38"/>
    <w:rsid w:val="001E59F3"/>
    <w:rsid w:val="001F469B"/>
    <w:rsid w:val="001F51EB"/>
    <w:rsid w:val="001F679E"/>
    <w:rsid w:val="001F72C2"/>
    <w:rsid w:val="00200CC1"/>
    <w:rsid w:val="00206EEE"/>
    <w:rsid w:val="00211376"/>
    <w:rsid w:val="00211405"/>
    <w:rsid w:val="00217252"/>
    <w:rsid w:val="00217CAD"/>
    <w:rsid w:val="00225690"/>
    <w:rsid w:val="0023369C"/>
    <w:rsid w:val="00237178"/>
    <w:rsid w:val="002429E7"/>
    <w:rsid w:val="002442B5"/>
    <w:rsid w:val="002553AC"/>
    <w:rsid w:val="00256A37"/>
    <w:rsid w:val="00262B05"/>
    <w:rsid w:val="0027226E"/>
    <w:rsid w:val="00290252"/>
    <w:rsid w:val="002A0607"/>
    <w:rsid w:val="002A4B96"/>
    <w:rsid w:val="002B096A"/>
    <w:rsid w:val="002B096D"/>
    <w:rsid w:val="002C2C7A"/>
    <w:rsid w:val="002C3D5A"/>
    <w:rsid w:val="002C47D6"/>
    <w:rsid w:val="002E7B94"/>
    <w:rsid w:val="002F236C"/>
    <w:rsid w:val="002F50E5"/>
    <w:rsid w:val="002F5986"/>
    <w:rsid w:val="002F5A6F"/>
    <w:rsid w:val="00311D91"/>
    <w:rsid w:val="003231DB"/>
    <w:rsid w:val="003264FD"/>
    <w:rsid w:val="0033135D"/>
    <w:rsid w:val="00331B38"/>
    <w:rsid w:val="00346D64"/>
    <w:rsid w:val="0035090C"/>
    <w:rsid w:val="00352F4B"/>
    <w:rsid w:val="00363F16"/>
    <w:rsid w:val="00364FD3"/>
    <w:rsid w:val="00367DD1"/>
    <w:rsid w:val="00374A74"/>
    <w:rsid w:val="0037623C"/>
    <w:rsid w:val="00386CE0"/>
    <w:rsid w:val="00393D7E"/>
    <w:rsid w:val="00397C62"/>
    <w:rsid w:val="003A0880"/>
    <w:rsid w:val="003B4C3A"/>
    <w:rsid w:val="003B6609"/>
    <w:rsid w:val="003B70D5"/>
    <w:rsid w:val="003D23BE"/>
    <w:rsid w:val="003D61EF"/>
    <w:rsid w:val="003D6CB5"/>
    <w:rsid w:val="003D78BA"/>
    <w:rsid w:val="003E3E22"/>
    <w:rsid w:val="003E5E93"/>
    <w:rsid w:val="003E7F06"/>
    <w:rsid w:val="003F11C0"/>
    <w:rsid w:val="003F20EF"/>
    <w:rsid w:val="003F3F4A"/>
    <w:rsid w:val="00405168"/>
    <w:rsid w:val="004054B6"/>
    <w:rsid w:val="00410242"/>
    <w:rsid w:val="004145D9"/>
    <w:rsid w:val="0042397C"/>
    <w:rsid w:val="00425216"/>
    <w:rsid w:val="00443A54"/>
    <w:rsid w:val="004451AF"/>
    <w:rsid w:val="00450E90"/>
    <w:rsid w:val="004711A4"/>
    <w:rsid w:val="00476876"/>
    <w:rsid w:val="004803D1"/>
    <w:rsid w:val="00482677"/>
    <w:rsid w:val="004904B3"/>
    <w:rsid w:val="004A34B0"/>
    <w:rsid w:val="004B3760"/>
    <w:rsid w:val="004B552A"/>
    <w:rsid w:val="004B7759"/>
    <w:rsid w:val="004C211E"/>
    <w:rsid w:val="004C7D9E"/>
    <w:rsid w:val="004D0BC0"/>
    <w:rsid w:val="004D1037"/>
    <w:rsid w:val="004D7E82"/>
    <w:rsid w:val="004E03F5"/>
    <w:rsid w:val="004E5FE9"/>
    <w:rsid w:val="004F44F0"/>
    <w:rsid w:val="00501DD1"/>
    <w:rsid w:val="00524C31"/>
    <w:rsid w:val="00524CB6"/>
    <w:rsid w:val="005264EE"/>
    <w:rsid w:val="00537D12"/>
    <w:rsid w:val="005449E3"/>
    <w:rsid w:val="00550B5D"/>
    <w:rsid w:val="005536F3"/>
    <w:rsid w:val="00554DF0"/>
    <w:rsid w:val="00555973"/>
    <w:rsid w:val="00561430"/>
    <w:rsid w:val="00567546"/>
    <w:rsid w:val="0057359D"/>
    <w:rsid w:val="00590653"/>
    <w:rsid w:val="0059455A"/>
    <w:rsid w:val="0059631F"/>
    <w:rsid w:val="005A39F7"/>
    <w:rsid w:val="005A5C62"/>
    <w:rsid w:val="005B1AB1"/>
    <w:rsid w:val="005B3924"/>
    <w:rsid w:val="005B5977"/>
    <w:rsid w:val="005C4B94"/>
    <w:rsid w:val="005C70A2"/>
    <w:rsid w:val="005D147B"/>
    <w:rsid w:val="005D68C5"/>
    <w:rsid w:val="005D7D0C"/>
    <w:rsid w:val="005E025E"/>
    <w:rsid w:val="005E1D9E"/>
    <w:rsid w:val="005F4C4C"/>
    <w:rsid w:val="005F6E51"/>
    <w:rsid w:val="00600CF6"/>
    <w:rsid w:val="0060147C"/>
    <w:rsid w:val="00612708"/>
    <w:rsid w:val="00623E15"/>
    <w:rsid w:val="00626065"/>
    <w:rsid w:val="0062627E"/>
    <w:rsid w:val="00626FB1"/>
    <w:rsid w:val="0062725F"/>
    <w:rsid w:val="00630627"/>
    <w:rsid w:val="0063581B"/>
    <w:rsid w:val="00642444"/>
    <w:rsid w:val="00645ECA"/>
    <w:rsid w:val="00656096"/>
    <w:rsid w:val="00662412"/>
    <w:rsid w:val="00662FDE"/>
    <w:rsid w:val="00664977"/>
    <w:rsid w:val="00670690"/>
    <w:rsid w:val="0068635B"/>
    <w:rsid w:val="006866C4"/>
    <w:rsid w:val="00694CE6"/>
    <w:rsid w:val="00696531"/>
    <w:rsid w:val="00697201"/>
    <w:rsid w:val="006A2365"/>
    <w:rsid w:val="006A7E7B"/>
    <w:rsid w:val="006B1207"/>
    <w:rsid w:val="006B3B09"/>
    <w:rsid w:val="006B5B65"/>
    <w:rsid w:val="006B6F3E"/>
    <w:rsid w:val="006D26F2"/>
    <w:rsid w:val="006D60AB"/>
    <w:rsid w:val="006E09CA"/>
    <w:rsid w:val="006F1474"/>
    <w:rsid w:val="006F5F1B"/>
    <w:rsid w:val="007028FD"/>
    <w:rsid w:val="00704C44"/>
    <w:rsid w:val="007108F8"/>
    <w:rsid w:val="007161A9"/>
    <w:rsid w:val="00720D0E"/>
    <w:rsid w:val="00725FEC"/>
    <w:rsid w:val="00732CFB"/>
    <w:rsid w:val="00742CCD"/>
    <w:rsid w:val="00744F9F"/>
    <w:rsid w:val="007467A2"/>
    <w:rsid w:val="00754349"/>
    <w:rsid w:val="00760F6A"/>
    <w:rsid w:val="0076422C"/>
    <w:rsid w:val="007745EB"/>
    <w:rsid w:val="0077584E"/>
    <w:rsid w:val="007807F1"/>
    <w:rsid w:val="00782607"/>
    <w:rsid w:val="0078347F"/>
    <w:rsid w:val="00796045"/>
    <w:rsid w:val="0079655D"/>
    <w:rsid w:val="00797579"/>
    <w:rsid w:val="007A2D97"/>
    <w:rsid w:val="007A4AAA"/>
    <w:rsid w:val="007A75A9"/>
    <w:rsid w:val="007C03B1"/>
    <w:rsid w:val="007D2AE4"/>
    <w:rsid w:val="007D6B59"/>
    <w:rsid w:val="007E4930"/>
    <w:rsid w:val="007E58E4"/>
    <w:rsid w:val="007F196F"/>
    <w:rsid w:val="007F3203"/>
    <w:rsid w:val="008011E9"/>
    <w:rsid w:val="00802C7E"/>
    <w:rsid w:val="008038FC"/>
    <w:rsid w:val="0081073A"/>
    <w:rsid w:val="0081110D"/>
    <w:rsid w:val="00811498"/>
    <w:rsid w:val="00817291"/>
    <w:rsid w:val="00820E37"/>
    <w:rsid w:val="00821A0E"/>
    <w:rsid w:val="00822948"/>
    <w:rsid w:val="0082327F"/>
    <w:rsid w:val="00825972"/>
    <w:rsid w:val="00827DA1"/>
    <w:rsid w:val="00830644"/>
    <w:rsid w:val="00831652"/>
    <w:rsid w:val="00836631"/>
    <w:rsid w:val="00843B8A"/>
    <w:rsid w:val="00847DC5"/>
    <w:rsid w:val="008502B9"/>
    <w:rsid w:val="00850DC0"/>
    <w:rsid w:val="008609CD"/>
    <w:rsid w:val="0086277B"/>
    <w:rsid w:val="0086405D"/>
    <w:rsid w:val="00865E35"/>
    <w:rsid w:val="008662AC"/>
    <w:rsid w:val="00867960"/>
    <w:rsid w:val="008848C9"/>
    <w:rsid w:val="00885A52"/>
    <w:rsid w:val="00886BD1"/>
    <w:rsid w:val="00892B54"/>
    <w:rsid w:val="008B6E22"/>
    <w:rsid w:val="008B7CBD"/>
    <w:rsid w:val="008D3314"/>
    <w:rsid w:val="008D403E"/>
    <w:rsid w:val="008D4DDB"/>
    <w:rsid w:val="008E01AB"/>
    <w:rsid w:val="008E103D"/>
    <w:rsid w:val="008E2260"/>
    <w:rsid w:val="008F2DCC"/>
    <w:rsid w:val="008F620D"/>
    <w:rsid w:val="008F6566"/>
    <w:rsid w:val="009025EB"/>
    <w:rsid w:val="009048AA"/>
    <w:rsid w:val="009048EB"/>
    <w:rsid w:val="0090512C"/>
    <w:rsid w:val="0091065B"/>
    <w:rsid w:val="00915285"/>
    <w:rsid w:val="009166F9"/>
    <w:rsid w:val="00923597"/>
    <w:rsid w:val="00925024"/>
    <w:rsid w:val="009274B3"/>
    <w:rsid w:val="00930DDA"/>
    <w:rsid w:val="00943BD8"/>
    <w:rsid w:val="00955F1B"/>
    <w:rsid w:val="00956161"/>
    <w:rsid w:val="00964D7F"/>
    <w:rsid w:val="00990DAB"/>
    <w:rsid w:val="009962F3"/>
    <w:rsid w:val="009B4AFE"/>
    <w:rsid w:val="009B6430"/>
    <w:rsid w:val="009E1DAB"/>
    <w:rsid w:val="009E2B93"/>
    <w:rsid w:val="009F11F0"/>
    <w:rsid w:val="009F6EC8"/>
    <w:rsid w:val="00A021E4"/>
    <w:rsid w:val="00A164ED"/>
    <w:rsid w:val="00A206BB"/>
    <w:rsid w:val="00A2249F"/>
    <w:rsid w:val="00A30407"/>
    <w:rsid w:val="00A31A54"/>
    <w:rsid w:val="00A35D12"/>
    <w:rsid w:val="00A558FC"/>
    <w:rsid w:val="00A5683D"/>
    <w:rsid w:val="00A5742A"/>
    <w:rsid w:val="00A624C8"/>
    <w:rsid w:val="00A659C7"/>
    <w:rsid w:val="00A65D48"/>
    <w:rsid w:val="00A6788C"/>
    <w:rsid w:val="00A71890"/>
    <w:rsid w:val="00A71ABC"/>
    <w:rsid w:val="00A727F3"/>
    <w:rsid w:val="00A743DD"/>
    <w:rsid w:val="00A74F19"/>
    <w:rsid w:val="00A7553E"/>
    <w:rsid w:val="00A75CD4"/>
    <w:rsid w:val="00A7659A"/>
    <w:rsid w:val="00A77F60"/>
    <w:rsid w:val="00A86E62"/>
    <w:rsid w:val="00A8775A"/>
    <w:rsid w:val="00A87B42"/>
    <w:rsid w:val="00A93717"/>
    <w:rsid w:val="00A96850"/>
    <w:rsid w:val="00AA4AEA"/>
    <w:rsid w:val="00AA533A"/>
    <w:rsid w:val="00AA5955"/>
    <w:rsid w:val="00AB1C9C"/>
    <w:rsid w:val="00AB3BE3"/>
    <w:rsid w:val="00AB4A80"/>
    <w:rsid w:val="00AC21C7"/>
    <w:rsid w:val="00AC277D"/>
    <w:rsid w:val="00AC3B58"/>
    <w:rsid w:val="00AD0509"/>
    <w:rsid w:val="00AE4E78"/>
    <w:rsid w:val="00AF00AB"/>
    <w:rsid w:val="00B011F4"/>
    <w:rsid w:val="00B0690B"/>
    <w:rsid w:val="00B15710"/>
    <w:rsid w:val="00B31A8E"/>
    <w:rsid w:val="00B36835"/>
    <w:rsid w:val="00B4016C"/>
    <w:rsid w:val="00B46636"/>
    <w:rsid w:val="00B62C59"/>
    <w:rsid w:val="00B649F7"/>
    <w:rsid w:val="00B64C83"/>
    <w:rsid w:val="00B66063"/>
    <w:rsid w:val="00B7132B"/>
    <w:rsid w:val="00B72874"/>
    <w:rsid w:val="00B741B2"/>
    <w:rsid w:val="00B74886"/>
    <w:rsid w:val="00B764B2"/>
    <w:rsid w:val="00B827F9"/>
    <w:rsid w:val="00B82C22"/>
    <w:rsid w:val="00B849DB"/>
    <w:rsid w:val="00B90C70"/>
    <w:rsid w:val="00B91DBD"/>
    <w:rsid w:val="00BA4F97"/>
    <w:rsid w:val="00BB3591"/>
    <w:rsid w:val="00BB7815"/>
    <w:rsid w:val="00BD1A51"/>
    <w:rsid w:val="00BE3323"/>
    <w:rsid w:val="00BE466E"/>
    <w:rsid w:val="00BE59F8"/>
    <w:rsid w:val="00BF0B30"/>
    <w:rsid w:val="00BF18DE"/>
    <w:rsid w:val="00BF32B6"/>
    <w:rsid w:val="00C124D0"/>
    <w:rsid w:val="00C126C2"/>
    <w:rsid w:val="00C13B17"/>
    <w:rsid w:val="00C13F3B"/>
    <w:rsid w:val="00C143CF"/>
    <w:rsid w:val="00C2224D"/>
    <w:rsid w:val="00C37BBC"/>
    <w:rsid w:val="00C43D61"/>
    <w:rsid w:val="00C50DEF"/>
    <w:rsid w:val="00C5120F"/>
    <w:rsid w:val="00C74B00"/>
    <w:rsid w:val="00C762E3"/>
    <w:rsid w:val="00C76DEB"/>
    <w:rsid w:val="00C773BE"/>
    <w:rsid w:val="00C77DB7"/>
    <w:rsid w:val="00C83058"/>
    <w:rsid w:val="00C840FB"/>
    <w:rsid w:val="00C87FDA"/>
    <w:rsid w:val="00C909DD"/>
    <w:rsid w:val="00C92953"/>
    <w:rsid w:val="00C96168"/>
    <w:rsid w:val="00CA1325"/>
    <w:rsid w:val="00CB293E"/>
    <w:rsid w:val="00CB2A9A"/>
    <w:rsid w:val="00CC29CC"/>
    <w:rsid w:val="00CC2A84"/>
    <w:rsid w:val="00CC751A"/>
    <w:rsid w:val="00CD16AE"/>
    <w:rsid w:val="00CE2BC9"/>
    <w:rsid w:val="00CF1038"/>
    <w:rsid w:val="00CF22C2"/>
    <w:rsid w:val="00CF3A48"/>
    <w:rsid w:val="00D003BF"/>
    <w:rsid w:val="00D03069"/>
    <w:rsid w:val="00D041DB"/>
    <w:rsid w:val="00D054D7"/>
    <w:rsid w:val="00D12D89"/>
    <w:rsid w:val="00D14088"/>
    <w:rsid w:val="00D147D6"/>
    <w:rsid w:val="00D2090E"/>
    <w:rsid w:val="00D37857"/>
    <w:rsid w:val="00D43723"/>
    <w:rsid w:val="00D54F0F"/>
    <w:rsid w:val="00D6257E"/>
    <w:rsid w:val="00D6650A"/>
    <w:rsid w:val="00D8170D"/>
    <w:rsid w:val="00D829E1"/>
    <w:rsid w:val="00D83787"/>
    <w:rsid w:val="00DA0B5F"/>
    <w:rsid w:val="00DA376A"/>
    <w:rsid w:val="00DA6AE2"/>
    <w:rsid w:val="00DB3F72"/>
    <w:rsid w:val="00DB64E6"/>
    <w:rsid w:val="00DB7BCC"/>
    <w:rsid w:val="00DE014D"/>
    <w:rsid w:val="00DE2B3C"/>
    <w:rsid w:val="00DF2FA6"/>
    <w:rsid w:val="00DF32F3"/>
    <w:rsid w:val="00DF7120"/>
    <w:rsid w:val="00DF75F7"/>
    <w:rsid w:val="00E01B9E"/>
    <w:rsid w:val="00E1121C"/>
    <w:rsid w:val="00E166CC"/>
    <w:rsid w:val="00E22E24"/>
    <w:rsid w:val="00E25A95"/>
    <w:rsid w:val="00E26F86"/>
    <w:rsid w:val="00E27714"/>
    <w:rsid w:val="00E406AD"/>
    <w:rsid w:val="00E54A77"/>
    <w:rsid w:val="00E55473"/>
    <w:rsid w:val="00E81C9D"/>
    <w:rsid w:val="00E82014"/>
    <w:rsid w:val="00E96256"/>
    <w:rsid w:val="00EC7942"/>
    <w:rsid w:val="00EC7D22"/>
    <w:rsid w:val="00ED0C5F"/>
    <w:rsid w:val="00ED32D4"/>
    <w:rsid w:val="00ED5F8B"/>
    <w:rsid w:val="00EE5E8D"/>
    <w:rsid w:val="00EF5AFD"/>
    <w:rsid w:val="00EF6DF7"/>
    <w:rsid w:val="00EF75AC"/>
    <w:rsid w:val="00F02291"/>
    <w:rsid w:val="00F04CFF"/>
    <w:rsid w:val="00F065BC"/>
    <w:rsid w:val="00F067D3"/>
    <w:rsid w:val="00F11740"/>
    <w:rsid w:val="00F13360"/>
    <w:rsid w:val="00F25E5A"/>
    <w:rsid w:val="00F26249"/>
    <w:rsid w:val="00F3368B"/>
    <w:rsid w:val="00F373EF"/>
    <w:rsid w:val="00F402CF"/>
    <w:rsid w:val="00F63648"/>
    <w:rsid w:val="00F64288"/>
    <w:rsid w:val="00F66363"/>
    <w:rsid w:val="00F7683E"/>
    <w:rsid w:val="00F807CB"/>
    <w:rsid w:val="00F84089"/>
    <w:rsid w:val="00F96BCB"/>
    <w:rsid w:val="00FB125D"/>
    <w:rsid w:val="00FB217A"/>
    <w:rsid w:val="00FC1B87"/>
    <w:rsid w:val="00FE1D6D"/>
    <w:rsid w:val="00FF7532"/>
    <w:rsid w:val="00FF7F09"/>
    <w:rsid w:val="00FF7F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7715"/>
  <w15:docId w15:val="{FA33EE7C-8452-4818-BF1C-84434B53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F4"/>
    <w:pPr>
      <w:overflowPunct w:val="0"/>
      <w:spacing w:after="200" w:line="276" w:lineRule="auto"/>
    </w:pPr>
    <w:rPr>
      <w:sz w:val="22"/>
      <w:szCs w:val="22"/>
      <w:lang w:eastAsia="en-US"/>
    </w:rPr>
  </w:style>
  <w:style w:type="paragraph" w:styleId="Ttulo1">
    <w:name w:val="heading 1"/>
    <w:basedOn w:val="Normal"/>
    <w:link w:val="Ttulo1Car"/>
    <w:uiPriority w:val="9"/>
    <w:qFormat/>
    <w:pPr>
      <w:widowControl w:val="0"/>
      <w:spacing w:after="0" w:line="240" w:lineRule="auto"/>
      <w:ind w:left="282"/>
      <w:outlineLvl w:val="0"/>
    </w:pPr>
    <w:rPr>
      <w:rFonts w:ascii="Arial" w:eastAsia="Arial" w:hAnsi="Arial"/>
      <w:b/>
      <w:bCs/>
      <w:sz w:val="24"/>
      <w:szCs w:val="24"/>
      <w:lang w:val="en-US"/>
    </w:rPr>
  </w:style>
  <w:style w:type="paragraph" w:styleId="Ttulo2">
    <w:name w:val="heading 2"/>
    <w:basedOn w:val="Normal"/>
    <w:next w:val="Normal"/>
    <w:link w:val="Ttulo2Car"/>
    <w:uiPriority w:val="9"/>
    <w:qFormat/>
    <w:pPr>
      <w:keepNext/>
      <w:keepLines/>
      <w:spacing w:before="40" w:after="0"/>
      <w:outlineLvl w:val="1"/>
    </w:pPr>
    <w:rPr>
      <w:rFonts w:ascii="Calibri Light" w:hAnsi="Calibri Light"/>
      <w:color w:val="2E74B5" w:themeColor="accent1" w:themeShade="BF"/>
      <w:sz w:val="26"/>
      <w:szCs w:val="26"/>
    </w:rPr>
  </w:style>
  <w:style w:type="paragraph" w:styleId="Ttulo3">
    <w:name w:val="heading 3"/>
    <w:basedOn w:val="Normal"/>
    <w:next w:val="Normal"/>
    <w:link w:val="Ttulo3Car"/>
    <w:uiPriority w:val="9"/>
    <w:qFormat/>
    <w:pPr>
      <w:keepNext/>
      <w:keepLines/>
      <w:spacing w:before="40" w:after="0"/>
      <w:outlineLvl w:val="2"/>
    </w:pPr>
    <w:rPr>
      <w:rFonts w:ascii="Calibri Light" w:hAnsi="Calibri Light"/>
      <w:color w:val="1F4D78" w:themeColor="accent1" w:themeShade="7F"/>
      <w:sz w:val="24"/>
      <w:szCs w:val="24"/>
    </w:rPr>
  </w:style>
  <w:style w:type="paragraph" w:styleId="Ttulo4">
    <w:name w:val="heading 4"/>
    <w:basedOn w:val="Normal"/>
    <w:next w:val="Normal"/>
    <w:link w:val="Ttulo4Car"/>
    <w:uiPriority w:val="9"/>
    <w:semiHidden/>
    <w:unhideWhenUsed/>
    <w:qFormat/>
    <w:rsid w:val="003D61EF"/>
    <w:pPr>
      <w:keepNext/>
      <w:keepLines/>
      <w:suppressAutoHyphens w:val="0"/>
      <w:overflowPunct/>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3D61EF"/>
    <w:pPr>
      <w:keepNext/>
      <w:keepLines/>
      <w:suppressAutoHyphens w:val="0"/>
      <w:overflowPunct/>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3D61EF"/>
    <w:pPr>
      <w:keepNext/>
      <w:keepLines/>
      <w:suppressAutoHyphens w:val="0"/>
      <w:overflowPunct/>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3D61EF"/>
    <w:pPr>
      <w:keepNext/>
      <w:keepLines/>
      <w:suppressAutoHyphens w:val="0"/>
      <w:overflowPunct/>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3D61EF"/>
    <w:pPr>
      <w:keepNext/>
      <w:keepLines/>
      <w:suppressAutoHyphens w:val="0"/>
      <w:overflowPunct/>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3D61EF"/>
    <w:pPr>
      <w:keepNext/>
      <w:keepLines/>
      <w:suppressAutoHyphens w:val="0"/>
      <w:overflowPunct/>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Arial" w:eastAsia="Arial" w:hAnsi="Arial" w:cs="Times New Roman"/>
      <w:b/>
      <w:bCs/>
      <w:sz w:val="24"/>
      <w:szCs w:val="24"/>
      <w:lang w:val="en-US" w:eastAsia="en-US"/>
    </w:rPr>
  </w:style>
  <w:style w:type="character" w:customStyle="1" w:styleId="TextonotapieCar">
    <w:name w:val="Texto nota pie Car"/>
    <w:link w:val="Textonotapie"/>
    <w:uiPriority w:val="99"/>
    <w:qFormat/>
    <w:rPr>
      <w:sz w:val="20"/>
      <w:szCs w:val="20"/>
    </w:rPr>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qFormat/>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ROMANOSCar">
    <w:name w:val="ROMANOS Car"/>
    <w:link w:val="ROMANOS"/>
    <w:qFormat/>
    <w:rPr>
      <w:rFonts w:ascii="Arial" w:eastAsia="Times New Roman" w:hAnsi="Arial" w:cs="Arial"/>
      <w:sz w:val="18"/>
      <w:szCs w:val="18"/>
      <w:lang w:val="es-ES" w:eastAsia="es-ES"/>
    </w:rPr>
  </w:style>
  <w:style w:type="character" w:customStyle="1" w:styleId="TextodegloboCar">
    <w:name w:val="Texto de globo Car"/>
    <w:link w:val="Textodeglobo"/>
    <w:qFormat/>
    <w:rPr>
      <w:rFonts w:ascii="Tahoma" w:hAnsi="Tahoma" w:cs="Tahoma"/>
      <w:sz w:val="16"/>
      <w:szCs w:val="16"/>
    </w:rPr>
  </w:style>
  <w:style w:type="character" w:customStyle="1" w:styleId="PrrafodelistaCar">
    <w:name w:val="Párrafo de lista Car"/>
    <w:link w:val="Prrafodelista"/>
    <w:uiPriority w:val="34"/>
    <w:qFormat/>
    <w:rPr>
      <w:sz w:val="22"/>
      <w:szCs w:val="22"/>
      <w:lang w:eastAsia="en-US"/>
    </w:rPr>
  </w:style>
  <w:style w:type="character" w:customStyle="1" w:styleId="TextoindependienteCar">
    <w:name w:val="Texto independiente Car"/>
    <w:basedOn w:val="Fuentedeprrafopredeter"/>
    <w:link w:val="Textoindependiente"/>
    <w:qFormat/>
    <w:rPr>
      <w:rFonts w:ascii="Arial" w:eastAsia="Arial" w:hAnsi="Arial" w:cs="Times New Roman"/>
      <w:sz w:val="24"/>
      <w:szCs w:val="24"/>
      <w:lang w:val="en-US" w:eastAsia="en-US"/>
    </w:rPr>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link w:val="Textocomentario"/>
    <w:qFormat/>
    <w:rPr>
      <w:rFonts w:ascii="Calibri" w:eastAsia="Calibri" w:hAnsi="Calibri" w:cs="Times New Roman"/>
      <w:lang w:val="en-US" w:eastAsia="en-US"/>
    </w:rPr>
  </w:style>
  <w:style w:type="character" w:customStyle="1" w:styleId="AsuntodelcomentarioCar">
    <w:name w:val="Asunto del comentario Car"/>
    <w:basedOn w:val="TextocomentarioCar"/>
    <w:link w:val="Asuntodelcomentario"/>
    <w:qFormat/>
    <w:rPr>
      <w:rFonts w:ascii="Calibri" w:eastAsia="Calibri" w:hAnsi="Calibri" w:cs="Times New Roman"/>
      <w:b/>
      <w:bCs/>
      <w:lang w:val="en-US" w:eastAsia="en-US"/>
    </w:rPr>
  </w:style>
  <w:style w:type="character" w:styleId="Hipervnculo">
    <w:name w:val="Hyperlink"/>
    <w:basedOn w:val="Fuentedeprrafopredeter"/>
    <w:uiPriority w:val="99"/>
    <w:rPr>
      <w:color w:val="0563C1" w:themeColor="hyperlink"/>
      <w:u w:val="single"/>
    </w:rPr>
  </w:style>
  <w:style w:type="character" w:customStyle="1" w:styleId="Mencinsinresolver1">
    <w:name w:val="Mención sin resolver1"/>
    <w:basedOn w:val="Fuentedeprrafopredeter"/>
    <w:qFormat/>
    <w:rPr>
      <w:color w:val="605E5C"/>
      <w:shd w:val="clear" w:color="auto" w:fill="E1DFDD"/>
    </w:rPr>
  </w:style>
  <w:style w:type="character" w:styleId="Textoennegrita">
    <w:name w:val="Strong"/>
    <w:basedOn w:val="Fuentedeprrafopredeter"/>
    <w:qFormat/>
    <w:rPr>
      <w:b/>
      <w:bCs/>
    </w:rPr>
  </w:style>
  <w:style w:type="character" w:customStyle="1" w:styleId="Ttulo2Car">
    <w:name w:val="Título 2 Car"/>
    <w:basedOn w:val="Fuentedeprrafopredeter"/>
    <w:link w:val="Ttulo2"/>
    <w:uiPriority w:val="9"/>
    <w:qFormat/>
    <w:rPr>
      <w:rFonts w:ascii="Calibri Light" w:eastAsia="Calibri" w:hAnsi="Calibri Light" w:cs="Times New Roman"/>
      <w:color w:val="2E74B5" w:themeColor="accent1" w:themeShade="BF"/>
      <w:sz w:val="26"/>
      <w:szCs w:val="26"/>
      <w:lang w:eastAsia="en-US"/>
    </w:rPr>
  </w:style>
  <w:style w:type="character" w:customStyle="1" w:styleId="Ttulo3Car">
    <w:name w:val="Título 3 Car"/>
    <w:basedOn w:val="Fuentedeprrafopredeter"/>
    <w:link w:val="Ttulo3"/>
    <w:uiPriority w:val="9"/>
    <w:qFormat/>
    <w:rPr>
      <w:rFonts w:ascii="Calibri Light" w:eastAsia="Calibri" w:hAnsi="Calibri Light" w:cs="Times New Roman"/>
      <w:color w:val="1F4D78" w:themeColor="accent1" w:themeShade="7F"/>
      <w:sz w:val="24"/>
      <w:szCs w:val="24"/>
      <w:lang w:eastAsia="en-US"/>
    </w:rPr>
  </w:style>
  <w:style w:type="character" w:styleId="CitaHTML">
    <w:name w:val="HTML Cite"/>
    <w:basedOn w:val="Fuentedeprrafopredeter"/>
    <w:qFormat/>
    <w:rPr>
      <w:i/>
      <w:iCs/>
    </w:rPr>
  </w:style>
  <w:style w:type="character" w:styleId="nfasis">
    <w:name w:val="Emphasis"/>
    <w:basedOn w:val="Fuentedeprrafopredeter"/>
    <w:qFormat/>
    <w:rPr>
      <w:i/>
      <w:iCs/>
    </w:rPr>
  </w:style>
  <w:style w:type="character" w:customStyle="1" w:styleId="apple-converted-space">
    <w:name w:val="apple-converted-space"/>
    <w:basedOn w:val="Fuentedeprrafopredeter"/>
    <w:qFormat/>
  </w:style>
  <w:style w:type="character" w:styleId="Hipervnculovisitado">
    <w:name w:val="FollowedHyperlink"/>
    <w:basedOn w:val="Fuentedeprrafopredeter"/>
    <w:uiPriority w:val="99"/>
    <w:rPr>
      <w:color w:val="954F72" w:themeColor="followedHyperlink"/>
      <w:u w:val="single"/>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widowControl w:val="0"/>
      <w:spacing w:after="0" w:line="240" w:lineRule="auto"/>
      <w:ind w:left="282"/>
    </w:pPr>
    <w:rPr>
      <w:rFonts w:ascii="Arial" w:eastAsia="Arial" w:hAnsi="Arial"/>
      <w:sz w:val="24"/>
      <w:szCs w:val="24"/>
      <w:lang w:val="en-U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notapie">
    <w:name w:val="footnote text"/>
    <w:basedOn w:val="Normal"/>
    <w:link w:val="TextonotapieCar"/>
    <w:uiPriority w:val="99"/>
    <w:pPr>
      <w:spacing w:after="0" w:line="240" w:lineRule="auto"/>
    </w:pPr>
    <w:rPr>
      <w:sz w:val="20"/>
      <w:szCs w:val="20"/>
      <w:lang w:val="x-none" w:eastAsia="x-none"/>
    </w:rPr>
  </w:style>
  <w:style w:type="paragraph" w:customStyle="1" w:styleId="Cabeceraypie">
    <w:name w:val="Cabecera y pie"/>
    <w:basedOn w:val="Normal"/>
    <w:qFormat/>
  </w:style>
  <w:style w:type="paragraph" w:styleId="Encabezado">
    <w:name w:val="header"/>
    <w:basedOn w:val="Normal"/>
    <w:link w:val="EncabezadoCar"/>
    <w:pPr>
      <w:tabs>
        <w:tab w:val="center" w:pos="4419"/>
        <w:tab w:val="right" w:pos="8838"/>
      </w:tabs>
      <w:spacing w:after="0" w:line="240" w:lineRule="auto"/>
    </w:pPr>
  </w:style>
  <w:style w:type="paragraph" w:styleId="Piedepgina">
    <w:name w:val="footer"/>
    <w:basedOn w:val="Normal"/>
    <w:link w:val="PiedepginaCar"/>
    <w:pPr>
      <w:tabs>
        <w:tab w:val="center" w:pos="4419"/>
        <w:tab w:val="right" w:pos="8838"/>
      </w:tabs>
      <w:spacing w:after="0" w:line="240" w:lineRule="auto"/>
    </w:pPr>
  </w:style>
  <w:style w:type="paragraph" w:customStyle="1" w:styleId="Texto">
    <w:name w:val="Texto"/>
    <w:basedOn w:val="Normal"/>
    <w:link w:val="TextoCar"/>
    <w:qFormat/>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qFormat/>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qFormat/>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qFormat/>
    <w:pPr>
      <w:spacing w:after="0" w:line="240" w:lineRule="auto"/>
    </w:pPr>
    <w:rPr>
      <w:rFonts w:ascii="Tahoma" w:hAnsi="Tahoma"/>
      <w:sz w:val="16"/>
      <w:szCs w:val="16"/>
      <w:lang w:val="x-none" w:eastAsia="x-none"/>
    </w:rPr>
  </w:style>
  <w:style w:type="paragraph" w:styleId="Prrafodelista">
    <w:name w:val="List Paragraph"/>
    <w:basedOn w:val="Normal"/>
    <w:link w:val="PrrafodelistaCar"/>
    <w:uiPriority w:val="34"/>
    <w:qFormat/>
    <w:pPr>
      <w:ind w:left="720"/>
      <w:contextualSpacing/>
    </w:pPr>
  </w:style>
  <w:style w:type="paragraph" w:customStyle="1" w:styleId="Titulo1">
    <w:name w:val="Titulo 1"/>
    <w:basedOn w:val="Texto"/>
    <w:qForma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Normal"/>
    <w:uiPriority w:val="99"/>
    <w:qFormat/>
    <w:pPr>
      <w:spacing w:before="280" w:after="280" w:line="240" w:lineRule="auto"/>
    </w:pPr>
    <w:rPr>
      <w:rFonts w:ascii="Times New Roman" w:eastAsia="Times New Roman" w:hAnsi="Times New Roman"/>
      <w:sz w:val="24"/>
      <w:szCs w:val="24"/>
      <w:lang w:eastAsia="es-MX"/>
    </w:rPr>
  </w:style>
  <w:style w:type="paragraph" w:customStyle="1" w:styleId="TableParagraph">
    <w:name w:val="Table Paragraph"/>
    <w:basedOn w:val="Normal"/>
    <w:qFormat/>
    <w:pPr>
      <w:widowControl w:val="0"/>
      <w:spacing w:after="0" w:line="240" w:lineRule="auto"/>
    </w:pPr>
    <w:rPr>
      <w:lang w:val="en-US"/>
    </w:rPr>
  </w:style>
  <w:style w:type="paragraph" w:styleId="Sinespaciado">
    <w:name w:val="No Spacing"/>
    <w:qFormat/>
    <w:pPr>
      <w:widowControl w:val="0"/>
      <w:overflowPunct w:val="0"/>
    </w:pPr>
    <w:rPr>
      <w:sz w:val="22"/>
      <w:szCs w:val="22"/>
      <w:lang w:val="en-US" w:eastAsia="en-US"/>
    </w:rPr>
  </w:style>
  <w:style w:type="paragraph" w:styleId="Textocomentario">
    <w:name w:val="annotation text"/>
    <w:basedOn w:val="Normal"/>
    <w:link w:val="TextocomentarioCar"/>
    <w:qFormat/>
    <w:pPr>
      <w:widowControl w:val="0"/>
      <w:spacing w:after="0" w:line="240" w:lineRule="auto"/>
    </w:pPr>
    <w:rPr>
      <w:sz w:val="20"/>
      <w:szCs w:val="20"/>
      <w:lang w:val="en-US"/>
    </w:rPr>
  </w:style>
  <w:style w:type="paragraph" w:styleId="Asuntodelcomentario">
    <w:name w:val="annotation subject"/>
    <w:basedOn w:val="Textocomentario"/>
    <w:next w:val="Textocomentario"/>
    <w:link w:val="AsuntodelcomentarioCar"/>
    <w:qFormat/>
    <w:rPr>
      <w:b/>
      <w:bCs/>
    </w:rPr>
  </w:style>
  <w:style w:type="paragraph" w:customStyle="1" w:styleId="Default">
    <w:name w:val="Default"/>
    <w:qFormat/>
    <w:pPr>
      <w:overflowPunct w:val="0"/>
    </w:pPr>
    <w:rPr>
      <w:rFonts w:ascii="Arial" w:hAnsi="Arial" w:cs="Arial"/>
      <w:color w:val="000000"/>
      <w:sz w:val="24"/>
      <w:szCs w:val="24"/>
      <w:lang w:eastAsia="en-US"/>
    </w:rPr>
  </w:style>
  <w:style w:type="paragraph" w:customStyle="1" w:styleId="n01">
    <w:name w:val="n01"/>
    <w:basedOn w:val="Normal"/>
    <w:qFormat/>
    <w:pPr>
      <w:keepLines/>
      <w:spacing w:before="240" w:after="0" w:line="240" w:lineRule="auto"/>
      <w:ind w:left="720" w:hanging="720"/>
      <w:jc w:val="both"/>
    </w:pPr>
    <w:rPr>
      <w:rFonts w:ascii="Univers (W1)" w:eastAsia="Times New Roman" w:hAnsi="Univers (W1)" w:cs="Arial"/>
      <w:color w:val="800080"/>
      <w:sz w:val="24"/>
      <w:szCs w:val="24"/>
      <w:lang w:val="es-ES_tradnl" w:eastAsia="es-ES"/>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39"/>
    <w:rsid w:val="005F4C4C"/>
    <w:pPr>
      <w:suppressAutoHyphens w:val="0"/>
    </w:pPr>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3D61EF"/>
    <w:rPr>
      <w:rFonts w:asciiTheme="minorHAnsi" w:eastAsiaTheme="majorEastAsia" w:hAnsiTheme="minorHAnsi" w:cstheme="majorBidi"/>
      <w:i/>
      <w:iCs/>
      <w:color w:val="2E74B5" w:themeColor="accent1" w:themeShade="BF"/>
      <w:kern w:val="2"/>
      <w:sz w:val="24"/>
      <w:szCs w:val="24"/>
      <w:lang w:eastAsia="en-US"/>
      <w14:ligatures w14:val="standardContextual"/>
    </w:rPr>
  </w:style>
  <w:style w:type="character" w:customStyle="1" w:styleId="Ttulo5Car">
    <w:name w:val="Título 5 Car"/>
    <w:basedOn w:val="Fuentedeprrafopredeter"/>
    <w:link w:val="Ttulo5"/>
    <w:uiPriority w:val="9"/>
    <w:semiHidden/>
    <w:rsid w:val="003D61EF"/>
    <w:rPr>
      <w:rFonts w:asciiTheme="minorHAnsi" w:eastAsiaTheme="majorEastAsia" w:hAnsiTheme="minorHAnsi" w:cstheme="majorBidi"/>
      <w:color w:val="2E74B5" w:themeColor="accent1" w:themeShade="BF"/>
      <w:kern w:val="2"/>
      <w:sz w:val="24"/>
      <w:szCs w:val="24"/>
      <w:lang w:eastAsia="en-US"/>
      <w14:ligatures w14:val="standardContextual"/>
    </w:rPr>
  </w:style>
  <w:style w:type="character" w:customStyle="1" w:styleId="Ttulo6Car">
    <w:name w:val="Título 6 Car"/>
    <w:basedOn w:val="Fuentedeprrafopredeter"/>
    <w:link w:val="Ttulo6"/>
    <w:uiPriority w:val="9"/>
    <w:semiHidden/>
    <w:rsid w:val="003D61EF"/>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uiPriority w:val="9"/>
    <w:semiHidden/>
    <w:rsid w:val="003D61EF"/>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uiPriority w:val="9"/>
    <w:semiHidden/>
    <w:rsid w:val="003D61EF"/>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3D61EF"/>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Ttulo">
    <w:name w:val="Title"/>
    <w:basedOn w:val="Normal"/>
    <w:next w:val="Normal"/>
    <w:link w:val="TtuloCar"/>
    <w:uiPriority w:val="10"/>
    <w:qFormat/>
    <w:rsid w:val="003D61EF"/>
    <w:pPr>
      <w:suppressAutoHyphens w:val="0"/>
      <w:overflowPunct/>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3D61EF"/>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ar"/>
    <w:uiPriority w:val="11"/>
    <w:qFormat/>
    <w:rsid w:val="003D61EF"/>
    <w:pPr>
      <w:numPr>
        <w:ilvl w:val="1"/>
      </w:numPr>
      <w:suppressAutoHyphens w:val="0"/>
      <w:overflowPunct/>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3D61EF"/>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3D61EF"/>
    <w:pPr>
      <w:suppressAutoHyphens w:val="0"/>
      <w:overflowPunct/>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3D61EF"/>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3D61EF"/>
    <w:rPr>
      <w:i/>
      <w:iCs/>
      <w:color w:val="2E74B5" w:themeColor="accent1" w:themeShade="BF"/>
    </w:rPr>
  </w:style>
  <w:style w:type="paragraph" w:styleId="Citadestacada">
    <w:name w:val="Intense Quote"/>
    <w:basedOn w:val="Normal"/>
    <w:next w:val="Normal"/>
    <w:link w:val="CitadestacadaCar"/>
    <w:uiPriority w:val="30"/>
    <w:qFormat/>
    <w:rsid w:val="003D61EF"/>
    <w:pPr>
      <w:pBdr>
        <w:top w:val="single" w:sz="4" w:space="10" w:color="2E74B5" w:themeColor="accent1" w:themeShade="BF"/>
        <w:bottom w:val="single" w:sz="4" w:space="10" w:color="2E74B5" w:themeColor="accent1" w:themeShade="BF"/>
      </w:pBdr>
      <w:suppressAutoHyphens w:val="0"/>
      <w:overflowPunct/>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3D61EF"/>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3D61EF"/>
    <w:rPr>
      <w:b/>
      <w:bCs/>
      <w:smallCaps/>
      <w:color w:val="2E74B5" w:themeColor="accent1" w:themeShade="BF"/>
      <w:spacing w:val="5"/>
    </w:rPr>
  </w:style>
  <w:style w:type="paragraph" w:customStyle="1" w:styleId="msonormal0">
    <w:name w:val="msonormal"/>
    <w:basedOn w:val="Normal"/>
    <w:rsid w:val="003D61EF"/>
    <w:pPr>
      <w:suppressAutoHyphens w:val="0"/>
      <w:overflowPunct/>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895">
    <w:name w:val="xl2895"/>
    <w:basedOn w:val="Normal"/>
    <w:rsid w:val="003D61EF"/>
    <w:pPr>
      <w:pBdr>
        <w:top w:val="single" w:sz="4" w:space="0" w:color="auto"/>
        <w:left w:val="single" w:sz="4" w:space="0" w:color="auto"/>
        <w:bottom w:val="single" w:sz="4" w:space="0" w:color="auto"/>
        <w:right w:val="single" w:sz="4" w:space="0" w:color="auto"/>
      </w:pBdr>
      <w:shd w:val="clear" w:color="800080" w:fill="A90025"/>
      <w:suppressAutoHyphens w:val="0"/>
      <w:overflowPunct/>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96">
    <w:name w:val="xl2896"/>
    <w:basedOn w:val="Normal"/>
    <w:rsid w:val="003D61EF"/>
    <w:pPr>
      <w:pBdr>
        <w:left w:val="single" w:sz="8" w:space="0" w:color="auto"/>
        <w:bottom w:val="single" w:sz="8" w:space="0" w:color="auto"/>
        <w:right w:val="single" w:sz="8" w:space="0" w:color="auto"/>
      </w:pBdr>
      <w:shd w:val="clear" w:color="F2F2F2" w:fill="FFFFFF"/>
      <w:suppressAutoHyphens w:val="0"/>
      <w:overflowPunct/>
      <w:spacing w:before="100" w:beforeAutospacing="1" w:after="100" w:afterAutospacing="1" w:line="240" w:lineRule="auto"/>
      <w:jc w:val="center"/>
      <w:textAlignment w:val="center"/>
    </w:pPr>
    <w:rPr>
      <w:rFonts w:ascii="Arial" w:eastAsia="Times New Roman" w:hAnsi="Arial" w:cs="Arial"/>
      <w:color w:val="000000"/>
      <w:sz w:val="12"/>
      <w:szCs w:val="12"/>
      <w:lang w:eastAsia="es-MX"/>
    </w:rPr>
  </w:style>
  <w:style w:type="paragraph" w:customStyle="1" w:styleId="xl2897">
    <w:name w:val="xl2897"/>
    <w:basedOn w:val="Normal"/>
    <w:rsid w:val="003D61EF"/>
    <w:pPr>
      <w:pBdr>
        <w:bottom w:val="single" w:sz="8" w:space="0" w:color="auto"/>
        <w:right w:val="single" w:sz="8" w:space="0" w:color="auto"/>
      </w:pBdr>
      <w:shd w:val="clear" w:color="F2F2F2" w:fill="FFFFFF"/>
      <w:suppressAutoHyphens w:val="0"/>
      <w:overflowPunct/>
      <w:spacing w:before="100" w:beforeAutospacing="1" w:after="100" w:afterAutospacing="1" w:line="240" w:lineRule="auto"/>
      <w:textAlignment w:val="center"/>
    </w:pPr>
    <w:rPr>
      <w:rFonts w:ascii="Arial" w:eastAsia="Times New Roman" w:hAnsi="Arial" w:cs="Arial"/>
      <w:color w:val="000000"/>
      <w:sz w:val="12"/>
      <w:szCs w:val="12"/>
      <w:lang w:eastAsia="es-MX"/>
    </w:rPr>
  </w:style>
  <w:style w:type="paragraph" w:customStyle="1" w:styleId="xl2898">
    <w:name w:val="xl2898"/>
    <w:basedOn w:val="Normal"/>
    <w:rsid w:val="003D61EF"/>
    <w:pPr>
      <w:pBdr>
        <w:bottom w:val="single" w:sz="8" w:space="0" w:color="auto"/>
        <w:right w:val="single" w:sz="8" w:space="0" w:color="auto"/>
      </w:pBdr>
      <w:shd w:val="clear" w:color="F2F2F2" w:fill="FFFFFF"/>
      <w:suppressAutoHyphens w:val="0"/>
      <w:overflowPunct/>
      <w:spacing w:before="100" w:beforeAutospacing="1" w:after="100" w:afterAutospacing="1" w:line="240" w:lineRule="auto"/>
      <w:jc w:val="center"/>
      <w:textAlignment w:val="center"/>
    </w:pPr>
    <w:rPr>
      <w:rFonts w:ascii="Arial" w:eastAsia="Times New Roman" w:hAnsi="Arial" w:cs="Arial"/>
      <w:color w:val="000000"/>
      <w:sz w:val="12"/>
      <w:szCs w:val="12"/>
      <w:lang w:eastAsia="es-MX"/>
    </w:rPr>
  </w:style>
  <w:style w:type="paragraph" w:customStyle="1" w:styleId="xl2899">
    <w:name w:val="xl2899"/>
    <w:basedOn w:val="Normal"/>
    <w:rsid w:val="003D61EF"/>
    <w:pPr>
      <w:pBdr>
        <w:bottom w:val="single" w:sz="8" w:space="0" w:color="auto"/>
        <w:right w:val="single" w:sz="8" w:space="0" w:color="auto"/>
      </w:pBdr>
      <w:shd w:val="clear" w:color="F2F2F2" w:fill="FFFFFF"/>
      <w:suppressAutoHyphens w:val="0"/>
      <w:overflowPunct/>
      <w:spacing w:before="100" w:beforeAutospacing="1" w:after="100" w:afterAutospacing="1" w:line="240" w:lineRule="auto"/>
      <w:textAlignment w:val="center"/>
    </w:pPr>
    <w:rPr>
      <w:rFonts w:ascii="Arial" w:eastAsia="Times New Roman" w:hAnsi="Arial" w:cs="Arial"/>
      <w:color w:val="000000"/>
      <w:sz w:val="12"/>
      <w:szCs w:val="12"/>
      <w:lang w:eastAsia="es-MX"/>
    </w:rPr>
  </w:style>
  <w:style w:type="paragraph" w:customStyle="1" w:styleId="xl2900">
    <w:name w:val="xl2900"/>
    <w:basedOn w:val="Normal"/>
    <w:rsid w:val="003D61EF"/>
    <w:pPr>
      <w:pBdr>
        <w:bottom w:val="single" w:sz="8" w:space="0" w:color="auto"/>
        <w:right w:val="single" w:sz="8" w:space="0" w:color="auto"/>
      </w:pBdr>
      <w:shd w:val="clear" w:color="F2F2F2" w:fill="FFFFFF"/>
      <w:suppressAutoHyphens w:val="0"/>
      <w:overflowPunct/>
      <w:spacing w:before="100" w:beforeAutospacing="1" w:after="100" w:afterAutospacing="1" w:line="240" w:lineRule="auto"/>
      <w:jc w:val="center"/>
      <w:textAlignment w:val="center"/>
    </w:pPr>
    <w:rPr>
      <w:rFonts w:ascii="Arial" w:eastAsia="Times New Roman" w:hAnsi="Arial" w:cs="Arial"/>
      <w:color w:val="000000"/>
      <w:sz w:val="12"/>
      <w:szCs w:val="12"/>
      <w:lang w:eastAsia="es-MX"/>
    </w:rPr>
  </w:style>
  <w:style w:type="paragraph" w:customStyle="1" w:styleId="xl2901">
    <w:name w:val="xl2901"/>
    <w:basedOn w:val="Normal"/>
    <w:rsid w:val="003D61EF"/>
    <w:pPr>
      <w:pBdr>
        <w:left w:val="single" w:sz="8" w:space="0" w:color="auto"/>
        <w:bottom w:val="single" w:sz="8" w:space="0" w:color="auto"/>
        <w:right w:val="single" w:sz="8" w:space="0" w:color="auto"/>
      </w:pBdr>
      <w:suppressAutoHyphens w:val="0"/>
      <w:overflowPunct/>
      <w:spacing w:before="100" w:beforeAutospacing="1" w:after="100" w:afterAutospacing="1" w:line="240" w:lineRule="auto"/>
      <w:jc w:val="center"/>
      <w:textAlignment w:val="center"/>
    </w:pPr>
    <w:rPr>
      <w:rFonts w:ascii="Arial" w:eastAsia="Times New Roman" w:hAnsi="Arial" w:cs="Arial"/>
      <w:color w:val="000000"/>
      <w:sz w:val="12"/>
      <w:szCs w:val="12"/>
      <w:lang w:eastAsia="es-MX"/>
    </w:rPr>
  </w:style>
  <w:style w:type="numbering" w:customStyle="1" w:styleId="Estilo1">
    <w:name w:val="Estilo1"/>
    <w:uiPriority w:val="99"/>
    <w:rsid w:val="005B3924"/>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916">
      <w:bodyDiv w:val="1"/>
      <w:marLeft w:val="0"/>
      <w:marRight w:val="0"/>
      <w:marTop w:val="0"/>
      <w:marBottom w:val="0"/>
      <w:divBdr>
        <w:top w:val="none" w:sz="0" w:space="0" w:color="auto"/>
        <w:left w:val="none" w:sz="0" w:space="0" w:color="auto"/>
        <w:bottom w:val="none" w:sz="0" w:space="0" w:color="auto"/>
        <w:right w:val="none" w:sz="0" w:space="0" w:color="auto"/>
      </w:divBdr>
    </w:div>
    <w:div w:id="29651130">
      <w:bodyDiv w:val="1"/>
      <w:marLeft w:val="0"/>
      <w:marRight w:val="0"/>
      <w:marTop w:val="0"/>
      <w:marBottom w:val="0"/>
      <w:divBdr>
        <w:top w:val="none" w:sz="0" w:space="0" w:color="auto"/>
        <w:left w:val="none" w:sz="0" w:space="0" w:color="auto"/>
        <w:bottom w:val="none" w:sz="0" w:space="0" w:color="auto"/>
        <w:right w:val="none" w:sz="0" w:space="0" w:color="auto"/>
      </w:divBdr>
    </w:div>
    <w:div w:id="46534441">
      <w:bodyDiv w:val="1"/>
      <w:marLeft w:val="0"/>
      <w:marRight w:val="0"/>
      <w:marTop w:val="0"/>
      <w:marBottom w:val="0"/>
      <w:divBdr>
        <w:top w:val="none" w:sz="0" w:space="0" w:color="auto"/>
        <w:left w:val="none" w:sz="0" w:space="0" w:color="auto"/>
        <w:bottom w:val="none" w:sz="0" w:space="0" w:color="auto"/>
        <w:right w:val="none" w:sz="0" w:space="0" w:color="auto"/>
      </w:divBdr>
    </w:div>
    <w:div w:id="51660939">
      <w:bodyDiv w:val="1"/>
      <w:marLeft w:val="0"/>
      <w:marRight w:val="0"/>
      <w:marTop w:val="0"/>
      <w:marBottom w:val="0"/>
      <w:divBdr>
        <w:top w:val="none" w:sz="0" w:space="0" w:color="auto"/>
        <w:left w:val="none" w:sz="0" w:space="0" w:color="auto"/>
        <w:bottom w:val="none" w:sz="0" w:space="0" w:color="auto"/>
        <w:right w:val="none" w:sz="0" w:space="0" w:color="auto"/>
      </w:divBdr>
    </w:div>
    <w:div w:id="63260203">
      <w:bodyDiv w:val="1"/>
      <w:marLeft w:val="0"/>
      <w:marRight w:val="0"/>
      <w:marTop w:val="0"/>
      <w:marBottom w:val="0"/>
      <w:divBdr>
        <w:top w:val="none" w:sz="0" w:space="0" w:color="auto"/>
        <w:left w:val="none" w:sz="0" w:space="0" w:color="auto"/>
        <w:bottom w:val="none" w:sz="0" w:space="0" w:color="auto"/>
        <w:right w:val="none" w:sz="0" w:space="0" w:color="auto"/>
      </w:divBdr>
    </w:div>
    <w:div w:id="98717367">
      <w:bodyDiv w:val="1"/>
      <w:marLeft w:val="0"/>
      <w:marRight w:val="0"/>
      <w:marTop w:val="0"/>
      <w:marBottom w:val="0"/>
      <w:divBdr>
        <w:top w:val="none" w:sz="0" w:space="0" w:color="auto"/>
        <w:left w:val="none" w:sz="0" w:space="0" w:color="auto"/>
        <w:bottom w:val="none" w:sz="0" w:space="0" w:color="auto"/>
        <w:right w:val="none" w:sz="0" w:space="0" w:color="auto"/>
      </w:divBdr>
    </w:div>
    <w:div w:id="114952694">
      <w:bodyDiv w:val="1"/>
      <w:marLeft w:val="0"/>
      <w:marRight w:val="0"/>
      <w:marTop w:val="0"/>
      <w:marBottom w:val="0"/>
      <w:divBdr>
        <w:top w:val="none" w:sz="0" w:space="0" w:color="auto"/>
        <w:left w:val="none" w:sz="0" w:space="0" w:color="auto"/>
        <w:bottom w:val="none" w:sz="0" w:space="0" w:color="auto"/>
        <w:right w:val="none" w:sz="0" w:space="0" w:color="auto"/>
      </w:divBdr>
    </w:div>
    <w:div w:id="120266074">
      <w:bodyDiv w:val="1"/>
      <w:marLeft w:val="0"/>
      <w:marRight w:val="0"/>
      <w:marTop w:val="0"/>
      <w:marBottom w:val="0"/>
      <w:divBdr>
        <w:top w:val="none" w:sz="0" w:space="0" w:color="auto"/>
        <w:left w:val="none" w:sz="0" w:space="0" w:color="auto"/>
        <w:bottom w:val="none" w:sz="0" w:space="0" w:color="auto"/>
        <w:right w:val="none" w:sz="0" w:space="0" w:color="auto"/>
      </w:divBdr>
    </w:div>
    <w:div w:id="130055616">
      <w:bodyDiv w:val="1"/>
      <w:marLeft w:val="0"/>
      <w:marRight w:val="0"/>
      <w:marTop w:val="0"/>
      <w:marBottom w:val="0"/>
      <w:divBdr>
        <w:top w:val="none" w:sz="0" w:space="0" w:color="auto"/>
        <w:left w:val="none" w:sz="0" w:space="0" w:color="auto"/>
        <w:bottom w:val="none" w:sz="0" w:space="0" w:color="auto"/>
        <w:right w:val="none" w:sz="0" w:space="0" w:color="auto"/>
      </w:divBdr>
    </w:div>
    <w:div w:id="131406246">
      <w:bodyDiv w:val="1"/>
      <w:marLeft w:val="0"/>
      <w:marRight w:val="0"/>
      <w:marTop w:val="0"/>
      <w:marBottom w:val="0"/>
      <w:divBdr>
        <w:top w:val="none" w:sz="0" w:space="0" w:color="auto"/>
        <w:left w:val="none" w:sz="0" w:space="0" w:color="auto"/>
        <w:bottom w:val="none" w:sz="0" w:space="0" w:color="auto"/>
        <w:right w:val="none" w:sz="0" w:space="0" w:color="auto"/>
      </w:divBdr>
    </w:div>
    <w:div w:id="132911180">
      <w:bodyDiv w:val="1"/>
      <w:marLeft w:val="0"/>
      <w:marRight w:val="0"/>
      <w:marTop w:val="0"/>
      <w:marBottom w:val="0"/>
      <w:divBdr>
        <w:top w:val="none" w:sz="0" w:space="0" w:color="auto"/>
        <w:left w:val="none" w:sz="0" w:space="0" w:color="auto"/>
        <w:bottom w:val="none" w:sz="0" w:space="0" w:color="auto"/>
        <w:right w:val="none" w:sz="0" w:space="0" w:color="auto"/>
      </w:divBdr>
    </w:div>
    <w:div w:id="142701512">
      <w:bodyDiv w:val="1"/>
      <w:marLeft w:val="0"/>
      <w:marRight w:val="0"/>
      <w:marTop w:val="0"/>
      <w:marBottom w:val="0"/>
      <w:divBdr>
        <w:top w:val="none" w:sz="0" w:space="0" w:color="auto"/>
        <w:left w:val="none" w:sz="0" w:space="0" w:color="auto"/>
        <w:bottom w:val="none" w:sz="0" w:space="0" w:color="auto"/>
        <w:right w:val="none" w:sz="0" w:space="0" w:color="auto"/>
      </w:divBdr>
    </w:div>
    <w:div w:id="144203743">
      <w:bodyDiv w:val="1"/>
      <w:marLeft w:val="0"/>
      <w:marRight w:val="0"/>
      <w:marTop w:val="0"/>
      <w:marBottom w:val="0"/>
      <w:divBdr>
        <w:top w:val="none" w:sz="0" w:space="0" w:color="auto"/>
        <w:left w:val="none" w:sz="0" w:space="0" w:color="auto"/>
        <w:bottom w:val="none" w:sz="0" w:space="0" w:color="auto"/>
        <w:right w:val="none" w:sz="0" w:space="0" w:color="auto"/>
      </w:divBdr>
    </w:div>
    <w:div w:id="154029207">
      <w:bodyDiv w:val="1"/>
      <w:marLeft w:val="0"/>
      <w:marRight w:val="0"/>
      <w:marTop w:val="0"/>
      <w:marBottom w:val="0"/>
      <w:divBdr>
        <w:top w:val="none" w:sz="0" w:space="0" w:color="auto"/>
        <w:left w:val="none" w:sz="0" w:space="0" w:color="auto"/>
        <w:bottom w:val="none" w:sz="0" w:space="0" w:color="auto"/>
        <w:right w:val="none" w:sz="0" w:space="0" w:color="auto"/>
      </w:divBdr>
    </w:div>
    <w:div w:id="172768581">
      <w:bodyDiv w:val="1"/>
      <w:marLeft w:val="0"/>
      <w:marRight w:val="0"/>
      <w:marTop w:val="0"/>
      <w:marBottom w:val="0"/>
      <w:divBdr>
        <w:top w:val="none" w:sz="0" w:space="0" w:color="auto"/>
        <w:left w:val="none" w:sz="0" w:space="0" w:color="auto"/>
        <w:bottom w:val="none" w:sz="0" w:space="0" w:color="auto"/>
        <w:right w:val="none" w:sz="0" w:space="0" w:color="auto"/>
      </w:divBdr>
    </w:div>
    <w:div w:id="182138408">
      <w:bodyDiv w:val="1"/>
      <w:marLeft w:val="0"/>
      <w:marRight w:val="0"/>
      <w:marTop w:val="0"/>
      <w:marBottom w:val="0"/>
      <w:divBdr>
        <w:top w:val="none" w:sz="0" w:space="0" w:color="auto"/>
        <w:left w:val="none" w:sz="0" w:space="0" w:color="auto"/>
        <w:bottom w:val="none" w:sz="0" w:space="0" w:color="auto"/>
        <w:right w:val="none" w:sz="0" w:space="0" w:color="auto"/>
      </w:divBdr>
    </w:div>
    <w:div w:id="186985330">
      <w:bodyDiv w:val="1"/>
      <w:marLeft w:val="0"/>
      <w:marRight w:val="0"/>
      <w:marTop w:val="0"/>
      <w:marBottom w:val="0"/>
      <w:divBdr>
        <w:top w:val="none" w:sz="0" w:space="0" w:color="auto"/>
        <w:left w:val="none" w:sz="0" w:space="0" w:color="auto"/>
        <w:bottom w:val="none" w:sz="0" w:space="0" w:color="auto"/>
        <w:right w:val="none" w:sz="0" w:space="0" w:color="auto"/>
      </w:divBdr>
    </w:div>
    <w:div w:id="191454402">
      <w:bodyDiv w:val="1"/>
      <w:marLeft w:val="0"/>
      <w:marRight w:val="0"/>
      <w:marTop w:val="0"/>
      <w:marBottom w:val="0"/>
      <w:divBdr>
        <w:top w:val="none" w:sz="0" w:space="0" w:color="auto"/>
        <w:left w:val="none" w:sz="0" w:space="0" w:color="auto"/>
        <w:bottom w:val="none" w:sz="0" w:space="0" w:color="auto"/>
        <w:right w:val="none" w:sz="0" w:space="0" w:color="auto"/>
      </w:divBdr>
    </w:div>
    <w:div w:id="192305481">
      <w:bodyDiv w:val="1"/>
      <w:marLeft w:val="0"/>
      <w:marRight w:val="0"/>
      <w:marTop w:val="0"/>
      <w:marBottom w:val="0"/>
      <w:divBdr>
        <w:top w:val="none" w:sz="0" w:space="0" w:color="auto"/>
        <w:left w:val="none" w:sz="0" w:space="0" w:color="auto"/>
        <w:bottom w:val="none" w:sz="0" w:space="0" w:color="auto"/>
        <w:right w:val="none" w:sz="0" w:space="0" w:color="auto"/>
      </w:divBdr>
    </w:div>
    <w:div w:id="197359261">
      <w:bodyDiv w:val="1"/>
      <w:marLeft w:val="0"/>
      <w:marRight w:val="0"/>
      <w:marTop w:val="0"/>
      <w:marBottom w:val="0"/>
      <w:divBdr>
        <w:top w:val="none" w:sz="0" w:space="0" w:color="auto"/>
        <w:left w:val="none" w:sz="0" w:space="0" w:color="auto"/>
        <w:bottom w:val="none" w:sz="0" w:space="0" w:color="auto"/>
        <w:right w:val="none" w:sz="0" w:space="0" w:color="auto"/>
      </w:divBdr>
    </w:div>
    <w:div w:id="197397791">
      <w:bodyDiv w:val="1"/>
      <w:marLeft w:val="0"/>
      <w:marRight w:val="0"/>
      <w:marTop w:val="0"/>
      <w:marBottom w:val="0"/>
      <w:divBdr>
        <w:top w:val="none" w:sz="0" w:space="0" w:color="auto"/>
        <w:left w:val="none" w:sz="0" w:space="0" w:color="auto"/>
        <w:bottom w:val="none" w:sz="0" w:space="0" w:color="auto"/>
        <w:right w:val="none" w:sz="0" w:space="0" w:color="auto"/>
      </w:divBdr>
    </w:div>
    <w:div w:id="207574787">
      <w:bodyDiv w:val="1"/>
      <w:marLeft w:val="0"/>
      <w:marRight w:val="0"/>
      <w:marTop w:val="0"/>
      <w:marBottom w:val="0"/>
      <w:divBdr>
        <w:top w:val="none" w:sz="0" w:space="0" w:color="auto"/>
        <w:left w:val="none" w:sz="0" w:space="0" w:color="auto"/>
        <w:bottom w:val="none" w:sz="0" w:space="0" w:color="auto"/>
        <w:right w:val="none" w:sz="0" w:space="0" w:color="auto"/>
      </w:divBdr>
    </w:div>
    <w:div w:id="225652311">
      <w:bodyDiv w:val="1"/>
      <w:marLeft w:val="0"/>
      <w:marRight w:val="0"/>
      <w:marTop w:val="0"/>
      <w:marBottom w:val="0"/>
      <w:divBdr>
        <w:top w:val="none" w:sz="0" w:space="0" w:color="auto"/>
        <w:left w:val="none" w:sz="0" w:space="0" w:color="auto"/>
        <w:bottom w:val="none" w:sz="0" w:space="0" w:color="auto"/>
        <w:right w:val="none" w:sz="0" w:space="0" w:color="auto"/>
      </w:divBdr>
    </w:div>
    <w:div w:id="228424377">
      <w:bodyDiv w:val="1"/>
      <w:marLeft w:val="0"/>
      <w:marRight w:val="0"/>
      <w:marTop w:val="0"/>
      <w:marBottom w:val="0"/>
      <w:divBdr>
        <w:top w:val="none" w:sz="0" w:space="0" w:color="auto"/>
        <w:left w:val="none" w:sz="0" w:space="0" w:color="auto"/>
        <w:bottom w:val="none" w:sz="0" w:space="0" w:color="auto"/>
        <w:right w:val="none" w:sz="0" w:space="0" w:color="auto"/>
      </w:divBdr>
    </w:div>
    <w:div w:id="231043369">
      <w:bodyDiv w:val="1"/>
      <w:marLeft w:val="0"/>
      <w:marRight w:val="0"/>
      <w:marTop w:val="0"/>
      <w:marBottom w:val="0"/>
      <w:divBdr>
        <w:top w:val="none" w:sz="0" w:space="0" w:color="auto"/>
        <w:left w:val="none" w:sz="0" w:space="0" w:color="auto"/>
        <w:bottom w:val="none" w:sz="0" w:space="0" w:color="auto"/>
        <w:right w:val="none" w:sz="0" w:space="0" w:color="auto"/>
      </w:divBdr>
    </w:div>
    <w:div w:id="242761443">
      <w:bodyDiv w:val="1"/>
      <w:marLeft w:val="0"/>
      <w:marRight w:val="0"/>
      <w:marTop w:val="0"/>
      <w:marBottom w:val="0"/>
      <w:divBdr>
        <w:top w:val="none" w:sz="0" w:space="0" w:color="auto"/>
        <w:left w:val="none" w:sz="0" w:space="0" w:color="auto"/>
        <w:bottom w:val="none" w:sz="0" w:space="0" w:color="auto"/>
        <w:right w:val="none" w:sz="0" w:space="0" w:color="auto"/>
      </w:divBdr>
    </w:div>
    <w:div w:id="250479886">
      <w:bodyDiv w:val="1"/>
      <w:marLeft w:val="0"/>
      <w:marRight w:val="0"/>
      <w:marTop w:val="0"/>
      <w:marBottom w:val="0"/>
      <w:divBdr>
        <w:top w:val="none" w:sz="0" w:space="0" w:color="auto"/>
        <w:left w:val="none" w:sz="0" w:space="0" w:color="auto"/>
        <w:bottom w:val="none" w:sz="0" w:space="0" w:color="auto"/>
        <w:right w:val="none" w:sz="0" w:space="0" w:color="auto"/>
      </w:divBdr>
    </w:div>
    <w:div w:id="251670329">
      <w:bodyDiv w:val="1"/>
      <w:marLeft w:val="0"/>
      <w:marRight w:val="0"/>
      <w:marTop w:val="0"/>
      <w:marBottom w:val="0"/>
      <w:divBdr>
        <w:top w:val="none" w:sz="0" w:space="0" w:color="auto"/>
        <w:left w:val="none" w:sz="0" w:space="0" w:color="auto"/>
        <w:bottom w:val="none" w:sz="0" w:space="0" w:color="auto"/>
        <w:right w:val="none" w:sz="0" w:space="0" w:color="auto"/>
      </w:divBdr>
    </w:div>
    <w:div w:id="262348734">
      <w:bodyDiv w:val="1"/>
      <w:marLeft w:val="0"/>
      <w:marRight w:val="0"/>
      <w:marTop w:val="0"/>
      <w:marBottom w:val="0"/>
      <w:divBdr>
        <w:top w:val="none" w:sz="0" w:space="0" w:color="auto"/>
        <w:left w:val="none" w:sz="0" w:space="0" w:color="auto"/>
        <w:bottom w:val="none" w:sz="0" w:space="0" w:color="auto"/>
        <w:right w:val="none" w:sz="0" w:space="0" w:color="auto"/>
      </w:divBdr>
    </w:div>
    <w:div w:id="273637833">
      <w:bodyDiv w:val="1"/>
      <w:marLeft w:val="0"/>
      <w:marRight w:val="0"/>
      <w:marTop w:val="0"/>
      <w:marBottom w:val="0"/>
      <w:divBdr>
        <w:top w:val="none" w:sz="0" w:space="0" w:color="auto"/>
        <w:left w:val="none" w:sz="0" w:space="0" w:color="auto"/>
        <w:bottom w:val="none" w:sz="0" w:space="0" w:color="auto"/>
        <w:right w:val="none" w:sz="0" w:space="0" w:color="auto"/>
      </w:divBdr>
    </w:div>
    <w:div w:id="277955197">
      <w:bodyDiv w:val="1"/>
      <w:marLeft w:val="0"/>
      <w:marRight w:val="0"/>
      <w:marTop w:val="0"/>
      <w:marBottom w:val="0"/>
      <w:divBdr>
        <w:top w:val="none" w:sz="0" w:space="0" w:color="auto"/>
        <w:left w:val="none" w:sz="0" w:space="0" w:color="auto"/>
        <w:bottom w:val="none" w:sz="0" w:space="0" w:color="auto"/>
        <w:right w:val="none" w:sz="0" w:space="0" w:color="auto"/>
      </w:divBdr>
    </w:div>
    <w:div w:id="303507782">
      <w:bodyDiv w:val="1"/>
      <w:marLeft w:val="0"/>
      <w:marRight w:val="0"/>
      <w:marTop w:val="0"/>
      <w:marBottom w:val="0"/>
      <w:divBdr>
        <w:top w:val="none" w:sz="0" w:space="0" w:color="auto"/>
        <w:left w:val="none" w:sz="0" w:space="0" w:color="auto"/>
        <w:bottom w:val="none" w:sz="0" w:space="0" w:color="auto"/>
        <w:right w:val="none" w:sz="0" w:space="0" w:color="auto"/>
      </w:divBdr>
    </w:div>
    <w:div w:id="346712641">
      <w:bodyDiv w:val="1"/>
      <w:marLeft w:val="0"/>
      <w:marRight w:val="0"/>
      <w:marTop w:val="0"/>
      <w:marBottom w:val="0"/>
      <w:divBdr>
        <w:top w:val="none" w:sz="0" w:space="0" w:color="auto"/>
        <w:left w:val="none" w:sz="0" w:space="0" w:color="auto"/>
        <w:bottom w:val="none" w:sz="0" w:space="0" w:color="auto"/>
        <w:right w:val="none" w:sz="0" w:space="0" w:color="auto"/>
      </w:divBdr>
    </w:div>
    <w:div w:id="358942396">
      <w:bodyDiv w:val="1"/>
      <w:marLeft w:val="0"/>
      <w:marRight w:val="0"/>
      <w:marTop w:val="0"/>
      <w:marBottom w:val="0"/>
      <w:divBdr>
        <w:top w:val="none" w:sz="0" w:space="0" w:color="auto"/>
        <w:left w:val="none" w:sz="0" w:space="0" w:color="auto"/>
        <w:bottom w:val="none" w:sz="0" w:space="0" w:color="auto"/>
        <w:right w:val="none" w:sz="0" w:space="0" w:color="auto"/>
      </w:divBdr>
    </w:div>
    <w:div w:id="364522481">
      <w:bodyDiv w:val="1"/>
      <w:marLeft w:val="0"/>
      <w:marRight w:val="0"/>
      <w:marTop w:val="0"/>
      <w:marBottom w:val="0"/>
      <w:divBdr>
        <w:top w:val="none" w:sz="0" w:space="0" w:color="auto"/>
        <w:left w:val="none" w:sz="0" w:space="0" w:color="auto"/>
        <w:bottom w:val="none" w:sz="0" w:space="0" w:color="auto"/>
        <w:right w:val="none" w:sz="0" w:space="0" w:color="auto"/>
      </w:divBdr>
    </w:div>
    <w:div w:id="366412621">
      <w:bodyDiv w:val="1"/>
      <w:marLeft w:val="0"/>
      <w:marRight w:val="0"/>
      <w:marTop w:val="0"/>
      <w:marBottom w:val="0"/>
      <w:divBdr>
        <w:top w:val="none" w:sz="0" w:space="0" w:color="auto"/>
        <w:left w:val="none" w:sz="0" w:space="0" w:color="auto"/>
        <w:bottom w:val="none" w:sz="0" w:space="0" w:color="auto"/>
        <w:right w:val="none" w:sz="0" w:space="0" w:color="auto"/>
      </w:divBdr>
    </w:div>
    <w:div w:id="382213873">
      <w:bodyDiv w:val="1"/>
      <w:marLeft w:val="0"/>
      <w:marRight w:val="0"/>
      <w:marTop w:val="0"/>
      <w:marBottom w:val="0"/>
      <w:divBdr>
        <w:top w:val="none" w:sz="0" w:space="0" w:color="auto"/>
        <w:left w:val="none" w:sz="0" w:space="0" w:color="auto"/>
        <w:bottom w:val="none" w:sz="0" w:space="0" w:color="auto"/>
        <w:right w:val="none" w:sz="0" w:space="0" w:color="auto"/>
      </w:divBdr>
    </w:div>
    <w:div w:id="383869190">
      <w:bodyDiv w:val="1"/>
      <w:marLeft w:val="0"/>
      <w:marRight w:val="0"/>
      <w:marTop w:val="0"/>
      <w:marBottom w:val="0"/>
      <w:divBdr>
        <w:top w:val="none" w:sz="0" w:space="0" w:color="auto"/>
        <w:left w:val="none" w:sz="0" w:space="0" w:color="auto"/>
        <w:bottom w:val="none" w:sz="0" w:space="0" w:color="auto"/>
        <w:right w:val="none" w:sz="0" w:space="0" w:color="auto"/>
      </w:divBdr>
    </w:div>
    <w:div w:id="387655880">
      <w:bodyDiv w:val="1"/>
      <w:marLeft w:val="0"/>
      <w:marRight w:val="0"/>
      <w:marTop w:val="0"/>
      <w:marBottom w:val="0"/>
      <w:divBdr>
        <w:top w:val="none" w:sz="0" w:space="0" w:color="auto"/>
        <w:left w:val="none" w:sz="0" w:space="0" w:color="auto"/>
        <w:bottom w:val="none" w:sz="0" w:space="0" w:color="auto"/>
        <w:right w:val="none" w:sz="0" w:space="0" w:color="auto"/>
      </w:divBdr>
    </w:div>
    <w:div w:id="401950606">
      <w:bodyDiv w:val="1"/>
      <w:marLeft w:val="0"/>
      <w:marRight w:val="0"/>
      <w:marTop w:val="0"/>
      <w:marBottom w:val="0"/>
      <w:divBdr>
        <w:top w:val="none" w:sz="0" w:space="0" w:color="auto"/>
        <w:left w:val="none" w:sz="0" w:space="0" w:color="auto"/>
        <w:bottom w:val="none" w:sz="0" w:space="0" w:color="auto"/>
        <w:right w:val="none" w:sz="0" w:space="0" w:color="auto"/>
      </w:divBdr>
    </w:div>
    <w:div w:id="413865643">
      <w:bodyDiv w:val="1"/>
      <w:marLeft w:val="0"/>
      <w:marRight w:val="0"/>
      <w:marTop w:val="0"/>
      <w:marBottom w:val="0"/>
      <w:divBdr>
        <w:top w:val="none" w:sz="0" w:space="0" w:color="auto"/>
        <w:left w:val="none" w:sz="0" w:space="0" w:color="auto"/>
        <w:bottom w:val="none" w:sz="0" w:space="0" w:color="auto"/>
        <w:right w:val="none" w:sz="0" w:space="0" w:color="auto"/>
      </w:divBdr>
    </w:div>
    <w:div w:id="429472421">
      <w:bodyDiv w:val="1"/>
      <w:marLeft w:val="0"/>
      <w:marRight w:val="0"/>
      <w:marTop w:val="0"/>
      <w:marBottom w:val="0"/>
      <w:divBdr>
        <w:top w:val="none" w:sz="0" w:space="0" w:color="auto"/>
        <w:left w:val="none" w:sz="0" w:space="0" w:color="auto"/>
        <w:bottom w:val="none" w:sz="0" w:space="0" w:color="auto"/>
        <w:right w:val="none" w:sz="0" w:space="0" w:color="auto"/>
      </w:divBdr>
    </w:div>
    <w:div w:id="446390181">
      <w:bodyDiv w:val="1"/>
      <w:marLeft w:val="0"/>
      <w:marRight w:val="0"/>
      <w:marTop w:val="0"/>
      <w:marBottom w:val="0"/>
      <w:divBdr>
        <w:top w:val="none" w:sz="0" w:space="0" w:color="auto"/>
        <w:left w:val="none" w:sz="0" w:space="0" w:color="auto"/>
        <w:bottom w:val="none" w:sz="0" w:space="0" w:color="auto"/>
        <w:right w:val="none" w:sz="0" w:space="0" w:color="auto"/>
      </w:divBdr>
    </w:div>
    <w:div w:id="450707203">
      <w:bodyDiv w:val="1"/>
      <w:marLeft w:val="0"/>
      <w:marRight w:val="0"/>
      <w:marTop w:val="0"/>
      <w:marBottom w:val="0"/>
      <w:divBdr>
        <w:top w:val="none" w:sz="0" w:space="0" w:color="auto"/>
        <w:left w:val="none" w:sz="0" w:space="0" w:color="auto"/>
        <w:bottom w:val="none" w:sz="0" w:space="0" w:color="auto"/>
        <w:right w:val="none" w:sz="0" w:space="0" w:color="auto"/>
      </w:divBdr>
    </w:div>
    <w:div w:id="487478042">
      <w:bodyDiv w:val="1"/>
      <w:marLeft w:val="0"/>
      <w:marRight w:val="0"/>
      <w:marTop w:val="0"/>
      <w:marBottom w:val="0"/>
      <w:divBdr>
        <w:top w:val="none" w:sz="0" w:space="0" w:color="auto"/>
        <w:left w:val="none" w:sz="0" w:space="0" w:color="auto"/>
        <w:bottom w:val="none" w:sz="0" w:space="0" w:color="auto"/>
        <w:right w:val="none" w:sz="0" w:space="0" w:color="auto"/>
      </w:divBdr>
    </w:div>
    <w:div w:id="498084758">
      <w:bodyDiv w:val="1"/>
      <w:marLeft w:val="0"/>
      <w:marRight w:val="0"/>
      <w:marTop w:val="0"/>
      <w:marBottom w:val="0"/>
      <w:divBdr>
        <w:top w:val="none" w:sz="0" w:space="0" w:color="auto"/>
        <w:left w:val="none" w:sz="0" w:space="0" w:color="auto"/>
        <w:bottom w:val="none" w:sz="0" w:space="0" w:color="auto"/>
        <w:right w:val="none" w:sz="0" w:space="0" w:color="auto"/>
      </w:divBdr>
    </w:div>
    <w:div w:id="503014681">
      <w:bodyDiv w:val="1"/>
      <w:marLeft w:val="0"/>
      <w:marRight w:val="0"/>
      <w:marTop w:val="0"/>
      <w:marBottom w:val="0"/>
      <w:divBdr>
        <w:top w:val="none" w:sz="0" w:space="0" w:color="auto"/>
        <w:left w:val="none" w:sz="0" w:space="0" w:color="auto"/>
        <w:bottom w:val="none" w:sz="0" w:space="0" w:color="auto"/>
        <w:right w:val="none" w:sz="0" w:space="0" w:color="auto"/>
      </w:divBdr>
    </w:div>
    <w:div w:id="535852945">
      <w:bodyDiv w:val="1"/>
      <w:marLeft w:val="0"/>
      <w:marRight w:val="0"/>
      <w:marTop w:val="0"/>
      <w:marBottom w:val="0"/>
      <w:divBdr>
        <w:top w:val="none" w:sz="0" w:space="0" w:color="auto"/>
        <w:left w:val="none" w:sz="0" w:space="0" w:color="auto"/>
        <w:bottom w:val="none" w:sz="0" w:space="0" w:color="auto"/>
        <w:right w:val="none" w:sz="0" w:space="0" w:color="auto"/>
      </w:divBdr>
    </w:div>
    <w:div w:id="539783396">
      <w:bodyDiv w:val="1"/>
      <w:marLeft w:val="0"/>
      <w:marRight w:val="0"/>
      <w:marTop w:val="0"/>
      <w:marBottom w:val="0"/>
      <w:divBdr>
        <w:top w:val="none" w:sz="0" w:space="0" w:color="auto"/>
        <w:left w:val="none" w:sz="0" w:space="0" w:color="auto"/>
        <w:bottom w:val="none" w:sz="0" w:space="0" w:color="auto"/>
        <w:right w:val="none" w:sz="0" w:space="0" w:color="auto"/>
      </w:divBdr>
    </w:div>
    <w:div w:id="548419180">
      <w:bodyDiv w:val="1"/>
      <w:marLeft w:val="0"/>
      <w:marRight w:val="0"/>
      <w:marTop w:val="0"/>
      <w:marBottom w:val="0"/>
      <w:divBdr>
        <w:top w:val="none" w:sz="0" w:space="0" w:color="auto"/>
        <w:left w:val="none" w:sz="0" w:space="0" w:color="auto"/>
        <w:bottom w:val="none" w:sz="0" w:space="0" w:color="auto"/>
        <w:right w:val="none" w:sz="0" w:space="0" w:color="auto"/>
      </w:divBdr>
    </w:div>
    <w:div w:id="565411156">
      <w:bodyDiv w:val="1"/>
      <w:marLeft w:val="0"/>
      <w:marRight w:val="0"/>
      <w:marTop w:val="0"/>
      <w:marBottom w:val="0"/>
      <w:divBdr>
        <w:top w:val="none" w:sz="0" w:space="0" w:color="auto"/>
        <w:left w:val="none" w:sz="0" w:space="0" w:color="auto"/>
        <w:bottom w:val="none" w:sz="0" w:space="0" w:color="auto"/>
        <w:right w:val="none" w:sz="0" w:space="0" w:color="auto"/>
      </w:divBdr>
    </w:div>
    <w:div w:id="570653198">
      <w:bodyDiv w:val="1"/>
      <w:marLeft w:val="0"/>
      <w:marRight w:val="0"/>
      <w:marTop w:val="0"/>
      <w:marBottom w:val="0"/>
      <w:divBdr>
        <w:top w:val="none" w:sz="0" w:space="0" w:color="auto"/>
        <w:left w:val="none" w:sz="0" w:space="0" w:color="auto"/>
        <w:bottom w:val="none" w:sz="0" w:space="0" w:color="auto"/>
        <w:right w:val="none" w:sz="0" w:space="0" w:color="auto"/>
      </w:divBdr>
    </w:div>
    <w:div w:id="572160896">
      <w:bodyDiv w:val="1"/>
      <w:marLeft w:val="0"/>
      <w:marRight w:val="0"/>
      <w:marTop w:val="0"/>
      <w:marBottom w:val="0"/>
      <w:divBdr>
        <w:top w:val="none" w:sz="0" w:space="0" w:color="auto"/>
        <w:left w:val="none" w:sz="0" w:space="0" w:color="auto"/>
        <w:bottom w:val="none" w:sz="0" w:space="0" w:color="auto"/>
        <w:right w:val="none" w:sz="0" w:space="0" w:color="auto"/>
      </w:divBdr>
    </w:div>
    <w:div w:id="577055201">
      <w:bodyDiv w:val="1"/>
      <w:marLeft w:val="0"/>
      <w:marRight w:val="0"/>
      <w:marTop w:val="0"/>
      <w:marBottom w:val="0"/>
      <w:divBdr>
        <w:top w:val="none" w:sz="0" w:space="0" w:color="auto"/>
        <w:left w:val="none" w:sz="0" w:space="0" w:color="auto"/>
        <w:bottom w:val="none" w:sz="0" w:space="0" w:color="auto"/>
        <w:right w:val="none" w:sz="0" w:space="0" w:color="auto"/>
      </w:divBdr>
    </w:div>
    <w:div w:id="577445398">
      <w:bodyDiv w:val="1"/>
      <w:marLeft w:val="0"/>
      <w:marRight w:val="0"/>
      <w:marTop w:val="0"/>
      <w:marBottom w:val="0"/>
      <w:divBdr>
        <w:top w:val="none" w:sz="0" w:space="0" w:color="auto"/>
        <w:left w:val="none" w:sz="0" w:space="0" w:color="auto"/>
        <w:bottom w:val="none" w:sz="0" w:space="0" w:color="auto"/>
        <w:right w:val="none" w:sz="0" w:space="0" w:color="auto"/>
      </w:divBdr>
    </w:div>
    <w:div w:id="585044037">
      <w:bodyDiv w:val="1"/>
      <w:marLeft w:val="0"/>
      <w:marRight w:val="0"/>
      <w:marTop w:val="0"/>
      <w:marBottom w:val="0"/>
      <w:divBdr>
        <w:top w:val="none" w:sz="0" w:space="0" w:color="auto"/>
        <w:left w:val="none" w:sz="0" w:space="0" w:color="auto"/>
        <w:bottom w:val="none" w:sz="0" w:space="0" w:color="auto"/>
        <w:right w:val="none" w:sz="0" w:space="0" w:color="auto"/>
      </w:divBdr>
    </w:div>
    <w:div w:id="600799348">
      <w:bodyDiv w:val="1"/>
      <w:marLeft w:val="0"/>
      <w:marRight w:val="0"/>
      <w:marTop w:val="0"/>
      <w:marBottom w:val="0"/>
      <w:divBdr>
        <w:top w:val="none" w:sz="0" w:space="0" w:color="auto"/>
        <w:left w:val="none" w:sz="0" w:space="0" w:color="auto"/>
        <w:bottom w:val="none" w:sz="0" w:space="0" w:color="auto"/>
        <w:right w:val="none" w:sz="0" w:space="0" w:color="auto"/>
      </w:divBdr>
    </w:div>
    <w:div w:id="612520103">
      <w:bodyDiv w:val="1"/>
      <w:marLeft w:val="0"/>
      <w:marRight w:val="0"/>
      <w:marTop w:val="0"/>
      <w:marBottom w:val="0"/>
      <w:divBdr>
        <w:top w:val="none" w:sz="0" w:space="0" w:color="auto"/>
        <w:left w:val="none" w:sz="0" w:space="0" w:color="auto"/>
        <w:bottom w:val="none" w:sz="0" w:space="0" w:color="auto"/>
        <w:right w:val="none" w:sz="0" w:space="0" w:color="auto"/>
      </w:divBdr>
    </w:div>
    <w:div w:id="618879224">
      <w:bodyDiv w:val="1"/>
      <w:marLeft w:val="0"/>
      <w:marRight w:val="0"/>
      <w:marTop w:val="0"/>
      <w:marBottom w:val="0"/>
      <w:divBdr>
        <w:top w:val="none" w:sz="0" w:space="0" w:color="auto"/>
        <w:left w:val="none" w:sz="0" w:space="0" w:color="auto"/>
        <w:bottom w:val="none" w:sz="0" w:space="0" w:color="auto"/>
        <w:right w:val="none" w:sz="0" w:space="0" w:color="auto"/>
      </w:divBdr>
    </w:div>
    <w:div w:id="625475718">
      <w:bodyDiv w:val="1"/>
      <w:marLeft w:val="0"/>
      <w:marRight w:val="0"/>
      <w:marTop w:val="0"/>
      <w:marBottom w:val="0"/>
      <w:divBdr>
        <w:top w:val="none" w:sz="0" w:space="0" w:color="auto"/>
        <w:left w:val="none" w:sz="0" w:space="0" w:color="auto"/>
        <w:bottom w:val="none" w:sz="0" w:space="0" w:color="auto"/>
        <w:right w:val="none" w:sz="0" w:space="0" w:color="auto"/>
      </w:divBdr>
    </w:div>
    <w:div w:id="639194969">
      <w:bodyDiv w:val="1"/>
      <w:marLeft w:val="0"/>
      <w:marRight w:val="0"/>
      <w:marTop w:val="0"/>
      <w:marBottom w:val="0"/>
      <w:divBdr>
        <w:top w:val="none" w:sz="0" w:space="0" w:color="auto"/>
        <w:left w:val="none" w:sz="0" w:space="0" w:color="auto"/>
        <w:bottom w:val="none" w:sz="0" w:space="0" w:color="auto"/>
        <w:right w:val="none" w:sz="0" w:space="0" w:color="auto"/>
      </w:divBdr>
    </w:div>
    <w:div w:id="640230591">
      <w:bodyDiv w:val="1"/>
      <w:marLeft w:val="0"/>
      <w:marRight w:val="0"/>
      <w:marTop w:val="0"/>
      <w:marBottom w:val="0"/>
      <w:divBdr>
        <w:top w:val="none" w:sz="0" w:space="0" w:color="auto"/>
        <w:left w:val="none" w:sz="0" w:space="0" w:color="auto"/>
        <w:bottom w:val="none" w:sz="0" w:space="0" w:color="auto"/>
        <w:right w:val="none" w:sz="0" w:space="0" w:color="auto"/>
      </w:divBdr>
    </w:div>
    <w:div w:id="655259957">
      <w:bodyDiv w:val="1"/>
      <w:marLeft w:val="0"/>
      <w:marRight w:val="0"/>
      <w:marTop w:val="0"/>
      <w:marBottom w:val="0"/>
      <w:divBdr>
        <w:top w:val="none" w:sz="0" w:space="0" w:color="auto"/>
        <w:left w:val="none" w:sz="0" w:space="0" w:color="auto"/>
        <w:bottom w:val="none" w:sz="0" w:space="0" w:color="auto"/>
        <w:right w:val="none" w:sz="0" w:space="0" w:color="auto"/>
      </w:divBdr>
    </w:div>
    <w:div w:id="666909136">
      <w:bodyDiv w:val="1"/>
      <w:marLeft w:val="0"/>
      <w:marRight w:val="0"/>
      <w:marTop w:val="0"/>
      <w:marBottom w:val="0"/>
      <w:divBdr>
        <w:top w:val="none" w:sz="0" w:space="0" w:color="auto"/>
        <w:left w:val="none" w:sz="0" w:space="0" w:color="auto"/>
        <w:bottom w:val="none" w:sz="0" w:space="0" w:color="auto"/>
        <w:right w:val="none" w:sz="0" w:space="0" w:color="auto"/>
      </w:divBdr>
    </w:div>
    <w:div w:id="681008743">
      <w:bodyDiv w:val="1"/>
      <w:marLeft w:val="0"/>
      <w:marRight w:val="0"/>
      <w:marTop w:val="0"/>
      <w:marBottom w:val="0"/>
      <w:divBdr>
        <w:top w:val="none" w:sz="0" w:space="0" w:color="auto"/>
        <w:left w:val="none" w:sz="0" w:space="0" w:color="auto"/>
        <w:bottom w:val="none" w:sz="0" w:space="0" w:color="auto"/>
        <w:right w:val="none" w:sz="0" w:space="0" w:color="auto"/>
      </w:divBdr>
    </w:div>
    <w:div w:id="682631580">
      <w:bodyDiv w:val="1"/>
      <w:marLeft w:val="0"/>
      <w:marRight w:val="0"/>
      <w:marTop w:val="0"/>
      <w:marBottom w:val="0"/>
      <w:divBdr>
        <w:top w:val="none" w:sz="0" w:space="0" w:color="auto"/>
        <w:left w:val="none" w:sz="0" w:space="0" w:color="auto"/>
        <w:bottom w:val="none" w:sz="0" w:space="0" w:color="auto"/>
        <w:right w:val="none" w:sz="0" w:space="0" w:color="auto"/>
      </w:divBdr>
    </w:div>
    <w:div w:id="701398004">
      <w:bodyDiv w:val="1"/>
      <w:marLeft w:val="0"/>
      <w:marRight w:val="0"/>
      <w:marTop w:val="0"/>
      <w:marBottom w:val="0"/>
      <w:divBdr>
        <w:top w:val="none" w:sz="0" w:space="0" w:color="auto"/>
        <w:left w:val="none" w:sz="0" w:space="0" w:color="auto"/>
        <w:bottom w:val="none" w:sz="0" w:space="0" w:color="auto"/>
        <w:right w:val="none" w:sz="0" w:space="0" w:color="auto"/>
      </w:divBdr>
    </w:div>
    <w:div w:id="702748198">
      <w:bodyDiv w:val="1"/>
      <w:marLeft w:val="0"/>
      <w:marRight w:val="0"/>
      <w:marTop w:val="0"/>
      <w:marBottom w:val="0"/>
      <w:divBdr>
        <w:top w:val="none" w:sz="0" w:space="0" w:color="auto"/>
        <w:left w:val="none" w:sz="0" w:space="0" w:color="auto"/>
        <w:bottom w:val="none" w:sz="0" w:space="0" w:color="auto"/>
        <w:right w:val="none" w:sz="0" w:space="0" w:color="auto"/>
      </w:divBdr>
    </w:div>
    <w:div w:id="746074018">
      <w:bodyDiv w:val="1"/>
      <w:marLeft w:val="0"/>
      <w:marRight w:val="0"/>
      <w:marTop w:val="0"/>
      <w:marBottom w:val="0"/>
      <w:divBdr>
        <w:top w:val="none" w:sz="0" w:space="0" w:color="auto"/>
        <w:left w:val="none" w:sz="0" w:space="0" w:color="auto"/>
        <w:bottom w:val="none" w:sz="0" w:space="0" w:color="auto"/>
        <w:right w:val="none" w:sz="0" w:space="0" w:color="auto"/>
      </w:divBdr>
    </w:div>
    <w:div w:id="750007699">
      <w:bodyDiv w:val="1"/>
      <w:marLeft w:val="0"/>
      <w:marRight w:val="0"/>
      <w:marTop w:val="0"/>
      <w:marBottom w:val="0"/>
      <w:divBdr>
        <w:top w:val="none" w:sz="0" w:space="0" w:color="auto"/>
        <w:left w:val="none" w:sz="0" w:space="0" w:color="auto"/>
        <w:bottom w:val="none" w:sz="0" w:space="0" w:color="auto"/>
        <w:right w:val="none" w:sz="0" w:space="0" w:color="auto"/>
      </w:divBdr>
    </w:div>
    <w:div w:id="765224486">
      <w:bodyDiv w:val="1"/>
      <w:marLeft w:val="0"/>
      <w:marRight w:val="0"/>
      <w:marTop w:val="0"/>
      <w:marBottom w:val="0"/>
      <w:divBdr>
        <w:top w:val="none" w:sz="0" w:space="0" w:color="auto"/>
        <w:left w:val="none" w:sz="0" w:space="0" w:color="auto"/>
        <w:bottom w:val="none" w:sz="0" w:space="0" w:color="auto"/>
        <w:right w:val="none" w:sz="0" w:space="0" w:color="auto"/>
      </w:divBdr>
    </w:div>
    <w:div w:id="765426332">
      <w:bodyDiv w:val="1"/>
      <w:marLeft w:val="0"/>
      <w:marRight w:val="0"/>
      <w:marTop w:val="0"/>
      <w:marBottom w:val="0"/>
      <w:divBdr>
        <w:top w:val="none" w:sz="0" w:space="0" w:color="auto"/>
        <w:left w:val="none" w:sz="0" w:space="0" w:color="auto"/>
        <w:bottom w:val="none" w:sz="0" w:space="0" w:color="auto"/>
        <w:right w:val="none" w:sz="0" w:space="0" w:color="auto"/>
      </w:divBdr>
    </w:div>
    <w:div w:id="774639025">
      <w:bodyDiv w:val="1"/>
      <w:marLeft w:val="0"/>
      <w:marRight w:val="0"/>
      <w:marTop w:val="0"/>
      <w:marBottom w:val="0"/>
      <w:divBdr>
        <w:top w:val="none" w:sz="0" w:space="0" w:color="auto"/>
        <w:left w:val="none" w:sz="0" w:space="0" w:color="auto"/>
        <w:bottom w:val="none" w:sz="0" w:space="0" w:color="auto"/>
        <w:right w:val="none" w:sz="0" w:space="0" w:color="auto"/>
      </w:divBdr>
    </w:div>
    <w:div w:id="775488906">
      <w:bodyDiv w:val="1"/>
      <w:marLeft w:val="0"/>
      <w:marRight w:val="0"/>
      <w:marTop w:val="0"/>
      <w:marBottom w:val="0"/>
      <w:divBdr>
        <w:top w:val="none" w:sz="0" w:space="0" w:color="auto"/>
        <w:left w:val="none" w:sz="0" w:space="0" w:color="auto"/>
        <w:bottom w:val="none" w:sz="0" w:space="0" w:color="auto"/>
        <w:right w:val="none" w:sz="0" w:space="0" w:color="auto"/>
      </w:divBdr>
    </w:div>
    <w:div w:id="785392131">
      <w:bodyDiv w:val="1"/>
      <w:marLeft w:val="0"/>
      <w:marRight w:val="0"/>
      <w:marTop w:val="0"/>
      <w:marBottom w:val="0"/>
      <w:divBdr>
        <w:top w:val="none" w:sz="0" w:space="0" w:color="auto"/>
        <w:left w:val="none" w:sz="0" w:space="0" w:color="auto"/>
        <w:bottom w:val="none" w:sz="0" w:space="0" w:color="auto"/>
        <w:right w:val="none" w:sz="0" w:space="0" w:color="auto"/>
      </w:divBdr>
    </w:div>
    <w:div w:id="811554991">
      <w:bodyDiv w:val="1"/>
      <w:marLeft w:val="0"/>
      <w:marRight w:val="0"/>
      <w:marTop w:val="0"/>
      <w:marBottom w:val="0"/>
      <w:divBdr>
        <w:top w:val="none" w:sz="0" w:space="0" w:color="auto"/>
        <w:left w:val="none" w:sz="0" w:space="0" w:color="auto"/>
        <w:bottom w:val="none" w:sz="0" w:space="0" w:color="auto"/>
        <w:right w:val="none" w:sz="0" w:space="0" w:color="auto"/>
      </w:divBdr>
    </w:div>
    <w:div w:id="816842093">
      <w:bodyDiv w:val="1"/>
      <w:marLeft w:val="0"/>
      <w:marRight w:val="0"/>
      <w:marTop w:val="0"/>
      <w:marBottom w:val="0"/>
      <w:divBdr>
        <w:top w:val="none" w:sz="0" w:space="0" w:color="auto"/>
        <w:left w:val="none" w:sz="0" w:space="0" w:color="auto"/>
        <w:bottom w:val="none" w:sz="0" w:space="0" w:color="auto"/>
        <w:right w:val="none" w:sz="0" w:space="0" w:color="auto"/>
      </w:divBdr>
    </w:div>
    <w:div w:id="825122666">
      <w:bodyDiv w:val="1"/>
      <w:marLeft w:val="0"/>
      <w:marRight w:val="0"/>
      <w:marTop w:val="0"/>
      <w:marBottom w:val="0"/>
      <w:divBdr>
        <w:top w:val="none" w:sz="0" w:space="0" w:color="auto"/>
        <w:left w:val="none" w:sz="0" w:space="0" w:color="auto"/>
        <w:bottom w:val="none" w:sz="0" w:space="0" w:color="auto"/>
        <w:right w:val="none" w:sz="0" w:space="0" w:color="auto"/>
      </w:divBdr>
    </w:div>
    <w:div w:id="825627461">
      <w:bodyDiv w:val="1"/>
      <w:marLeft w:val="0"/>
      <w:marRight w:val="0"/>
      <w:marTop w:val="0"/>
      <w:marBottom w:val="0"/>
      <w:divBdr>
        <w:top w:val="none" w:sz="0" w:space="0" w:color="auto"/>
        <w:left w:val="none" w:sz="0" w:space="0" w:color="auto"/>
        <w:bottom w:val="none" w:sz="0" w:space="0" w:color="auto"/>
        <w:right w:val="none" w:sz="0" w:space="0" w:color="auto"/>
      </w:divBdr>
    </w:div>
    <w:div w:id="860437273">
      <w:bodyDiv w:val="1"/>
      <w:marLeft w:val="0"/>
      <w:marRight w:val="0"/>
      <w:marTop w:val="0"/>
      <w:marBottom w:val="0"/>
      <w:divBdr>
        <w:top w:val="none" w:sz="0" w:space="0" w:color="auto"/>
        <w:left w:val="none" w:sz="0" w:space="0" w:color="auto"/>
        <w:bottom w:val="none" w:sz="0" w:space="0" w:color="auto"/>
        <w:right w:val="none" w:sz="0" w:space="0" w:color="auto"/>
      </w:divBdr>
    </w:div>
    <w:div w:id="881939233">
      <w:bodyDiv w:val="1"/>
      <w:marLeft w:val="0"/>
      <w:marRight w:val="0"/>
      <w:marTop w:val="0"/>
      <w:marBottom w:val="0"/>
      <w:divBdr>
        <w:top w:val="none" w:sz="0" w:space="0" w:color="auto"/>
        <w:left w:val="none" w:sz="0" w:space="0" w:color="auto"/>
        <w:bottom w:val="none" w:sz="0" w:space="0" w:color="auto"/>
        <w:right w:val="none" w:sz="0" w:space="0" w:color="auto"/>
      </w:divBdr>
    </w:div>
    <w:div w:id="894505341">
      <w:bodyDiv w:val="1"/>
      <w:marLeft w:val="0"/>
      <w:marRight w:val="0"/>
      <w:marTop w:val="0"/>
      <w:marBottom w:val="0"/>
      <w:divBdr>
        <w:top w:val="none" w:sz="0" w:space="0" w:color="auto"/>
        <w:left w:val="none" w:sz="0" w:space="0" w:color="auto"/>
        <w:bottom w:val="none" w:sz="0" w:space="0" w:color="auto"/>
        <w:right w:val="none" w:sz="0" w:space="0" w:color="auto"/>
      </w:divBdr>
    </w:div>
    <w:div w:id="905262833">
      <w:bodyDiv w:val="1"/>
      <w:marLeft w:val="0"/>
      <w:marRight w:val="0"/>
      <w:marTop w:val="0"/>
      <w:marBottom w:val="0"/>
      <w:divBdr>
        <w:top w:val="none" w:sz="0" w:space="0" w:color="auto"/>
        <w:left w:val="none" w:sz="0" w:space="0" w:color="auto"/>
        <w:bottom w:val="none" w:sz="0" w:space="0" w:color="auto"/>
        <w:right w:val="none" w:sz="0" w:space="0" w:color="auto"/>
      </w:divBdr>
    </w:div>
    <w:div w:id="906382796">
      <w:bodyDiv w:val="1"/>
      <w:marLeft w:val="0"/>
      <w:marRight w:val="0"/>
      <w:marTop w:val="0"/>
      <w:marBottom w:val="0"/>
      <w:divBdr>
        <w:top w:val="none" w:sz="0" w:space="0" w:color="auto"/>
        <w:left w:val="none" w:sz="0" w:space="0" w:color="auto"/>
        <w:bottom w:val="none" w:sz="0" w:space="0" w:color="auto"/>
        <w:right w:val="none" w:sz="0" w:space="0" w:color="auto"/>
      </w:divBdr>
    </w:div>
    <w:div w:id="915676498">
      <w:bodyDiv w:val="1"/>
      <w:marLeft w:val="0"/>
      <w:marRight w:val="0"/>
      <w:marTop w:val="0"/>
      <w:marBottom w:val="0"/>
      <w:divBdr>
        <w:top w:val="none" w:sz="0" w:space="0" w:color="auto"/>
        <w:left w:val="none" w:sz="0" w:space="0" w:color="auto"/>
        <w:bottom w:val="none" w:sz="0" w:space="0" w:color="auto"/>
        <w:right w:val="none" w:sz="0" w:space="0" w:color="auto"/>
      </w:divBdr>
    </w:div>
    <w:div w:id="917176655">
      <w:bodyDiv w:val="1"/>
      <w:marLeft w:val="0"/>
      <w:marRight w:val="0"/>
      <w:marTop w:val="0"/>
      <w:marBottom w:val="0"/>
      <w:divBdr>
        <w:top w:val="none" w:sz="0" w:space="0" w:color="auto"/>
        <w:left w:val="none" w:sz="0" w:space="0" w:color="auto"/>
        <w:bottom w:val="none" w:sz="0" w:space="0" w:color="auto"/>
        <w:right w:val="none" w:sz="0" w:space="0" w:color="auto"/>
      </w:divBdr>
    </w:div>
    <w:div w:id="922379252">
      <w:bodyDiv w:val="1"/>
      <w:marLeft w:val="0"/>
      <w:marRight w:val="0"/>
      <w:marTop w:val="0"/>
      <w:marBottom w:val="0"/>
      <w:divBdr>
        <w:top w:val="none" w:sz="0" w:space="0" w:color="auto"/>
        <w:left w:val="none" w:sz="0" w:space="0" w:color="auto"/>
        <w:bottom w:val="none" w:sz="0" w:space="0" w:color="auto"/>
        <w:right w:val="none" w:sz="0" w:space="0" w:color="auto"/>
      </w:divBdr>
    </w:div>
    <w:div w:id="926305770">
      <w:bodyDiv w:val="1"/>
      <w:marLeft w:val="0"/>
      <w:marRight w:val="0"/>
      <w:marTop w:val="0"/>
      <w:marBottom w:val="0"/>
      <w:divBdr>
        <w:top w:val="none" w:sz="0" w:space="0" w:color="auto"/>
        <w:left w:val="none" w:sz="0" w:space="0" w:color="auto"/>
        <w:bottom w:val="none" w:sz="0" w:space="0" w:color="auto"/>
        <w:right w:val="none" w:sz="0" w:space="0" w:color="auto"/>
      </w:divBdr>
    </w:div>
    <w:div w:id="947203041">
      <w:bodyDiv w:val="1"/>
      <w:marLeft w:val="0"/>
      <w:marRight w:val="0"/>
      <w:marTop w:val="0"/>
      <w:marBottom w:val="0"/>
      <w:divBdr>
        <w:top w:val="none" w:sz="0" w:space="0" w:color="auto"/>
        <w:left w:val="none" w:sz="0" w:space="0" w:color="auto"/>
        <w:bottom w:val="none" w:sz="0" w:space="0" w:color="auto"/>
        <w:right w:val="none" w:sz="0" w:space="0" w:color="auto"/>
      </w:divBdr>
    </w:div>
    <w:div w:id="969290339">
      <w:bodyDiv w:val="1"/>
      <w:marLeft w:val="0"/>
      <w:marRight w:val="0"/>
      <w:marTop w:val="0"/>
      <w:marBottom w:val="0"/>
      <w:divBdr>
        <w:top w:val="none" w:sz="0" w:space="0" w:color="auto"/>
        <w:left w:val="none" w:sz="0" w:space="0" w:color="auto"/>
        <w:bottom w:val="none" w:sz="0" w:space="0" w:color="auto"/>
        <w:right w:val="none" w:sz="0" w:space="0" w:color="auto"/>
      </w:divBdr>
    </w:div>
    <w:div w:id="1005859132">
      <w:bodyDiv w:val="1"/>
      <w:marLeft w:val="0"/>
      <w:marRight w:val="0"/>
      <w:marTop w:val="0"/>
      <w:marBottom w:val="0"/>
      <w:divBdr>
        <w:top w:val="none" w:sz="0" w:space="0" w:color="auto"/>
        <w:left w:val="none" w:sz="0" w:space="0" w:color="auto"/>
        <w:bottom w:val="none" w:sz="0" w:space="0" w:color="auto"/>
        <w:right w:val="none" w:sz="0" w:space="0" w:color="auto"/>
      </w:divBdr>
    </w:div>
    <w:div w:id="1006320914">
      <w:bodyDiv w:val="1"/>
      <w:marLeft w:val="0"/>
      <w:marRight w:val="0"/>
      <w:marTop w:val="0"/>
      <w:marBottom w:val="0"/>
      <w:divBdr>
        <w:top w:val="none" w:sz="0" w:space="0" w:color="auto"/>
        <w:left w:val="none" w:sz="0" w:space="0" w:color="auto"/>
        <w:bottom w:val="none" w:sz="0" w:space="0" w:color="auto"/>
        <w:right w:val="none" w:sz="0" w:space="0" w:color="auto"/>
      </w:divBdr>
    </w:div>
    <w:div w:id="1018776383">
      <w:bodyDiv w:val="1"/>
      <w:marLeft w:val="0"/>
      <w:marRight w:val="0"/>
      <w:marTop w:val="0"/>
      <w:marBottom w:val="0"/>
      <w:divBdr>
        <w:top w:val="none" w:sz="0" w:space="0" w:color="auto"/>
        <w:left w:val="none" w:sz="0" w:space="0" w:color="auto"/>
        <w:bottom w:val="none" w:sz="0" w:space="0" w:color="auto"/>
        <w:right w:val="none" w:sz="0" w:space="0" w:color="auto"/>
      </w:divBdr>
    </w:div>
    <w:div w:id="1019937018">
      <w:bodyDiv w:val="1"/>
      <w:marLeft w:val="0"/>
      <w:marRight w:val="0"/>
      <w:marTop w:val="0"/>
      <w:marBottom w:val="0"/>
      <w:divBdr>
        <w:top w:val="none" w:sz="0" w:space="0" w:color="auto"/>
        <w:left w:val="none" w:sz="0" w:space="0" w:color="auto"/>
        <w:bottom w:val="none" w:sz="0" w:space="0" w:color="auto"/>
        <w:right w:val="none" w:sz="0" w:space="0" w:color="auto"/>
      </w:divBdr>
    </w:div>
    <w:div w:id="1020861629">
      <w:bodyDiv w:val="1"/>
      <w:marLeft w:val="0"/>
      <w:marRight w:val="0"/>
      <w:marTop w:val="0"/>
      <w:marBottom w:val="0"/>
      <w:divBdr>
        <w:top w:val="none" w:sz="0" w:space="0" w:color="auto"/>
        <w:left w:val="none" w:sz="0" w:space="0" w:color="auto"/>
        <w:bottom w:val="none" w:sz="0" w:space="0" w:color="auto"/>
        <w:right w:val="none" w:sz="0" w:space="0" w:color="auto"/>
      </w:divBdr>
    </w:div>
    <w:div w:id="1045174763">
      <w:bodyDiv w:val="1"/>
      <w:marLeft w:val="0"/>
      <w:marRight w:val="0"/>
      <w:marTop w:val="0"/>
      <w:marBottom w:val="0"/>
      <w:divBdr>
        <w:top w:val="none" w:sz="0" w:space="0" w:color="auto"/>
        <w:left w:val="none" w:sz="0" w:space="0" w:color="auto"/>
        <w:bottom w:val="none" w:sz="0" w:space="0" w:color="auto"/>
        <w:right w:val="none" w:sz="0" w:space="0" w:color="auto"/>
      </w:divBdr>
    </w:div>
    <w:div w:id="1051656956">
      <w:bodyDiv w:val="1"/>
      <w:marLeft w:val="0"/>
      <w:marRight w:val="0"/>
      <w:marTop w:val="0"/>
      <w:marBottom w:val="0"/>
      <w:divBdr>
        <w:top w:val="none" w:sz="0" w:space="0" w:color="auto"/>
        <w:left w:val="none" w:sz="0" w:space="0" w:color="auto"/>
        <w:bottom w:val="none" w:sz="0" w:space="0" w:color="auto"/>
        <w:right w:val="none" w:sz="0" w:space="0" w:color="auto"/>
      </w:divBdr>
    </w:div>
    <w:div w:id="1051659313">
      <w:bodyDiv w:val="1"/>
      <w:marLeft w:val="0"/>
      <w:marRight w:val="0"/>
      <w:marTop w:val="0"/>
      <w:marBottom w:val="0"/>
      <w:divBdr>
        <w:top w:val="none" w:sz="0" w:space="0" w:color="auto"/>
        <w:left w:val="none" w:sz="0" w:space="0" w:color="auto"/>
        <w:bottom w:val="none" w:sz="0" w:space="0" w:color="auto"/>
        <w:right w:val="none" w:sz="0" w:space="0" w:color="auto"/>
      </w:divBdr>
    </w:div>
    <w:div w:id="1053694395">
      <w:bodyDiv w:val="1"/>
      <w:marLeft w:val="0"/>
      <w:marRight w:val="0"/>
      <w:marTop w:val="0"/>
      <w:marBottom w:val="0"/>
      <w:divBdr>
        <w:top w:val="none" w:sz="0" w:space="0" w:color="auto"/>
        <w:left w:val="none" w:sz="0" w:space="0" w:color="auto"/>
        <w:bottom w:val="none" w:sz="0" w:space="0" w:color="auto"/>
        <w:right w:val="none" w:sz="0" w:space="0" w:color="auto"/>
      </w:divBdr>
    </w:div>
    <w:div w:id="1074819880">
      <w:bodyDiv w:val="1"/>
      <w:marLeft w:val="0"/>
      <w:marRight w:val="0"/>
      <w:marTop w:val="0"/>
      <w:marBottom w:val="0"/>
      <w:divBdr>
        <w:top w:val="none" w:sz="0" w:space="0" w:color="auto"/>
        <w:left w:val="none" w:sz="0" w:space="0" w:color="auto"/>
        <w:bottom w:val="none" w:sz="0" w:space="0" w:color="auto"/>
        <w:right w:val="none" w:sz="0" w:space="0" w:color="auto"/>
      </w:divBdr>
    </w:div>
    <w:div w:id="1121149725">
      <w:bodyDiv w:val="1"/>
      <w:marLeft w:val="0"/>
      <w:marRight w:val="0"/>
      <w:marTop w:val="0"/>
      <w:marBottom w:val="0"/>
      <w:divBdr>
        <w:top w:val="none" w:sz="0" w:space="0" w:color="auto"/>
        <w:left w:val="none" w:sz="0" w:space="0" w:color="auto"/>
        <w:bottom w:val="none" w:sz="0" w:space="0" w:color="auto"/>
        <w:right w:val="none" w:sz="0" w:space="0" w:color="auto"/>
      </w:divBdr>
    </w:div>
    <w:div w:id="1126657233">
      <w:bodyDiv w:val="1"/>
      <w:marLeft w:val="0"/>
      <w:marRight w:val="0"/>
      <w:marTop w:val="0"/>
      <w:marBottom w:val="0"/>
      <w:divBdr>
        <w:top w:val="none" w:sz="0" w:space="0" w:color="auto"/>
        <w:left w:val="none" w:sz="0" w:space="0" w:color="auto"/>
        <w:bottom w:val="none" w:sz="0" w:space="0" w:color="auto"/>
        <w:right w:val="none" w:sz="0" w:space="0" w:color="auto"/>
      </w:divBdr>
    </w:div>
    <w:div w:id="1131363555">
      <w:bodyDiv w:val="1"/>
      <w:marLeft w:val="0"/>
      <w:marRight w:val="0"/>
      <w:marTop w:val="0"/>
      <w:marBottom w:val="0"/>
      <w:divBdr>
        <w:top w:val="none" w:sz="0" w:space="0" w:color="auto"/>
        <w:left w:val="none" w:sz="0" w:space="0" w:color="auto"/>
        <w:bottom w:val="none" w:sz="0" w:space="0" w:color="auto"/>
        <w:right w:val="none" w:sz="0" w:space="0" w:color="auto"/>
      </w:divBdr>
    </w:div>
    <w:div w:id="1133593825">
      <w:bodyDiv w:val="1"/>
      <w:marLeft w:val="0"/>
      <w:marRight w:val="0"/>
      <w:marTop w:val="0"/>
      <w:marBottom w:val="0"/>
      <w:divBdr>
        <w:top w:val="none" w:sz="0" w:space="0" w:color="auto"/>
        <w:left w:val="none" w:sz="0" w:space="0" w:color="auto"/>
        <w:bottom w:val="none" w:sz="0" w:space="0" w:color="auto"/>
        <w:right w:val="none" w:sz="0" w:space="0" w:color="auto"/>
      </w:divBdr>
    </w:div>
    <w:div w:id="1141195519">
      <w:bodyDiv w:val="1"/>
      <w:marLeft w:val="0"/>
      <w:marRight w:val="0"/>
      <w:marTop w:val="0"/>
      <w:marBottom w:val="0"/>
      <w:divBdr>
        <w:top w:val="none" w:sz="0" w:space="0" w:color="auto"/>
        <w:left w:val="none" w:sz="0" w:space="0" w:color="auto"/>
        <w:bottom w:val="none" w:sz="0" w:space="0" w:color="auto"/>
        <w:right w:val="none" w:sz="0" w:space="0" w:color="auto"/>
      </w:divBdr>
    </w:div>
    <w:div w:id="1149520893">
      <w:bodyDiv w:val="1"/>
      <w:marLeft w:val="0"/>
      <w:marRight w:val="0"/>
      <w:marTop w:val="0"/>
      <w:marBottom w:val="0"/>
      <w:divBdr>
        <w:top w:val="none" w:sz="0" w:space="0" w:color="auto"/>
        <w:left w:val="none" w:sz="0" w:space="0" w:color="auto"/>
        <w:bottom w:val="none" w:sz="0" w:space="0" w:color="auto"/>
        <w:right w:val="none" w:sz="0" w:space="0" w:color="auto"/>
      </w:divBdr>
    </w:div>
    <w:div w:id="1163739721">
      <w:bodyDiv w:val="1"/>
      <w:marLeft w:val="0"/>
      <w:marRight w:val="0"/>
      <w:marTop w:val="0"/>
      <w:marBottom w:val="0"/>
      <w:divBdr>
        <w:top w:val="none" w:sz="0" w:space="0" w:color="auto"/>
        <w:left w:val="none" w:sz="0" w:space="0" w:color="auto"/>
        <w:bottom w:val="none" w:sz="0" w:space="0" w:color="auto"/>
        <w:right w:val="none" w:sz="0" w:space="0" w:color="auto"/>
      </w:divBdr>
    </w:div>
    <w:div w:id="1183787235">
      <w:bodyDiv w:val="1"/>
      <w:marLeft w:val="0"/>
      <w:marRight w:val="0"/>
      <w:marTop w:val="0"/>
      <w:marBottom w:val="0"/>
      <w:divBdr>
        <w:top w:val="none" w:sz="0" w:space="0" w:color="auto"/>
        <w:left w:val="none" w:sz="0" w:space="0" w:color="auto"/>
        <w:bottom w:val="none" w:sz="0" w:space="0" w:color="auto"/>
        <w:right w:val="none" w:sz="0" w:space="0" w:color="auto"/>
      </w:divBdr>
    </w:div>
    <w:div w:id="1186334498">
      <w:bodyDiv w:val="1"/>
      <w:marLeft w:val="0"/>
      <w:marRight w:val="0"/>
      <w:marTop w:val="0"/>
      <w:marBottom w:val="0"/>
      <w:divBdr>
        <w:top w:val="none" w:sz="0" w:space="0" w:color="auto"/>
        <w:left w:val="none" w:sz="0" w:space="0" w:color="auto"/>
        <w:bottom w:val="none" w:sz="0" w:space="0" w:color="auto"/>
        <w:right w:val="none" w:sz="0" w:space="0" w:color="auto"/>
      </w:divBdr>
    </w:div>
    <w:div w:id="1212107475">
      <w:bodyDiv w:val="1"/>
      <w:marLeft w:val="0"/>
      <w:marRight w:val="0"/>
      <w:marTop w:val="0"/>
      <w:marBottom w:val="0"/>
      <w:divBdr>
        <w:top w:val="none" w:sz="0" w:space="0" w:color="auto"/>
        <w:left w:val="none" w:sz="0" w:space="0" w:color="auto"/>
        <w:bottom w:val="none" w:sz="0" w:space="0" w:color="auto"/>
        <w:right w:val="none" w:sz="0" w:space="0" w:color="auto"/>
      </w:divBdr>
    </w:div>
    <w:div w:id="1219392468">
      <w:bodyDiv w:val="1"/>
      <w:marLeft w:val="0"/>
      <w:marRight w:val="0"/>
      <w:marTop w:val="0"/>
      <w:marBottom w:val="0"/>
      <w:divBdr>
        <w:top w:val="none" w:sz="0" w:space="0" w:color="auto"/>
        <w:left w:val="none" w:sz="0" w:space="0" w:color="auto"/>
        <w:bottom w:val="none" w:sz="0" w:space="0" w:color="auto"/>
        <w:right w:val="none" w:sz="0" w:space="0" w:color="auto"/>
      </w:divBdr>
    </w:div>
    <w:div w:id="1221937829">
      <w:bodyDiv w:val="1"/>
      <w:marLeft w:val="0"/>
      <w:marRight w:val="0"/>
      <w:marTop w:val="0"/>
      <w:marBottom w:val="0"/>
      <w:divBdr>
        <w:top w:val="none" w:sz="0" w:space="0" w:color="auto"/>
        <w:left w:val="none" w:sz="0" w:space="0" w:color="auto"/>
        <w:bottom w:val="none" w:sz="0" w:space="0" w:color="auto"/>
        <w:right w:val="none" w:sz="0" w:space="0" w:color="auto"/>
      </w:divBdr>
    </w:div>
    <w:div w:id="1232541251">
      <w:bodyDiv w:val="1"/>
      <w:marLeft w:val="0"/>
      <w:marRight w:val="0"/>
      <w:marTop w:val="0"/>
      <w:marBottom w:val="0"/>
      <w:divBdr>
        <w:top w:val="none" w:sz="0" w:space="0" w:color="auto"/>
        <w:left w:val="none" w:sz="0" w:space="0" w:color="auto"/>
        <w:bottom w:val="none" w:sz="0" w:space="0" w:color="auto"/>
        <w:right w:val="none" w:sz="0" w:space="0" w:color="auto"/>
      </w:divBdr>
    </w:div>
    <w:div w:id="1233004197">
      <w:bodyDiv w:val="1"/>
      <w:marLeft w:val="0"/>
      <w:marRight w:val="0"/>
      <w:marTop w:val="0"/>
      <w:marBottom w:val="0"/>
      <w:divBdr>
        <w:top w:val="none" w:sz="0" w:space="0" w:color="auto"/>
        <w:left w:val="none" w:sz="0" w:space="0" w:color="auto"/>
        <w:bottom w:val="none" w:sz="0" w:space="0" w:color="auto"/>
        <w:right w:val="none" w:sz="0" w:space="0" w:color="auto"/>
      </w:divBdr>
    </w:div>
    <w:div w:id="1237664521">
      <w:bodyDiv w:val="1"/>
      <w:marLeft w:val="0"/>
      <w:marRight w:val="0"/>
      <w:marTop w:val="0"/>
      <w:marBottom w:val="0"/>
      <w:divBdr>
        <w:top w:val="none" w:sz="0" w:space="0" w:color="auto"/>
        <w:left w:val="none" w:sz="0" w:space="0" w:color="auto"/>
        <w:bottom w:val="none" w:sz="0" w:space="0" w:color="auto"/>
        <w:right w:val="none" w:sz="0" w:space="0" w:color="auto"/>
      </w:divBdr>
    </w:div>
    <w:div w:id="1244801065">
      <w:bodyDiv w:val="1"/>
      <w:marLeft w:val="0"/>
      <w:marRight w:val="0"/>
      <w:marTop w:val="0"/>
      <w:marBottom w:val="0"/>
      <w:divBdr>
        <w:top w:val="none" w:sz="0" w:space="0" w:color="auto"/>
        <w:left w:val="none" w:sz="0" w:space="0" w:color="auto"/>
        <w:bottom w:val="none" w:sz="0" w:space="0" w:color="auto"/>
        <w:right w:val="none" w:sz="0" w:space="0" w:color="auto"/>
      </w:divBdr>
    </w:div>
    <w:div w:id="1252281186">
      <w:bodyDiv w:val="1"/>
      <w:marLeft w:val="0"/>
      <w:marRight w:val="0"/>
      <w:marTop w:val="0"/>
      <w:marBottom w:val="0"/>
      <w:divBdr>
        <w:top w:val="none" w:sz="0" w:space="0" w:color="auto"/>
        <w:left w:val="none" w:sz="0" w:space="0" w:color="auto"/>
        <w:bottom w:val="none" w:sz="0" w:space="0" w:color="auto"/>
        <w:right w:val="none" w:sz="0" w:space="0" w:color="auto"/>
      </w:divBdr>
    </w:div>
    <w:div w:id="1258176371">
      <w:bodyDiv w:val="1"/>
      <w:marLeft w:val="0"/>
      <w:marRight w:val="0"/>
      <w:marTop w:val="0"/>
      <w:marBottom w:val="0"/>
      <w:divBdr>
        <w:top w:val="none" w:sz="0" w:space="0" w:color="auto"/>
        <w:left w:val="none" w:sz="0" w:space="0" w:color="auto"/>
        <w:bottom w:val="none" w:sz="0" w:space="0" w:color="auto"/>
        <w:right w:val="none" w:sz="0" w:space="0" w:color="auto"/>
      </w:divBdr>
    </w:div>
    <w:div w:id="1263801685">
      <w:bodyDiv w:val="1"/>
      <w:marLeft w:val="0"/>
      <w:marRight w:val="0"/>
      <w:marTop w:val="0"/>
      <w:marBottom w:val="0"/>
      <w:divBdr>
        <w:top w:val="none" w:sz="0" w:space="0" w:color="auto"/>
        <w:left w:val="none" w:sz="0" w:space="0" w:color="auto"/>
        <w:bottom w:val="none" w:sz="0" w:space="0" w:color="auto"/>
        <w:right w:val="none" w:sz="0" w:space="0" w:color="auto"/>
      </w:divBdr>
    </w:div>
    <w:div w:id="1275795150">
      <w:bodyDiv w:val="1"/>
      <w:marLeft w:val="0"/>
      <w:marRight w:val="0"/>
      <w:marTop w:val="0"/>
      <w:marBottom w:val="0"/>
      <w:divBdr>
        <w:top w:val="none" w:sz="0" w:space="0" w:color="auto"/>
        <w:left w:val="none" w:sz="0" w:space="0" w:color="auto"/>
        <w:bottom w:val="none" w:sz="0" w:space="0" w:color="auto"/>
        <w:right w:val="none" w:sz="0" w:space="0" w:color="auto"/>
      </w:divBdr>
    </w:div>
    <w:div w:id="1303461764">
      <w:bodyDiv w:val="1"/>
      <w:marLeft w:val="0"/>
      <w:marRight w:val="0"/>
      <w:marTop w:val="0"/>
      <w:marBottom w:val="0"/>
      <w:divBdr>
        <w:top w:val="none" w:sz="0" w:space="0" w:color="auto"/>
        <w:left w:val="none" w:sz="0" w:space="0" w:color="auto"/>
        <w:bottom w:val="none" w:sz="0" w:space="0" w:color="auto"/>
        <w:right w:val="none" w:sz="0" w:space="0" w:color="auto"/>
      </w:divBdr>
    </w:div>
    <w:div w:id="1303924402">
      <w:bodyDiv w:val="1"/>
      <w:marLeft w:val="0"/>
      <w:marRight w:val="0"/>
      <w:marTop w:val="0"/>
      <w:marBottom w:val="0"/>
      <w:divBdr>
        <w:top w:val="none" w:sz="0" w:space="0" w:color="auto"/>
        <w:left w:val="none" w:sz="0" w:space="0" w:color="auto"/>
        <w:bottom w:val="none" w:sz="0" w:space="0" w:color="auto"/>
        <w:right w:val="none" w:sz="0" w:space="0" w:color="auto"/>
      </w:divBdr>
    </w:div>
    <w:div w:id="1304847955">
      <w:bodyDiv w:val="1"/>
      <w:marLeft w:val="0"/>
      <w:marRight w:val="0"/>
      <w:marTop w:val="0"/>
      <w:marBottom w:val="0"/>
      <w:divBdr>
        <w:top w:val="none" w:sz="0" w:space="0" w:color="auto"/>
        <w:left w:val="none" w:sz="0" w:space="0" w:color="auto"/>
        <w:bottom w:val="none" w:sz="0" w:space="0" w:color="auto"/>
        <w:right w:val="none" w:sz="0" w:space="0" w:color="auto"/>
      </w:divBdr>
    </w:div>
    <w:div w:id="1309239574">
      <w:bodyDiv w:val="1"/>
      <w:marLeft w:val="0"/>
      <w:marRight w:val="0"/>
      <w:marTop w:val="0"/>
      <w:marBottom w:val="0"/>
      <w:divBdr>
        <w:top w:val="none" w:sz="0" w:space="0" w:color="auto"/>
        <w:left w:val="none" w:sz="0" w:space="0" w:color="auto"/>
        <w:bottom w:val="none" w:sz="0" w:space="0" w:color="auto"/>
        <w:right w:val="none" w:sz="0" w:space="0" w:color="auto"/>
      </w:divBdr>
    </w:div>
    <w:div w:id="1327897760">
      <w:bodyDiv w:val="1"/>
      <w:marLeft w:val="0"/>
      <w:marRight w:val="0"/>
      <w:marTop w:val="0"/>
      <w:marBottom w:val="0"/>
      <w:divBdr>
        <w:top w:val="none" w:sz="0" w:space="0" w:color="auto"/>
        <w:left w:val="none" w:sz="0" w:space="0" w:color="auto"/>
        <w:bottom w:val="none" w:sz="0" w:space="0" w:color="auto"/>
        <w:right w:val="none" w:sz="0" w:space="0" w:color="auto"/>
      </w:divBdr>
    </w:div>
    <w:div w:id="1331831272">
      <w:bodyDiv w:val="1"/>
      <w:marLeft w:val="0"/>
      <w:marRight w:val="0"/>
      <w:marTop w:val="0"/>
      <w:marBottom w:val="0"/>
      <w:divBdr>
        <w:top w:val="none" w:sz="0" w:space="0" w:color="auto"/>
        <w:left w:val="none" w:sz="0" w:space="0" w:color="auto"/>
        <w:bottom w:val="none" w:sz="0" w:space="0" w:color="auto"/>
        <w:right w:val="none" w:sz="0" w:space="0" w:color="auto"/>
      </w:divBdr>
    </w:div>
    <w:div w:id="1333020903">
      <w:bodyDiv w:val="1"/>
      <w:marLeft w:val="0"/>
      <w:marRight w:val="0"/>
      <w:marTop w:val="0"/>
      <w:marBottom w:val="0"/>
      <w:divBdr>
        <w:top w:val="none" w:sz="0" w:space="0" w:color="auto"/>
        <w:left w:val="none" w:sz="0" w:space="0" w:color="auto"/>
        <w:bottom w:val="none" w:sz="0" w:space="0" w:color="auto"/>
        <w:right w:val="none" w:sz="0" w:space="0" w:color="auto"/>
      </w:divBdr>
    </w:div>
    <w:div w:id="1341657227">
      <w:bodyDiv w:val="1"/>
      <w:marLeft w:val="0"/>
      <w:marRight w:val="0"/>
      <w:marTop w:val="0"/>
      <w:marBottom w:val="0"/>
      <w:divBdr>
        <w:top w:val="none" w:sz="0" w:space="0" w:color="auto"/>
        <w:left w:val="none" w:sz="0" w:space="0" w:color="auto"/>
        <w:bottom w:val="none" w:sz="0" w:space="0" w:color="auto"/>
        <w:right w:val="none" w:sz="0" w:space="0" w:color="auto"/>
      </w:divBdr>
    </w:div>
    <w:div w:id="1382679953">
      <w:bodyDiv w:val="1"/>
      <w:marLeft w:val="0"/>
      <w:marRight w:val="0"/>
      <w:marTop w:val="0"/>
      <w:marBottom w:val="0"/>
      <w:divBdr>
        <w:top w:val="none" w:sz="0" w:space="0" w:color="auto"/>
        <w:left w:val="none" w:sz="0" w:space="0" w:color="auto"/>
        <w:bottom w:val="none" w:sz="0" w:space="0" w:color="auto"/>
        <w:right w:val="none" w:sz="0" w:space="0" w:color="auto"/>
      </w:divBdr>
    </w:div>
    <w:div w:id="1395617928">
      <w:bodyDiv w:val="1"/>
      <w:marLeft w:val="0"/>
      <w:marRight w:val="0"/>
      <w:marTop w:val="0"/>
      <w:marBottom w:val="0"/>
      <w:divBdr>
        <w:top w:val="none" w:sz="0" w:space="0" w:color="auto"/>
        <w:left w:val="none" w:sz="0" w:space="0" w:color="auto"/>
        <w:bottom w:val="none" w:sz="0" w:space="0" w:color="auto"/>
        <w:right w:val="none" w:sz="0" w:space="0" w:color="auto"/>
      </w:divBdr>
    </w:div>
    <w:div w:id="1400514177">
      <w:bodyDiv w:val="1"/>
      <w:marLeft w:val="0"/>
      <w:marRight w:val="0"/>
      <w:marTop w:val="0"/>
      <w:marBottom w:val="0"/>
      <w:divBdr>
        <w:top w:val="none" w:sz="0" w:space="0" w:color="auto"/>
        <w:left w:val="none" w:sz="0" w:space="0" w:color="auto"/>
        <w:bottom w:val="none" w:sz="0" w:space="0" w:color="auto"/>
        <w:right w:val="none" w:sz="0" w:space="0" w:color="auto"/>
      </w:divBdr>
    </w:div>
    <w:div w:id="1425418907">
      <w:bodyDiv w:val="1"/>
      <w:marLeft w:val="0"/>
      <w:marRight w:val="0"/>
      <w:marTop w:val="0"/>
      <w:marBottom w:val="0"/>
      <w:divBdr>
        <w:top w:val="none" w:sz="0" w:space="0" w:color="auto"/>
        <w:left w:val="none" w:sz="0" w:space="0" w:color="auto"/>
        <w:bottom w:val="none" w:sz="0" w:space="0" w:color="auto"/>
        <w:right w:val="none" w:sz="0" w:space="0" w:color="auto"/>
      </w:divBdr>
    </w:div>
    <w:div w:id="1429039315">
      <w:bodyDiv w:val="1"/>
      <w:marLeft w:val="0"/>
      <w:marRight w:val="0"/>
      <w:marTop w:val="0"/>
      <w:marBottom w:val="0"/>
      <w:divBdr>
        <w:top w:val="none" w:sz="0" w:space="0" w:color="auto"/>
        <w:left w:val="none" w:sz="0" w:space="0" w:color="auto"/>
        <w:bottom w:val="none" w:sz="0" w:space="0" w:color="auto"/>
        <w:right w:val="none" w:sz="0" w:space="0" w:color="auto"/>
      </w:divBdr>
    </w:div>
    <w:div w:id="1441992555">
      <w:bodyDiv w:val="1"/>
      <w:marLeft w:val="0"/>
      <w:marRight w:val="0"/>
      <w:marTop w:val="0"/>
      <w:marBottom w:val="0"/>
      <w:divBdr>
        <w:top w:val="none" w:sz="0" w:space="0" w:color="auto"/>
        <w:left w:val="none" w:sz="0" w:space="0" w:color="auto"/>
        <w:bottom w:val="none" w:sz="0" w:space="0" w:color="auto"/>
        <w:right w:val="none" w:sz="0" w:space="0" w:color="auto"/>
      </w:divBdr>
    </w:div>
    <w:div w:id="1444112639">
      <w:bodyDiv w:val="1"/>
      <w:marLeft w:val="0"/>
      <w:marRight w:val="0"/>
      <w:marTop w:val="0"/>
      <w:marBottom w:val="0"/>
      <w:divBdr>
        <w:top w:val="none" w:sz="0" w:space="0" w:color="auto"/>
        <w:left w:val="none" w:sz="0" w:space="0" w:color="auto"/>
        <w:bottom w:val="none" w:sz="0" w:space="0" w:color="auto"/>
        <w:right w:val="none" w:sz="0" w:space="0" w:color="auto"/>
      </w:divBdr>
    </w:div>
    <w:div w:id="1453013256">
      <w:bodyDiv w:val="1"/>
      <w:marLeft w:val="0"/>
      <w:marRight w:val="0"/>
      <w:marTop w:val="0"/>
      <w:marBottom w:val="0"/>
      <w:divBdr>
        <w:top w:val="none" w:sz="0" w:space="0" w:color="auto"/>
        <w:left w:val="none" w:sz="0" w:space="0" w:color="auto"/>
        <w:bottom w:val="none" w:sz="0" w:space="0" w:color="auto"/>
        <w:right w:val="none" w:sz="0" w:space="0" w:color="auto"/>
      </w:divBdr>
    </w:div>
    <w:div w:id="1464730071">
      <w:bodyDiv w:val="1"/>
      <w:marLeft w:val="0"/>
      <w:marRight w:val="0"/>
      <w:marTop w:val="0"/>
      <w:marBottom w:val="0"/>
      <w:divBdr>
        <w:top w:val="none" w:sz="0" w:space="0" w:color="auto"/>
        <w:left w:val="none" w:sz="0" w:space="0" w:color="auto"/>
        <w:bottom w:val="none" w:sz="0" w:space="0" w:color="auto"/>
        <w:right w:val="none" w:sz="0" w:space="0" w:color="auto"/>
      </w:divBdr>
    </w:div>
    <w:div w:id="1501971540">
      <w:bodyDiv w:val="1"/>
      <w:marLeft w:val="0"/>
      <w:marRight w:val="0"/>
      <w:marTop w:val="0"/>
      <w:marBottom w:val="0"/>
      <w:divBdr>
        <w:top w:val="none" w:sz="0" w:space="0" w:color="auto"/>
        <w:left w:val="none" w:sz="0" w:space="0" w:color="auto"/>
        <w:bottom w:val="none" w:sz="0" w:space="0" w:color="auto"/>
        <w:right w:val="none" w:sz="0" w:space="0" w:color="auto"/>
      </w:divBdr>
    </w:div>
    <w:div w:id="1504974203">
      <w:bodyDiv w:val="1"/>
      <w:marLeft w:val="0"/>
      <w:marRight w:val="0"/>
      <w:marTop w:val="0"/>
      <w:marBottom w:val="0"/>
      <w:divBdr>
        <w:top w:val="none" w:sz="0" w:space="0" w:color="auto"/>
        <w:left w:val="none" w:sz="0" w:space="0" w:color="auto"/>
        <w:bottom w:val="none" w:sz="0" w:space="0" w:color="auto"/>
        <w:right w:val="none" w:sz="0" w:space="0" w:color="auto"/>
      </w:divBdr>
    </w:div>
    <w:div w:id="1509901937">
      <w:bodyDiv w:val="1"/>
      <w:marLeft w:val="0"/>
      <w:marRight w:val="0"/>
      <w:marTop w:val="0"/>
      <w:marBottom w:val="0"/>
      <w:divBdr>
        <w:top w:val="none" w:sz="0" w:space="0" w:color="auto"/>
        <w:left w:val="none" w:sz="0" w:space="0" w:color="auto"/>
        <w:bottom w:val="none" w:sz="0" w:space="0" w:color="auto"/>
        <w:right w:val="none" w:sz="0" w:space="0" w:color="auto"/>
      </w:divBdr>
    </w:div>
    <w:div w:id="1519852829">
      <w:bodyDiv w:val="1"/>
      <w:marLeft w:val="0"/>
      <w:marRight w:val="0"/>
      <w:marTop w:val="0"/>
      <w:marBottom w:val="0"/>
      <w:divBdr>
        <w:top w:val="none" w:sz="0" w:space="0" w:color="auto"/>
        <w:left w:val="none" w:sz="0" w:space="0" w:color="auto"/>
        <w:bottom w:val="none" w:sz="0" w:space="0" w:color="auto"/>
        <w:right w:val="none" w:sz="0" w:space="0" w:color="auto"/>
      </w:divBdr>
    </w:div>
    <w:div w:id="1522278615">
      <w:bodyDiv w:val="1"/>
      <w:marLeft w:val="0"/>
      <w:marRight w:val="0"/>
      <w:marTop w:val="0"/>
      <w:marBottom w:val="0"/>
      <w:divBdr>
        <w:top w:val="none" w:sz="0" w:space="0" w:color="auto"/>
        <w:left w:val="none" w:sz="0" w:space="0" w:color="auto"/>
        <w:bottom w:val="none" w:sz="0" w:space="0" w:color="auto"/>
        <w:right w:val="none" w:sz="0" w:space="0" w:color="auto"/>
      </w:divBdr>
    </w:div>
    <w:div w:id="1531844557">
      <w:bodyDiv w:val="1"/>
      <w:marLeft w:val="0"/>
      <w:marRight w:val="0"/>
      <w:marTop w:val="0"/>
      <w:marBottom w:val="0"/>
      <w:divBdr>
        <w:top w:val="none" w:sz="0" w:space="0" w:color="auto"/>
        <w:left w:val="none" w:sz="0" w:space="0" w:color="auto"/>
        <w:bottom w:val="none" w:sz="0" w:space="0" w:color="auto"/>
        <w:right w:val="none" w:sz="0" w:space="0" w:color="auto"/>
      </w:divBdr>
    </w:div>
    <w:div w:id="1533494607">
      <w:bodyDiv w:val="1"/>
      <w:marLeft w:val="0"/>
      <w:marRight w:val="0"/>
      <w:marTop w:val="0"/>
      <w:marBottom w:val="0"/>
      <w:divBdr>
        <w:top w:val="none" w:sz="0" w:space="0" w:color="auto"/>
        <w:left w:val="none" w:sz="0" w:space="0" w:color="auto"/>
        <w:bottom w:val="none" w:sz="0" w:space="0" w:color="auto"/>
        <w:right w:val="none" w:sz="0" w:space="0" w:color="auto"/>
      </w:divBdr>
    </w:div>
    <w:div w:id="1534347424">
      <w:bodyDiv w:val="1"/>
      <w:marLeft w:val="0"/>
      <w:marRight w:val="0"/>
      <w:marTop w:val="0"/>
      <w:marBottom w:val="0"/>
      <w:divBdr>
        <w:top w:val="none" w:sz="0" w:space="0" w:color="auto"/>
        <w:left w:val="none" w:sz="0" w:space="0" w:color="auto"/>
        <w:bottom w:val="none" w:sz="0" w:space="0" w:color="auto"/>
        <w:right w:val="none" w:sz="0" w:space="0" w:color="auto"/>
      </w:divBdr>
    </w:div>
    <w:div w:id="1541555353">
      <w:bodyDiv w:val="1"/>
      <w:marLeft w:val="0"/>
      <w:marRight w:val="0"/>
      <w:marTop w:val="0"/>
      <w:marBottom w:val="0"/>
      <w:divBdr>
        <w:top w:val="none" w:sz="0" w:space="0" w:color="auto"/>
        <w:left w:val="none" w:sz="0" w:space="0" w:color="auto"/>
        <w:bottom w:val="none" w:sz="0" w:space="0" w:color="auto"/>
        <w:right w:val="none" w:sz="0" w:space="0" w:color="auto"/>
      </w:divBdr>
    </w:div>
    <w:div w:id="1556694670">
      <w:bodyDiv w:val="1"/>
      <w:marLeft w:val="0"/>
      <w:marRight w:val="0"/>
      <w:marTop w:val="0"/>
      <w:marBottom w:val="0"/>
      <w:divBdr>
        <w:top w:val="none" w:sz="0" w:space="0" w:color="auto"/>
        <w:left w:val="none" w:sz="0" w:space="0" w:color="auto"/>
        <w:bottom w:val="none" w:sz="0" w:space="0" w:color="auto"/>
        <w:right w:val="none" w:sz="0" w:space="0" w:color="auto"/>
      </w:divBdr>
    </w:div>
    <w:div w:id="1561558762">
      <w:bodyDiv w:val="1"/>
      <w:marLeft w:val="0"/>
      <w:marRight w:val="0"/>
      <w:marTop w:val="0"/>
      <w:marBottom w:val="0"/>
      <w:divBdr>
        <w:top w:val="none" w:sz="0" w:space="0" w:color="auto"/>
        <w:left w:val="none" w:sz="0" w:space="0" w:color="auto"/>
        <w:bottom w:val="none" w:sz="0" w:space="0" w:color="auto"/>
        <w:right w:val="none" w:sz="0" w:space="0" w:color="auto"/>
      </w:divBdr>
    </w:div>
    <w:div w:id="1564560431">
      <w:bodyDiv w:val="1"/>
      <w:marLeft w:val="0"/>
      <w:marRight w:val="0"/>
      <w:marTop w:val="0"/>
      <w:marBottom w:val="0"/>
      <w:divBdr>
        <w:top w:val="none" w:sz="0" w:space="0" w:color="auto"/>
        <w:left w:val="none" w:sz="0" w:space="0" w:color="auto"/>
        <w:bottom w:val="none" w:sz="0" w:space="0" w:color="auto"/>
        <w:right w:val="none" w:sz="0" w:space="0" w:color="auto"/>
      </w:divBdr>
    </w:div>
    <w:div w:id="1609268366">
      <w:bodyDiv w:val="1"/>
      <w:marLeft w:val="0"/>
      <w:marRight w:val="0"/>
      <w:marTop w:val="0"/>
      <w:marBottom w:val="0"/>
      <w:divBdr>
        <w:top w:val="none" w:sz="0" w:space="0" w:color="auto"/>
        <w:left w:val="none" w:sz="0" w:space="0" w:color="auto"/>
        <w:bottom w:val="none" w:sz="0" w:space="0" w:color="auto"/>
        <w:right w:val="none" w:sz="0" w:space="0" w:color="auto"/>
      </w:divBdr>
    </w:div>
    <w:div w:id="1609392185">
      <w:bodyDiv w:val="1"/>
      <w:marLeft w:val="0"/>
      <w:marRight w:val="0"/>
      <w:marTop w:val="0"/>
      <w:marBottom w:val="0"/>
      <w:divBdr>
        <w:top w:val="none" w:sz="0" w:space="0" w:color="auto"/>
        <w:left w:val="none" w:sz="0" w:space="0" w:color="auto"/>
        <w:bottom w:val="none" w:sz="0" w:space="0" w:color="auto"/>
        <w:right w:val="none" w:sz="0" w:space="0" w:color="auto"/>
      </w:divBdr>
    </w:div>
    <w:div w:id="1622802715">
      <w:bodyDiv w:val="1"/>
      <w:marLeft w:val="0"/>
      <w:marRight w:val="0"/>
      <w:marTop w:val="0"/>
      <w:marBottom w:val="0"/>
      <w:divBdr>
        <w:top w:val="none" w:sz="0" w:space="0" w:color="auto"/>
        <w:left w:val="none" w:sz="0" w:space="0" w:color="auto"/>
        <w:bottom w:val="none" w:sz="0" w:space="0" w:color="auto"/>
        <w:right w:val="none" w:sz="0" w:space="0" w:color="auto"/>
      </w:divBdr>
    </w:div>
    <w:div w:id="1632898843">
      <w:bodyDiv w:val="1"/>
      <w:marLeft w:val="0"/>
      <w:marRight w:val="0"/>
      <w:marTop w:val="0"/>
      <w:marBottom w:val="0"/>
      <w:divBdr>
        <w:top w:val="none" w:sz="0" w:space="0" w:color="auto"/>
        <w:left w:val="none" w:sz="0" w:space="0" w:color="auto"/>
        <w:bottom w:val="none" w:sz="0" w:space="0" w:color="auto"/>
        <w:right w:val="none" w:sz="0" w:space="0" w:color="auto"/>
      </w:divBdr>
    </w:div>
    <w:div w:id="1635328010">
      <w:bodyDiv w:val="1"/>
      <w:marLeft w:val="0"/>
      <w:marRight w:val="0"/>
      <w:marTop w:val="0"/>
      <w:marBottom w:val="0"/>
      <w:divBdr>
        <w:top w:val="none" w:sz="0" w:space="0" w:color="auto"/>
        <w:left w:val="none" w:sz="0" w:space="0" w:color="auto"/>
        <w:bottom w:val="none" w:sz="0" w:space="0" w:color="auto"/>
        <w:right w:val="none" w:sz="0" w:space="0" w:color="auto"/>
      </w:divBdr>
    </w:div>
    <w:div w:id="1640651160">
      <w:bodyDiv w:val="1"/>
      <w:marLeft w:val="0"/>
      <w:marRight w:val="0"/>
      <w:marTop w:val="0"/>
      <w:marBottom w:val="0"/>
      <w:divBdr>
        <w:top w:val="none" w:sz="0" w:space="0" w:color="auto"/>
        <w:left w:val="none" w:sz="0" w:space="0" w:color="auto"/>
        <w:bottom w:val="none" w:sz="0" w:space="0" w:color="auto"/>
        <w:right w:val="none" w:sz="0" w:space="0" w:color="auto"/>
      </w:divBdr>
    </w:div>
    <w:div w:id="1646735265">
      <w:bodyDiv w:val="1"/>
      <w:marLeft w:val="0"/>
      <w:marRight w:val="0"/>
      <w:marTop w:val="0"/>
      <w:marBottom w:val="0"/>
      <w:divBdr>
        <w:top w:val="none" w:sz="0" w:space="0" w:color="auto"/>
        <w:left w:val="none" w:sz="0" w:space="0" w:color="auto"/>
        <w:bottom w:val="none" w:sz="0" w:space="0" w:color="auto"/>
        <w:right w:val="none" w:sz="0" w:space="0" w:color="auto"/>
      </w:divBdr>
    </w:div>
    <w:div w:id="1652513992">
      <w:bodyDiv w:val="1"/>
      <w:marLeft w:val="0"/>
      <w:marRight w:val="0"/>
      <w:marTop w:val="0"/>
      <w:marBottom w:val="0"/>
      <w:divBdr>
        <w:top w:val="none" w:sz="0" w:space="0" w:color="auto"/>
        <w:left w:val="none" w:sz="0" w:space="0" w:color="auto"/>
        <w:bottom w:val="none" w:sz="0" w:space="0" w:color="auto"/>
        <w:right w:val="none" w:sz="0" w:space="0" w:color="auto"/>
      </w:divBdr>
    </w:div>
    <w:div w:id="1674910949">
      <w:bodyDiv w:val="1"/>
      <w:marLeft w:val="0"/>
      <w:marRight w:val="0"/>
      <w:marTop w:val="0"/>
      <w:marBottom w:val="0"/>
      <w:divBdr>
        <w:top w:val="none" w:sz="0" w:space="0" w:color="auto"/>
        <w:left w:val="none" w:sz="0" w:space="0" w:color="auto"/>
        <w:bottom w:val="none" w:sz="0" w:space="0" w:color="auto"/>
        <w:right w:val="none" w:sz="0" w:space="0" w:color="auto"/>
      </w:divBdr>
    </w:div>
    <w:div w:id="1690137540">
      <w:bodyDiv w:val="1"/>
      <w:marLeft w:val="0"/>
      <w:marRight w:val="0"/>
      <w:marTop w:val="0"/>
      <w:marBottom w:val="0"/>
      <w:divBdr>
        <w:top w:val="none" w:sz="0" w:space="0" w:color="auto"/>
        <w:left w:val="none" w:sz="0" w:space="0" w:color="auto"/>
        <w:bottom w:val="none" w:sz="0" w:space="0" w:color="auto"/>
        <w:right w:val="none" w:sz="0" w:space="0" w:color="auto"/>
      </w:divBdr>
    </w:div>
    <w:div w:id="1690451122">
      <w:bodyDiv w:val="1"/>
      <w:marLeft w:val="0"/>
      <w:marRight w:val="0"/>
      <w:marTop w:val="0"/>
      <w:marBottom w:val="0"/>
      <w:divBdr>
        <w:top w:val="none" w:sz="0" w:space="0" w:color="auto"/>
        <w:left w:val="none" w:sz="0" w:space="0" w:color="auto"/>
        <w:bottom w:val="none" w:sz="0" w:space="0" w:color="auto"/>
        <w:right w:val="none" w:sz="0" w:space="0" w:color="auto"/>
      </w:divBdr>
    </w:div>
    <w:div w:id="1694575550">
      <w:bodyDiv w:val="1"/>
      <w:marLeft w:val="0"/>
      <w:marRight w:val="0"/>
      <w:marTop w:val="0"/>
      <w:marBottom w:val="0"/>
      <w:divBdr>
        <w:top w:val="none" w:sz="0" w:space="0" w:color="auto"/>
        <w:left w:val="none" w:sz="0" w:space="0" w:color="auto"/>
        <w:bottom w:val="none" w:sz="0" w:space="0" w:color="auto"/>
        <w:right w:val="none" w:sz="0" w:space="0" w:color="auto"/>
      </w:divBdr>
    </w:div>
    <w:div w:id="1695499623">
      <w:bodyDiv w:val="1"/>
      <w:marLeft w:val="0"/>
      <w:marRight w:val="0"/>
      <w:marTop w:val="0"/>
      <w:marBottom w:val="0"/>
      <w:divBdr>
        <w:top w:val="none" w:sz="0" w:space="0" w:color="auto"/>
        <w:left w:val="none" w:sz="0" w:space="0" w:color="auto"/>
        <w:bottom w:val="none" w:sz="0" w:space="0" w:color="auto"/>
        <w:right w:val="none" w:sz="0" w:space="0" w:color="auto"/>
      </w:divBdr>
    </w:div>
    <w:div w:id="1697389841">
      <w:bodyDiv w:val="1"/>
      <w:marLeft w:val="0"/>
      <w:marRight w:val="0"/>
      <w:marTop w:val="0"/>
      <w:marBottom w:val="0"/>
      <w:divBdr>
        <w:top w:val="none" w:sz="0" w:space="0" w:color="auto"/>
        <w:left w:val="none" w:sz="0" w:space="0" w:color="auto"/>
        <w:bottom w:val="none" w:sz="0" w:space="0" w:color="auto"/>
        <w:right w:val="none" w:sz="0" w:space="0" w:color="auto"/>
      </w:divBdr>
    </w:div>
    <w:div w:id="1709914234">
      <w:bodyDiv w:val="1"/>
      <w:marLeft w:val="0"/>
      <w:marRight w:val="0"/>
      <w:marTop w:val="0"/>
      <w:marBottom w:val="0"/>
      <w:divBdr>
        <w:top w:val="none" w:sz="0" w:space="0" w:color="auto"/>
        <w:left w:val="none" w:sz="0" w:space="0" w:color="auto"/>
        <w:bottom w:val="none" w:sz="0" w:space="0" w:color="auto"/>
        <w:right w:val="none" w:sz="0" w:space="0" w:color="auto"/>
      </w:divBdr>
    </w:div>
    <w:div w:id="1720593949">
      <w:bodyDiv w:val="1"/>
      <w:marLeft w:val="0"/>
      <w:marRight w:val="0"/>
      <w:marTop w:val="0"/>
      <w:marBottom w:val="0"/>
      <w:divBdr>
        <w:top w:val="none" w:sz="0" w:space="0" w:color="auto"/>
        <w:left w:val="none" w:sz="0" w:space="0" w:color="auto"/>
        <w:bottom w:val="none" w:sz="0" w:space="0" w:color="auto"/>
        <w:right w:val="none" w:sz="0" w:space="0" w:color="auto"/>
      </w:divBdr>
    </w:div>
    <w:div w:id="1721319762">
      <w:bodyDiv w:val="1"/>
      <w:marLeft w:val="0"/>
      <w:marRight w:val="0"/>
      <w:marTop w:val="0"/>
      <w:marBottom w:val="0"/>
      <w:divBdr>
        <w:top w:val="none" w:sz="0" w:space="0" w:color="auto"/>
        <w:left w:val="none" w:sz="0" w:space="0" w:color="auto"/>
        <w:bottom w:val="none" w:sz="0" w:space="0" w:color="auto"/>
        <w:right w:val="none" w:sz="0" w:space="0" w:color="auto"/>
      </w:divBdr>
    </w:div>
    <w:div w:id="1729761620">
      <w:bodyDiv w:val="1"/>
      <w:marLeft w:val="0"/>
      <w:marRight w:val="0"/>
      <w:marTop w:val="0"/>
      <w:marBottom w:val="0"/>
      <w:divBdr>
        <w:top w:val="none" w:sz="0" w:space="0" w:color="auto"/>
        <w:left w:val="none" w:sz="0" w:space="0" w:color="auto"/>
        <w:bottom w:val="none" w:sz="0" w:space="0" w:color="auto"/>
        <w:right w:val="none" w:sz="0" w:space="0" w:color="auto"/>
      </w:divBdr>
    </w:div>
    <w:div w:id="1735277926">
      <w:bodyDiv w:val="1"/>
      <w:marLeft w:val="0"/>
      <w:marRight w:val="0"/>
      <w:marTop w:val="0"/>
      <w:marBottom w:val="0"/>
      <w:divBdr>
        <w:top w:val="none" w:sz="0" w:space="0" w:color="auto"/>
        <w:left w:val="none" w:sz="0" w:space="0" w:color="auto"/>
        <w:bottom w:val="none" w:sz="0" w:space="0" w:color="auto"/>
        <w:right w:val="none" w:sz="0" w:space="0" w:color="auto"/>
      </w:divBdr>
    </w:div>
    <w:div w:id="1766996337">
      <w:bodyDiv w:val="1"/>
      <w:marLeft w:val="0"/>
      <w:marRight w:val="0"/>
      <w:marTop w:val="0"/>
      <w:marBottom w:val="0"/>
      <w:divBdr>
        <w:top w:val="none" w:sz="0" w:space="0" w:color="auto"/>
        <w:left w:val="none" w:sz="0" w:space="0" w:color="auto"/>
        <w:bottom w:val="none" w:sz="0" w:space="0" w:color="auto"/>
        <w:right w:val="none" w:sz="0" w:space="0" w:color="auto"/>
      </w:divBdr>
    </w:div>
    <w:div w:id="1767379556">
      <w:bodyDiv w:val="1"/>
      <w:marLeft w:val="0"/>
      <w:marRight w:val="0"/>
      <w:marTop w:val="0"/>
      <w:marBottom w:val="0"/>
      <w:divBdr>
        <w:top w:val="none" w:sz="0" w:space="0" w:color="auto"/>
        <w:left w:val="none" w:sz="0" w:space="0" w:color="auto"/>
        <w:bottom w:val="none" w:sz="0" w:space="0" w:color="auto"/>
        <w:right w:val="none" w:sz="0" w:space="0" w:color="auto"/>
      </w:divBdr>
    </w:div>
    <w:div w:id="1774324249">
      <w:bodyDiv w:val="1"/>
      <w:marLeft w:val="0"/>
      <w:marRight w:val="0"/>
      <w:marTop w:val="0"/>
      <w:marBottom w:val="0"/>
      <w:divBdr>
        <w:top w:val="none" w:sz="0" w:space="0" w:color="auto"/>
        <w:left w:val="none" w:sz="0" w:space="0" w:color="auto"/>
        <w:bottom w:val="none" w:sz="0" w:space="0" w:color="auto"/>
        <w:right w:val="none" w:sz="0" w:space="0" w:color="auto"/>
      </w:divBdr>
    </w:div>
    <w:div w:id="1778133618">
      <w:bodyDiv w:val="1"/>
      <w:marLeft w:val="0"/>
      <w:marRight w:val="0"/>
      <w:marTop w:val="0"/>
      <w:marBottom w:val="0"/>
      <w:divBdr>
        <w:top w:val="none" w:sz="0" w:space="0" w:color="auto"/>
        <w:left w:val="none" w:sz="0" w:space="0" w:color="auto"/>
        <w:bottom w:val="none" w:sz="0" w:space="0" w:color="auto"/>
        <w:right w:val="none" w:sz="0" w:space="0" w:color="auto"/>
      </w:divBdr>
    </w:div>
    <w:div w:id="1783305097">
      <w:bodyDiv w:val="1"/>
      <w:marLeft w:val="0"/>
      <w:marRight w:val="0"/>
      <w:marTop w:val="0"/>
      <w:marBottom w:val="0"/>
      <w:divBdr>
        <w:top w:val="none" w:sz="0" w:space="0" w:color="auto"/>
        <w:left w:val="none" w:sz="0" w:space="0" w:color="auto"/>
        <w:bottom w:val="none" w:sz="0" w:space="0" w:color="auto"/>
        <w:right w:val="none" w:sz="0" w:space="0" w:color="auto"/>
      </w:divBdr>
    </w:div>
    <w:div w:id="1798717781">
      <w:bodyDiv w:val="1"/>
      <w:marLeft w:val="0"/>
      <w:marRight w:val="0"/>
      <w:marTop w:val="0"/>
      <w:marBottom w:val="0"/>
      <w:divBdr>
        <w:top w:val="none" w:sz="0" w:space="0" w:color="auto"/>
        <w:left w:val="none" w:sz="0" w:space="0" w:color="auto"/>
        <w:bottom w:val="none" w:sz="0" w:space="0" w:color="auto"/>
        <w:right w:val="none" w:sz="0" w:space="0" w:color="auto"/>
      </w:divBdr>
    </w:div>
    <w:div w:id="1802650603">
      <w:bodyDiv w:val="1"/>
      <w:marLeft w:val="0"/>
      <w:marRight w:val="0"/>
      <w:marTop w:val="0"/>
      <w:marBottom w:val="0"/>
      <w:divBdr>
        <w:top w:val="none" w:sz="0" w:space="0" w:color="auto"/>
        <w:left w:val="none" w:sz="0" w:space="0" w:color="auto"/>
        <w:bottom w:val="none" w:sz="0" w:space="0" w:color="auto"/>
        <w:right w:val="none" w:sz="0" w:space="0" w:color="auto"/>
      </w:divBdr>
    </w:div>
    <w:div w:id="1808474873">
      <w:bodyDiv w:val="1"/>
      <w:marLeft w:val="0"/>
      <w:marRight w:val="0"/>
      <w:marTop w:val="0"/>
      <w:marBottom w:val="0"/>
      <w:divBdr>
        <w:top w:val="none" w:sz="0" w:space="0" w:color="auto"/>
        <w:left w:val="none" w:sz="0" w:space="0" w:color="auto"/>
        <w:bottom w:val="none" w:sz="0" w:space="0" w:color="auto"/>
        <w:right w:val="none" w:sz="0" w:space="0" w:color="auto"/>
      </w:divBdr>
    </w:div>
    <w:div w:id="1811707194">
      <w:bodyDiv w:val="1"/>
      <w:marLeft w:val="0"/>
      <w:marRight w:val="0"/>
      <w:marTop w:val="0"/>
      <w:marBottom w:val="0"/>
      <w:divBdr>
        <w:top w:val="none" w:sz="0" w:space="0" w:color="auto"/>
        <w:left w:val="none" w:sz="0" w:space="0" w:color="auto"/>
        <w:bottom w:val="none" w:sz="0" w:space="0" w:color="auto"/>
        <w:right w:val="none" w:sz="0" w:space="0" w:color="auto"/>
      </w:divBdr>
    </w:div>
    <w:div w:id="1815634170">
      <w:bodyDiv w:val="1"/>
      <w:marLeft w:val="0"/>
      <w:marRight w:val="0"/>
      <w:marTop w:val="0"/>
      <w:marBottom w:val="0"/>
      <w:divBdr>
        <w:top w:val="none" w:sz="0" w:space="0" w:color="auto"/>
        <w:left w:val="none" w:sz="0" w:space="0" w:color="auto"/>
        <w:bottom w:val="none" w:sz="0" w:space="0" w:color="auto"/>
        <w:right w:val="none" w:sz="0" w:space="0" w:color="auto"/>
      </w:divBdr>
    </w:div>
    <w:div w:id="1832915333">
      <w:bodyDiv w:val="1"/>
      <w:marLeft w:val="0"/>
      <w:marRight w:val="0"/>
      <w:marTop w:val="0"/>
      <w:marBottom w:val="0"/>
      <w:divBdr>
        <w:top w:val="none" w:sz="0" w:space="0" w:color="auto"/>
        <w:left w:val="none" w:sz="0" w:space="0" w:color="auto"/>
        <w:bottom w:val="none" w:sz="0" w:space="0" w:color="auto"/>
        <w:right w:val="none" w:sz="0" w:space="0" w:color="auto"/>
      </w:divBdr>
    </w:div>
    <w:div w:id="1838301674">
      <w:bodyDiv w:val="1"/>
      <w:marLeft w:val="0"/>
      <w:marRight w:val="0"/>
      <w:marTop w:val="0"/>
      <w:marBottom w:val="0"/>
      <w:divBdr>
        <w:top w:val="none" w:sz="0" w:space="0" w:color="auto"/>
        <w:left w:val="none" w:sz="0" w:space="0" w:color="auto"/>
        <w:bottom w:val="none" w:sz="0" w:space="0" w:color="auto"/>
        <w:right w:val="none" w:sz="0" w:space="0" w:color="auto"/>
      </w:divBdr>
    </w:div>
    <w:div w:id="1851523111">
      <w:bodyDiv w:val="1"/>
      <w:marLeft w:val="0"/>
      <w:marRight w:val="0"/>
      <w:marTop w:val="0"/>
      <w:marBottom w:val="0"/>
      <w:divBdr>
        <w:top w:val="none" w:sz="0" w:space="0" w:color="auto"/>
        <w:left w:val="none" w:sz="0" w:space="0" w:color="auto"/>
        <w:bottom w:val="none" w:sz="0" w:space="0" w:color="auto"/>
        <w:right w:val="none" w:sz="0" w:space="0" w:color="auto"/>
      </w:divBdr>
    </w:div>
    <w:div w:id="1853300732">
      <w:bodyDiv w:val="1"/>
      <w:marLeft w:val="0"/>
      <w:marRight w:val="0"/>
      <w:marTop w:val="0"/>
      <w:marBottom w:val="0"/>
      <w:divBdr>
        <w:top w:val="none" w:sz="0" w:space="0" w:color="auto"/>
        <w:left w:val="none" w:sz="0" w:space="0" w:color="auto"/>
        <w:bottom w:val="none" w:sz="0" w:space="0" w:color="auto"/>
        <w:right w:val="none" w:sz="0" w:space="0" w:color="auto"/>
      </w:divBdr>
    </w:div>
    <w:div w:id="1883590361">
      <w:bodyDiv w:val="1"/>
      <w:marLeft w:val="0"/>
      <w:marRight w:val="0"/>
      <w:marTop w:val="0"/>
      <w:marBottom w:val="0"/>
      <w:divBdr>
        <w:top w:val="none" w:sz="0" w:space="0" w:color="auto"/>
        <w:left w:val="none" w:sz="0" w:space="0" w:color="auto"/>
        <w:bottom w:val="none" w:sz="0" w:space="0" w:color="auto"/>
        <w:right w:val="none" w:sz="0" w:space="0" w:color="auto"/>
      </w:divBdr>
    </w:div>
    <w:div w:id="1894077913">
      <w:bodyDiv w:val="1"/>
      <w:marLeft w:val="0"/>
      <w:marRight w:val="0"/>
      <w:marTop w:val="0"/>
      <w:marBottom w:val="0"/>
      <w:divBdr>
        <w:top w:val="none" w:sz="0" w:space="0" w:color="auto"/>
        <w:left w:val="none" w:sz="0" w:space="0" w:color="auto"/>
        <w:bottom w:val="none" w:sz="0" w:space="0" w:color="auto"/>
        <w:right w:val="none" w:sz="0" w:space="0" w:color="auto"/>
      </w:divBdr>
    </w:div>
    <w:div w:id="1907570960">
      <w:bodyDiv w:val="1"/>
      <w:marLeft w:val="0"/>
      <w:marRight w:val="0"/>
      <w:marTop w:val="0"/>
      <w:marBottom w:val="0"/>
      <w:divBdr>
        <w:top w:val="none" w:sz="0" w:space="0" w:color="auto"/>
        <w:left w:val="none" w:sz="0" w:space="0" w:color="auto"/>
        <w:bottom w:val="none" w:sz="0" w:space="0" w:color="auto"/>
        <w:right w:val="none" w:sz="0" w:space="0" w:color="auto"/>
      </w:divBdr>
    </w:div>
    <w:div w:id="1910262164">
      <w:bodyDiv w:val="1"/>
      <w:marLeft w:val="0"/>
      <w:marRight w:val="0"/>
      <w:marTop w:val="0"/>
      <w:marBottom w:val="0"/>
      <w:divBdr>
        <w:top w:val="none" w:sz="0" w:space="0" w:color="auto"/>
        <w:left w:val="none" w:sz="0" w:space="0" w:color="auto"/>
        <w:bottom w:val="none" w:sz="0" w:space="0" w:color="auto"/>
        <w:right w:val="none" w:sz="0" w:space="0" w:color="auto"/>
      </w:divBdr>
    </w:div>
    <w:div w:id="1914699944">
      <w:bodyDiv w:val="1"/>
      <w:marLeft w:val="0"/>
      <w:marRight w:val="0"/>
      <w:marTop w:val="0"/>
      <w:marBottom w:val="0"/>
      <w:divBdr>
        <w:top w:val="none" w:sz="0" w:space="0" w:color="auto"/>
        <w:left w:val="none" w:sz="0" w:space="0" w:color="auto"/>
        <w:bottom w:val="none" w:sz="0" w:space="0" w:color="auto"/>
        <w:right w:val="none" w:sz="0" w:space="0" w:color="auto"/>
      </w:divBdr>
    </w:div>
    <w:div w:id="1930843831">
      <w:bodyDiv w:val="1"/>
      <w:marLeft w:val="0"/>
      <w:marRight w:val="0"/>
      <w:marTop w:val="0"/>
      <w:marBottom w:val="0"/>
      <w:divBdr>
        <w:top w:val="none" w:sz="0" w:space="0" w:color="auto"/>
        <w:left w:val="none" w:sz="0" w:space="0" w:color="auto"/>
        <w:bottom w:val="none" w:sz="0" w:space="0" w:color="auto"/>
        <w:right w:val="none" w:sz="0" w:space="0" w:color="auto"/>
      </w:divBdr>
    </w:div>
    <w:div w:id="1939295204">
      <w:bodyDiv w:val="1"/>
      <w:marLeft w:val="0"/>
      <w:marRight w:val="0"/>
      <w:marTop w:val="0"/>
      <w:marBottom w:val="0"/>
      <w:divBdr>
        <w:top w:val="none" w:sz="0" w:space="0" w:color="auto"/>
        <w:left w:val="none" w:sz="0" w:space="0" w:color="auto"/>
        <w:bottom w:val="none" w:sz="0" w:space="0" w:color="auto"/>
        <w:right w:val="none" w:sz="0" w:space="0" w:color="auto"/>
      </w:divBdr>
    </w:div>
    <w:div w:id="1939410370">
      <w:bodyDiv w:val="1"/>
      <w:marLeft w:val="0"/>
      <w:marRight w:val="0"/>
      <w:marTop w:val="0"/>
      <w:marBottom w:val="0"/>
      <w:divBdr>
        <w:top w:val="none" w:sz="0" w:space="0" w:color="auto"/>
        <w:left w:val="none" w:sz="0" w:space="0" w:color="auto"/>
        <w:bottom w:val="none" w:sz="0" w:space="0" w:color="auto"/>
        <w:right w:val="none" w:sz="0" w:space="0" w:color="auto"/>
      </w:divBdr>
    </w:div>
    <w:div w:id="1941907575">
      <w:bodyDiv w:val="1"/>
      <w:marLeft w:val="0"/>
      <w:marRight w:val="0"/>
      <w:marTop w:val="0"/>
      <w:marBottom w:val="0"/>
      <w:divBdr>
        <w:top w:val="none" w:sz="0" w:space="0" w:color="auto"/>
        <w:left w:val="none" w:sz="0" w:space="0" w:color="auto"/>
        <w:bottom w:val="none" w:sz="0" w:space="0" w:color="auto"/>
        <w:right w:val="none" w:sz="0" w:space="0" w:color="auto"/>
      </w:divBdr>
    </w:div>
    <w:div w:id="1942104781">
      <w:bodyDiv w:val="1"/>
      <w:marLeft w:val="0"/>
      <w:marRight w:val="0"/>
      <w:marTop w:val="0"/>
      <w:marBottom w:val="0"/>
      <w:divBdr>
        <w:top w:val="none" w:sz="0" w:space="0" w:color="auto"/>
        <w:left w:val="none" w:sz="0" w:space="0" w:color="auto"/>
        <w:bottom w:val="none" w:sz="0" w:space="0" w:color="auto"/>
        <w:right w:val="none" w:sz="0" w:space="0" w:color="auto"/>
      </w:divBdr>
    </w:div>
    <w:div w:id="1943494366">
      <w:bodyDiv w:val="1"/>
      <w:marLeft w:val="0"/>
      <w:marRight w:val="0"/>
      <w:marTop w:val="0"/>
      <w:marBottom w:val="0"/>
      <w:divBdr>
        <w:top w:val="none" w:sz="0" w:space="0" w:color="auto"/>
        <w:left w:val="none" w:sz="0" w:space="0" w:color="auto"/>
        <w:bottom w:val="none" w:sz="0" w:space="0" w:color="auto"/>
        <w:right w:val="none" w:sz="0" w:space="0" w:color="auto"/>
      </w:divBdr>
    </w:div>
    <w:div w:id="1943800940">
      <w:bodyDiv w:val="1"/>
      <w:marLeft w:val="0"/>
      <w:marRight w:val="0"/>
      <w:marTop w:val="0"/>
      <w:marBottom w:val="0"/>
      <w:divBdr>
        <w:top w:val="none" w:sz="0" w:space="0" w:color="auto"/>
        <w:left w:val="none" w:sz="0" w:space="0" w:color="auto"/>
        <w:bottom w:val="none" w:sz="0" w:space="0" w:color="auto"/>
        <w:right w:val="none" w:sz="0" w:space="0" w:color="auto"/>
      </w:divBdr>
    </w:div>
    <w:div w:id="1946304104">
      <w:bodyDiv w:val="1"/>
      <w:marLeft w:val="0"/>
      <w:marRight w:val="0"/>
      <w:marTop w:val="0"/>
      <w:marBottom w:val="0"/>
      <w:divBdr>
        <w:top w:val="none" w:sz="0" w:space="0" w:color="auto"/>
        <w:left w:val="none" w:sz="0" w:space="0" w:color="auto"/>
        <w:bottom w:val="none" w:sz="0" w:space="0" w:color="auto"/>
        <w:right w:val="none" w:sz="0" w:space="0" w:color="auto"/>
      </w:divBdr>
    </w:div>
    <w:div w:id="1976061956">
      <w:bodyDiv w:val="1"/>
      <w:marLeft w:val="0"/>
      <w:marRight w:val="0"/>
      <w:marTop w:val="0"/>
      <w:marBottom w:val="0"/>
      <w:divBdr>
        <w:top w:val="none" w:sz="0" w:space="0" w:color="auto"/>
        <w:left w:val="none" w:sz="0" w:space="0" w:color="auto"/>
        <w:bottom w:val="none" w:sz="0" w:space="0" w:color="auto"/>
        <w:right w:val="none" w:sz="0" w:space="0" w:color="auto"/>
      </w:divBdr>
    </w:div>
    <w:div w:id="1976375075">
      <w:bodyDiv w:val="1"/>
      <w:marLeft w:val="0"/>
      <w:marRight w:val="0"/>
      <w:marTop w:val="0"/>
      <w:marBottom w:val="0"/>
      <w:divBdr>
        <w:top w:val="none" w:sz="0" w:space="0" w:color="auto"/>
        <w:left w:val="none" w:sz="0" w:space="0" w:color="auto"/>
        <w:bottom w:val="none" w:sz="0" w:space="0" w:color="auto"/>
        <w:right w:val="none" w:sz="0" w:space="0" w:color="auto"/>
      </w:divBdr>
    </w:div>
    <w:div w:id="1994139758">
      <w:bodyDiv w:val="1"/>
      <w:marLeft w:val="0"/>
      <w:marRight w:val="0"/>
      <w:marTop w:val="0"/>
      <w:marBottom w:val="0"/>
      <w:divBdr>
        <w:top w:val="none" w:sz="0" w:space="0" w:color="auto"/>
        <w:left w:val="none" w:sz="0" w:space="0" w:color="auto"/>
        <w:bottom w:val="none" w:sz="0" w:space="0" w:color="auto"/>
        <w:right w:val="none" w:sz="0" w:space="0" w:color="auto"/>
      </w:divBdr>
    </w:div>
    <w:div w:id="2014381221">
      <w:bodyDiv w:val="1"/>
      <w:marLeft w:val="0"/>
      <w:marRight w:val="0"/>
      <w:marTop w:val="0"/>
      <w:marBottom w:val="0"/>
      <w:divBdr>
        <w:top w:val="none" w:sz="0" w:space="0" w:color="auto"/>
        <w:left w:val="none" w:sz="0" w:space="0" w:color="auto"/>
        <w:bottom w:val="none" w:sz="0" w:space="0" w:color="auto"/>
        <w:right w:val="none" w:sz="0" w:space="0" w:color="auto"/>
      </w:divBdr>
    </w:div>
    <w:div w:id="2022123603">
      <w:bodyDiv w:val="1"/>
      <w:marLeft w:val="0"/>
      <w:marRight w:val="0"/>
      <w:marTop w:val="0"/>
      <w:marBottom w:val="0"/>
      <w:divBdr>
        <w:top w:val="none" w:sz="0" w:space="0" w:color="auto"/>
        <w:left w:val="none" w:sz="0" w:space="0" w:color="auto"/>
        <w:bottom w:val="none" w:sz="0" w:space="0" w:color="auto"/>
        <w:right w:val="none" w:sz="0" w:space="0" w:color="auto"/>
      </w:divBdr>
    </w:div>
    <w:div w:id="2027974887">
      <w:bodyDiv w:val="1"/>
      <w:marLeft w:val="0"/>
      <w:marRight w:val="0"/>
      <w:marTop w:val="0"/>
      <w:marBottom w:val="0"/>
      <w:divBdr>
        <w:top w:val="none" w:sz="0" w:space="0" w:color="auto"/>
        <w:left w:val="none" w:sz="0" w:space="0" w:color="auto"/>
        <w:bottom w:val="none" w:sz="0" w:space="0" w:color="auto"/>
        <w:right w:val="none" w:sz="0" w:space="0" w:color="auto"/>
      </w:divBdr>
    </w:div>
    <w:div w:id="2031448205">
      <w:bodyDiv w:val="1"/>
      <w:marLeft w:val="0"/>
      <w:marRight w:val="0"/>
      <w:marTop w:val="0"/>
      <w:marBottom w:val="0"/>
      <w:divBdr>
        <w:top w:val="none" w:sz="0" w:space="0" w:color="auto"/>
        <w:left w:val="none" w:sz="0" w:space="0" w:color="auto"/>
        <w:bottom w:val="none" w:sz="0" w:space="0" w:color="auto"/>
        <w:right w:val="none" w:sz="0" w:space="0" w:color="auto"/>
      </w:divBdr>
    </w:div>
    <w:div w:id="2038582012">
      <w:bodyDiv w:val="1"/>
      <w:marLeft w:val="0"/>
      <w:marRight w:val="0"/>
      <w:marTop w:val="0"/>
      <w:marBottom w:val="0"/>
      <w:divBdr>
        <w:top w:val="none" w:sz="0" w:space="0" w:color="auto"/>
        <w:left w:val="none" w:sz="0" w:space="0" w:color="auto"/>
        <w:bottom w:val="none" w:sz="0" w:space="0" w:color="auto"/>
        <w:right w:val="none" w:sz="0" w:space="0" w:color="auto"/>
      </w:divBdr>
    </w:div>
    <w:div w:id="2065910347">
      <w:bodyDiv w:val="1"/>
      <w:marLeft w:val="0"/>
      <w:marRight w:val="0"/>
      <w:marTop w:val="0"/>
      <w:marBottom w:val="0"/>
      <w:divBdr>
        <w:top w:val="none" w:sz="0" w:space="0" w:color="auto"/>
        <w:left w:val="none" w:sz="0" w:space="0" w:color="auto"/>
        <w:bottom w:val="none" w:sz="0" w:space="0" w:color="auto"/>
        <w:right w:val="none" w:sz="0" w:space="0" w:color="auto"/>
      </w:divBdr>
    </w:div>
    <w:div w:id="2075814622">
      <w:bodyDiv w:val="1"/>
      <w:marLeft w:val="0"/>
      <w:marRight w:val="0"/>
      <w:marTop w:val="0"/>
      <w:marBottom w:val="0"/>
      <w:divBdr>
        <w:top w:val="none" w:sz="0" w:space="0" w:color="auto"/>
        <w:left w:val="none" w:sz="0" w:space="0" w:color="auto"/>
        <w:bottom w:val="none" w:sz="0" w:space="0" w:color="auto"/>
        <w:right w:val="none" w:sz="0" w:space="0" w:color="auto"/>
      </w:divBdr>
    </w:div>
    <w:div w:id="2090075542">
      <w:bodyDiv w:val="1"/>
      <w:marLeft w:val="0"/>
      <w:marRight w:val="0"/>
      <w:marTop w:val="0"/>
      <w:marBottom w:val="0"/>
      <w:divBdr>
        <w:top w:val="none" w:sz="0" w:space="0" w:color="auto"/>
        <w:left w:val="none" w:sz="0" w:space="0" w:color="auto"/>
        <w:bottom w:val="none" w:sz="0" w:space="0" w:color="auto"/>
        <w:right w:val="none" w:sz="0" w:space="0" w:color="auto"/>
      </w:divBdr>
    </w:div>
    <w:div w:id="2090812194">
      <w:bodyDiv w:val="1"/>
      <w:marLeft w:val="0"/>
      <w:marRight w:val="0"/>
      <w:marTop w:val="0"/>
      <w:marBottom w:val="0"/>
      <w:divBdr>
        <w:top w:val="none" w:sz="0" w:space="0" w:color="auto"/>
        <w:left w:val="none" w:sz="0" w:space="0" w:color="auto"/>
        <w:bottom w:val="none" w:sz="0" w:space="0" w:color="auto"/>
        <w:right w:val="none" w:sz="0" w:space="0" w:color="auto"/>
      </w:divBdr>
    </w:div>
    <w:div w:id="2102488717">
      <w:bodyDiv w:val="1"/>
      <w:marLeft w:val="0"/>
      <w:marRight w:val="0"/>
      <w:marTop w:val="0"/>
      <w:marBottom w:val="0"/>
      <w:divBdr>
        <w:top w:val="none" w:sz="0" w:space="0" w:color="auto"/>
        <w:left w:val="none" w:sz="0" w:space="0" w:color="auto"/>
        <w:bottom w:val="none" w:sz="0" w:space="0" w:color="auto"/>
        <w:right w:val="none" w:sz="0" w:space="0" w:color="auto"/>
      </w:divBdr>
    </w:div>
    <w:div w:id="2116050725">
      <w:bodyDiv w:val="1"/>
      <w:marLeft w:val="0"/>
      <w:marRight w:val="0"/>
      <w:marTop w:val="0"/>
      <w:marBottom w:val="0"/>
      <w:divBdr>
        <w:top w:val="none" w:sz="0" w:space="0" w:color="auto"/>
        <w:left w:val="none" w:sz="0" w:space="0" w:color="auto"/>
        <w:bottom w:val="none" w:sz="0" w:space="0" w:color="auto"/>
        <w:right w:val="none" w:sz="0" w:space="0" w:color="auto"/>
      </w:divBdr>
    </w:div>
    <w:div w:id="2117014640">
      <w:bodyDiv w:val="1"/>
      <w:marLeft w:val="0"/>
      <w:marRight w:val="0"/>
      <w:marTop w:val="0"/>
      <w:marBottom w:val="0"/>
      <w:divBdr>
        <w:top w:val="none" w:sz="0" w:space="0" w:color="auto"/>
        <w:left w:val="none" w:sz="0" w:space="0" w:color="auto"/>
        <w:bottom w:val="none" w:sz="0" w:space="0" w:color="auto"/>
        <w:right w:val="none" w:sz="0" w:space="0" w:color="auto"/>
      </w:divBdr>
    </w:div>
    <w:div w:id="2142380847">
      <w:bodyDiv w:val="1"/>
      <w:marLeft w:val="0"/>
      <w:marRight w:val="0"/>
      <w:marTop w:val="0"/>
      <w:marBottom w:val="0"/>
      <w:divBdr>
        <w:top w:val="none" w:sz="0" w:space="0" w:color="auto"/>
        <w:left w:val="none" w:sz="0" w:space="0" w:color="auto"/>
        <w:bottom w:val="none" w:sz="0" w:space="0" w:color="auto"/>
        <w:right w:val="none" w:sz="0" w:space="0" w:color="auto"/>
      </w:divBdr>
    </w:div>
    <w:div w:id="214515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onomia.gob.mx/datamexico/es/profile/geo/tamaulipas-tm" TargetMode="External"/><Relationship Id="rId17" Type="http://schemas.openxmlformats.org/officeDocument/2006/relationships/hyperlink" Target="https://www.disciplinafinanciera.hacienda.gob.mx/es/DISCIPLINA_FINANCIERA/Entidades_Federativas_2024" TargetMode="External"/><Relationship Id="rId2" Type="http://schemas.openxmlformats.org/officeDocument/2006/relationships/numbering" Target="numbering.xml"/><Relationship Id="rId16" Type="http://schemas.openxmlformats.org/officeDocument/2006/relationships/hyperlink" Target="https://www.inegi.org.mx/contenidos/saladeprensa/boletines/2024/etef/etef2024_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a.gob.mx/datamexico/es/profile/geo/tamaulipas-tm" TargetMode="External"/><Relationship Id="rId5" Type="http://schemas.openxmlformats.org/officeDocument/2006/relationships/webSettings" Target="webSettings.xml"/><Relationship Id="rId15" Type="http://schemas.openxmlformats.org/officeDocument/2006/relationships/hyperlink" Target="https://www.inegi.org.mx/contenidos/saladeprensa/boletines/2024/itaee/itaee2024_10_Tamps.pdf"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7956-D756-43D1-A02E-9E7689E8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50</Pages>
  <Words>16102</Words>
  <Characters>88566</Characters>
  <Application>Microsoft Office Word</Application>
  <DocSecurity>0</DocSecurity>
  <Lines>738</Lines>
  <Paragraphs>208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dc:description/>
  <cp:lastModifiedBy>MARIA DE LOURDES ALCOCER DE LA CRUZ</cp:lastModifiedBy>
  <cp:revision>8</cp:revision>
  <cp:lastPrinted>2025-04-11T23:21:00Z</cp:lastPrinted>
  <dcterms:created xsi:type="dcterms:W3CDTF">2025-04-21T17:26:00Z</dcterms:created>
  <dcterms:modified xsi:type="dcterms:W3CDTF">2025-04-22T19:08:00Z</dcterms:modified>
  <dc:language>es-MX</dc:language>
</cp:coreProperties>
</file>